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6.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ذکری الشیعه فی احکام الشریعه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91591_2142443653">
            <w:r>
              <w:rPr>
                <w:webHidden/>
                <w:rStyle w:val="IndexLink"/>
                <w:rtl w:val="true"/>
              </w:rPr>
              <w:t>هوية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4191593_2142443653">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4191595_2142443653">
            <w:r>
              <w:rPr>
                <w:webHidden/>
                <w:rStyle w:val="IndexLink"/>
                <w:rtl w:val="true"/>
              </w:rPr>
              <w:t>مقدّمة المصنّف</w:t>
            </w:r>
            <w:r>
              <w:rPr>
                <w:rStyle w:val="IndexLink"/>
                <w:rtl w:val="true"/>
              </w:rPr>
              <w:t xml:space="preserve">: </w:t>
            </w:r>
            <w:r>
              <w:rPr>
                <w:rStyle w:val="IndexLink"/>
                <w:rtl w:val="true"/>
              </w:rPr>
              <w:t>ذكر منهجية الكتاب</w:t>
            </w:r>
            <w:r>
              <w:rPr>
                <w:rStyle w:val="IndexLink"/>
                <w:rtl w:val="true"/>
              </w:rPr>
              <w:tab/>
            </w:r>
            <w:r>
              <w:rPr>
                <w:rStyle w:val="IndexLink"/>
              </w:rPr>
              <w:t>18</w:t>
            </w:r>
          </w:hyperlink>
        </w:p>
        <w:p>
          <w:pPr>
            <w:pStyle w:val="Contents3"/>
            <w:tabs>
              <w:tab w:val="clear" w:pos="8459"/>
              <w:tab w:val="right" w:pos="9026" w:leader="dot"/>
            </w:tabs>
            <w:rPr/>
          </w:pPr>
          <w:hyperlink w:anchor="__RefHeading___Toc4191597_214244365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4191599_2142443653">
            <w:r>
              <w:rPr>
                <w:webHidden/>
                <w:rStyle w:val="IndexLink"/>
                <w:rtl w:val="true"/>
              </w:rPr>
              <w:t>النسخ المعتمدة في التحقيق</w:t>
            </w:r>
            <w:r>
              <w:rPr>
                <w:rStyle w:val="IndexLink"/>
                <w:rtl w:val="true"/>
              </w:rPr>
              <w:t>:</w:t>
              <w:tab/>
            </w:r>
            <w:r>
              <w:rPr>
                <w:rStyle w:val="IndexLink"/>
              </w:rPr>
              <w:t>43</w:t>
            </w:r>
          </w:hyperlink>
        </w:p>
        <w:p>
          <w:pPr>
            <w:pStyle w:val="Contents3"/>
            <w:tabs>
              <w:tab w:val="clear" w:pos="8459"/>
              <w:tab w:val="right" w:pos="9026" w:leader="dot"/>
            </w:tabs>
            <w:rPr/>
          </w:pPr>
          <w:hyperlink w:anchor="__RefHeading___Toc4191601_2142443653">
            <w:r>
              <w:rPr>
                <w:webHidden/>
                <w:rStyle w:val="IndexLink"/>
                <w:rtl w:val="true"/>
              </w:rPr>
              <w:t>منهجيّة التحقيق</w:t>
            </w:r>
            <w:r>
              <w:rPr>
                <w:rStyle w:val="IndexLink"/>
                <w:rtl w:val="true"/>
              </w:rPr>
              <w:t>:</w:t>
              <w:tab/>
            </w:r>
            <w:r>
              <w:rPr>
                <w:rStyle w:val="IndexLink"/>
              </w:rPr>
              <w:t>44</w:t>
            </w:r>
          </w:hyperlink>
        </w:p>
        <w:p>
          <w:pPr>
            <w:pStyle w:val="Contents3"/>
            <w:tabs>
              <w:tab w:val="clear" w:pos="8459"/>
              <w:tab w:val="right" w:pos="9026" w:leader="dot"/>
            </w:tabs>
            <w:rPr/>
          </w:pPr>
          <w:hyperlink w:anchor="__RefHeading___Toc4191603_2142443653">
            <w:r>
              <w:rPr>
                <w:webHidden/>
                <w:rStyle w:val="IndexLink"/>
                <w:rtl w:val="true"/>
              </w:rPr>
              <w:t>مصادر المقدّمة</w:t>
            </w:r>
            <w:r>
              <w:rPr>
                <w:rStyle w:val="IndexLink"/>
                <w:rtl w:val="true"/>
              </w:rPr>
              <w:tab/>
            </w:r>
            <w:r>
              <w:rPr>
                <w:rStyle w:val="IndexLink"/>
              </w:rPr>
              <w:t>46</w:t>
            </w:r>
          </w:hyperlink>
        </w:p>
        <w:p>
          <w:pPr>
            <w:pStyle w:val="Contents3"/>
            <w:tabs>
              <w:tab w:val="clear" w:pos="8459"/>
              <w:tab w:val="right" w:pos="9026" w:leader="dot"/>
            </w:tabs>
            <w:rPr/>
          </w:pPr>
          <w:hyperlink w:anchor="__RefHeading___Toc4191605_2142443653">
            <w:r>
              <w:rPr>
                <w:webHidden/>
                <w:rStyle w:val="IndexLink"/>
                <w:rtl w:val="true"/>
              </w:rPr>
              <w:t>نماذج من صور النسخة الأصليّة</w:t>
            </w:r>
            <w:r>
              <w:rPr>
                <w:rStyle w:val="IndexLink"/>
                <w:rtl w:val="true"/>
              </w:rPr>
              <w:tab/>
            </w:r>
            <w:r>
              <w:rPr>
                <w:rStyle w:val="IndexLink"/>
              </w:rPr>
              <w:t>48</w:t>
            </w:r>
          </w:hyperlink>
        </w:p>
        <w:p>
          <w:pPr>
            <w:pStyle w:val="Contents2"/>
            <w:tabs>
              <w:tab w:val="clear" w:pos="8743"/>
              <w:tab w:val="right" w:pos="9026" w:leader="dot"/>
            </w:tabs>
            <w:rPr/>
          </w:pPr>
          <w:hyperlink w:anchor="__RefHeading___Toc4191607_2142443653">
            <w:r>
              <w:rPr>
                <w:webHidden/>
                <w:rStyle w:val="IndexLink"/>
                <w:rtl w:val="true"/>
              </w:rPr>
              <w:t>مقدمة المؤلف</w:t>
            </w:r>
            <w:r>
              <w:rPr>
                <w:rStyle w:val="IndexLink"/>
                <w:rtl w:val="true"/>
              </w:rPr>
              <w:t xml:space="preserve">: </w:t>
            </w:r>
            <w:r>
              <w:rPr>
                <w:rStyle w:val="IndexLink"/>
                <w:rtl w:val="true"/>
              </w:rPr>
              <w:t>و تحوي على إشارات سبع</w:t>
            </w:r>
            <w:r>
              <w:rPr>
                <w:rStyle w:val="IndexLink"/>
                <w:rtl w:val="true"/>
              </w:rPr>
              <w:t>:</w:t>
              <w:tab/>
            </w:r>
            <w:r>
              <w:rPr>
                <w:rStyle w:val="IndexLink"/>
              </w:rPr>
              <w:t>52</w:t>
            </w:r>
          </w:hyperlink>
        </w:p>
        <w:p>
          <w:pPr>
            <w:pStyle w:val="Contents3"/>
            <w:tabs>
              <w:tab w:val="clear" w:pos="8459"/>
              <w:tab w:val="right" w:pos="9026" w:leader="dot"/>
            </w:tabs>
            <w:rPr/>
          </w:pPr>
          <w:hyperlink w:anchor="__RefHeading___Toc4191609_2142443653">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4191611_2142443653">
            <w:r>
              <w:rPr>
                <w:webHidden/>
                <w:rStyle w:val="IndexLink"/>
                <w:rtl w:val="true"/>
              </w:rPr>
              <w:t>الإشارة الاولى</w:t>
            </w:r>
            <w:r>
              <w:rPr>
                <w:rStyle w:val="IndexLink"/>
                <w:rtl w:val="true"/>
              </w:rPr>
              <w:t xml:space="preserve">: </w:t>
            </w:r>
            <w:r>
              <w:rPr>
                <w:rStyle w:val="IndexLink"/>
                <w:rtl w:val="true"/>
              </w:rPr>
              <w:t>تعريف بعض المصطلحات</w:t>
            </w:r>
            <w:r>
              <w:rPr>
                <w:rStyle w:val="IndexLink"/>
                <w:rtl w:val="true"/>
              </w:rPr>
              <w:tab/>
            </w:r>
            <w:r>
              <w:rPr>
                <w:rStyle w:val="IndexLink"/>
              </w:rPr>
              <w:t>53</w:t>
            </w:r>
          </w:hyperlink>
        </w:p>
        <w:p>
          <w:pPr>
            <w:pStyle w:val="Contents3"/>
            <w:tabs>
              <w:tab w:val="clear" w:pos="8459"/>
              <w:tab w:val="right" w:pos="9026" w:leader="dot"/>
            </w:tabs>
            <w:rPr/>
          </w:pPr>
          <w:hyperlink w:anchor="__RefHeading___Toc4191613_2142443653">
            <w:r>
              <w:rPr>
                <w:webHidden/>
                <w:rStyle w:val="IndexLink"/>
                <w:rtl w:val="true"/>
              </w:rPr>
              <w:t>الإشارة الثانية وجوب التفقه و كونه كفائي</w:t>
            </w:r>
            <w:r>
              <w:rPr>
                <w:rStyle w:val="IndexLink"/>
                <w:rtl w:val="true"/>
              </w:rPr>
              <w:tab/>
            </w:r>
            <w:r>
              <w:rPr>
                <w:rStyle w:val="IndexLink"/>
              </w:rPr>
              <w:t>54</w:t>
            </w:r>
          </w:hyperlink>
        </w:p>
        <w:p>
          <w:pPr>
            <w:pStyle w:val="Contents3"/>
            <w:tabs>
              <w:tab w:val="clear" w:pos="8459"/>
              <w:tab w:val="right" w:pos="9026" w:leader="dot"/>
            </w:tabs>
            <w:rPr/>
          </w:pPr>
          <w:hyperlink w:anchor="__RefHeading___Toc4191615_2142443653">
            <w:r>
              <w:rPr>
                <w:webHidden/>
                <w:rStyle w:val="IndexLink"/>
                <w:rtl w:val="true"/>
              </w:rPr>
              <w:t>الإشارة الثالثة الشرائط المعتبر تحقّقها في الفقيه، و هي ثلاثة عشر شرطا</w:t>
            </w:r>
            <w:r>
              <w:rPr>
                <w:rStyle w:val="IndexLink"/>
                <w:rtl w:val="true"/>
              </w:rPr>
              <w:tab/>
            </w:r>
            <w:r>
              <w:rPr>
                <w:rStyle w:val="IndexLink"/>
              </w:rPr>
              <w:t>55</w:t>
            </w:r>
          </w:hyperlink>
        </w:p>
        <w:p>
          <w:pPr>
            <w:pStyle w:val="Contents3"/>
            <w:tabs>
              <w:tab w:val="clear" w:pos="8459"/>
              <w:tab w:val="right" w:pos="9026" w:leader="dot"/>
            </w:tabs>
            <w:rPr/>
          </w:pPr>
          <w:hyperlink w:anchor="__RefHeading___Toc4191617_2142443653">
            <w:r>
              <w:rPr>
                <w:webHidden/>
                <w:rStyle w:val="IndexLink"/>
                <w:rtl w:val="true"/>
              </w:rPr>
              <w:t>الإشارة الرابعة وجوب اجتهاد العامّي لتحصيل المفتي</w:t>
            </w:r>
            <w:r>
              <w:rPr>
                <w:rStyle w:val="IndexLink"/>
                <w:rtl w:val="true"/>
              </w:rPr>
              <w:tab/>
            </w:r>
            <w:r>
              <w:rPr>
                <w:rStyle w:val="IndexLink"/>
              </w:rPr>
              <w:t>56</w:t>
            </w:r>
          </w:hyperlink>
        </w:p>
        <w:p>
          <w:pPr>
            <w:pStyle w:val="Contents3"/>
            <w:tabs>
              <w:tab w:val="clear" w:pos="8459"/>
              <w:tab w:val="right" w:pos="9026" w:leader="dot"/>
            </w:tabs>
            <w:rPr/>
          </w:pPr>
          <w:hyperlink w:anchor="__RefHeading___Toc4191619_2142443653">
            <w:r>
              <w:rPr>
                <w:webHidden/>
                <w:rStyle w:val="IndexLink"/>
                <w:rtl w:val="true"/>
              </w:rPr>
              <w:t>الإشارة الخامسة عدم اشتراط مشافهة المفتي في العمل</w:t>
            </w:r>
            <w:r>
              <w:rPr>
                <w:rStyle w:val="IndexLink"/>
                <w:rtl w:val="true"/>
              </w:rPr>
              <w:tab/>
            </w:r>
            <w:r>
              <w:rPr>
                <w:rStyle w:val="IndexLink"/>
              </w:rPr>
              <w:t>57</w:t>
            </w:r>
          </w:hyperlink>
        </w:p>
        <w:p>
          <w:pPr>
            <w:pStyle w:val="Contents3"/>
            <w:tabs>
              <w:tab w:val="clear" w:pos="8459"/>
              <w:tab w:val="right" w:pos="9026" w:leader="dot"/>
            </w:tabs>
            <w:rPr/>
          </w:pPr>
          <w:hyperlink w:anchor="__RefHeading___Toc4191621_2142443653">
            <w:r>
              <w:rPr>
                <w:webHidden/>
                <w:rStyle w:val="IndexLink"/>
                <w:rtl w:val="true"/>
              </w:rPr>
              <w:t>الإشارة السادسة بسط الكلام في الأدلة الشرعية الأربعة</w:t>
            </w:r>
            <w:r>
              <w:rPr>
                <w:rStyle w:val="IndexLink"/>
                <w:rtl w:val="true"/>
              </w:rPr>
              <w:tab/>
            </w:r>
            <w:r>
              <w:rPr>
                <w:rStyle w:val="IndexLink"/>
              </w:rPr>
              <w:t>57</w:t>
            </w:r>
          </w:hyperlink>
        </w:p>
        <w:p>
          <w:pPr>
            <w:pStyle w:val="Contents4"/>
            <w:tabs>
              <w:tab w:val="clear" w:pos="8176"/>
              <w:tab w:val="right" w:pos="9026" w:leader="dot"/>
            </w:tabs>
            <w:rPr/>
          </w:pPr>
          <w:hyperlink w:anchor="__RefHeading___Toc4191623_2142443653">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4191625_2142443653">
            <w:r>
              <w:rPr>
                <w:webHidden/>
                <w:rStyle w:val="IndexLink"/>
                <w:rtl w:val="true"/>
              </w:rPr>
              <w:t>أحدها</w:t>
            </w:r>
            <w:r>
              <w:rPr>
                <w:rStyle w:val="IndexLink"/>
                <w:rtl w:val="true"/>
              </w:rPr>
              <w:t xml:space="preserve">: </w:t>
            </w:r>
            <w:r>
              <w:rPr>
                <w:rStyle w:val="IndexLink"/>
                <w:rtl w:val="true"/>
              </w:rPr>
              <w:t>الكتاب،</w:t>
            </w:r>
            <w:r>
              <w:rPr>
                <w:rStyle w:val="IndexLink"/>
                <w:rtl w:val="true"/>
              </w:rPr>
              <w:tab/>
            </w:r>
            <w:r>
              <w:rPr>
                <w:rStyle w:val="IndexLink"/>
              </w:rPr>
              <w:t>57</w:t>
            </w:r>
          </w:hyperlink>
        </w:p>
        <w:p>
          <w:pPr>
            <w:pStyle w:val="Contents4"/>
            <w:tabs>
              <w:tab w:val="clear" w:pos="8176"/>
              <w:tab w:val="right" w:pos="9026" w:leader="dot"/>
            </w:tabs>
            <w:rPr/>
          </w:pPr>
          <w:hyperlink w:anchor="__RefHeading___Toc4191627_2142443653">
            <w:r>
              <w:rPr>
                <w:webHidden/>
                <w:rStyle w:val="IndexLink"/>
                <w:rtl w:val="true"/>
              </w:rPr>
              <w:t>الأصل الثاني</w:t>
            </w:r>
            <w:r>
              <w:rPr>
                <w:rStyle w:val="IndexLink"/>
                <w:rtl w:val="true"/>
              </w:rPr>
              <w:t xml:space="preserve">: </w:t>
            </w:r>
            <w:r>
              <w:rPr>
                <w:rStyle w:val="IndexLink"/>
                <w:rtl w:val="true"/>
              </w:rPr>
              <w:t>السنّة،</w:t>
            </w:r>
            <w:r>
              <w:rPr>
                <w:rStyle w:val="IndexLink"/>
                <w:rtl w:val="true"/>
              </w:rPr>
              <w:tab/>
            </w:r>
            <w:r>
              <w:rPr>
                <w:rStyle w:val="IndexLink"/>
              </w:rPr>
              <w:t>60</w:t>
            </w:r>
          </w:hyperlink>
        </w:p>
        <w:p>
          <w:pPr>
            <w:pStyle w:val="Contents4"/>
            <w:tabs>
              <w:tab w:val="clear" w:pos="8176"/>
              <w:tab w:val="right" w:pos="9026" w:leader="dot"/>
            </w:tabs>
            <w:rPr/>
          </w:pPr>
          <w:hyperlink w:anchor="__RefHeading___Toc4191629_2142443653">
            <w:r>
              <w:rPr>
                <w:webHidden/>
                <w:rStyle w:val="IndexLink"/>
                <w:rtl w:val="true"/>
              </w:rPr>
              <w:t>الأصل الثالث</w:t>
            </w:r>
            <w:r>
              <w:rPr>
                <w:rStyle w:val="IndexLink"/>
                <w:rtl w:val="true"/>
              </w:rPr>
              <w:t xml:space="preserve">: </w:t>
            </w:r>
            <w:r>
              <w:rPr>
                <w:rStyle w:val="IndexLink"/>
                <w:rtl w:val="true"/>
              </w:rPr>
              <w:t>الإجماع،</w:t>
            </w:r>
            <w:r>
              <w:rPr>
                <w:rStyle w:val="IndexLink"/>
                <w:rtl w:val="true"/>
              </w:rPr>
              <w:tab/>
            </w:r>
            <w:r>
              <w:rPr>
                <w:rStyle w:val="IndexLink"/>
              </w:rPr>
              <w:t>62</w:t>
            </w:r>
          </w:hyperlink>
        </w:p>
        <w:p>
          <w:pPr>
            <w:pStyle w:val="Contents5"/>
            <w:tabs>
              <w:tab w:val="clear" w:pos="7892"/>
              <w:tab w:val="right" w:pos="9026" w:leader="dot"/>
            </w:tabs>
            <w:rPr/>
          </w:pPr>
          <w:hyperlink w:anchor="__RefHeading___Toc4191631_2142443653">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4191633_2142443653">
            <w:r>
              <w:rPr>
                <w:webHidden/>
                <w:rStyle w:val="IndexLink"/>
                <w:rtl w:val="true"/>
              </w:rPr>
              <w:t>فروع</w:t>
            </w:r>
            <w:r>
              <w:rPr>
                <w:rStyle w:val="IndexLink"/>
                <w:rtl w:val="true"/>
              </w:rPr>
              <w:t>:</w:t>
              <w:tab/>
            </w:r>
            <w:r>
              <w:rPr>
                <w:rStyle w:val="IndexLink"/>
              </w:rPr>
              <w:t>63</w:t>
            </w:r>
          </w:hyperlink>
        </w:p>
        <w:p>
          <w:pPr>
            <w:pStyle w:val="Contents6"/>
            <w:tabs>
              <w:tab w:val="clear" w:pos="7609"/>
              <w:tab w:val="right" w:pos="9026" w:leader="dot"/>
            </w:tabs>
            <w:rPr/>
          </w:pPr>
          <w:hyperlink w:anchor="__RefHeading___Toc4191635_2142443653">
            <w:r>
              <w:rPr>
                <w:webHidden/>
                <w:rStyle w:val="IndexLink"/>
                <w:rtl w:val="true"/>
              </w:rPr>
              <w:t>الأول</w:t>
            </w:r>
            <w:r>
              <w:rPr>
                <w:rStyle w:val="IndexLink"/>
                <w:rtl w:val="true"/>
              </w:rPr>
              <w:t xml:space="preserve">: </w:t>
            </w:r>
            <w:r>
              <w:rPr>
                <w:rStyle w:val="IndexLink"/>
                <w:rtl w:val="true"/>
              </w:rPr>
              <w:t>الإجماع السكوتي</w:t>
            </w:r>
            <w:r>
              <w:rPr>
                <w:rStyle w:val="IndexLink"/>
                <w:rtl w:val="true"/>
              </w:rPr>
              <w:tab/>
            </w:r>
            <w:r>
              <w:rPr>
                <w:rStyle w:val="IndexLink"/>
              </w:rPr>
              <w:t>63</w:t>
            </w:r>
          </w:hyperlink>
        </w:p>
        <w:p>
          <w:pPr>
            <w:pStyle w:val="Contents6"/>
            <w:tabs>
              <w:tab w:val="clear" w:pos="7609"/>
              <w:tab w:val="right" w:pos="9026" w:leader="dot"/>
            </w:tabs>
            <w:rPr/>
          </w:pPr>
          <w:hyperlink w:anchor="__RefHeading___Toc4191637_2142443653">
            <w:r>
              <w:rPr>
                <w:webHidden/>
                <w:rStyle w:val="IndexLink"/>
                <w:rtl w:val="true"/>
              </w:rPr>
              <w:t>الثاني</w:t>
            </w:r>
            <w:r>
              <w:rPr>
                <w:rStyle w:val="IndexLink"/>
                <w:rtl w:val="true"/>
              </w:rPr>
              <w:t xml:space="preserve">: </w:t>
            </w:r>
            <w:r>
              <w:rPr>
                <w:rStyle w:val="IndexLink"/>
                <w:rtl w:val="true"/>
              </w:rPr>
              <w:t>يثبت الإجماع بخبر الواحد</w:t>
            </w:r>
            <w:r>
              <w:rPr>
                <w:rStyle w:val="IndexLink"/>
                <w:rtl w:val="true"/>
              </w:rPr>
              <w:tab/>
            </w:r>
            <w:r>
              <w:rPr>
                <w:rStyle w:val="IndexLink"/>
              </w:rPr>
              <w:t>63</w:t>
            </w:r>
          </w:hyperlink>
        </w:p>
        <w:p>
          <w:pPr>
            <w:pStyle w:val="Contents6"/>
            <w:tabs>
              <w:tab w:val="clear" w:pos="7609"/>
              <w:tab w:val="right" w:pos="9026" w:leader="dot"/>
            </w:tabs>
            <w:rPr/>
          </w:pPr>
          <w:hyperlink w:anchor="__RefHeading___Toc4191639_2142443653">
            <w:r>
              <w:rPr>
                <w:webHidden/>
                <w:rStyle w:val="IndexLink"/>
                <w:rtl w:val="true"/>
              </w:rPr>
              <w:t>الثالث</w:t>
            </w:r>
            <w:r>
              <w:rPr>
                <w:rStyle w:val="IndexLink"/>
                <w:rtl w:val="true"/>
              </w:rPr>
              <w:t xml:space="preserve">: </w:t>
            </w:r>
            <w:r>
              <w:rPr>
                <w:rStyle w:val="IndexLink"/>
                <w:rtl w:val="true"/>
              </w:rPr>
              <w:t>يمنع احداث ثالث إذا استلزم رفع الإجماع،</w:t>
            </w:r>
            <w:r>
              <w:rPr>
                <w:rStyle w:val="IndexLink"/>
                <w:rtl w:val="true"/>
              </w:rPr>
              <w:tab/>
            </w:r>
            <w:r>
              <w:rPr>
                <w:rStyle w:val="IndexLink"/>
              </w:rPr>
              <w:t>64</w:t>
            </w:r>
          </w:hyperlink>
        </w:p>
        <w:p>
          <w:pPr>
            <w:pStyle w:val="Contents6"/>
            <w:tabs>
              <w:tab w:val="clear" w:pos="7609"/>
              <w:tab w:val="right" w:pos="9026" w:leader="dot"/>
            </w:tabs>
            <w:rPr/>
          </w:pPr>
          <w:hyperlink w:anchor="__RefHeading___Toc4191641_2142443653">
            <w:r>
              <w:rPr>
                <w:webHidden/>
                <w:rStyle w:val="IndexLink"/>
                <w:rtl w:val="true"/>
              </w:rPr>
              <w:t>الرابع</w:t>
            </w:r>
            <w:r>
              <w:rPr>
                <w:rStyle w:val="IndexLink"/>
                <w:rtl w:val="true"/>
              </w:rPr>
              <w:t xml:space="preserve">: </w:t>
            </w:r>
            <w:r>
              <w:rPr>
                <w:rStyle w:val="IndexLink"/>
                <w:rtl w:val="true"/>
              </w:rPr>
              <w:t>إذا أفتى جماعة من الأصحاب، و لم يعلم لهم مخالف،</w:t>
            </w:r>
            <w:r>
              <w:rPr>
                <w:rStyle w:val="IndexLink"/>
                <w:rtl w:val="true"/>
              </w:rPr>
              <w:tab/>
            </w:r>
            <w:r>
              <w:rPr>
                <w:rStyle w:val="IndexLink"/>
              </w:rPr>
              <w:t>64</w:t>
            </w:r>
          </w:hyperlink>
        </w:p>
        <w:p>
          <w:pPr>
            <w:pStyle w:val="Contents6"/>
            <w:tabs>
              <w:tab w:val="clear" w:pos="7609"/>
              <w:tab w:val="right" w:pos="9026" w:leader="dot"/>
            </w:tabs>
            <w:rPr/>
          </w:pPr>
          <w:hyperlink w:anchor="__RefHeading___Toc4191643_2142443653">
            <w:r>
              <w:rPr>
                <w:webHidden/>
                <w:rStyle w:val="IndexLink"/>
                <w:rtl w:val="true"/>
              </w:rPr>
              <w:t>الخامس</w:t>
            </w:r>
            <w:r>
              <w:rPr>
                <w:rStyle w:val="IndexLink"/>
                <w:rtl w:val="true"/>
              </w:rPr>
              <w:t xml:space="preserve">: </w:t>
            </w:r>
            <w:r>
              <w:rPr>
                <w:rStyle w:val="IndexLink"/>
                <w:rtl w:val="true"/>
              </w:rPr>
              <w:t>ألحق بعضهم المشهور بالمجمع عليه،</w:t>
            </w:r>
            <w:r>
              <w:rPr>
                <w:rStyle w:val="IndexLink"/>
                <w:rtl w:val="true"/>
              </w:rPr>
              <w:tab/>
            </w:r>
            <w:r>
              <w:rPr>
                <w:rStyle w:val="IndexLink"/>
              </w:rPr>
              <w:t>64</w:t>
            </w:r>
          </w:hyperlink>
        </w:p>
        <w:p>
          <w:pPr>
            <w:pStyle w:val="Contents4"/>
            <w:tabs>
              <w:tab w:val="clear" w:pos="8176"/>
              <w:tab w:val="right" w:pos="9026" w:leader="dot"/>
            </w:tabs>
            <w:rPr/>
          </w:pPr>
          <w:hyperlink w:anchor="__RefHeading___Toc4191645_2142443653">
            <w:r>
              <w:rPr>
                <w:webHidden/>
                <w:rStyle w:val="IndexLink"/>
                <w:rtl w:val="true"/>
              </w:rPr>
              <w:t>الأصل الرابع</w:t>
            </w:r>
            <w:r>
              <w:rPr>
                <w:rStyle w:val="IndexLink"/>
                <w:rtl w:val="true"/>
              </w:rPr>
              <w:t xml:space="preserve">: </w:t>
            </w:r>
            <w:r>
              <w:rPr>
                <w:rStyle w:val="IndexLink"/>
                <w:rtl w:val="true"/>
              </w:rPr>
              <w:t>دليل العقل،</w:t>
            </w:r>
            <w:r>
              <w:rPr>
                <w:rStyle w:val="IndexLink"/>
                <w:rtl w:val="true"/>
              </w:rPr>
              <w:tab/>
            </w:r>
            <w:r>
              <w:rPr>
                <w:rStyle w:val="IndexLink"/>
              </w:rPr>
              <w:t>65</w:t>
            </w:r>
          </w:hyperlink>
        </w:p>
        <w:p>
          <w:pPr>
            <w:pStyle w:val="Contents5"/>
            <w:tabs>
              <w:tab w:val="clear" w:pos="7892"/>
              <w:tab w:val="right" w:pos="9026" w:leader="dot"/>
            </w:tabs>
            <w:rPr/>
          </w:pPr>
          <w:hyperlink w:anchor="__RefHeading___Toc4191647_2142443653">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4191649_2142443653">
            <w:r>
              <w:rPr>
                <w:webHidden/>
                <w:rStyle w:val="IndexLink"/>
                <w:rtl w:val="true"/>
              </w:rPr>
              <w:t>القسم الأوّل</w:t>
            </w:r>
            <w:r>
              <w:rPr>
                <w:rStyle w:val="IndexLink"/>
                <w:rtl w:val="true"/>
              </w:rPr>
              <w:t xml:space="preserve">: </w:t>
            </w:r>
            <w:r>
              <w:rPr>
                <w:rStyle w:val="IndexLink"/>
                <w:rtl w:val="true"/>
              </w:rPr>
              <w:t>قسم لا يتوقّف على الخطاب،</w:t>
            </w:r>
            <w:r>
              <w:rPr>
                <w:rStyle w:val="IndexLink"/>
                <w:rtl w:val="true"/>
              </w:rPr>
              <w:tab/>
            </w:r>
            <w:r>
              <w:rPr>
                <w:rStyle w:val="IndexLink"/>
              </w:rPr>
              <w:t>65</w:t>
            </w:r>
          </w:hyperlink>
        </w:p>
        <w:p>
          <w:pPr>
            <w:pStyle w:val="Contents6"/>
            <w:tabs>
              <w:tab w:val="clear" w:pos="7609"/>
              <w:tab w:val="right" w:pos="9026" w:leader="dot"/>
            </w:tabs>
            <w:rPr/>
          </w:pPr>
          <w:hyperlink w:anchor="__RefHeading___Toc4191651_2142443653">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4191653_2142443653">
            <w:r>
              <w:rPr>
                <w:webHidden/>
                <w:rStyle w:val="IndexLink"/>
                <w:rtl w:val="true"/>
              </w:rPr>
              <w:t>الأول</w:t>
            </w:r>
            <w:r>
              <w:rPr>
                <w:rStyle w:val="IndexLink"/>
                <w:rtl w:val="true"/>
              </w:rPr>
              <w:t xml:space="preserve">: </w:t>
            </w:r>
            <w:r>
              <w:rPr>
                <w:rStyle w:val="IndexLink"/>
                <w:rtl w:val="true"/>
              </w:rPr>
              <w:t>ما يستفاد من قضية العقل</w:t>
            </w:r>
            <w:r>
              <w:rPr>
                <w:rStyle w:val="IndexLink"/>
                <w:rtl w:val="true"/>
              </w:rPr>
              <w:tab/>
            </w:r>
            <w:r>
              <w:rPr>
                <w:rStyle w:val="IndexLink"/>
              </w:rPr>
              <w:t>65</w:t>
            </w:r>
          </w:hyperlink>
        </w:p>
        <w:p>
          <w:pPr>
            <w:pStyle w:val="Contents6"/>
            <w:tabs>
              <w:tab w:val="clear" w:pos="7609"/>
              <w:tab w:val="right" w:pos="9026" w:leader="dot"/>
            </w:tabs>
            <w:rPr/>
          </w:pPr>
          <w:hyperlink w:anchor="__RefHeading___Toc4191655_2142443653">
            <w:r>
              <w:rPr>
                <w:webHidden/>
                <w:rStyle w:val="IndexLink"/>
                <w:rtl w:val="true"/>
              </w:rPr>
              <w:t>الثاني</w:t>
            </w:r>
            <w:r>
              <w:rPr>
                <w:rStyle w:val="IndexLink"/>
                <w:rtl w:val="true"/>
              </w:rPr>
              <w:t xml:space="preserve">: </w:t>
            </w:r>
            <w:r>
              <w:rPr>
                <w:rStyle w:val="IndexLink"/>
                <w:rtl w:val="true"/>
              </w:rPr>
              <w:t>التمسّك بأصل البراءة عند عدم دليل،</w:t>
            </w:r>
            <w:r>
              <w:rPr>
                <w:rStyle w:val="IndexLink"/>
                <w:rtl w:val="true"/>
              </w:rPr>
              <w:tab/>
            </w:r>
            <w:r>
              <w:rPr>
                <w:rStyle w:val="IndexLink"/>
              </w:rPr>
              <w:t>65</w:t>
            </w:r>
          </w:hyperlink>
        </w:p>
        <w:p>
          <w:pPr>
            <w:pStyle w:val="Contents6"/>
            <w:tabs>
              <w:tab w:val="clear" w:pos="7609"/>
              <w:tab w:val="right" w:pos="9026" w:leader="dot"/>
            </w:tabs>
            <w:rPr/>
          </w:pPr>
          <w:hyperlink w:anchor="__RefHeading___Toc4191657_2142443653">
            <w:r>
              <w:rPr>
                <w:webHidden/>
                <w:rStyle w:val="IndexLink"/>
                <w:rtl w:val="true"/>
              </w:rPr>
              <w:t>الثالث</w:t>
            </w:r>
            <w:r>
              <w:rPr>
                <w:rStyle w:val="IndexLink"/>
                <w:rtl w:val="true"/>
              </w:rPr>
              <w:t xml:space="preserve">: </w:t>
            </w:r>
            <w:r>
              <w:rPr>
                <w:rStyle w:val="IndexLink"/>
                <w:rtl w:val="true"/>
              </w:rPr>
              <w:t>لا دليل على كذا فينتفي،</w:t>
            </w:r>
            <w:r>
              <w:rPr>
                <w:rStyle w:val="IndexLink"/>
                <w:rtl w:val="true"/>
              </w:rPr>
              <w:tab/>
            </w:r>
            <w:r>
              <w:rPr>
                <w:rStyle w:val="IndexLink"/>
              </w:rPr>
              <w:t>65</w:t>
            </w:r>
          </w:hyperlink>
        </w:p>
        <w:p>
          <w:pPr>
            <w:pStyle w:val="Contents6"/>
            <w:tabs>
              <w:tab w:val="clear" w:pos="7609"/>
              <w:tab w:val="right" w:pos="9026" w:leader="dot"/>
            </w:tabs>
            <w:rPr/>
          </w:pPr>
          <w:hyperlink w:anchor="__RefHeading___Toc4191659_2142443653">
            <w:r>
              <w:rPr>
                <w:webHidden/>
                <w:rStyle w:val="IndexLink"/>
                <w:rtl w:val="true"/>
              </w:rPr>
              <w:t>الرابع</w:t>
            </w:r>
            <w:r>
              <w:rPr>
                <w:rStyle w:val="IndexLink"/>
                <w:rtl w:val="true"/>
              </w:rPr>
              <w:t xml:space="preserve">: </w:t>
            </w:r>
            <w:r>
              <w:rPr>
                <w:rStyle w:val="IndexLink"/>
                <w:rtl w:val="true"/>
              </w:rPr>
              <w:t>الأخذ بالأقل عند فقد دليل على الأكثر</w:t>
            </w:r>
            <w:r>
              <w:rPr>
                <w:rStyle w:val="IndexLink"/>
                <w:rtl w:val="true"/>
              </w:rPr>
              <w:tab/>
            </w:r>
            <w:r>
              <w:rPr>
                <w:rStyle w:val="IndexLink"/>
              </w:rPr>
              <w:t>66</w:t>
            </w:r>
          </w:hyperlink>
        </w:p>
        <w:p>
          <w:pPr>
            <w:pStyle w:val="Contents6"/>
            <w:tabs>
              <w:tab w:val="clear" w:pos="7609"/>
              <w:tab w:val="right" w:pos="9026" w:leader="dot"/>
            </w:tabs>
            <w:rPr/>
          </w:pPr>
          <w:hyperlink w:anchor="__RefHeading___Toc4191661_2142443653">
            <w:r>
              <w:rPr>
                <w:webHidden/>
                <w:rStyle w:val="IndexLink"/>
                <w:rtl w:val="true"/>
              </w:rPr>
              <w:t>الخامس</w:t>
            </w:r>
            <w:r>
              <w:rPr>
                <w:rStyle w:val="IndexLink"/>
                <w:rtl w:val="true"/>
              </w:rPr>
              <w:t xml:space="preserve">: </w:t>
            </w:r>
            <w:r>
              <w:rPr>
                <w:rStyle w:val="IndexLink"/>
                <w:rtl w:val="true"/>
              </w:rPr>
              <w:t>أصالة بقاء ما كان</w:t>
            </w:r>
            <w:r>
              <w:rPr>
                <w:rStyle w:val="IndexLink"/>
                <w:rtl w:val="true"/>
              </w:rPr>
              <w:tab/>
            </w:r>
            <w:r>
              <w:rPr>
                <w:rStyle w:val="IndexLink"/>
              </w:rPr>
              <w:t>66</w:t>
            </w:r>
          </w:hyperlink>
        </w:p>
        <w:p>
          <w:pPr>
            <w:pStyle w:val="Contents5"/>
            <w:tabs>
              <w:tab w:val="clear" w:pos="7892"/>
              <w:tab w:val="right" w:pos="9026" w:leader="dot"/>
            </w:tabs>
            <w:rPr/>
          </w:pPr>
          <w:hyperlink w:anchor="__RefHeading___Toc4191663_2142443653">
            <w:r>
              <w:rPr>
                <w:webHidden/>
                <w:rStyle w:val="IndexLink"/>
                <w:rtl w:val="true"/>
              </w:rPr>
              <w:t>القسم الثاني</w:t>
            </w:r>
            <w:r>
              <w:rPr>
                <w:rStyle w:val="IndexLink"/>
                <w:rtl w:val="true"/>
              </w:rPr>
              <w:t xml:space="preserve">: </w:t>
            </w:r>
            <w:r>
              <w:rPr>
                <w:rStyle w:val="IndexLink"/>
                <w:rtl w:val="true"/>
              </w:rPr>
              <w:t>ما يتوقّف العقل فيه على الخطاب،</w:t>
            </w:r>
            <w:r>
              <w:rPr>
                <w:rStyle w:val="IndexLink"/>
                <w:rtl w:val="true"/>
              </w:rPr>
              <w:tab/>
            </w:r>
            <w:r>
              <w:rPr>
                <w:rStyle w:val="IndexLink"/>
              </w:rPr>
              <w:t>66</w:t>
            </w:r>
          </w:hyperlink>
        </w:p>
        <w:p>
          <w:pPr>
            <w:pStyle w:val="Contents6"/>
            <w:tabs>
              <w:tab w:val="clear" w:pos="7609"/>
              <w:tab w:val="right" w:pos="9026" w:leader="dot"/>
            </w:tabs>
            <w:rPr/>
          </w:pPr>
          <w:hyperlink w:anchor="__RefHeading___Toc4191665_2142443653">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4191667_2142443653">
            <w:r>
              <w:rPr>
                <w:webHidden/>
                <w:rStyle w:val="IndexLink"/>
                <w:rtl w:val="true"/>
              </w:rPr>
              <w:t>أوّلها</w:t>
            </w:r>
            <w:r>
              <w:rPr>
                <w:rStyle w:val="IndexLink"/>
                <w:rtl w:val="true"/>
              </w:rPr>
              <w:t xml:space="preserve">: </w:t>
            </w:r>
            <w:r>
              <w:rPr>
                <w:rStyle w:val="IndexLink"/>
                <w:rtl w:val="true"/>
              </w:rPr>
              <w:t>مقدمة الواجب المطلق،</w:t>
            </w:r>
            <w:r>
              <w:rPr>
                <w:rStyle w:val="IndexLink"/>
                <w:rtl w:val="true"/>
              </w:rPr>
              <w:tab/>
            </w:r>
            <w:r>
              <w:rPr>
                <w:rStyle w:val="IndexLink"/>
              </w:rPr>
              <w:t>66</w:t>
            </w:r>
          </w:hyperlink>
        </w:p>
        <w:p>
          <w:pPr>
            <w:pStyle w:val="Contents6"/>
            <w:tabs>
              <w:tab w:val="clear" w:pos="7609"/>
              <w:tab w:val="right" w:pos="9026" w:leader="dot"/>
            </w:tabs>
            <w:rPr/>
          </w:pPr>
          <w:hyperlink w:anchor="__RefHeading___Toc4191669_2142443653">
            <w:r>
              <w:rPr>
                <w:webHidden/>
                <w:rStyle w:val="IndexLink"/>
                <w:rtl w:val="true"/>
              </w:rPr>
              <w:t>و ثانيها</w:t>
            </w:r>
            <w:r>
              <w:rPr>
                <w:rStyle w:val="IndexLink"/>
                <w:rtl w:val="true"/>
              </w:rPr>
              <w:t xml:space="preserve">: </w:t>
            </w:r>
            <w:r>
              <w:rPr>
                <w:rStyle w:val="IndexLink"/>
                <w:rtl w:val="true"/>
              </w:rPr>
              <w:t>استلزام الأمر بالشيء النهي عن ضده،</w:t>
            </w:r>
            <w:r>
              <w:rPr>
                <w:rStyle w:val="IndexLink"/>
                <w:rtl w:val="true"/>
              </w:rPr>
              <w:tab/>
            </w:r>
            <w:r>
              <w:rPr>
                <w:rStyle w:val="IndexLink"/>
              </w:rPr>
              <w:t>66</w:t>
            </w:r>
          </w:hyperlink>
        </w:p>
        <w:p>
          <w:pPr>
            <w:pStyle w:val="Contents6"/>
            <w:tabs>
              <w:tab w:val="clear" w:pos="7609"/>
              <w:tab w:val="right" w:pos="9026" w:leader="dot"/>
            </w:tabs>
            <w:rPr/>
          </w:pPr>
          <w:hyperlink w:anchor="__RefHeading___Toc4191671_2142443653">
            <w:r>
              <w:rPr>
                <w:webHidden/>
                <w:rStyle w:val="IndexLink"/>
                <w:rtl w:val="true"/>
              </w:rPr>
              <w:t>و ثالثها</w:t>
            </w:r>
            <w:r>
              <w:rPr>
                <w:rStyle w:val="IndexLink"/>
                <w:rtl w:val="true"/>
              </w:rPr>
              <w:t xml:space="preserve">: </w:t>
            </w:r>
            <w:r>
              <w:rPr>
                <w:rStyle w:val="IndexLink"/>
                <w:rtl w:val="true"/>
              </w:rPr>
              <w:t>فحوى الخطاب،</w:t>
            </w:r>
            <w:r>
              <w:rPr>
                <w:rStyle w:val="IndexLink"/>
                <w:rtl w:val="true"/>
              </w:rPr>
              <w:tab/>
            </w:r>
            <w:r>
              <w:rPr>
                <w:rStyle w:val="IndexLink"/>
              </w:rPr>
              <w:t>66</w:t>
            </w:r>
          </w:hyperlink>
        </w:p>
        <w:p>
          <w:pPr>
            <w:pStyle w:val="Contents6"/>
            <w:tabs>
              <w:tab w:val="clear" w:pos="7609"/>
              <w:tab w:val="right" w:pos="9026" w:leader="dot"/>
            </w:tabs>
            <w:rPr/>
          </w:pPr>
          <w:hyperlink w:anchor="__RefHeading___Toc4191673_2142443653">
            <w:r>
              <w:rPr>
                <w:webHidden/>
                <w:rStyle w:val="IndexLink"/>
                <w:rtl w:val="true"/>
              </w:rPr>
              <w:t>و رابعها</w:t>
            </w:r>
            <w:r>
              <w:rPr>
                <w:rStyle w:val="IndexLink"/>
                <w:rtl w:val="true"/>
              </w:rPr>
              <w:t xml:space="preserve">: </w:t>
            </w:r>
            <w:r>
              <w:rPr>
                <w:rStyle w:val="IndexLink"/>
                <w:rtl w:val="true"/>
              </w:rPr>
              <w:t>لحن الخطاب،</w:t>
            </w:r>
            <w:r>
              <w:rPr>
                <w:rStyle w:val="IndexLink"/>
                <w:rtl w:val="true"/>
              </w:rPr>
              <w:tab/>
            </w:r>
            <w:r>
              <w:rPr>
                <w:rStyle w:val="IndexLink"/>
              </w:rPr>
              <w:t>66</w:t>
            </w:r>
          </w:hyperlink>
        </w:p>
        <w:p>
          <w:pPr>
            <w:pStyle w:val="Contents6"/>
            <w:tabs>
              <w:tab w:val="clear" w:pos="7609"/>
              <w:tab w:val="right" w:pos="9026" w:leader="dot"/>
            </w:tabs>
            <w:rPr/>
          </w:pPr>
          <w:hyperlink w:anchor="__RefHeading___Toc4191675_2142443653">
            <w:r>
              <w:rPr>
                <w:webHidden/>
                <w:rStyle w:val="IndexLink"/>
                <w:rtl w:val="true"/>
              </w:rPr>
              <w:t>و خامسها</w:t>
            </w:r>
            <w:r>
              <w:rPr>
                <w:rStyle w:val="IndexLink"/>
                <w:rtl w:val="true"/>
              </w:rPr>
              <w:t xml:space="preserve">: </w:t>
            </w:r>
            <w:r>
              <w:rPr>
                <w:rStyle w:val="IndexLink"/>
                <w:rtl w:val="true"/>
              </w:rPr>
              <w:t>دليل الخطاب،</w:t>
            </w:r>
            <w:r>
              <w:rPr>
                <w:rStyle w:val="IndexLink"/>
                <w:rtl w:val="true"/>
              </w:rPr>
              <w:tab/>
            </w:r>
            <w:r>
              <w:rPr>
                <w:rStyle w:val="IndexLink"/>
              </w:rPr>
              <w:t>66</w:t>
            </w:r>
          </w:hyperlink>
        </w:p>
        <w:p>
          <w:pPr>
            <w:pStyle w:val="Contents6"/>
            <w:tabs>
              <w:tab w:val="clear" w:pos="7609"/>
              <w:tab w:val="right" w:pos="9026" w:leader="dot"/>
            </w:tabs>
            <w:rPr/>
          </w:pPr>
          <w:hyperlink w:anchor="__RefHeading___Toc4191677_2142443653">
            <w:r>
              <w:rPr>
                <w:webHidden/>
                <w:rStyle w:val="IndexLink"/>
                <w:rtl w:val="true"/>
              </w:rPr>
              <w:t>و سادسها</w:t>
            </w:r>
            <w:r>
              <w:rPr>
                <w:rStyle w:val="IndexLink"/>
                <w:rtl w:val="true"/>
              </w:rPr>
              <w:t xml:space="preserve">: </w:t>
            </w:r>
            <w:r>
              <w:rPr>
                <w:rStyle w:val="IndexLink"/>
                <w:rtl w:val="true"/>
              </w:rPr>
              <w:t>ما قيل</w:t>
            </w:r>
            <w:r>
              <w:rPr>
                <w:rStyle w:val="IndexLink"/>
                <w:rtl w:val="true"/>
              </w:rPr>
              <w:t xml:space="preserve">: </w:t>
            </w:r>
            <w:r>
              <w:rPr>
                <w:rStyle w:val="IndexLink"/>
                <w:rtl w:val="true"/>
              </w:rPr>
              <w:t>ان الأصل في المنافع الإباحة و في المضار الحرمة،</w:t>
            </w:r>
            <w:r>
              <w:rPr>
                <w:rStyle w:val="IndexLink"/>
                <w:rtl w:val="true"/>
              </w:rPr>
              <w:tab/>
            </w:r>
            <w:r>
              <w:rPr>
                <w:rStyle w:val="IndexLink"/>
              </w:rPr>
              <w:t>67</w:t>
            </w:r>
          </w:hyperlink>
        </w:p>
        <w:p>
          <w:pPr>
            <w:pStyle w:val="Contents3"/>
            <w:tabs>
              <w:tab w:val="clear" w:pos="8459"/>
              <w:tab w:val="right" w:pos="9026" w:leader="dot"/>
            </w:tabs>
            <w:rPr/>
          </w:pPr>
          <w:hyperlink w:anchor="__RefHeading___Toc4191679_2142443653">
            <w:r>
              <w:rPr>
                <w:webHidden/>
                <w:rStyle w:val="IndexLink"/>
                <w:rtl w:val="true"/>
              </w:rPr>
              <w:t>الإشارة السابعة</w:t>
            </w:r>
            <w:r>
              <w:rPr>
                <w:rStyle w:val="IndexLink"/>
                <w:rtl w:val="true"/>
              </w:rPr>
              <w:t xml:space="preserve">: </w:t>
            </w:r>
            <w:r>
              <w:rPr>
                <w:rStyle w:val="IndexLink"/>
                <w:rtl w:val="true"/>
              </w:rPr>
              <w:t>يجب التمسّك بمذهب الإمامية لوجوه تسعة</w:t>
            </w:r>
            <w:r>
              <w:rPr>
                <w:rStyle w:val="IndexLink"/>
                <w:rtl w:val="true"/>
              </w:rPr>
              <w:t>:</w:t>
              <w:tab/>
            </w:r>
            <w:r>
              <w:rPr>
                <w:rStyle w:val="IndexLink"/>
              </w:rPr>
              <w:t>67</w:t>
            </w:r>
          </w:hyperlink>
        </w:p>
        <w:p>
          <w:pPr>
            <w:pStyle w:val="Contents4"/>
            <w:tabs>
              <w:tab w:val="clear" w:pos="8176"/>
              <w:tab w:val="right" w:pos="9026" w:leader="dot"/>
            </w:tabs>
            <w:rPr/>
          </w:pPr>
          <w:hyperlink w:anchor="__RefHeading___Toc4191681_2142443653">
            <w:r>
              <w:rPr>
                <w:webHidden/>
                <w:rStyle w:val="IndexLink"/>
                <w:rtl w:val="true"/>
              </w:rPr>
              <w:t>الأول</w:t>
            </w:r>
            <w:r>
              <w:rPr>
                <w:rStyle w:val="IndexLink"/>
                <w:rtl w:val="true"/>
              </w:rPr>
              <w:t xml:space="preserve">: </w:t>
            </w:r>
            <w:r>
              <w:rPr>
                <w:rStyle w:val="IndexLink"/>
                <w:rtl w:val="true"/>
              </w:rPr>
              <w:t>قد تقرّر في الكلام عصمة الإمام،</w:t>
            </w:r>
            <w:r>
              <w:rPr>
                <w:rStyle w:val="IndexLink"/>
                <w:rtl w:val="true"/>
              </w:rPr>
              <w:tab/>
            </w:r>
            <w:r>
              <w:rPr>
                <w:rStyle w:val="IndexLink"/>
              </w:rPr>
              <w:t>67</w:t>
            </w:r>
          </w:hyperlink>
        </w:p>
        <w:p>
          <w:pPr>
            <w:pStyle w:val="Contents4"/>
            <w:tabs>
              <w:tab w:val="clear" w:pos="8176"/>
              <w:tab w:val="right" w:pos="9026" w:leader="dot"/>
            </w:tabs>
            <w:rPr/>
          </w:pPr>
          <w:hyperlink w:anchor="__RefHeading___Toc4191683_2142443653">
            <w:r>
              <w:rPr>
                <w:webHidden/>
                <w:rStyle w:val="IndexLink"/>
                <w:rtl w:val="true"/>
              </w:rPr>
              <w:t>الثاني</w:t>
            </w:r>
            <w:r>
              <w:rPr>
                <w:rStyle w:val="IndexLink"/>
                <w:rtl w:val="true"/>
              </w:rPr>
              <w:t xml:space="preserve">: </w:t>
            </w:r>
            <w:r>
              <w:rPr>
                <w:rStyle w:val="IndexLink"/>
                <w:rtl w:val="true"/>
              </w:rPr>
              <w:t>قوله تعالى يا أَيُّهَا اَلَّذِينَ آمَنُوا اِتَّقُوا اَللّهَ وَ كُونُوا مَعَ اَلصّادِقِينَ</w:t>
            </w:r>
            <w:r>
              <w:rPr>
                <w:rStyle w:val="IndexLink"/>
                <w:rtl w:val="true"/>
              </w:rPr>
              <w:tab/>
            </w:r>
            <w:r>
              <w:rPr>
                <w:rStyle w:val="IndexLink"/>
              </w:rPr>
              <w:t>67</w:t>
            </w:r>
          </w:hyperlink>
        </w:p>
        <w:p>
          <w:pPr>
            <w:pStyle w:val="Contents4"/>
            <w:tabs>
              <w:tab w:val="clear" w:pos="8176"/>
              <w:tab w:val="right" w:pos="9026" w:leader="dot"/>
            </w:tabs>
            <w:rPr/>
          </w:pPr>
          <w:hyperlink w:anchor="__RefHeading___Toc4191685_2142443653">
            <w:r>
              <w:rPr>
                <w:webHidden/>
                <w:rStyle w:val="IndexLink"/>
                <w:rtl w:val="true"/>
              </w:rPr>
              <w:t>الثالث آية التطهير</w:t>
            </w:r>
            <w:r>
              <w:rPr>
                <w:rStyle w:val="IndexLink"/>
                <w:rtl w:val="true"/>
              </w:rPr>
              <w:tab/>
            </w:r>
            <w:r>
              <w:rPr>
                <w:rStyle w:val="IndexLink"/>
              </w:rPr>
              <w:t>67</w:t>
            </w:r>
          </w:hyperlink>
        </w:p>
        <w:p>
          <w:pPr>
            <w:pStyle w:val="Contents4"/>
            <w:tabs>
              <w:tab w:val="clear" w:pos="8176"/>
              <w:tab w:val="right" w:pos="9026" w:leader="dot"/>
            </w:tabs>
            <w:rPr/>
          </w:pPr>
          <w:hyperlink w:anchor="__RefHeading___Toc4191687_2142443653">
            <w:r>
              <w:rPr>
                <w:webHidden/>
                <w:rStyle w:val="IndexLink"/>
                <w:rtl w:val="true"/>
              </w:rPr>
              <w:t>الرابع آية المباهلة</w:t>
            </w:r>
            <w:r>
              <w:rPr>
                <w:rStyle w:val="IndexLink"/>
                <w:rtl w:val="true"/>
              </w:rPr>
              <w:tab/>
            </w:r>
            <w:r>
              <w:rPr>
                <w:rStyle w:val="IndexLink"/>
              </w:rPr>
              <w:t>69</w:t>
            </w:r>
          </w:hyperlink>
        </w:p>
        <w:p>
          <w:pPr>
            <w:pStyle w:val="Contents4"/>
            <w:tabs>
              <w:tab w:val="clear" w:pos="8176"/>
              <w:tab w:val="right" w:pos="9026" w:leader="dot"/>
            </w:tabs>
            <w:rPr/>
          </w:pPr>
          <w:hyperlink w:anchor="__RefHeading___Toc4191689_2142443653">
            <w:r>
              <w:rPr>
                <w:webHidden/>
                <w:rStyle w:val="IndexLink"/>
                <w:rtl w:val="true"/>
              </w:rPr>
              <w:t>الخامس</w:t>
            </w:r>
            <w:r>
              <w:rPr>
                <w:rStyle w:val="IndexLink"/>
                <w:rtl w:val="true"/>
              </w:rPr>
              <w:t xml:space="preserve">: </w:t>
            </w:r>
            <w:r>
              <w:rPr>
                <w:rStyle w:val="IndexLink"/>
                <w:rtl w:val="true"/>
              </w:rPr>
              <w:t>روى الحاكم في المستدرك</w:t>
            </w:r>
            <w:r>
              <w:rPr>
                <w:rStyle w:val="IndexLink"/>
                <w:rtl w:val="true"/>
              </w:rPr>
              <w:tab/>
            </w:r>
            <w:r>
              <w:rPr>
                <w:rStyle w:val="IndexLink"/>
              </w:rPr>
              <w:t>69</w:t>
            </w:r>
          </w:hyperlink>
        </w:p>
        <w:p>
          <w:pPr>
            <w:pStyle w:val="Contents4"/>
            <w:tabs>
              <w:tab w:val="clear" w:pos="8176"/>
              <w:tab w:val="right" w:pos="9026" w:leader="dot"/>
            </w:tabs>
            <w:rPr/>
          </w:pPr>
          <w:hyperlink w:anchor="__RefHeading___Toc4191691_2142443653">
            <w:r>
              <w:rPr>
                <w:webHidden/>
                <w:rStyle w:val="IndexLink"/>
                <w:rtl w:val="true"/>
              </w:rPr>
              <w:t>السادس</w:t>
            </w:r>
            <w:r>
              <w:rPr>
                <w:rStyle w:val="IndexLink"/>
                <w:rtl w:val="true"/>
              </w:rPr>
              <w:t xml:space="preserve">: </w:t>
            </w:r>
            <w:r>
              <w:rPr>
                <w:rStyle w:val="IndexLink"/>
                <w:rtl w:val="true"/>
              </w:rPr>
              <w:t>ان النبي صلّى اللّه عليه و آله قرنهم بالكتاب العزيز</w:t>
            </w:r>
            <w:r>
              <w:rPr>
                <w:rStyle w:val="IndexLink"/>
                <w:rtl w:val="true"/>
              </w:rPr>
              <w:tab/>
            </w:r>
            <w:r>
              <w:rPr>
                <w:rStyle w:val="IndexLink"/>
              </w:rPr>
              <w:t>70</w:t>
            </w:r>
          </w:hyperlink>
        </w:p>
        <w:p>
          <w:pPr>
            <w:pStyle w:val="Contents4"/>
            <w:tabs>
              <w:tab w:val="clear" w:pos="8176"/>
              <w:tab w:val="right" w:pos="9026" w:leader="dot"/>
            </w:tabs>
            <w:rPr/>
          </w:pPr>
          <w:hyperlink w:anchor="__RefHeading___Toc4191693_2142443653">
            <w:r>
              <w:rPr>
                <w:webHidden/>
                <w:rStyle w:val="IndexLink"/>
                <w:rtl w:val="true"/>
              </w:rPr>
              <w:t>السابع</w:t>
            </w:r>
            <w:r>
              <w:rPr>
                <w:rStyle w:val="IndexLink"/>
                <w:rtl w:val="true"/>
              </w:rPr>
              <w:t xml:space="preserve">: </w:t>
            </w:r>
            <w:r>
              <w:rPr>
                <w:rStyle w:val="IndexLink"/>
                <w:rtl w:val="true"/>
              </w:rPr>
              <w:t>روى الحاكم في المستدرك</w:t>
            </w:r>
            <w:r>
              <w:rPr>
                <w:rStyle w:val="IndexLink"/>
                <w:rtl w:val="true"/>
              </w:rPr>
              <w:tab/>
            </w:r>
            <w:r>
              <w:rPr>
                <w:rStyle w:val="IndexLink"/>
              </w:rPr>
              <w:t>71</w:t>
            </w:r>
          </w:hyperlink>
        </w:p>
        <w:p>
          <w:pPr>
            <w:pStyle w:val="Contents4"/>
            <w:tabs>
              <w:tab w:val="clear" w:pos="8176"/>
              <w:tab w:val="right" w:pos="9026" w:leader="dot"/>
            </w:tabs>
            <w:rPr/>
          </w:pPr>
          <w:hyperlink w:anchor="__RefHeading___Toc4191695_2142443653">
            <w:r>
              <w:rPr>
                <w:webHidden/>
                <w:rStyle w:val="IndexLink"/>
                <w:rtl w:val="true"/>
              </w:rPr>
              <w:t>الثامن</w:t>
            </w:r>
            <w:r>
              <w:rPr>
                <w:rStyle w:val="IndexLink"/>
                <w:rtl w:val="true"/>
              </w:rPr>
              <w:t xml:space="preserve">: </w:t>
            </w:r>
            <w:r>
              <w:rPr>
                <w:rStyle w:val="IndexLink"/>
                <w:rtl w:val="true"/>
              </w:rPr>
              <w:t>ما روته الإمامية في ذلك،</w:t>
            </w:r>
            <w:r>
              <w:rPr>
                <w:rStyle w:val="IndexLink"/>
                <w:rtl w:val="true"/>
              </w:rPr>
              <w:tab/>
            </w:r>
            <w:r>
              <w:rPr>
                <w:rStyle w:val="IndexLink"/>
              </w:rPr>
              <w:t>71</w:t>
            </w:r>
          </w:hyperlink>
        </w:p>
        <w:p>
          <w:pPr>
            <w:pStyle w:val="Contents4"/>
            <w:tabs>
              <w:tab w:val="clear" w:pos="8176"/>
              <w:tab w:val="right" w:pos="9026" w:leader="dot"/>
            </w:tabs>
            <w:rPr/>
          </w:pPr>
          <w:hyperlink w:anchor="__RefHeading___Toc4191697_2142443653">
            <w:r>
              <w:rPr>
                <w:webHidden/>
                <w:rStyle w:val="IndexLink"/>
                <w:rtl w:val="true"/>
              </w:rPr>
              <w:t>التاسع</w:t>
            </w:r>
            <w:r>
              <w:rPr>
                <w:rStyle w:val="IndexLink"/>
                <w:rtl w:val="true"/>
              </w:rPr>
              <w:t xml:space="preserve">: </w:t>
            </w:r>
            <w:r>
              <w:rPr>
                <w:rStyle w:val="IndexLink"/>
                <w:rtl w:val="true"/>
              </w:rPr>
              <w:t>اتّفاق الأمة على طهارتهم،</w:t>
            </w:r>
            <w:r>
              <w:rPr>
                <w:rStyle w:val="IndexLink"/>
                <w:rtl w:val="true"/>
              </w:rPr>
              <w:tab/>
            </w:r>
            <w:r>
              <w:rPr>
                <w:rStyle w:val="IndexLink"/>
              </w:rPr>
              <w:t>71</w:t>
            </w:r>
          </w:hyperlink>
        </w:p>
        <w:p>
          <w:pPr>
            <w:pStyle w:val="Contents2"/>
            <w:tabs>
              <w:tab w:val="clear" w:pos="8743"/>
              <w:tab w:val="right" w:pos="9026" w:leader="dot"/>
            </w:tabs>
            <w:rPr/>
          </w:pPr>
          <w:hyperlink w:anchor="__RefHeading___Toc4191699_2142443653">
            <w:r>
              <w:rPr>
                <w:webHidden/>
                <w:rStyle w:val="IndexLink"/>
                <w:rtl w:val="true"/>
              </w:rPr>
              <w:t>الأقطاب الأربعة</w:t>
            </w:r>
            <w:r>
              <w:rPr>
                <w:rStyle w:val="IndexLink"/>
                <w:rtl w:val="true"/>
              </w:rPr>
              <w:tab/>
            </w:r>
            <w:r>
              <w:rPr>
                <w:rStyle w:val="IndexLink"/>
              </w:rPr>
              <w:t>74</w:t>
            </w:r>
          </w:hyperlink>
        </w:p>
        <w:p>
          <w:pPr>
            <w:pStyle w:val="Contents3"/>
            <w:tabs>
              <w:tab w:val="clear" w:pos="8459"/>
              <w:tab w:val="right" w:pos="9026" w:leader="dot"/>
            </w:tabs>
            <w:rPr/>
          </w:pPr>
          <w:hyperlink w:anchor="__RefHeading___Toc4191701_2142443653">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4191703_2142443653">
            <w:r>
              <w:rPr>
                <w:webHidden/>
                <w:rStyle w:val="IndexLink"/>
                <w:rtl w:val="true"/>
              </w:rPr>
              <w:t>القطب الأول في العبادات</w:t>
            </w:r>
            <w:r>
              <w:rPr>
                <w:rStyle w:val="IndexLink"/>
                <w:rtl w:val="true"/>
              </w:rPr>
              <w:t>:</w:t>
              <w:tab/>
            </w:r>
            <w:r>
              <w:rPr>
                <w:rStyle w:val="IndexLink"/>
              </w:rPr>
              <w:t>78</w:t>
            </w:r>
          </w:hyperlink>
        </w:p>
        <w:p>
          <w:pPr>
            <w:pStyle w:val="Contents4"/>
            <w:tabs>
              <w:tab w:val="clear" w:pos="8176"/>
              <w:tab w:val="right" w:pos="9026" w:leader="dot"/>
            </w:tabs>
            <w:rPr/>
          </w:pPr>
          <w:hyperlink w:anchor="__RefHeading___Toc4191705_2142443653">
            <w:r>
              <w:rPr>
                <w:webHidden/>
                <w:rStyle w:val="IndexLink"/>
                <w:rtl w:val="true"/>
              </w:rPr>
              <w:t>كتاب الصلاة</w:t>
            </w:r>
            <w:r>
              <w:rPr>
                <w:rStyle w:val="IndexLink"/>
                <w:rtl w:val="true"/>
              </w:rPr>
              <w:t>:</w:t>
              <w:tab/>
            </w:r>
            <w:r>
              <w:rPr>
                <w:rStyle w:val="IndexLink"/>
              </w:rPr>
              <w:t>78</w:t>
            </w:r>
          </w:hyperlink>
        </w:p>
        <w:p>
          <w:pPr>
            <w:pStyle w:val="Contents5"/>
            <w:tabs>
              <w:tab w:val="clear" w:pos="7892"/>
              <w:tab w:val="right" w:pos="9026" w:leader="dot"/>
            </w:tabs>
            <w:rPr/>
          </w:pPr>
          <w:hyperlink w:anchor="__RefHeading___Toc4191707_2142443653">
            <w:r>
              <w:rPr>
                <w:webHidden/>
                <w:rStyle w:val="IndexLink"/>
                <w:rtl w:val="true"/>
              </w:rPr>
              <w:t>تعريف الصلاة لغة و شرعا</w:t>
            </w:r>
            <w:r>
              <w:rPr>
                <w:rStyle w:val="IndexLink"/>
                <w:rtl w:val="true"/>
              </w:rPr>
              <w:tab/>
            </w:r>
            <w:r>
              <w:rPr>
                <w:rStyle w:val="IndexLink"/>
              </w:rPr>
              <w:t>78</w:t>
            </w:r>
          </w:hyperlink>
        </w:p>
        <w:p>
          <w:pPr>
            <w:pStyle w:val="Contents5"/>
            <w:tabs>
              <w:tab w:val="clear" w:pos="7892"/>
              <w:tab w:val="right" w:pos="9026" w:leader="dot"/>
            </w:tabs>
            <w:rPr/>
          </w:pPr>
          <w:hyperlink w:anchor="__RefHeading___Toc4191709_2142443653">
            <w:r>
              <w:rPr>
                <w:webHidden/>
                <w:rStyle w:val="IndexLink"/>
                <w:rtl w:val="true"/>
              </w:rPr>
              <w:t>و شروط الصلاة ستة في ستة أبواب</w:t>
            </w:r>
            <w:r>
              <w:rPr>
                <w:rStyle w:val="IndexLink"/>
                <w:rtl w:val="true"/>
              </w:rPr>
              <w:t>:</w:t>
              <w:tab/>
            </w:r>
            <w:r>
              <w:rPr>
                <w:rStyle w:val="IndexLink"/>
              </w:rPr>
              <w:t>82</w:t>
            </w:r>
          </w:hyperlink>
        </w:p>
        <w:p>
          <w:pPr>
            <w:pStyle w:val="Contents6"/>
            <w:tabs>
              <w:tab w:val="clear" w:pos="7609"/>
              <w:tab w:val="right" w:pos="9026" w:leader="dot"/>
            </w:tabs>
            <w:rPr/>
          </w:pPr>
          <w:hyperlink w:anchor="__RefHeading___Toc4191711_2142443653">
            <w:r>
              <w:rPr>
                <w:webHidden/>
                <w:rStyle w:val="IndexLink"/>
                <w:rtl w:val="true"/>
              </w:rPr>
              <w:t>الباب الأول</w:t>
            </w:r>
            <w:r>
              <w:rPr>
                <w:rStyle w:val="IndexLink"/>
                <w:rtl w:val="true"/>
              </w:rPr>
              <w:t xml:space="preserve">: </w:t>
            </w:r>
            <w:r>
              <w:rPr>
                <w:rStyle w:val="IndexLink"/>
                <w:rtl w:val="true"/>
              </w:rPr>
              <w:t>الطهارة</w:t>
            </w:r>
            <w:r>
              <w:rPr>
                <w:rStyle w:val="IndexLink"/>
                <w:rtl w:val="true"/>
              </w:rPr>
              <w:t>:</w:t>
              <w:tab/>
            </w:r>
            <w:r>
              <w:rPr>
                <w:rStyle w:val="IndexLink"/>
              </w:rPr>
              <w:t>82</w:t>
            </w:r>
          </w:hyperlink>
        </w:p>
        <w:p>
          <w:pPr>
            <w:pStyle w:val="Contents6"/>
            <w:tabs>
              <w:tab w:val="clear" w:pos="7609"/>
              <w:tab w:val="right" w:pos="9026" w:leader="dot"/>
            </w:tabs>
            <w:rPr/>
          </w:pPr>
          <w:hyperlink w:anchor="__RefHeading___Toc4191713_2142443653">
            <w:r>
              <w:rPr>
                <w:webHidden/>
                <w:rStyle w:val="IndexLink"/>
                <w:rtl w:val="true"/>
              </w:rPr>
              <w:t>تعريف الطهارة لغة و شرعا</w:t>
            </w:r>
            <w:r>
              <w:rPr>
                <w:rStyle w:val="IndexLink"/>
                <w:rtl w:val="true"/>
              </w:rPr>
              <w:tab/>
            </w:r>
            <w:r>
              <w:rPr>
                <w:rStyle w:val="IndexLink"/>
              </w:rPr>
              <w:t>82</w:t>
            </w:r>
          </w:hyperlink>
        </w:p>
        <w:p>
          <w:pPr>
            <w:pStyle w:val="Contents6"/>
            <w:tabs>
              <w:tab w:val="clear" w:pos="7609"/>
              <w:tab w:val="right" w:pos="9026" w:leader="dot"/>
            </w:tabs>
            <w:rPr/>
          </w:pPr>
          <w:hyperlink w:anchor="__RefHeading___Toc4191715_2142443653">
            <w:r>
              <w:rPr>
                <w:webHidden/>
                <w:rStyle w:val="IndexLink"/>
                <w:rtl w:val="true"/>
              </w:rPr>
              <w:t>الفصل الأول</w:t>
            </w:r>
            <w:r>
              <w:rPr>
                <w:rStyle w:val="IndexLink"/>
                <w:rtl w:val="true"/>
              </w:rPr>
              <w:t xml:space="preserve">: </w:t>
            </w:r>
            <w:r>
              <w:rPr>
                <w:rStyle w:val="IndexLink"/>
                <w:rtl w:val="true"/>
              </w:rPr>
              <w:t>في المستعمل الاختياري</w:t>
            </w:r>
            <w:r>
              <w:rPr>
                <w:rStyle w:val="IndexLink"/>
                <w:rtl w:val="true"/>
              </w:rPr>
              <w:t>:</w:t>
              <w:tab/>
            </w:r>
            <w:r>
              <w:rPr>
                <w:rStyle w:val="IndexLink"/>
              </w:rPr>
              <w:t>84</w:t>
            </w:r>
          </w:hyperlink>
        </w:p>
        <w:p>
          <w:pPr>
            <w:pStyle w:val="Contents6"/>
            <w:tabs>
              <w:tab w:val="clear" w:pos="7609"/>
              <w:tab w:val="right" w:pos="9026" w:leader="dot"/>
            </w:tabs>
            <w:rPr/>
          </w:pPr>
          <w:hyperlink w:anchor="__RefHeading___Toc4191717_2142443653">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4191719_2142443653">
            <w:r>
              <w:rPr>
                <w:webHidden/>
                <w:rStyle w:val="IndexLink"/>
                <w:rtl w:val="true"/>
              </w:rPr>
              <w:t>العارض الأول</w:t>
            </w:r>
            <w:r>
              <w:rPr>
                <w:rStyle w:val="IndexLink"/>
                <w:rtl w:val="true"/>
              </w:rPr>
              <w:t xml:space="preserve">: </w:t>
            </w:r>
            <w:r>
              <w:rPr>
                <w:rStyle w:val="IndexLink"/>
                <w:rtl w:val="true"/>
              </w:rPr>
              <w:t>زوال الاسم بحيث يلزم الإضافة،</w:t>
            </w:r>
            <w:r>
              <w:rPr>
                <w:rStyle w:val="IndexLink"/>
                <w:rtl w:val="true"/>
              </w:rPr>
              <w:tab/>
            </w:r>
            <w:r>
              <w:rPr>
                <w:rStyle w:val="IndexLink"/>
              </w:rPr>
              <w:t>84</w:t>
            </w:r>
          </w:hyperlink>
        </w:p>
        <w:p>
          <w:pPr>
            <w:pStyle w:val="Contents6"/>
            <w:tabs>
              <w:tab w:val="clear" w:pos="7609"/>
              <w:tab w:val="right" w:pos="9026" w:leader="dot"/>
            </w:tabs>
            <w:rPr/>
          </w:pPr>
          <w:hyperlink w:anchor="__RefHeading___Toc4191721_2142443653">
            <w:r>
              <w:rPr>
                <w:webHidden/>
                <w:rStyle w:val="IndexLink"/>
                <w:rtl w:val="true"/>
              </w:rPr>
              <w:t>العارض الثاني</w:t>
            </w:r>
            <w:r>
              <w:rPr>
                <w:rStyle w:val="IndexLink"/>
                <w:rtl w:val="true"/>
              </w:rPr>
              <w:t xml:space="preserve">: </w:t>
            </w:r>
            <w:r>
              <w:rPr>
                <w:rStyle w:val="IndexLink"/>
                <w:rtl w:val="true"/>
              </w:rPr>
              <w:t>زوال أحد أوصافه مع بقاء اسمه،</w:t>
            </w:r>
            <w:r>
              <w:rPr>
                <w:rStyle w:val="IndexLink"/>
                <w:rtl w:val="true"/>
              </w:rPr>
              <w:tab/>
            </w:r>
            <w:r>
              <w:rPr>
                <w:rStyle w:val="IndexLink"/>
              </w:rPr>
              <w:t>88</w:t>
            </w:r>
          </w:hyperlink>
        </w:p>
        <w:p>
          <w:pPr>
            <w:pStyle w:val="Contents6"/>
            <w:tabs>
              <w:tab w:val="clear" w:pos="7609"/>
              <w:tab w:val="right" w:pos="9026" w:leader="dot"/>
            </w:tabs>
            <w:rPr/>
          </w:pPr>
          <w:hyperlink w:anchor="__RefHeading___Toc4191723_2142443653">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4191725_2142443653">
            <w:r>
              <w:rPr>
                <w:webHidden/>
                <w:rStyle w:val="IndexLink"/>
                <w:rtl w:val="true"/>
              </w:rPr>
              <w:t>مسائل</w:t>
            </w:r>
            <w:r>
              <w:rPr>
                <w:rStyle w:val="IndexLink"/>
                <w:rtl w:val="true"/>
              </w:rPr>
              <w:t>:</w:t>
              <w:tab/>
            </w:r>
            <w:r>
              <w:rPr>
                <w:rStyle w:val="IndexLink"/>
              </w:rPr>
              <w:t>92</w:t>
            </w:r>
          </w:hyperlink>
        </w:p>
        <w:p>
          <w:pPr>
            <w:pStyle w:val="Contents6"/>
            <w:tabs>
              <w:tab w:val="clear" w:pos="7609"/>
              <w:tab w:val="right" w:pos="9026" w:leader="dot"/>
            </w:tabs>
            <w:rPr/>
          </w:pPr>
          <w:hyperlink w:anchor="__RefHeading___Toc4191727_2142443653">
            <w:r>
              <w:rPr>
                <w:webHidden/>
                <w:rStyle w:val="IndexLink"/>
                <w:rtl w:val="true"/>
              </w:rPr>
              <w:t>الاولى</w:t>
            </w:r>
            <w:r>
              <w:rPr>
                <w:rStyle w:val="IndexLink"/>
                <w:rtl w:val="true"/>
              </w:rPr>
              <w:t xml:space="preserve">: </w:t>
            </w:r>
            <w:r>
              <w:rPr>
                <w:rStyle w:val="IndexLink"/>
                <w:rtl w:val="true"/>
              </w:rPr>
              <w:t>لا ينجس الجاري بالملاقاة إجماعا،</w:t>
            </w:r>
            <w:r>
              <w:rPr>
                <w:rStyle w:val="IndexLink"/>
                <w:rtl w:val="true"/>
              </w:rPr>
              <w:tab/>
            </w:r>
            <w:r>
              <w:rPr>
                <w:rStyle w:val="IndexLink"/>
              </w:rPr>
              <w:t>92</w:t>
            </w:r>
          </w:hyperlink>
        </w:p>
        <w:p>
          <w:pPr>
            <w:pStyle w:val="Contents6"/>
            <w:tabs>
              <w:tab w:val="clear" w:pos="7609"/>
              <w:tab w:val="right" w:pos="9026" w:leader="dot"/>
            </w:tabs>
            <w:rPr/>
          </w:pPr>
          <w:hyperlink w:anchor="__RefHeading___Toc4191729_2142443653">
            <w:r>
              <w:rPr>
                <w:webHidden/>
                <w:rStyle w:val="IndexLink"/>
                <w:rtl w:val="true"/>
              </w:rPr>
              <w:t>الثانية</w:t>
            </w:r>
            <w:r>
              <w:rPr>
                <w:rStyle w:val="IndexLink"/>
                <w:rtl w:val="true"/>
              </w:rPr>
              <w:t xml:space="preserve">: </w:t>
            </w:r>
            <w:r>
              <w:rPr>
                <w:rStyle w:val="IndexLink"/>
                <w:rtl w:val="true"/>
              </w:rPr>
              <w:t>لا ينجس الكثير بالملاقاة،</w:t>
            </w:r>
            <w:r>
              <w:rPr>
                <w:rStyle w:val="IndexLink"/>
                <w:rtl w:val="true"/>
              </w:rPr>
              <w:tab/>
            </w:r>
            <w:r>
              <w:rPr>
                <w:rStyle w:val="IndexLink"/>
              </w:rPr>
              <w:t>93</w:t>
            </w:r>
          </w:hyperlink>
        </w:p>
        <w:p>
          <w:pPr>
            <w:pStyle w:val="Contents6"/>
            <w:tabs>
              <w:tab w:val="clear" w:pos="7609"/>
              <w:tab w:val="right" w:pos="9026" w:leader="dot"/>
            </w:tabs>
            <w:rPr/>
          </w:pPr>
          <w:hyperlink w:anchor="__RefHeading___Toc4191731_2142443653">
            <w:r>
              <w:rPr>
                <w:webHidden/>
                <w:rStyle w:val="IndexLink"/>
                <w:rtl w:val="true"/>
              </w:rPr>
              <w:t>الثالثة</w:t>
            </w:r>
            <w:r>
              <w:rPr>
                <w:rStyle w:val="IndexLink"/>
                <w:rtl w:val="true"/>
              </w:rPr>
              <w:t xml:space="preserve">: </w:t>
            </w:r>
            <w:r>
              <w:rPr>
                <w:rStyle w:val="IndexLink"/>
                <w:rtl w:val="true"/>
              </w:rPr>
              <w:t>ينجس قليل الواقف بالملاقاة في الأشهر،</w:t>
            </w:r>
            <w:r>
              <w:rPr>
                <w:rStyle w:val="IndexLink"/>
                <w:rtl w:val="true"/>
              </w:rPr>
              <w:tab/>
            </w:r>
            <w:r>
              <w:rPr>
                <w:rStyle w:val="IndexLink"/>
              </w:rPr>
              <w:t>94</w:t>
            </w:r>
          </w:hyperlink>
        </w:p>
        <w:p>
          <w:pPr>
            <w:pStyle w:val="Contents6"/>
            <w:tabs>
              <w:tab w:val="clear" w:pos="7609"/>
              <w:tab w:val="right" w:pos="9026" w:leader="dot"/>
            </w:tabs>
            <w:rPr/>
          </w:pPr>
          <w:hyperlink w:anchor="__RefHeading___Toc4191733_2142443653">
            <w:r>
              <w:rPr>
                <w:webHidden/>
                <w:rStyle w:val="IndexLink"/>
                <w:rtl w:val="true"/>
              </w:rPr>
              <w:t>العارض الثالث</w:t>
            </w:r>
            <w:r>
              <w:rPr>
                <w:rStyle w:val="IndexLink"/>
                <w:rtl w:val="true"/>
              </w:rPr>
              <w:t xml:space="preserve">: </w:t>
            </w:r>
            <w:r>
              <w:rPr>
                <w:rStyle w:val="IndexLink"/>
                <w:rtl w:val="true"/>
              </w:rPr>
              <w:t>كونه ماء بئر</w:t>
            </w:r>
            <w:r>
              <w:rPr>
                <w:rStyle w:val="IndexLink"/>
                <w:rtl w:val="true"/>
              </w:rPr>
              <w:t>.</w:t>
              <w:tab/>
            </w:r>
            <w:r>
              <w:rPr>
                <w:rStyle w:val="IndexLink"/>
              </w:rPr>
              <w:t>100</w:t>
            </w:r>
          </w:hyperlink>
        </w:p>
        <w:p>
          <w:pPr>
            <w:pStyle w:val="Contents6"/>
            <w:tabs>
              <w:tab w:val="clear" w:pos="7609"/>
              <w:tab w:val="right" w:pos="9026" w:leader="dot"/>
            </w:tabs>
            <w:rPr/>
          </w:pPr>
          <w:hyperlink w:anchor="__RefHeading___Toc4191735_2142443653">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4191737_2142443653">
            <w:r>
              <w:rPr>
                <w:webHidden/>
                <w:rStyle w:val="IndexLink"/>
                <w:rtl w:val="true"/>
              </w:rPr>
              <w:t>فروع</w:t>
            </w:r>
            <w:r>
              <w:rPr>
                <w:rStyle w:val="IndexLink"/>
                <w:rtl w:val="true"/>
              </w:rPr>
              <w:t>:</w:t>
              <w:tab/>
            </w:r>
            <w:r>
              <w:rPr>
                <w:rStyle w:val="IndexLink"/>
              </w:rPr>
              <w:t>102</w:t>
            </w:r>
          </w:hyperlink>
        </w:p>
        <w:p>
          <w:pPr>
            <w:pStyle w:val="Contents6"/>
            <w:tabs>
              <w:tab w:val="clear" w:pos="7609"/>
              <w:tab w:val="right" w:pos="9026" w:leader="dot"/>
            </w:tabs>
            <w:rPr/>
          </w:pPr>
          <w:hyperlink w:anchor="__RefHeading___Toc4191739_2142443653">
            <w:r>
              <w:rPr>
                <w:webHidden/>
                <w:rStyle w:val="IndexLink"/>
                <w:rtl w:val="true"/>
              </w:rPr>
              <w:t>الأول</w:t>
            </w:r>
            <w:r>
              <w:rPr>
                <w:rStyle w:val="IndexLink"/>
                <w:rtl w:val="true"/>
              </w:rPr>
              <w:t xml:space="preserve">: </w:t>
            </w:r>
            <w:r>
              <w:rPr>
                <w:rStyle w:val="IndexLink"/>
                <w:rtl w:val="true"/>
              </w:rPr>
              <w:t>لو زال تغيرها بنفسها أو بعلاج لم تطهر،</w:t>
            </w:r>
            <w:r>
              <w:rPr>
                <w:rStyle w:val="IndexLink"/>
                <w:rtl w:val="true"/>
              </w:rPr>
              <w:tab/>
            </w:r>
            <w:r>
              <w:rPr>
                <w:rStyle w:val="IndexLink"/>
              </w:rPr>
              <w:t>102</w:t>
            </w:r>
          </w:hyperlink>
        </w:p>
        <w:p>
          <w:pPr>
            <w:pStyle w:val="Contents6"/>
            <w:tabs>
              <w:tab w:val="clear" w:pos="7609"/>
              <w:tab w:val="right" w:pos="9026" w:leader="dot"/>
            </w:tabs>
            <w:rPr/>
          </w:pPr>
          <w:hyperlink w:anchor="__RefHeading___Toc4191741_2142443653">
            <w:r>
              <w:rPr>
                <w:webHidden/>
                <w:rStyle w:val="IndexLink"/>
                <w:rtl w:val="true"/>
              </w:rPr>
              <w:t>الثاني</w:t>
            </w:r>
            <w:r>
              <w:rPr>
                <w:rStyle w:val="IndexLink"/>
                <w:rtl w:val="true"/>
              </w:rPr>
              <w:t xml:space="preserve">: </w:t>
            </w:r>
            <w:r>
              <w:rPr>
                <w:rStyle w:val="IndexLink"/>
                <w:rtl w:val="true"/>
              </w:rPr>
              <w:t>لو أجريت، فالظاهر انها بحكم الجاري</w:t>
            </w:r>
            <w:r>
              <w:rPr>
                <w:rStyle w:val="IndexLink"/>
                <w:rtl w:val="true"/>
              </w:rPr>
              <w:tab/>
            </w:r>
            <w:r>
              <w:rPr>
                <w:rStyle w:val="IndexLink"/>
              </w:rPr>
              <w:t>102</w:t>
            </w:r>
          </w:hyperlink>
        </w:p>
        <w:p>
          <w:pPr>
            <w:pStyle w:val="Contents6"/>
            <w:tabs>
              <w:tab w:val="clear" w:pos="7609"/>
              <w:tab w:val="right" w:pos="9026" w:leader="dot"/>
            </w:tabs>
            <w:rPr/>
          </w:pPr>
          <w:hyperlink w:anchor="__RefHeading___Toc4191743_2142443653">
            <w:r>
              <w:rPr>
                <w:webHidden/>
                <w:rStyle w:val="IndexLink"/>
                <w:rtl w:val="true"/>
              </w:rPr>
              <w:t>الثالث</w:t>
            </w:r>
            <w:r>
              <w:rPr>
                <w:rStyle w:val="IndexLink"/>
                <w:rtl w:val="true"/>
              </w:rPr>
              <w:t xml:space="preserve">: </w:t>
            </w:r>
            <w:r>
              <w:rPr>
                <w:rStyle w:val="IndexLink"/>
                <w:rtl w:val="true"/>
              </w:rPr>
              <w:t>الآبار المتواصلة ان جرت فكالجاري،</w:t>
            </w:r>
            <w:r>
              <w:rPr>
                <w:rStyle w:val="IndexLink"/>
                <w:rtl w:val="true"/>
              </w:rPr>
              <w:tab/>
            </w:r>
            <w:r>
              <w:rPr>
                <w:rStyle w:val="IndexLink"/>
              </w:rPr>
              <w:t>102</w:t>
            </w:r>
          </w:hyperlink>
        </w:p>
        <w:p>
          <w:pPr>
            <w:pStyle w:val="Contents6"/>
            <w:tabs>
              <w:tab w:val="clear" w:pos="7609"/>
              <w:tab w:val="right" w:pos="9026" w:leader="dot"/>
            </w:tabs>
            <w:rPr/>
          </w:pPr>
          <w:hyperlink w:anchor="__RefHeading___Toc4191745_2142443653">
            <w:r>
              <w:rPr>
                <w:webHidden/>
                <w:rStyle w:val="IndexLink"/>
                <w:rtl w:val="true"/>
              </w:rPr>
              <w:t>الرابع</w:t>
            </w:r>
            <w:r>
              <w:rPr>
                <w:rStyle w:val="IndexLink"/>
                <w:rtl w:val="true"/>
              </w:rPr>
              <w:t xml:space="preserve">: </w:t>
            </w:r>
            <w:r>
              <w:rPr>
                <w:rStyle w:val="IndexLink"/>
                <w:rtl w:val="true"/>
              </w:rPr>
              <w:t>لا ريب في عدم اعتبار الدلو</w:t>
            </w:r>
            <w:r>
              <w:rPr>
                <w:rStyle w:val="IndexLink"/>
                <w:rtl w:val="true"/>
              </w:rPr>
              <w:tab/>
            </w:r>
            <w:r>
              <w:rPr>
                <w:rStyle w:val="IndexLink"/>
              </w:rPr>
              <w:t>102</w:t>
            </w:r>
          </w:hyperlink>
        </w:p>
        <w:p>
          <w:pPr>
            <w:pStyle w:val="Contents6"/>
            <w:tabs>
              <w:tab w:val="clear" w:pos="7609"/>
              <w:tab w:val="right" w:pos="9026" w:leader="dot"/>
            </w:tabs>
            <w:rPr/>
          </w:pPr>
          <w:hyperlink w:anchor="__RefHeading___Toc4191747_2142443653">
            <w:r>
              <w:rPr>
                <w:webHidden/>
                <w:rStyle w:val="IndexLink"/>
                <w:rtl w:val="true"/>
              </w:rPr>
              <w:t>الخامس</w:t>
            </w:r>
            <w:r>
              <w:rPr>
                <w:rStyle w:val="IndexLink"/>
                <w:rtl w:val="true"/>
              </w:rPr>
              <w:t xml:space="preserve">: </w:t>
            </w:r>
            <w:r>
              <w:rPr>
                <w:rStyle w:val="IndexLink"/>
                <w:rtl w:val="true"/>
              </w:rPr>
              <w:t>لا يعتبر في النازح الإسلام، و لا البلوغ، و لا الذكورية</w:t>
            </w:r>
            <w:r>
              <w:rPr>
                <w:rStyle w:val="IndexLink"/>
                <w:rtl w:val="true"/>
              </w:rPr>
              <w:tab/>
            </w:r>
            <w:r>
              <w:rPr>
                <w:rStyle w:val="IndexLink"/>
              </w:rPr>
              <w:t>103</w:t>
            </w:r>
          </w:hyperlink>
        </w:p>
        <w:p>
          <w:pPr>
            <w:pStyle w:val="Contents6"/>
            <w:tabs>
              <w:tab w:val="clear" w:pos="7609"/>
              <w:tab w:val="right" w:pos="9026" w:leader="dot"/>
            </w:tabs>
            <w:rPr/>
          </w:pPr>
          <w:hyperlink w:anchor="__RefHeading___Toc4191749_2142443653">
            <w:r>
              <w:rPr>
                <w:webHidden/>
                <w:rStyle w:val="IndexLink"/>
                <w:rtl w:val="true"/>
              </w:rPr>
              <w:t>السادس</w:t>
            </w:r>
            <w:r>
              <w:rPr>
                <w:rStyle w:val="IndexLink"/>
                <w:rtl w:val="true"/>
              </w:rPr>
              <w:t xml:space="preserve">: </w:t>
            </w:r>
            <w:r>
              <w:rPr>
                <w:rStyle w:val="IndexLink"/>
                <w:rtl w:val="true"/>
              </w:rPr>
              <w:t>عبارة الأصحاب مختلفة في يوم التراوح</w:t>
            </w:r>
            <w:r>
              <w:rPr>
                <w:rStyle w:val="IndexLink"/>
                <w:rtl w:val="true"/>
              </w:rPr>
              <w:t>:</w:t>
              <w:tab/>
            </w:r>
            <w:r>
              <w:rPr>
                <w:rStyle w:val="IndexLink"/>
              </w:rPr>
              <w:t>103</w:t>
            </w:r>
          </w:hyperlink>
        </w:p>
        <w:p>
          <w:pPr>
            <w:pStyle w:val="Contents6"/>
            <w:tabs>
              <w:tab w:val="clear" w:pos="7609"/>
              <w:tab w:val="right" w:pos="9026" w:leader="dot"/>
            </w:tabs>
            <w:rPr/>
          </w:pPr>
          <w:hyperlink w:anchor="__RefHeading___Toc4191751_2142443653">
            <w:r>
              <w:rPr>
                <w:webHidden/>
                <w:rStyle w:val="IndexLink"/>
                <w:rtl w:val="true"/>
              </w:rPr>
              <w:t>السابع</w:t>
            </w:r>
            <w:r>
              <w:rPr>
                <w:rStyle w:val="IndexLink"/>
                <w:rtl w:val="true"/>
              </w:rPr>
              <w:t xml:space="preserve">: </w:t>
            </w:r>
            <w:r>
              <w:rPr>
                <w:rStyle w:val="IndexLink"/>
                <w:rtl w:val="true"/>
              </w:rPr>
              <w:t>لا يجزئ الليل في التراوح</w:t>
            </w:r>
            <w:r>
              <w:rPr>
                <w:rStyle w:val="IndexLink"/>
                <w:rtl w:val="true"/>
              </w:rPr>
              <w:tab/>
            </w:r>
            <w:r>
              <w:rPr>
                <w:rStyle w:val="IndexLink"/>
              </w:rPr>
              <w:t>103</w:t>
            </w:r>
          </w:hyperlink>
        </w:p>
        <w:p>
          <w:pPr>
            <w:pStyle w:val="Contents6"/>
            <w:tabs>
              <w:tab w:val="clear" w:pos="7609"/>
              <w:tab w:val="right" w:pos="9026" w:leader="dot"/>
            </w:tabs>
            <w:rPr/>
          </w:pPr>
          <w:hyperlink w:anchor="__RefHeading___Toc4191753_2142443653">
            <w:r>
              <w:rPr>
                <w:webHidden/>
                <w:rStyle w:val="IndexLink"/>
                <w:rtl w:val="true"/>
              </w:rPr>
              <w:t>الثامن</w:t>
            </w:r>
            <w:r>
              <w:rPr>
                <w:rStyle w:val="IndexLink"/>
                <w:rtl w:val="true"/>
              </w:rPr>
              <w:t xml:space="preserve">: </w:t>
            </w:r>
            <w:r>
              <w:rPr>
                <w:rStyle w:val="IndexLink"/>
                <w:rtl w:val="true"/>
              </w:rPr>
              <w:t>يجزئ مسمى اليوم و ان قصر،</w:t>
            </w:r>
            <w:r>
              <w:rPr>
                <w:rStyle w:val="IndexLink"/>
                <w:rtl w:val="true"/>
              </w:rPr>
              <w:tab/>
            </w:r>
            <w:r>
              <w:rPr>
                <w:rStyle w:val="IndexLink"/>
              </w:rPr>
              <w:t>103</w:t>
            </w:r>
          </w:hyperlink>
        </w:p>
        <w:p>
          <w:pPr>
            <w:pStyle w:val="Contents6"/>
            <w:tabs>
              <w:tab w:val="clear" w:pos="7609"/>
              <w:tab w:val="right" w:pos="9026" w:leader="dot"/>
            </w:tabs>
            <w:rPr/>
          </w:pPr>
          <w:hyperlink w:anchor="__RefHeading___Toc4191755_2142443653">
            <w:r>
              <w:rPr>
                <w:webHidden/>
                <w:rStyle w:val="IndexLink"/>
                <w:rtl w:val="true"/>
              </w:rPr>
              <w:t>التاسع</w:t>
            </w:r>
            <w:r>
              <w:rPr>
                <w:rStyle w:val="IndexLink"/>
                <w:rtl w:val="true"/>
              </w:rPr>
              <w:t xml:space="preserve">: </w:t>
            </w:r>
            <w:r>
              <w:rPr>
                <w:rStyle w:val="IndexLink"/>
                <w:rtl w:val="true"/>
              </w:rPr>
              <w:t>يجوز لهم الصلاة جماعة،</w:t>
            </w:r>
            <w:r>
              <w:rPr>
                <w:rStyle w:val="IndexLink"/>
                <w:rtl w:val="true"/>
              </w:rPr>
              <w:tab/>
            </w:r>
            <w:r>
              <w:rPr>
                <w:rStyle w:val="IndexLink"/>
              </w:rPr>
              <w:t>103</w:t>
            </w:r>
          </w:hyperlink>
        </w:p>
        <w:p>
          <w:pPr>
            <w:pStyle w:val="Contents6"/>
            <w:tabs>
              <w:tab w:val="clear" w:pos="7609"/>
              <w:tab w:val="right" w:pos="9026" w:leader="dot"/>
            </w:tabs>
            <w:rPr/>
          </w:pPr>
          <w:hyperlink w:anchor="__RefHeading___Toc4191757_2142443653">
            <w:r>
              <w:rPr>
                <w:webHidden/>
                <w:rStyle w:val="IndexLink"/>
                <w:rtl w:val="true"/>
              </w:rPr>
              <w:t>العاشر</w:t>
            </w:r>
            <w:r>
              <w:rPr>
                <w:rStyle w:val="IndexLink"/>
                <w:rtl w:val="true"/>
              </w:rPr>
              <w:t xml:space="preserve">: </w:t>
            </w:r>
            <w:r>
              <w:rPr>
                <w:rStyle w:val="IndexLink"/>
                <w:rtl w:val="true"/>
              </w:rPr>
              <w:t>الظاهر إجزاء ما فوق الأربعة،</w:t>
            </w:r>
            <w:r>
              <w:rPr>
                <w:rStyle w:val="IndexLink"/>
                <w:rtl w:val="true"/>
              </w:rPr>
              <w:tab/>
            </w:r>
            <w:r>
              <w:rPr>
                <w:rStyle w:val="IndexLink"/>
              </w:rPr>
              <w:t>103</w:t>
            </w:r>
          </w:hyperlink>
        </w:p>
        <w:p>
          <w:pPr>
            <w:pStyle w:val="Contents6"/>
            <w:tabs>
              <w:tab w:val="clear" w:pos="7609"/>
              <w:tab w:val="right" w:pos="9026" w:leader="dot"/>
            </w:tabs>
            <w:rPr/>
          </w:pPr>
          <w:hyperlink w:anchor="__RefHeading___Toc4191759_2142443653">
            <w:r>
              <w:rPr>
                <w:webHidden/>
                <w:rStyle w:val="IndexLink"/>
                <w:rtl w:val="true"/>
              </w:rPr>
              <w:t>الحادي عشر</w:t>
            </w:r>
            <w:r>
              <w:rPr>
                <w:rStyle w:val="IndexLink"/>
                <w:rtl w:val="true"/>
              </w:rPr>
              <w:t xml:space="preserve">: </w:t>
            </w:r>
            <w:r>
              <w:rPr>
                <w:rStyle w:val="IndexLink"/>
                <w:rtl w:val="true"/>
              </w:rPr>
              <w:t>الأولى وجوب جزءين من الليل</w:t>
            </w:r>
            <w:r>
              <w:rPr>
                <w:rStyle w:val="IndexLink"/>
                <w:rtl w:val="true"/>
              </w:rPr>
              <w:tab/>
            </w:r>
            <w:r>
              <w:rPr>
                <w:rStyle w:val="IndexLink"/>
              </w:rPr>
              <w:t>103</w:t>
            </w:r>
          </w:hyperlink>
        </w:p>
        <w:p>
          <w:pPr>
            <w:pStyle w:val="Contents6"/>
            <w:tabs>
              <w:tab w:val="clear" w:pos="7609"/>
              <w:tab w:val="right" w:pos="9026" w:leader="dot"/>
            </w:tabs>
            <w:rPr/>
          </w:pPr>
          <w:hyperlink w:anchor="__RefHeading___Toc4191761_2142443653">
            <w:r>
              <w:rPr>
                <w:webHidden/>
                <w:rStyle w:val="IndexLink"/>
                <w:rtl w:val="true"/>
              </w:rPr>
              <w:t>الثاني عشر</w:t>
            </w:r>
            <w:r>
              <w:rPr>
                <w:rStyle w:val="IndexLink"/>
                <w:rtl w:val="true"/>
              </w:rPr>
              <w:t xml:space="preserve">: </w:t>
            </w:r>
            <w:r>
              <w:rPr>
                <w:rStyle w:val="IndexLink"/>
                <w:rtl w:val="true"/>
              </w:rPr>
              <w:t>لو وقع في الأثناء موجب نزح الجميع</w:t>
            </w:r>
            <w:r>
              <w:rPr>
                <w:rStyle w:val="IndexLink"/>
                <w:rtl w:val="true"/>
              </w:rPr>
              <w:tab/>
            </w:r>
            <w:r>
              <w:rPr>
                <w:rStyle w:val="IndexLink"/>
              </w:rPr>
              <w:t>104</w:t>
            </w:r>
          </w:hyperlink>
        </w:p>
        <w:p>
          <w:pPr>
            <w:pStyle w:val="Contents6"/>
            <w:tabs>
              <w:tab w:val="clear" w:pos="7609"/>
              <w:tab w:val="right" w:pos="9026" w:leader="dot"/>
            </w:tabs>
            <w:rPr/>
          </w:pPr>
          <w:hyperlink w:anchor="__RefHeading___Toc4191763_2142443653">
            <w:r>
              <w:rPr>
                <w:webHidden/>
                <w:rStyle w:val="IndexLink"/>
                <w:rtl w:val="true"/>
              </w:rPr>
              <w:t>الثالث عشر</w:t>
            </w:r>
            <w:r>
              <w:rPr>
                <w:rStyle w:val="IndexLink"/>
                <w:rtl w:val="true"/>
              </w:rPr>
              <w:t xml:space="preserve">: </w:t>
            </w:r>
            <w:r>
              <w:rPr>
                <w:rStyle w:val="IndexLink"/>
                <w:rtl w:val="true"/>
              </w:rPr>
              <w:t>اختلاف أنواع النجاسة يوجب التضاعف،</w:t>
            </w:r>
            <w:r>
              <w:rPr>
                <w:rStyle w:val="IndexLink"/>
                <w:rtl w:val="true"/>
              </w:rPr>
              <w:tab/>
            </w:r>
            <w:r>
              <w:rPr>
                <w:rStyle w:val="IndexLink"/>
              </w:rPr>
              <w:t>104</w:t>
            </w:r>
          </w:hyperlink>
        </w:p>
        <w:p>
          <w:pPr>
            <w:pStyle w:val="Contents6"/>
            <w:tabs>
              <w:tab w:val="clear" w:pos="7609"/>
              <w:tab w:val="right" w:pos="9026" w:leader="dot"/>
            </w:tabs>
            <w:rPr/>
          </w:pPr>
          <w:hyperlink w:anchor="__RefHeading___Toc4191765_2142443653">
            <w:r>
              <w:rPr>
                <w:webHidden/>
                <w:rStyle w:val="IndexLink"/>
                <w:rtl w:val="true"/>
              </w:rPr>
              <w:t>الرابع عشر</w:t>
            </w:r>
            <w:r>
              <w:rPr>
                <w:rStyle w:val="IndexLink"/>
                <w:rtl w:val="true"/>
              </w:rPr>
              <w:t xml:space="preserve">: </w:t>
            </w:r>
            <w:r>
              <w:rPr>
                <w:rStyle w:val="IndexLink"/>
                <w:rtl w:val="true"/>
              </w:rPr>
              <w:t>أبعاض المقدّر كالمقدّر،</w:t>
            </w:r>
            <w:r>
              <w:rPr>
                <w:rStyle w:val="IndexLink"/>
                <w:rtl w:val="true"/>
              </w:rPr>
              <w:tab/>
            </w:r>
            <w:r>
              <w:rPr>
                <w:rStyle w:val="IndexLink"/>
              </w:rPr>
              <w:t>104</w:t>
            </w:r>
          </w:hyperlink>
        </w:p>
        <w:p>
          <w:pPr>
            <w:pStyle w:val="Contents6"/>
            <w:tabs>
              <w:tab w:val="clear" w:pos="7609"/>
              <w:tab w:val="right" w:pos="9026" w:leader="dot"/>
            </w:tabs>
            <w:rPr/>
          </w:pPr>
          <w:hyperlink w:anchor="__RefHeading___Toc4191767_2142443653">
            <w:r>
              <w:rPr>
                <w:webHidden/>
                <w:rStyle w:val="IndexLink"/>
                <w:rtl w:val="true"/>
              </w:rPr>
              <w:t>الخامس عشر</w:t>
            </w:r>
            <w:r>
              <w:rPr>
                <w:rStyle w:val="IndexLink"/>
                <w:rtl w:val="true"/>
              </w:rPr>
              <w:t xml:space="preserve">: </w:t>
            </w:r>
            <w:r>
              <w:rPr>
                <w:rStyle w:val="IndexLink"/>
                <w:rtl w:val="true"/>
              </w:rPr>
              <w:t>الحيوان الحامل</w:t>
            </w:r>
            <w:r>
              <w:rPr>
                <w:rStyle w:val="IndexLink"/>
                <w:rtl w:val="true"/>
              </w:rPr>
              <w:tab/>
            </w:r>
            <w:r>
              <w:rPr>
                <w:rStyle w:val="IndexLink"/>
              </w:rPr>
              <w:t>104</w:t>
            </w:r>
          </w:hyperlink>
        </w:p>
        <w:p>
          <w:pPr>
            <w:pStyle w:val="Contents6"/>
            <w:tabs>
              <w:tab w:val="clear" w:pos="7609"/>
              <w:tab w:val="right" w:pos="9026" w:leader="dot"/>
            </w:tabs>
            <w:rPr/>
          </w:pPr>
          <w:hyperlink w:anchor="__RefHeading___Toc4191769_2142443653">
            <w:r>
              <w:rPr>
                <w:webHidden/>
                <w:rStyle w:val="IndexLink"/>
                <w:rtl w:val="true"/>
              </w:rPr>
              <w:t>السادس عشر</w:t>
            </w:r>
            <w:r>
              <w:rPr>
                <w:rStyle w:val="IndexLink"/>
                <w:rtl w:val="true"/>
              </w:rPr>
              <w:t xml:space="preserve">: </w:t>
            </w:r>
            <w:r>
              <w:rPr>
                <w:rStyle w:val="IndexLink"/>
                <w:rtl w:val="true"/>
              </w:rPr>
              <w:t>المتساقط من الدلو عفو،</w:t>
            </w:r>
            <w:r>
              <w:rPr>
                <w:rStyle w:val="IndexLink"/>
                <w:rtl w:val="true"/>
              </w:rPr>
              <w:tab/>
            </w:r>
            <w:r>
              <w:rPr>
                <w:rStyle w:val="IndexLink"/>
              </w:rPr>
              <w:t>104</w:t>
            </w:r>
          </w:hyperlink>
        </w:p>
        <w:p>
          <w:pPr>
            <w:pStyle w:val="Contents6"/>
            <w:tabs>
              <w:tab w:val="clear" w:pos="7609"/>
              <w:tab w:val="right" w:pos="9026" w:leader="dot"/>
            </w:tabs>
            <w:rPr/>
          </w:pPr>
          <w:hyperlink w:anchor="__RefHeading___Toc4191771_2142443653">
            <w:r>
              <w:rPr>
                <w:webHidden/>
                <w:rStyle w:val="IndexLink"/>
                <w:rtl w:val="true"/>
              </w:rPr>
              <w:t>السابع عشر</w:t>
            </w:r>
            <w:r>
              <w:rPr>
                <w:rStyle w:val="IndexLink"/>
                <w:rtl w:val="true"/>
              </w:rPr>
              <w:t xml:space="preserve">: </w:t>
            </w:r>
            <w:r>
              <w:rPr>
                <w:rStyle w:val="IndexLink"/>
                <w:rtl w:val="true"/>
              </w:rPr>
              <w:t>الظاهر طهارة المباشر و الدلو و الرشا،</w:t>
            </w:r>
            <w:r>
              <w:rPr>
                <w:rStyle w:val="IndexLink"/>
                <w:rtl w:val="true"/>
              </w:rPr>
              <w:tab/>
            </w:r>
            <w:r>
              <w:rPr>
                <w:rStyle w:val="IndexLink"/>
              </w:rPr>
              <w:t>104</w:t>
            </w:r>
          </w:hyperlink>
        </w:p>
        <w:p>
          <w:pPr>
            <w:pStyle w:val="Contents6"/>
            <w:tabs>
              <w:tab w:val="clear" w:pos="7609"/>
              <w:tab w:val="right" w:pos="9026" w:leader="dot"/>
            </w:tabs>
            <w:rPr/>
          </w:pPr>
          <w:hyperlink w:anchor="__RefHeading___Toc4191773_2142443653">
            <w:r>
              <w:rPr>
                <w:webHidden/>
                <w:rStyle w:val="IndexLink"/>
                <w:rtl w:val="true"/>
              </w:rPr>
              <w:t>الثامن عشر</w:t>
            </w:r>
            <w:r>
              <w:rPr>
                <w:rStyle w:val="IndexLink"/>
                <w:rtl w:val="true"/>
              </w:rPr>
              <w:t xml:space="preserve">: </w:t>
            </w:r>
            <w:r>
              <w:rPr>
                <w:rStyle w:val="IndexLink"/>
                <w:rtl w:val="true"/>
              </w:rPr>
              <w:t>يسقط النزح بغور الماء،</w:t>
            </w:r>
            <w:r>
              <w:rPr>
                <w:rStyle w:val="IndexLink"/>
                <w:rtl w:val="true"/>
              </w:rPr>
              <w:tab/>
            </w:r>
            <w:r>
              <w:rPr>
                <w:rStyle w:val="IndexLink"/>
              </w:rPr>
              <w:t>105</w:t>
            </w:r>
          </w:hyperlink>
        </w:p>
        <w:p>
          <w:pPr>
            <w:pStyle w:val="Contents6"/>
            <w:tabs>
              <w:tab w:val="clear" w:pos="7609"/>
              <w:tab w:val="right" w:pos="9026" w:leader="dot"/>
            </w:tabs>
            <w:rPr/>
          </w:pPr>
          <w:hyperlink w:anchor="__RefHeading___Toc4191775_2142443653">
            <w:r>
              <w:rPr>
                <w:webHidden/>
                <w:rStyle w:val="IndexLink"/>
                <w:rtl w:val="true"/>
              </w:rPr>
              <w:t>ثم أقسام غير المتغيّر أربعة عشر</w:t>
            </w:r>
            <w:r>
              <w:rPr>
                <w:rStyle w:val="IndexLink"/>
                <w:rtl w:val="true"/>
              </w:rPr>
              <w:t>:</w:t>
              <w:tab/>
            </w:r>
            <w:r>
              <w:rPr>
                <w:rStyle w:val="IndexLink"/>
              </w:rPr>
              <w:t>105</w:t>
            </w:r>
          </w:hyperlink>
        </w:p>
        <w:p>
          <w:pPr>
            <w:pStyle w:val="Contents6"/>
            <w:tabs>
              <w:tab w:val="clear" w:pos="7609"/>
              <w:tab w:val="right" w:pos="9026" w:leader="dot"/>
            </w:tabs>
            <w:rPr/>
          </w:pPr>
          <w:hyperlink w:anchor="__RefHeading___Toc4191777_2142443653">
            <w:r>
              <w:rPr>
                <w:webHidden/>
                <w:rStyle w:val="IndexLink"/>
                <w:rtl w:val="true"/>
              </w:rPr>
              <w:t>الأول</w:t>
            </w:r>
            <w:r>
              <w:rPr>
                <w:rStyle w:val="IndexLink"/>
                <w:rtl w:val="true"/>
              </w:rPr>
              <w:t xml:space="preserve">: </w:t>
            </w:r>
            <w:r>
              <w:rPr>
                <w:rStyle w:val="IndexLink"/>
                <w:rtl w:val="true"/>
              </w:rPr>
              <w:t>ما لا مقدّر له،</w:t>
            </w:r>
            <w:r>
              <w:rPr>
                <w:rStyle w:val="IndexLink"/>
                <w:rtl w:val="true"/>
              </w:rPr>
              <w:tab/>
            </w:r>
            <w:r>
              <w:rPr>
                <w:rStyle w:val="IndexLink"/>
              </w:rPr>
              <w:t>105</w:t>
            </w:r>
          </w:hyperlink>
        </w:p>
        <w:p>
          <w:pPr>
            <w:pStyle w:val="Contents6"/>
            <w:tabs>
              <w:tab w:val="clear" w:pos="7609"/>
              <w:tab w:val="right" w:pos="9026" w:leader="dot"/>
            </w:tabs>
            <w:rPr/>
          </w:pPr>
          <w:hyperlink w:anchor="__RefHeading___Toc4191779_2142443653">
            <w:r>
              <w:rPr>
                <w:webHidden/>
                <w:rStyle w:val="IndexLink"/>
                <w:rtl w:val="true"/>
              </w:rPr>
              <w:t>الثاني</w:t>
            </w:r>
            <w:r>
              <w:rPr>
                <w:rStyle w:val="IndexLink"/>
                <w:rtl w:val="true"/>
              </w:rPr>
              <w:t xml:space="preserve">: </w:t>
            </w:r>
            <w:r>
              <w:rPr>
                <w:rStyle w:val="IndexLink"/>
                <w:rtl w:val="true"/>
              </w:rPr>
              <w:t>ما ينزح له كلّ الماء،</w:t>
            </w:r>
            <w:r>
              <w:rPr>
                <w:rStyle w:val="IndexLink"/>
                <w:rtl w:val="true"/>
              </w:rPr>
              <w:tab/>
            </w:r>
            <w:r>
              <w:rPr>
                <w:rStyle w:val="IndexLink"/>
              </w:rPr>
              <w:t>105</w:t>
            </w:r>
          </w:hyperlink>
        </w:p>
        <w:p>
          <w:pPr>
            <w:pStyle w:val="Contents6"/>
            <w:tabs>
              <w:tab w:val="clear" w:pos="7609"/>
              <w:tab w:val="right" w:pos="9026" w:leader="dot"/>
            </w:tabs>
            <w:rPr/>
          </w:pPr>
          <w:hyperlink w:anchor="__RefHeading___Toc4191781_2142443653">
            <w:r>
              <w:rPr>
                <w:webHidden/>
                <w:rStyle w:val="IndexLink"/>
                <w:rtl w:val="true"/>
              </w:rPr>
              <w:t>الثالث</w:t>
            </w:r>
            <w:r>
              <w:rPr>
                <w:rStyle w:val="IndexLink"/>
                <w:rtl w:val="true"/>
              </w:rPr>
              <w:t xml:space="preserve">: </w:t>
            </w:r>
            <w:r>
              <w:rPr>
                <w:rStyle w:val="IndexLink"/>
                <w:rtl w:val="true"/>
              </w:rPr>
              <w:t>كرّ، للحمار و البغل</w:t>
            </w:r>
            <w:r>
              <w:rPr>
                <w:rStyle w:val="IndexLink"/>
                <w:rtl w:val="true"/>
              </w:rPr>
              <w:tab/>
            </w:r>
            <w:r>
              <w:rPr>
                <w:rStyle w:val="IndexLink"/>
              </w:rPr>
              <w:t>107</w:t>
            </w:r>
          </w:hyperlink>
        </w:p>
        <w:p>
          <w:pPr>
            <w:pStyle w:val="Contents6"/>
            <w:tabs>
              <w:tab w:val="clear" w:pos="7609"/>
              <w:tab w:val="right" w:pos="9026" w:leader="dot"/>
            </w:tabs>
            <w:rPr/>
          </w:pPr>
          <w:hyperlink w:anchor="__RefHeading___Toc4191783_2142443653">
            <w:r>
              <w:rPr>
                <w:webHidden/>
                <w:rStyle w:val="IndexLink"/>
                <w:rtl w:val="true"/>
              </w:rPr>
              <w:t>الرابع</w:t>
            </w:r>
            <w:r>
              <w:rPr>
                <w:rStyle w:val="IndexLink"/>
                <w:rtl w:val="true"/>
              </w:rPr>
              <w:t xml:space="preserve">: </w:t>
            </w:r>
            <w:r>
              <w:rPr>
                <w:rStyle w:val="IndexLink"/>
                <w:rtl w:val="true"/>
              </w:rPr>
              <w:t xml:space="preserve">سبعون دلوا </w:t>
            </w:r>
            <w:r>
              <w:rPr>
                <w:rStyle w:val="IndexLink"/>
                <w:rtl w:val="true"/>
              </w:rPr>
              <w:t>-</w:t>
              <w:tab/>
            </w:r>
            <w:r>
              <w:rPr>
                <w:rStyle w:val="IndexLink"/>
              </w:rPr>
              <w:t>107</w:t>
            </w:r>
          </w:hyperlink>
        </w:p>
        <w:p>
          <w:pPr>
            <w:pStyle w:val="Contents6"/>
            <w:tabs>
              <w:tab w:val="clear" w:pos="7609"/>
              <w:tab w:val="right" w:pos="9026" w:leader="dot"/>
            </w:tabs>
            <w:rPr/>
          </w:pPr>
          <w:hyperlink w:anchor="__RefHeading___Toc4191785_2142443653">
            <w:r>
              <w:rPr>
                <w:webHidden/>
                <w:rStyle w:val="IndexLink"/>
                <w:rtl w:val="true"/>
              </w:rPr>
              <w:t>الخامس</w:t>
            </w:r>
            <w:r>
              <w:rPr>
                <w:rStyle w:val="IndexLink"/>
                <w:rtl w:val="true"/>
              </w:rPr>
              <w:t xml:space="preserve">: </w:t>
            </w:r>
            <w:r>
              <w:rPr>
                <w:rStyle w:val="IndexLink"/>
                <w:rtl w:val="true"/>
              </w:rPr>
              <w:t>خمسون، للعذرة الذائبة،</w:t>
            </w:r>
            <w:r>
              <w:rPr>
                <w:rStyle w:val="IndexLink"/>
                <w:rtl w:val="true"/>
              </w:rPr>
              <w:tab/>
            </w:r>
            <w:r>
              <w:rPr>
                <w:rStyle w:val="IndexLink"/>
              </w:rPr>
              <w:t>107</w:t>
            </w:r>
          </w:hyperlink>
        </w:p>
        <w:p>
          <w:pPr>
            <w:pStyle w:val="Contents6"/>
            <w:tabs>
              <w:tab w:val="clear" w:pos="7609"/>
              <w:tab w:val="right" w:pos="9026" w:leader="dot"/>
            </w:tabs>
            <w:rPr/>
          </w:pPr>
          <w:hyperlink w:anchor="__RefHeading___Toc4191787_2142443653">
            <w:r>
              <w:rPr>
                <w:webHidden/>
                <w:rStyle w:val="IndexLink"/>
                <w:rtl w:val="true"/>
              </w:rPr>
              <w:t>السادس</w:t>
            </w:r>
            <w:r>
              <w:rPr>
                <w:rStyle w:val="IndexLink"/>
                <w:rtl w:val="true"/>
              </w:rPr>
              <w:t xml:space="preserve">: </w:t>
            </w:r>
            <w:r>
              <w:rPr>
                <w:rStyle w:val="IndexLink"/>
                <w:rtl w:val="true"/>
              </w:rPr>
              <w:t>أربعون، لبول الرجل</w:t>
            </w:r>
            <w:r>
              <w:rPr>
                <w:rStyle w:val="IndexLink"/>
                <w:rtl w:val="true"/>
              </w:rPr>
              <w:tab/>
            </w:r>
            <w:r>
              <w:rPr>
                <w:rStyle w:val="IndexLink"/>
              </w:rPr>
              <w:t>107</w:t>
            </w:r>
          </w:hyperlink>
        </w:p>
        <w:p>
          <w:pPr>
            <w:pStyle w:val="Contents6"/>
            <w:tabs>
              <w:tab w:val="clear" w:pos="7609"/>
              <w:tab w:val="right" w:pos="9026" w:leader="dot"/>
            </w:tabs>
            <w:rPr/>
          </w:pPr>
          <w:hyperlink w:anchor="__RefHeading___Toc4191789_2142443653">
            <w:r>
              <w:rPr>
                <w:webHidden/>
                <w:rStyle w:val="IndexLink"/>
                <w:rtl w:val="true"/>
              </w:rPr>
              <w:t>السابع</w:t>
            </w:r>
            <w:r>
              <w:rPr>
                <w:rStyle w:val="IndexLink"/>
                <w:rtl w:val="true"/>
              </w:rPr>
              <w:t xml:space="preserve">: </w:t>
            </w:r>
            <w:r>
              <w:rPr>
                <w:rStyle w:val="IndexLink"/>
                <w:rtl w:val="true"/>
              </w:rPr>
              <w:t>ثلاثون لماء المطر و فيه</w:t>
            </w:r>
            <w:r>
              <w:rPr>
                <w:rStyle w:val="IndexLink"/>
                <w:rtl w:val="true"/>
              </w:rPr>
              <w:t xml:space="preserve">: </w:t>
            </w:r>
            <w:r>
              <w:rPr>
                <w:rStyle w:val="IndexLink"/>
                <w:rtl w:val="true"/>
              </w:rPr>
              <w:t>البول،</w:t>
            </w:r>
            <w:r>
              <w:rPr>
                <w:rStyle w:val="IndexLink"/>
                <w:rtl w:val="true"/>
              </w:rPr>
              <w:tab/>
            </w:r>
            <w:r>
              <w:rPr>
                <w:rStyle w:val="IndexLink"/>
              </w:rPr>
              <w:t>108</w:t>
            </w:r>
          </w:hyperlink>
        </w:p>
        <w:p>
          <w:pPr>
            <w:pStyle w:val="Contents6"/>
            <w:tabs>
              <w:tab w:val="clear" w:pos="7609"/>
              <w:tab w:val="right" w:pos="9026" w:leader="dot"/>
            </w:tabs>
            <w:rPr/>
          </w:pPr>
          <w:hyperlink w:anchor="__RefHeading___Toc4191791_2142443653">
            <w:r>
              <w:rPr>
                <w:webHidden/>
                <w:rStyle w:val="IndexLink"/>
                <w:rtl w:val="true"/>
              </w:rPr>
              <w:t>الثامن</w:t>
            </w:r>
            <w:r>
              <w:rPr>
                <w:rStyle w:val="IndexLink"/>
                <w:rtl w:val="true"/>
              </w:rPr>
              <w:t xml:space="preserve">: </w:t>
            </w:r>
            <w:r>
              <w:rPr>
                <w:rStyle w:val="IndexLink"/>
                <w:rtl w:val="true"/>
              </w:rPr>
              <w:t>عشرون لما مرّ من قطرة الخمر و النبيذ</w:t>
            </w:r>
            <w:r>
              <w:rPr>
                <w:rStyle w:val="IndexLink"/>
                <w:rtl w:val="true"/>
              </w:rPr>
              <w:t>.</w:t>
              <w:tab/>
            </w:r>
            <w:r>
              <w:rPr>
                <w:rStyle w:val="IndexLink"/>
              </w:rPr>
              <w:t>108</w:t>
            </w:r>
          </w:hyperlink>
        </w:p>
        <w:p>
          <w:pPr>
            <w:pStyle w:val="Contents6"/>
            <w:tabs>
              <w:tab w:val="clear" w:pos="7609"/>
              <w:tab w:val="right" w:pos="9026" w:leader="dot"/>
            </w:tabs>
            <w:rPr/>
          </w:pPr>
          <w:hyperlink w:anchor="__RefHeading___Toc4191793_2142443653">
            <w:r>
              <w:rPr>
                <w:webHidden/>
                <w:rStyle w:val="IndexLink"/>
                <w:rtl w:val="true"/>
              </w:rPr>
              <w:t>التاسع</w:t>
            </w:r>
            <w:r>
              <w:rPr>
                <w:rStyle w:val="IndexLink"/>
                <w:rtl w:val="true"/>
              </w:rPr>
              <w:t xml:space="preserve">: </w:t>
            </w:r>
            <w:r>
              <w:rPr>
                <w:rStyle w:val="IndexLink"/>
                <w:rtl w:val="true"/>
              </w:rPr>
              <w:t>عشر ليابس العذرة،</w:t>
            </w:r>
            <w:r>
              <w:rPr>
                <w:rStyle w:val="IndexLink"/>
                <w:rtl w:val="true"/>
              </w:rPr>
              <w:tab/>
            </w:r>
            <w:r>
              <w:rPr>
                <w:rStyle w:val="IndexLink"/>
              </w:rPr>
              <w:t>108</w:t>
            </w:r>
          </w:hyperlink>
        </w:p>
        <w:p>
          <w:pPr>
            <w:pStyle w:val="Contents6"/>
            <w:tabs>
              <w:tab w:val="clear" w:pos="7609"/>
              <w:tab w:val="right" w:pos="9026" w:leader="dot"/>
            </w:tabs>
            <w:rPr/>
          </w:pPr>
          <w:hyperlink w:anchor="__RefHeading___Toc4191795_2142443653">
            <w:r>
              <w:rPr>
                <w:webHidden/>
                <w:rStyle w:val="IndexLink"/>
                <w:rtl w:val="true"/>
              </w:rPr>
              <w:t>العاشر</w:t>
            </w:r>
            <w:r>
              <w:rPr>
                <w:rStyle w:val="IndexLink"/>
                <w:rtl w:val="true"/>
              </w:rPr>
              <w:t xml:space="preserve">: </w:t>
            </w:r>
            <w:r>
              <w:rPr>
                <w:rStyle w:val="IndexLink"/>
                <w:rtl w:val="true"/>
              </w:rPr>
              <w:t>تسع أو عشر،</w:t>
            </w:r>
            <w:r>
              <w:rPr>
                <w:rStyle w:val="IndexLink"/>
                <w:rtl w:val="true"/>
              </w:rPr>
              <w:tab/>
            </w:r>
            <w:r>
              <w:rPr>
                <w:rStyle w:val="IndexLink"/>
              </w:rPr>
              <w:t>109</w:t>
            </w:r>
          </w:hyperlink>
        </w:p>
        <w:p>
          <w:pPr>
            <w:pStyle w:val="Contents6"/>
            <w:tabs>
              <w:tab w:val="clear" w:pos="7609"/>
              <w:tab w:val="right" w:pos="9026" w:leader="dot"/>
            </w:tabs>
            <w:rPr/>
          </w:pPr>
          <w:hyperlink w:anchor="__RefHeading___Toc4191797_2142443653">
            <w:r>
              <w:rPr>
                <w:webHidden/>
                <w:rStyle w:val="IndexLink"/>
                <w:rtl w:val="true"/>
              </w:rPr>
              <w:t>الحادي عشر</w:t>
            </w:r>
            <w:r>
              <w:rPr>
                <w:rStyle w:val="IndexLink"/>
                <w:rtl w:val="true"/>
              </w:rPr>
              <w:t xml:space="preserve">: </w:t>
            </w:r>
            <w:r>
              <w:rPr>
                <w:rStyle w:val="IndexLink"/>
                <w:rtl w:val="true"/>
              </w:rPr>
              <w:t>سبع لموت الطير</w:t>
            </w:r>
            <w:r>
              <w:rPr>
                <w:rStyle w:val="IndexLink"/>
                <w:rtl w:val="true"/>
              </w:rPr>
              <w:tab/>
            </w:r>
            <w:r>
              <w:rPr>
                <w:rStyle w:val="IndexLink"/>
              </w:rPr>
              <w:t>109</w:t>
            </w:r>
          </w:hyperlink>
        </w:p>
        <w:p>
          <w:pPr>
            <w:pStyle w:val="Contents6"/>
            <w:tabs>
              <w:tab w:val="clear" w:pos="7609"/>
              <w:tab w:val="right" w:pos="9026" w:leader="dot"/>
            </w:tabs>
            <w:rPr/>
          </w:pPr>
          <w:hyperlink w:anchor="__RefHeading___Toc4191799_2142443653">
            <w:r>
              <w:rPr>
                <w:webHidden/>
                <w:rStyle w:val="IndexLink"/>
                <w:rtl w:val="true"/>
              </w:rPr>
              <w:t>الثاني عشر</w:t>
            </w:r>
            <w:r>
              <w:rPr>
                <w:rStyle w:val="IndexLink"/>
                <w:rtl w:val="true"/>
              </w:rPr>
              <w:t xml:space="preserve">: </w:t>
            </w:r>
            <w:r>
              <w:rPr>
                <w:rStyle w:val="IndexLink"/>
                <w:rtl w:val="true"/>
              </w:rPr>
              <w:t>خمس لذرق الدجاج</w:t>
            </w:r>
            <w:r>
              <w:rPr>
                <w:rStyle w:val="IndexLink"/>
                <w:rtl w:val="true"/>
              </w:rPr>
              <w:t>.</w:t>
              <w:tab/>
            </w:r>
            <w:r>
              <w:rPr>
                <w:rStyle w:val="IndexLink"/>
              </w:rPr>
              <w:t>110</w:t>
            </w:r>
          </w:hyperlink>
        </w:p>
        <w:p>
          <w:pPr>
            <w:pStyle w:val="Contents6"/>
            <w:tabs>
              <w:tab w:val="clear" w:pos="7609"/>
              <w:tab w:val="right" w:pos="9026" w:leader="dot"/>
            </w:tabs>
            <w:rPr/>
          </w:pPr>
          <w:hyperlink w:anchor="__RefHeading___Toc4191801_2142443653">
            <w:r>
              <w:rPr>
                <w:webHidden/>
                <w:rStyle w:val="IndexLink"/>
                <w:rtl w:val="true"/>
              </w:rPr>
              <w:t>الثالث عشر</w:t>
            </w:r>
            <w:r>
              <w:rPr>
                <w:rStyle w:val="IndexLink"/>
                <w:rtl w:val="true"/>
              </w:rPr>
              <w:t xml:space="preserve">: </w:t>
            </w:r>
            <w:r>
              <w:rPr>
                <w:rStyle w:val="IndexLink"/>
                <w:rtl w:val="true"/>
              </w:rPr>
              <w:t>ثلاث للفأرة</w:t>
            </w:r>
            <w:r>
              <w:rPr>
                <w:rStyle w:val="IndexLink"/>
                <w:rtl w:val="true"/>
              </w:rPr>
              <w:tab/>
            </w:r>
            <w:r>
              <w:rPr>
                <w:rStyle w:val="IndexLink"/>
              </w:rPr>
              <w:t>111</w:t>
            </w:r>
          </w:hyperlink>
        </w:p>
        <w:p>
          <w:pPr>
            <w:pStyle w:val="Contents6"/>
            <w:tabs>
              <w:tab w:val="clear" w:pos="7609"/>
              <w:tab w:val="right" w:pos="9026" w:leader="dot"/>
            </w:tabs>
            <w:rPr/>
          </w:pPr>
          <w:hyperlink w:anchor="__RefHeading___Toc4191803_2142443653">
            <w:r>
              <w:rPr>
                <w:webHidden/>
                <w:rStyle w:val="IndexLink"/>
                <w:rtl w:val="true"/>
              </w:rPr>
              <w:t>الرابع عشر</w:t>
            </w:r>
            <w:r>
              <w:rPr>
                <w:rStyle w:val="IndexLink"/>
                <w:rtl w:val="true"/>
              </w:rPr>
              <w:t xml:space="preserve">: </w:t>
            </w:r>
            <w:r>
              <w:rPr>
                <w:rStyle w:val="IndexLink"/>
                <w:rtl w:val="true"/>
              </w:rPr>
              <w:t>دلو واحد لبول الرضيع،</w:t>
            </w:r>
            <w:r>
              <w:rPr>
                <w:rStyle w:val="IndexLink"/>
                <w:rtl w:val="true"/>
              </w:rPr>
              <w:tab/>
            </w:r>
            <w:r>
              <w:rPr>
                <w:rStyle w:val="IndexLink"/>
              </w:rPr>
              <w:t>111</w:t>
            </w:r>
          </w:hyperlink>
        </w:p>
        <w:p>
          <w:pPr>
            <w:pStyle w:val="Contents6"/>
            <w:tabs>
              <w:tab w:val="clear" w:pos="7609"/>
              <w:tab w:val="right" w:pos="9026" w:leader="dot"/>
            </w:tabs>
            <w:rPr/>
          </w:pPr>
          <w:hyperlink w:anchor="__RefHeading___Toc4191805_2142443653">
            <w:r>
              <w:rPr>
                <w:webHidden/>
                <w:rStyle w:val="IndexLink"/>
                <w:rtl w:val="true"/>
              </w:rPr>
              <w:t>تتمّة</w:t>
            </w:r>
            <w:r>
              <w:rPr>
                <w:rStyle w:val="IndexLink"/>
                <w:rtl w:val="true"/>
              </w:rPr>
              <w:t>:</w:t>
              <w:tab/>
            </w:r>
            <w:r>
              <w:rPr>
                <w:rStyle w:val="IndexLink"/>
              </w:rPr>
              <w:t>115</w:t>
            </w:r>
          </w:hyperlink>
        </w:p>
        <w:p>
          <w:pPr>
            <w:pStyle w:val="Contents6"/>
            <w:tabs>
              <w:tab w:val="clear" w:pos="7609"/>
              <w:tab w:val="right" w:pos="9026" w:leader="dot"/>
            </w:tabs>
            <w:rPr/>
          </w:pPr>
          <w:hyperlink w:anchor="__RefHeading___Toc4191807_2142443653">
            <w:r>
              <w:rPr>
                <w:webHidden/>
                <w:rStyle w:val="IndexLink"/>
                <w:rtl w:val="true"/>
              </w:rPr>
              <w:t>العارض الرابع</w:t>
            </w:r>
            <w:r>
              <w:rPr>
                <w:rStyle w:val="IndexLink"/>
                <w:rtl w:val="true"/>
              </w:rPr>
              <w:t xml:space="preserve">: </w:t>
            </w:r>
            <w:r>
              <w:rPr>
                <w:rStyle w:val="IndexLink"/>
                <w:rtl w:val="true"/>
              </w:rPr>
              <w:t>استعمال الماء،</w:t>
            </w:r>
            <w:r>
              <w:rPr>
                <w:rStyle w:val="IndexLink"/>
                <w:rtl w:val="true"/>
              </w:rPr>
              <w:tab/>
            </w:r>
            <w:r>
              <w:rPr>
                <w:rStyle w:val="IndexLink"/>
              </w:rPr>
              <w:t>116</w:t>
            </w:r>
          </w:hyperlink>
        </w:p>
        <w:p>
          <w:pPr>
            <w:pStyle w:val="Contents6"/>
            <w:tabs>
              <w:tab w:val="clear" w:pos="7609"/>
              <w:tab w:val="right" w:pos="9026" w:leader="dot"/>
            </w:tabs>
            <w:rPr/>
          </w:pPr>
          <w:hyperlink w:anchor="__RefHeading___Toc4191809_2142443653">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4191811_2142443653">
            <w:r>
              <w:rPr>
                <w:webHidden/>
                <w:rStyle w:val="IndexLink"/>
                <w:rtl w:val="true"/>
              </w:rPr>
              <w:t>أحدها</w:t>
            </w:r>
            <w:r>
              <w:rPr>
                <w:rStyle w:val="IndexLink"/>
                <w:rtl w:val="true"/>
              </w:rPr>
              <w:t xml:space="preserve">: </w:t>
            </w:r>
            <w:r>
              <w:rPr>
                <w:rStyle w:val="IndexLink"/>
                <w:rtl w:val="true"/>
              </w:rPr>
              <w:t>استعماله في رفع الخبث،</w:t>
            </w:r>
            <w:r>
              <w:rPr>
                <w:rStyle w:val="IndexLink"/>
                <w:rtl w:val="true"/>
              </w:rPr>
              <w:tab/>
            </w:r>
            <w:r>
              <w:rPr>
                <w:rStyle w:val="IndexLink"/>
              </w:rPr>
              <w:t>116</w:t>
            </w:r>
          </w:hyperlink>
        </w:p>
        <w:p>
          <w:pPr>
            <w:pStyle w:val="Contents6"/>
            <w:tabs>
              <w:tab w:val="clear" w:pos="7609"/>
              <w:tab w:val="right" w:pos="9026" w:leader="dot"/>
            </w:tabs>
            <w:rPr/>
          </w:pPr>
          <w:hyperlink w:anchor="__RefHeading___Toc4191813_2142443653">
            <w:r>
              <w:rPr>
                <w:webHidden/>
                <w:rStyle w:val="IndexLink"/>
                <w:rtl w:val="true"/>
              </w:rPr>
              <w:t>الثاني</w:t>
            </w:r>
            <w:r>
              <w:rPr>
                <w:rStyle w:val="IndexLink"/>
                <w:rtl w:val="true"/>
              </w:rPr>
              <w:t xml:space="preserve">: </w:t>
            </w:r>
            <w:r>
              <w:rPr>
                <w:rStyle w:val="IndexLink"/>
                <w:rtl w:val="true"/>
              </w:rPr>
              <w:t>استعماله في الوضوء،</w:t>
            </w:r>
            <w:r>
              <w:rPr>
                <w:rStyle w:val="IndexLink"/>
                <w:rtl w:val="true"/>
              </w:rPr>
              <w:tab/>
            </w:r>
            <w:r>
              <w:rPr>
                <w:rStyle w:val="IndexLink"/>
              </w:rPr>
              <w:t>116</w:t>
            </w:r>
          </w:hyperlink>
        </w:p>
        <w:p>
          <w:pPr>
            <w:pStyle w:val="Contents6"/>
            <w:tabs>
              <w:tab w:val="clear" w:pos="7609"/>
              <w:tab w:val="right" w:pos="9026" w:leader="dot"/>
            </w:tabs>
            <w:rPr/>
          </w:pPr>
          <w:hyperlink w:anchor="__RefHeading___Toc4191815_2142443653">
            <w:r>
              <w:rPr>
                <w:webHidden/>
                <w:rStyle w:val="IndexLink"/>
                <w:rtl w:val="true"/>
              </w:rPr>
              <w:t>الثالث</w:t>
            </w:r>
            <w:r>
              <w:rPr>
                <w:rStyle w:val="IndexLink"/>
                <w:rtl w:val="true"/>
              </w:rPr>
              <w:t xml:space="preserve">: </w:t>
            </w:r>
            <w:r>
              <w:rPr>
                <w:rStyle w:val="IndexLink"/>
                <w:rtl w:val="true"/>
              </w:rPr>
              <w:t>المستعمل في رفع الأكبر،</w:t>
            </w:r>
            <w:r>
              <w:rPr>
                <w:rStyle w:val="IndexLink"/>
                <w:rtl w:val="true"/>
              </w:rPr>
              <w:tab/>
            </w:r>
            <w:r>
              <w:rPr>
                <w:rStyle w:val="IndexLink"/>
              </w:rPr>
              <w:t>116</w:t>
            </w:r>
          </w:hyperlink>
        </w:p>
        <w:p>
          <w:pPr>
            <w:pStyle w:val="Contents6"/>
            <w:tabs>
              <w:tab w:val="clear" w:pos="7609"/>
              <w:tab w:val="right" w:pos="9026" w:leader="dot"/>
            </w:tabs>
            <w:rPr/>
          </w:pPr>
          <w:hyperlink w:anchor="__RefHeading___Toc4191817_2142443653">
            <w:r>
              <w:rPr>
                <w:webHidden/>
                <w:rStyle w:val="IndexLink"/>
                <w:rtl w:val="true"/>
              </w:rPr>
              <w:t>العارض الخامس</w:t>
            </w:r>
            <w:r>
              <w:rPr>
                <w:rStyle w:val="IndexLink"/>
                <w:rtl w:val="true"/>
              </w:rPr>
              <w:t xml:space="preserve">: </w:t>
            </w:r>
            <w:r>
              <w:rPr>
                <w:rStyle w:val="IndexLink"/>
                <w:rtl w:val="true"/>
              </w:rPr>
              <w:t>غصبية الماء،</w:t>
            </w:r>
            <w:r>
              <w:rPr>
                <w:rStyle w:val="IndexLink"/>
                <w:rtl w:val="true"/>
              </w:rPr>
              <w:tab/>
            </w:r>
            <w:r>
              <w:rPr>
                <w:rStyle w:val="IndexLink"/>
              </w:rPr>
              <w:t>118</w:t>
            </w:r>
          </w:hyperlink>
        </w:p>
        <w:p>
          <w:pPr>
            <w:pStyle w:val="Contents6"/>
            <w:tabs>
              <w:tab w:val="clear" w:pos="7609"/>
              <w:tab w:val="right" w:pos="9026" w:leader="dot"/>
            </w:tabs>
            <w:rPr/>
          </w:pPr>
          <w:hyperlink w:anchor="__RefHeading___Toc4191819_2142443653">
            <w:r>
              <w:rPr>
                <w:webHidden/>
                <w:rStyle w:val="IndexLink"/>
                <w:rtl w:val="true"/>
              </w:rPr>
              <w:t>العارض السادس</w:t>
            </w:r>
            <w:r>
              <w:rPr>
                <w:rStyle w:val="IndexLink"/>
                <w:rtl w:val="true"/>
              </w:rPr>
              <w:t xml:space="preserve">: </w:t>
            </w:r>
            <w:r>
              <w:rPr>
                <w:rStyle w:val="IndexLink"/>
                <w:rtl w:val="true"/>
              </w:rPr>
              <w:t>الاشتباه،</w:t>
            </w:r>
            <w:r>
              <w:rPr>
                <w:rStyle w:val="IndexLink"/>
                <w:rtl w:val="true"/>
              </w:rPr>
              <w:tab/>
            </w:r>
            <w:r>
              <w:rPr>
                <w:rStyle w:val="IndexLink"/>
              </w:rPr>
              <w:t>118</w:t>
            </w:r>
          </w:hyperlink>
        </w:p>
        <w:p>
          <w:pPr>
            <w:pStyle w:val="Contents6"/>
            <w:tabs>
              <w:tab w:val="clear" w:pos="7609"/>
              <w:tab w:val="right" w:pos="9026" w:leader="dot"/>
            </w:tabs>
            <w:rPr/>
          </w:pPr>
          <w:hyperlink w:anchor="__RefHeading___Toc4191821_2142443653">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4191823_2142443653">
            <w:r>
              <w:rPr>
                <w:webHidden/>
                <w:rStyle w:val="IndexLink"/>
                <w:rtl w:val="true"/>
              </w:rPr>
              <w:t>إحداها</w:t>
            </w:r>
            <w:r>
              <w:rPr>
                <w:rStyle w:val="IndexLink"/>
                <w:rtl w:val="true"/>
              </w:rPr>
              <w:t xml:space="preserve">: </w:t>
            </w:r>
            <w:r>
              <w:rPr>
                <w:rStyle w:val="IndexLink"/>
                <w:rtl w:val="true"/>
              </w:rPr>
              <w:t>أن يشتبه بالنجس،</w:t>
            </w:r>
            <w:r>
              <w:rPr>
                <w:rStyle w:val="IndexLink"/>
                <w:rtl w:val="true"/>
              </w:rPr>
              <w:tab/>
            </w:r>
            <w:r>
              <w:rPr>
                <w:rStyle w:val="IndexLink"/>
              </w:rPr>
              <w:t>118</w:t>
            </w:r>
          </w:hyperlink>
        </w:p>
        <w:p>
          <w:pPr>
            <w:pStyle w:val="Contents6"/>
            <w:tabs>
              <w:tab w:val="clear" w:pos="7609"/>
              <w:tab w:val="right" w:pos="9026" w:leader="dot"/>
            </w:tabs>
            <w:rPr/>
          </w:pPr>
          <w:hyperlink w:anchor="__RefHeading___Toc4191825_2142443653">
            <w:r>
              <w:rPr>
                <w:webHidden/>
                <w:rStyle w:val="IndexLink"/>
                <w:rtl w:val="true"/>
              </w:rPr>
              <w:t>و ثانيها</w:t>
            </w:r>
            <w:r>
              <w:rPr>
                <w:rStyle w:val="IndexLink"/>
                <w:rtl w:val="true"/>
              </w:rPr>
              <w:t xml:space="preserve">: </w:t>
            </w:r>
            <w:r>
              <w:rPr>
                <w:rStyle w:val="IndexLink"/>
                <w:rtl w:val="true"/>
              </w:rPr>
              <w:t>الاشتباه بالمغصوب،</w:t>
            </w:r>
            <w:r>
              <w:rPr>
                <w:rStyle w:val="IndexLink"/>
                <w:rtl w:val="true"/>
              </w:rPr>
              <w:tab/>
            </w:r>
            <w:r>
              <w:rPr>
                <w:rStyle w:val="IndexLink"/>
              </w:rPr>
              <w:t>118</w:t>
            </w:r>
          </w:hyperlink>
        </w:p>
        <w:p>
          <w:pPr>
            <w:pStyle w:val="Contents6"/>
            <w:tabs>
              <w:tab w:val="clear" w:pos="7609"/>
              <w:tab w:val="right" w:pos="9026" w:leader="dot"/>
            </w:tabs>
            <w:rPr/>
          </w:pPr>
          <w:hyperlink w:anchor="__RefHeading___Toc4191827_2142443653">
            <w:r>
              <w:rPr>
                <w:webHidden/>
                <w:rStyle w:val="IndexLink"/>
                <w:rtl w:val="true"/>
              </w:rPr>
              <w:t>و ثالثها</w:t>
            </w:r>
            <w:r>
              <w:rPr>
                <w:rStyle w:val="IndexLink"/>
                <w:rtl w:val="true"/>
              </w:rPr>
              <w:t xml:space="preserve">: </w:t>
            </w:r>
            <w:r>
              <w:rPr>
                <w:rStyle w:val="IndexLink"/>
                <w:rtl w:val="true"/>
              </w:rPr>
              <w:t>الاشتباه بالمضاف الطاهر،</w:t>
            </w:r>
            <w:r>
              <w:rPr>
                <w:rStyle w:val="IndexLink"/>
                <w:rtl w:val="true"/>
              </w:rPr>
              <w:tab/>
            </w:r>
            <w:r>
              <w:rPr>
                <w:rStyle w:val="IndexLink"/>
              </w:rPr>
              <w:t>118</w:t>
            </w:r>
          </w:hyperlink>
        </w:p>
        <w:p>
          <w:pPr>
            <w:pStyle w:val="Contents6"/>
            <w:tabs>
              <w:tab w:val="clear" w:pos="7609"/>
              <w:tab w:val="right" w:pos="9026" w:leader="dot"/>
            </w:tabs>
            <w:rPr/>
          </w:pPr>
          <w:hyperlink w:anchor="__RefHeading___Toc4191829_2142443653">
            <w:r>
              <w:rPr>
                <w:webHidden/>
                <w:rStyle w:val="IndexLink"/>
                <w:rtl w:val="true"/>
              </w:rPr>
              <w:t>و رابعها</w:t>
            </w:r>
            <w:r>
              <w:rPr>
                <w:rStyle w:val="IndexLink"/>
                <w:rtl w:val="true"/>
              </w:rPr>
              <w:t xml:space="preserve">: </w:t>
            </w:r>
            <w:r>
              <w:rPr>
                <w:rStyle w:val="IndexLink"/>
                <w:rtl w:val="true"/>
              </w:rPr>
              <w:t>الاشتباه في وقوع النجاسة،</w:t>
            </w:r>
            <w:r>
              <w:rPr>
                <w:rStyle w:val="IndexLink"/>
                <w:rtl w:val="true"/>
              </w:rPr>
              <w:tab/>
            </w:r>
            <w:r>
              <w:rPr>
                <w:rStyle w:val="IndexLink"/>
              </w:rPr>
              <w:t>119</w:t>
            </w:r>
          </w:hyperlink>
        </w:p>
        <w:p>
          <w:pPr>
            <w:pStyle w:val="Contents6"/>
            <w:tabs>
              <w:tab w:val="clear" w:pos="7609"/>
              <w:tab w:val="right" w:pos="9026" w:leader="dot"/>
            </w:tabs>
            <w:rPr/>
          </w:pPr>
          <w:hyperlink w:anchor="__RefHeading___Toc4191831_2142443653">
            <w:r>
              <w:rPr>
                <w:webHidden/>
                <w:rStyle w:val="IndexLink"/>
                <w:rtl w:val="true"/>
              </w:rPr>
              <w:t>العارض السابع</w:t>
            </w:r>
            <w:r>
              <w:rPr>
                <w:rStyle w:val="IndexLink"/>
                <w:rtl w:val="true"/>
              </w:rPr>
              <w:t xml:space="preserve">: </w:t>
            </w:r>
            <w:r>
              <w:rPr>
                <w:rStyle w:val="IndexLink"/>
                <w:rtl w:val="true"/>
              </w:rPr>
              <w:t xml:space="preserve">معارضته أولى </w:t>
            </w:r>
            <w:r>
              <w:rPr>
                <w:rStyle w:val="IndexLink"/>
                <w:rtl w:val="true"/>
              </w:rPr>
              <w:t xml:space="preserve">- </w:t>
            </w:r>
            <w:r>
              <w:rPr>
                <w:rStyle w:val="IndexLink"/>
                <w:rtl w:val="true"/>
              </w:rPr>
              <w:t>كدفع عطش حيوان محترم،</w:t>
            </w:r>
            <w:r>
              <w:rPr>
                <w:rStyle w:val="IndexLink"/>
                <w:rtl w:val="true"/>
              </w:rPr>
              <w:tab/>
            </w:r>
            <w:r>
              <w:rPr>
                <w:rStyle w:val="IndexLink"/>
              </w:rPr>
              <w:t>119</w:t>
            </w:r>
          </w:hyperlink>
        </w:p>
        <w:p>
          <w:pPr>
            <w:pStyle w:val="Contents6"/>
            <w:tabs>
              <w:tab w:val="clear" w:pos="7609"/>
              <w:tab w:val="right" w:pos="9026" w:leader="dot"/>
            </w:tabs>
            <w:rPr/>
          </w:pPr>
          <w:hyperlink w:anchor="__RefHeading___Toc4191833_2142443653">
            <w:r>
              <w:rPr>
                <w:webHidden/>
                <w:rStyle w:val="IndexLink"/>
                <w:rtl w:val="true"/>
              </w:rPr>
              <w:t>العارض الثامن</w:t>
            </w:r>
            <w:r>
              <w:rPr>
                <w:rStyle w:val="IndexLink"/>
                <w:rtl w:val="true"/>
              </w:rPr>
              <w:t xml:space="preserve">: </w:t>
            </w:r>
            <w:r>
              <w:rPr>
                <w:rStyle w:val="IndexLink"/>
                <w:rtl w:val="true"/>
              </w:rPr>
              <w:t>كونه سؤرا،</w:t>
            </w:r>
            <w:r>
              <w:rPr>
                <w:rStyle w:val="IndexLink"/>
                <w:rtl w:val="true"/>
              </w:rPr>
              <w:tab/>
            </w:r>
            <w:r>
              <w:rPr>
                <w:rStyle w:val="IndexLink"/>
              </w:rPr>
              <w:t>119</w:t>
            </w:r>
          </w:hyperlink>
        </w:p>
        <w:p>
          <w:pPr>
            <w:pStyle w:val="Contents6"/>
            <w:tabs>
              <w:tab w:val="clear" w:pos="7609"/>
              <w:tab w:val="right" w:pos="9026" w:leader="dot"/>
            </w:tabs>
            <w:rPr/>
          </w:pPr>
          <w:hyperlink w:anchor="__RefHeading___Toc4191835_2142443653">
            <w:r>
              <w:rPr>
                <w:webHidden/>
                <w:rStyle w:val="IndexLink"/>
                <w:rtl w:val="true"/>
              </w:rPr>
              <w:t>خاتمة في حرمة استعمال الماء النجس و المشتبه به في الطهارة مطلقا</w:t>
            </w:r>
            <w:r>
              <w:rPr>
                <w:rStyle w:val="IndexLink"/>
                <w:rtl w:val="true"/>
              </w:rPr>
              <w:tab/>
            </w:r>
            <w:r>
              <w:rPr>
                <w:rStyle w:val="IndexLink"/>
              </w:rPr>
              <w:t>123</w:t>
            </w:r>
          </w:hyperlink>
        </w:p>
        <w:p>
          <w:pPr>
            <w:pStyle w:val="Contents6"/>
            <w:tabs>
              <w:tab w:val="clear" w:pos="7609"/>
              <w:tab w:val="right" w:pos="9026" w:leader="dot"/>
            </w:tabs>
            <w:rPr/>
          </w:pPr>
          <w:hyperlink w:anchor="__RefHeading___Toc4191837_2142443653">
            <w:r>
              <w:rPr>
                <w:webHidden/>
                <w:rStyle w:val="IndexLink"/>
                <w:rtl w:val="true"/>
              </w:rPr>
              <w:t>في ذكر الأعيان النجسة، و هي عشرة</w:t>
            </w:r>
            <w:r>
              <w:rPr>
                <w:rStyle w:val="IndexLink"/>
                <w:rtl w:val="true"/>
              </w:rPr>
              <w:t>:</w:t>
              <w:tab/>
            </w:r>
            <w:r>
              <w:rPr>
                <w:rStyle w:val="IndexLink"/>
              </w:rPr>
              <w:t>123</w:t>
            </w:r>
          </w:hyperlink>
        </w:p>
        <w:p>
          <w:pPr>
            <w:pStyle w:val="Contents6"/>
            <w:tabs>
              <w:tab w:val="clear" w:pos="7609"/>
              <w:tab w:val="right" w:pos="9026" w:leader="dot"/>
            </w:tabs>
            <w:rPr/>
          </w:pPr>
          <w:hyperlink w:anchor="__RefHeading___Toc4191839_2142443653">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4191841_2142443653">
            <w:r>
              <w:rPr>
                <w:webHidden/>
                <w:rStyle w:val="IndexLink"/>
                <w:rtl w:val="true"/>
              </w:rPr>
              <w:t>الأول و الثاني</w:t>
            </w:r>
            <w:r>
              <w:rPr>
                <w:rStyle w:val="IndexLink"/>
                <w:rtl w:val="true"/>
              </w:rPr>
              <w:t xml:space="preserve">: </w:t>
            </w:r>
            <w:r>
              <w:rPr>
                <w:rStyle w:val="IndexLink"/>
                <w:rtl w:val="true"/>
              </w:rPr>
              <w:t>البول و الغائط من ذي النفس غير المأكول و لو بالعرض كالجلال،</w:t>
            </w:r>
            <w:r>
              <w:rPr>
                <w:rStyle w:val="IndexLink"/>
                <w:rtl w:val="true"/>
              </w:rPr>
              <w:tab/>
            </w:r>
            <w:r>
              <w:rPr>
                <w:rStyle w:val="IndexLink"/>
              </w:rPr>
              <w:t>123</w:t>
            </w:r>
          </w:hyperlink>
        </w:p>
        <w:p>
          <w:pPr>
            <w:pStyle w:val="Contents6"/>
            <w:tabs>
              <w:tab w:val="clear" w:pos="7609"/>
              <w:tab w:val="right" w:pos="9026" w:leader="dot"/>
            </w:tabs>
            <w:rPr/>
          </w:pPr>
          <w:hyperlink w:anchor="__RefHeading___Toc4191843_2142443653">
            <w:r>
              <w:rPr>
                <w:webHidden/>
                <w:rStyle w:val="IndexLink"/>
                <w:rtl w:val="true"/>
              </w:rPr>
              <w:t>الثالث و الرابع</w:t>
            </w:r>
            <w:r>
              <w:rPr>
                <w:rStyle w:val="IndexLink"/>
                <w:rtl w:val="true"/>
              </w:rPr>
              <w:t xml:space="preserve">: </w:t>
            </w:r>
            <w:r>
              <w:rPr>
                <w:rStyle w:val="IndexLink"/>
                <w:rtl w:val="true"/>
              </w:rPr>
              <w:t>المني و الدم من كل ذي نفس سائلة و إن كان مائيا كالتمساح،</w:t>
            </w:r>
            <w:r>
              <w:rPr>
                <w:rStyle w:val="IndexLink"/>
                <w:rtl w:val="true"/>
              </w:rPr>
              <w:tab/>
            </w:r>
            <w:r>
              <w:rPr>
                <w:rStyle w:val="IndexLink"/>
              </w:rPr>
              <w:t>124</w:t>
            </w:r>
          </w:hyperlink>
        </w:p>
        <w:p>
          <w:pPr>
            <w:pStyle w:val="Contents6"/>
            <w:tabs>
              <w:tab w:val="clear" w:pos="7609"/>
              <w:tab w:val="right" w:pos="9026" w:leader="dot"/>
            </w:tabs>
            <w:rPr/>
          </w:pPr>
          <w:hyperlink w:anchor="__RefHeading___Toc4191845_2142443653">
            <w:r>
              <w:rPr>
                <w:webHidden/>
                <w:rStyle w:val="IndexLink"/>
                <w:rtl w:val="true"/>
              </w:rPr>
              <w:t>الخامس</w:t>
            </w:r>
            <w:r>
              <w:rPr>
                <w:rStyle w:val="IndexLink"/>
                <w:rtl w:val="true"/>
              </w:rPr>
              <w:t xml:space="preserve">: </w:t>
            </w:r>
            <w:r>
              <w:rPr>
                <w:rStyle w:val="IndexLink"/>
                <w:rtl w:val="true"/>
              </w:rPr>
              <w:t>الميتة من ذي النفس مطلقا،</w:t>
            </w:r>
            <w:r>
              <w:rPr>
                <w:rStyle w:val="IndexLink"/>
                <w:rtl w:val="true"/>
              </w:rPr>
              <w:tab/>
            </w:r>
            <w:r>
              <w:rPr>
                <w:rStyle w:val="IndexLink"/>
              </w:rPr>
              <w:t>126</w:t>
            </w:r>
          </w:hyperlink>
        </w:p>
        <w:p>
          <w:pPr>
            <w:pStyle w:val="Contents6"/>
            <w:tabs>
              <w:tab w:val="clear" w:pos="7609"/>
              <w:tab w:val="right" w:pos="9026" w:leader="dot"/>
            </w:tabs>
            <w:rPr/>
          </w:pPr>
          <w:hyperlink w:anchor="__RefHeading___Toc4191847_2142443653">
            <w:r>
              <w:rPr>
                <w:webHidden/>
                <w:rStyle w:val="IndexLink"/>
                <w:rtl w:val="true"/>
              </w:rPr>
              <w:t>السادس و السابع</w:t>
            </w:r>
            <w:r>
              <w:rPr>
                <w:rStyle w:val="IndexLink"/>
                <w:rtl w:val="true"/>
              </w:rPr>
              <w:t xml:space="preserve">: </w:t>
            </w:r>
            <w:r>
              <w:rPr>
                <w:rStyle w:val="IndexLink"/>
                <w:rtl w:val="true"/>
              </w:rPr>
              <w:t>الكلب و الخنزير،</w:t>
            </w:r>
            <w:r>
              <w:rPr>
                <w:rStyle w:val="IndexLink"/>
                <w:rtl w:val="true"/>
              </w:rPr>
              <w:tab/>
            </w:r>
            <w:r>
              <w:rPr>
                <w:rStyle w:val="IndexLink"/>
              </w:rPr>
              <w:t>126</w:t>
            </w:r>
          </w:hyperlink>
        </w:p>
        <w:p>
          <w:pPr>
            <w:pStyle w:val="Contents6"/>
            <w:tabs>
              <w:tab w:val="clear" w:pos="7609"/>
              <w:tab w:val="right" w:pos="9026" w:leader="dot"/>
            </w:tabs>
            <w:rPr/>
          </w:pPr>
          <w:hyperlink w:anchor="__RefHeading___Toc4191849_2142443653">
            <w:r>
              <w:rPr>
                <w:webHidden/>
                <w:rStyle w:val="IndexLink"/>
                <w:rtl w:val="true"/>
              </w:rPr>
              <w:t>الثامن</w:t>
            </w:r>
            <w:r>
              <w:rPr>
                <w:rStyle w:val="IndexLink"/>
                <w:rtl w:val="true"/>
              </w:rPr>
              <w:t xml:space="preserve">: </w:t>
            </w:r>
            <w:r>
              <w:rPr>
                <w:rStyle w:val="IndexLink"/>
                <w:rtl w:val="true"/>
              </w:rPr>
              <w:t>المسكرات،</w:t>
            </w:r>
            <w:r>
              <w:rPr>
                <w:rStyle w:val="IndexLink"/>
                <w:rtl w:val="true"/>
              </w:rPr>
              <w:tab/>
            </w:r>
            <w:r>
              <w:rPr>
                <w:rStyle w:val="IndexLink"/>
              </w:rPr>
              <w:t>127</w:t>
            </w:r>
          </w:hyperlink>
        </w:p>
        <w:p>
          <w:pPr>
            <w:pStyle w:val="Contents6"/>
            <w:tabs>
              <w:tab w:val="clear" w:pos="7609"/>
              <w:tab w:val="right" w:pos="9026" w:leader="dot"/>
            </w:tabs>
            <w:rPr/>
          </w:pPr>
          <w:hyperlink w:anchor="__RefHeading___Toc4191851_2142443653">
            <w:r>
              <w:rPr>
                <w:webHidden/>
                <w:rStyle w:val="IndexLink"/>
                <w:rtl w:val="true"/>
              </w:rPr>
              <w:t>التاسع</w:t>
            </w:r>
            <w:r>
              <w:rPr>
                <w:rStyle w:val="IndexLink"/>
                <w:rtl w:val="true"/>
              </w:rPr>
              <w:t xml:space="preserve">: </w:t>
            </w:r>
            <w:r>
              <w:rPr>
                <w:rStyle w:val="IndexLink"/>
                <w:rtl w:val="true"/>
              </w:rPr>
              <w:t>الفقّاع،</w:t>
            </w:r>
            <w:r>
              <w:rPr>
                <w:rStyle w:val="IndexLink"/>
                <w:rtl w:val="true"/>
              </w:rPr>
              <w:tab/>
            </w:r>
            <w:r>
              <w:rPr>
                <w:rStyle w:val="IndexLink"/>
              </w:rPr>
              <w:t>128</w:t>
            </w:r>
          </w:hyperlink>
        </w:p>
        <w:p>
          <w:pPr>
            <w:pStyle w:val="Contents6"/>
            <w:tabs>
              <w:tab w:val="clear" w:pos="7609"/>
              <w:tab w:val="right" w:pos="9026" w:leader="dot"/>
            </w:tabs>
            <w:rPr/>
          </w:pPr>
          <w:hyperlink w:anchor="__RefHeading___Toc4191853_2142443653">
            <w:r>
              <w:rPr>
                <w:webHidden/>
                <w:rStyle w:val="IndexLink"/>
                <w:rtl w:val="true"/>
              </w:rPr>
              <w:t>العاشر</w:t>
            </w:r>
            <w:r>
              <w:rPr>
                <w:rStyle w:val="IndexLink"/>
                <w:rtl w:val="true"/>
              </w:rPr>
              <w:t xml:space="preserve">: </w:t>
            </w:r>
            <w:r>
              <w:rPr>
                <w:rStyle w:val="IndexLink"/>
                <w:rtl w:val="true"/>
              </w:rPr>
              <w:t>الكافر،</w:t>
            </w:r>
            <w:r>
              <w:rPr>
                <w:rStyle w:val="IndexLink"/>
                <w:rtl w:val="true"/>
              </w:rPr>
              <w:tab/>
            </w:r>
            <w:r>
              <w:rPr>
                <w:rStyle w:val="IndexLink"/>
              </w:rPr>
              <w:t>128</w:t>
            </w:r>
          </w:hyperlink>
        </w:p>
        <w:p>
          <w:pPr>
            <w:pStyle w:val="Contents6"/>
            <w:tabs>
              <w:tab w:val="clear" w:pos="7609"/>
              <w:tab w:val="right" w:pos="9026" w:leader="dot"/>
            </w:tabs>
            <w:rPr/>
          </w:pPr>
          <w:hyperlink w:anchor="__RefHeading___Toc4191855_2142443653">
            <w:r>
              <w:rPr>
                <w:webHidden/>
                <w:rStyle w:val="IndexLink"/>
                <w:rtl w:val="true"/>
              </w:rPr>
              <w:t>مسائل</w:t>
            </w:r>
            <w:r>
              <w:rPr>
                <w:rStyle w:val="IndexLink"/>
                <w:rtl w:val="true"/>
              </w:rPr>
              <w:t>:</w:t>
              <w:tab/>
            </w:r>
            <w:r>
              <w:rPr>
                <w:rStyle w:val="IndexLink"/>
              </w:rPr>
              <w:t>130</w:t>
            </w:r>
          </w:hyperlink>
        </w:p>
        <w:p>
          <w:pPr>
            <w:pStyle w:val="Contents6"/>
            <w:tabs>
              <w:tab w:val="clear" w:pos="7609"/>
              <w:tab w:val="right" w:pos="9026" w:leader="dot"/>
            </w:tabs>
            <w:rPr/>
          </w:pPr>
          <w:hyperlink w:anchor="__RefHeading___Toc4191857_2142443653">
            <w:r>
              <w:rPr>
                <w:webHidden/>
                <w:rStyle w:val="IndexLink"/>
                <w:rtl w:val="true"/>
              </w:rPr>
              <w:t>الاولى</w:t>
            </w:r>
            <w:r>
              <w:rPr>
                <w:rStyle w:val="IndexLink"/>
                <w:rtl w:val="true"/>
              </w:rPr>
              <w:t xml:space="preserve">: </w:t>
            </w:r>
            <w:r>
              <w:rPr>
                <w:rStyle w:val="IndexLink"/>
                <w:rtl w:val="true"/>
              </w:rPr>
              <w:t>لا فرق بين فضلات الناس، و كذا الدم،</w:t>
            </w:r>
            <w:r>
              <w:rPr>
                <w:rStyle w:val="IndexLink"/>
                <w:rtl w:val="true"/>
              </w:rPr>
              <w:tab/>
            </w:r>
            <w:r>
              <w:rPr>
                <w:rStyle w:val="IndexLink"/>
              </w:rPr>
              <w:t>130</w:t>
            </w:r>
          </w:hyperlink>
        </w:p>
        <w:p>
          <w:pPr>
            <w:pStyle w:val="Contents6"/>
            <w:tabs>
              <w:tab w:val="clear" w:pos="7609"/>
              <w:tab w:val="right" w:pos="9026" w:leader="dot"/>
            </w:tabs>
            <w:rPr/>
          </w:pPr>
          <w:hyperlink w:anchor="__RefHeading___Toc4191859_2142443653">
            <w:r>
              <w:rPr>
                <w:webHidden/>
                <w:rStyle w:val="IndexLink"/>
                <w:rtl w:val="true"/>
              </w:rPr>
              <w:t>الثانية طهارة فضلة مأكول اللحم و فضلة غير ذي النفس</w:t>
            </w:r>
            <w:r>
              <w:rPr>
                <w:rStyle w:val="IndexLink"/>
                <w:rtl w:val="true"/>
              </w:rPr>
              <w:tab/>
            </w:r>
            <w:r>
              <w:rPr>
                <w:rStyle w:val="IndexLink"/>
              </w:rPr>
              <w:t>130</w:t>
            </w:r>
          </w:hyperlink>
        </w:p>
        <w:p>
          <w:pPr>
            <w:pStyle w:val="Contents6"/>
            <w:tabs>
              <w:tab w:val="clear" w:pos="7609"/>
              <w:tab w:val="right" w:pos="9026" w:leader="dot"/>
            </w:tabs>
            <w:rPr/>
          </w:pPr>
          <w:hyperlink w:anchor="__RefHeading___Toc4191861_2142443653">
            <w:r>
              <w:rPr>
                <w:webHidden/>
                <w:rStyle w:val="IndexLink"/>
                <w:rtl w:val="true"/>
              </w:rPr>
              <w:t>الثالثة</w:t>
            </w:r>
            <w:r>
              <w:rPr>
                <w:rStyle w:val="IndexLink"/>
                <w:rtl w:val="true"/>
              </w:rPr>
              <w:t xml:space="preserve">: </w:t>
            </w:r>
            <w:r>
              <w:rPr>
                <w:rStyle w:val="IndexLink"/>
                <w:rtl w:val="true"/>
              </w:rPr>
              <w:t>الحب الخارج من المغتذي طاهر ما لم يستحل،</w:t>
            </w:r>
            <w:r>
              <w:rPr>
                <w:rStyle w:val="IndexLink"/>
                <w:rtl w:val="true"/>
              </w:rPr>
              <w:tab/>
            </w:r>
            <w:r>
              <w:rPr>
                <w:rStyle w:val="IndexLink"/>
              </w:rPr>
              <w:t>130</w:t>
            </w:r>
          </w:hyperlink>
        </w:p>
        <w:p>
          <w:pPr>
            <w:pStyle w:val="Contents6"/>
            <w:tabs>
              <w:tab w:val="clear" w:pos="7609"/>
              <w:tab w:val="right" w:pos="9026" w:leader="dot"/>
            </w:tabs>
            <w:rPr/>
          </w:pPr>
          <w:hyperlink w:anchor="__RefHeading___Toc4191863_2142443653">
            <w:r>
              <w:rPr>
                <w:webHidden/>
                <w:rStyle w:val="IndexLink"/>
                <w:rtl w:val="true"/>
              </w:rPr>
              <w:t>الرابعة</w:t>
            </w:r>
            <w:r>
              <w:rPr>
                <w:rStyle w:val="IndexLink"/>
                <w:rtl w:val="true"/>
              </w:rPr>
              <w:t xml:space="preserve">: </w:t>
            </w:r>
            <w:r>
              <w:rPr>
                <w:rStyle w:val="IndexLink"/>
                <w:rtl w:val="true"/>
              </w:rPr>
              <w:t>رطوبة الفرجين طاهرة،</w:t>
            </w:r>
            <w:r>
              <w:rPr>
                <w:rStyle w:val="IndexLink"/>
                <w:rtl w:val="true"/>
              </w:rPr>
              <w:tab/>
            </w:r>
            <w:r>
              <w:rPr>
                <w:rStyle w:val="IndexLink"/>
              </w:rPr>
              <w:t>130</w:t>
            </w:r>
          </w:hyperlink>
        </w:p>
        <w:p>
          <w:pPr>
            <w:pStyle w:val="Contents6"/>
            <w:tabs>
              <w:tab w:val="clear" w:pos="7609"/>
              <w:tab w:val="right" w:pos="9026" w:leader="dot"/>
            </w:tabs>
            <w:rPr/>
          </w:pPr>
          <w:hyperlink w:anchor="__RefHeading___Toc4191865_2142443653">
            <w:r>
              <w:rPr>
                <w:webHidden/>
                <w:rStyle w:val="IndexLink"/>
                <w:rtl w:val="true"/>
              </w:rPr>
              <w:t>الخامسة</w:t>
            </w:r>
            <w:r>
              <w:rPr>
                <w:rStyle w:val="IndexLink"/>
                <w:rtl w:val="true"/>
              </w:rPr>
              <w:t xml:space="preserve">: </w:t>
            </w:r>
            <w:r>
              <w:rPr>
                <w:rStyle w:val="IndexLink"/>
                <w:rtl w:val="true"/>
              </w:rPr>
              <w:t>الإنفحة طاهرة من الميتة و المذبوحة</w:t>
            </w:r>
            <w:r>
              <w:rPr>
                <w:rStyle w:val="IndexLink"/>
                <w:rtl w:val="true"/>
              </w:rPr>
              <w:tab/>
            </w:r>
            <w:r>
              <w:rPr>
                <w:rStyle w:val="IndexLink"/>
              </w:rPr>
              <w:t>130</w:t>
            </w:r>
          </w:hyperlink>
        </w:p>
        <w:p>
          <w:pPr>
            <w:pStyle w:val="Contents6"/>
            <w:tabs>
              <w:tab w:val="clear" w:pos="7609"/>
              <w:tab w:val="right" w:pos="9026" w:leader="dot"/>
            </w:tabs>
            <w:rPr/>
          </w:pPr>
          <w:hyperlink w:anchor="__RefHeading___Toc4191867_2142443653">
            <w:r>
              <w:rPr>
                <w:webHidden/>
                <w:rStyle w:val="IndexLink"/>
                <w:rtl w:val="true"/>
              </w:rPr>
              <w:t>السادسة</w:t>
            </w:r>
            <w:r>
              <w:rPr>
                <w:rStyle w:val="IndexLink"/>
                <w:rtl w:val="true"/>
              </w:rPr>
              <w:t xml:space="preserve">: </w:t>
            </w:r>
            <w:r>
              <w:rPr>
                <w:rStyle w:val="IndexLink"/>
                <w:rtl w:val="true"/>
              </w:rPr>
              <w:t>القيح طاهر، و الصديد</w:t>
            </w:r>
            <w:r>
              <w:rPr>
                <w:rStyle w:val="IndexLink"/>
                <w:rtl w:val="true"/>
              </w:rPr>
              <w:tab/>
            </w:r>
            <w:r>
              <w:rPr>
                <w:rStyle w:val="IndexLink"/>
              </w:rPr>
              <w:t>131</w:t>
            </w:r>
          </w:hyperlink>
        </w:p>
        <w:p>
          <w:pPr>
            <w:pStyle w:val="Contents6"/>
            <w:tabs>
              <w:tab w:val="clear" w:pos="7609"/>
              <w:tab w:val="right" w:pos="9026" w:leader="dot"/>
            </w:tabs>
            <w:rPr/>
          </w:pPr>
          <w:hyperlink w:anchor="__RefHeading___Toc4191869_2142443653">
            <w:r>
              <w:rPr>
                <w:webHidden/>
                <w:rStyle w:val="IndexLink"/>
                <w:rtl w:val="true"/>
              </w:rPr>
              <w:t>السابعة</w:t>
            </w:r>
            <w:r>
              <w:rPr>
                <w:rStyle w:val="IndexLink"/>
                <w:rtl w:val="true"/>
              </w:rPr>
              <w:t xml:space="preserve">: </w:t>
            </w:r>
            <w:r>
              <w:rPr>
                <w:rStyle w:val="IndexLink"/>
                <w:rtl w:val="true"/>
              </w:rPr>
              <w:t>نجاسة الميت ذاتية</w:t>
            </w:r>
            <w:r>
              <w:rPr>
                <w:rStyle w:val="IndexLink"/>
                <w:rtl w:val="true"/>
              </w:rPr>
              <w:tab/>
            </w:r>
            <w:r>
              <w:rPr>
                <w:rStyle w:val="IndexLink"/>
              </w:rPr>
              <w:t>131</w:t>
            </w:r>
          </w:hyperlink>
        </w:p>
        <w:p>
          <w:pPr>
            <w:pStyle w:val="Contents6"/>
            <w:tabs>
              <w:tab w:val="clear" w:pos="7609"/>
              <w:tab w:val="right" w:pos="9026" w:leader="dot"/>
            </w:tabs>
            <w:rPr/>
          </w:pPr>
          <w:hyperlink w:anchor="__RefHeading___Toc4191871_2142443653">
            <w:r>
              <w:rPr>
                <w:webHidden/>
                <w:rStyle w:val="IndexLink"/>
                <w:rtl w:val="true"/>
              </w:rPr>
              <w:t>الثامنة</w:t>
            </w:r>
            <w:r>
              <w:rPr>
                <w:rStyle w:val="IndexLink"/>
                <w:rtl w:val="true"/>
              </w:rPr>
              <w:t xml:space="preserve">: </w:t>
            </w:r>
            <w:r>
              <w:rPr>
                <w:rStyle w:val="IndexLink"/>
                <w:rtl w:val="true"/>
              </w:rPr>
              <w:t>ما لا تحلّه الحياة من الميتة طاهر</w:t>
            </w:r>
            <w:r>
              <w:rPr>
                <w:rStyle w:val="IndexLink"/>
                <w:rtl w:val="true"/>
              </w:rPr>
              <w:tab/>
            </w:r>
            <w:r>
              <w:rPr>
                <w:rStyle w:val="IndexLink"/>
              </w:rPr>
              <w:t>131</w:t>
            </w:r>
          </w:hyperlink>
        </w:p>
        <w:p>
          <w:pPr>
            <w:pStyle w:val="Contents6"/>
            <w:tabs>
              <w:tab w:val="clear" w:pos="7609"/>
              <w:tab w:val="right" w:pos="9026" w:leader="dot"/>
            </w:tabs>
            <w:rPr/>
          </w:pPr>
          <w:hyperlink w:anchor="__RefHeading___Toc4191873_2142443653">
            <w:r>
              <w:rPr>
                <w:webHidden/>
                <w:rStyle w:val="IndexLink"/>
                <w:rtl w:val="true"/>
              </w:rPr>
              <w:t>التاسعة</w:t>
            </w:r>
            <w:r>
              <w:rPr>
                <w:rStyle w:val="IndexLink"/>
                <w:rtl w:val="true"/>
              </w:rPr>
              <w:t xml:space="preserve">: </w:t>
            </w:r>
            <w:r>
              <w:rPr>
                <w:rStyle w:val="IndexLink"/>
                <w:rtl w:val="true"/>
              </w:rPr>
              <w:t>لا ينجس الطعام بموت المتولّد فيه</w:t>
            </w:r>
            <w:r>
              <w:rPr>
                <w:rStyle w:val="IndexLink"/>
                <w:rtl w:val="true"/>
              </w:rPr>
              <w:tab/>
            </w:r>
            <w:r>
              <w:rPr>
                <w:rStyle w:val="IndexLink"/>
              </w:rPr>
              <w:t>131</w:t>
            </w:r>
          </w:hyperlink>
        </w:p>
        <w:p>
          <w:pPr>
            <w:pStyle w:val="Contents6"/>
            <w:tabs>
              <w:tab w:val="clear" w:pos="7609"/>
              <w:tab w:val="right" w:pos="9026" w:leader="dot"/>
            </w:tabs>
            <w:rPr/>
          </w:pPr>
          <w:hyperlink w:anchor="__RefHeading___Toc4191875_2142443653">
            <w:r>
              <w:rPr>
                <w:webHidden/>
                <w:rStyle w:val="IndexLink"/>
                <w:rtl w:val="true"/>
              </w:rPr>
              <w:t>العاشرة</w:t>
            </w:r>
            <w:r>
              <w:rPr>
                <w:rStyle w:val="IndexLink"/>
                <w:rtl w:val="true"/>
              </w:rPr>
              <w:t xml:space="preserve">: </w:t>
            </w:r>
            <w:r>
              <w:rPr>
                <w:rStyle w:val="IndexLink"/>
                <w:rtl w:val="true"/>
              </w:rPr>
              <w:t>الجنين إن حلّ فطاهر، و إلاّ فنجس و إن كان مضغة</w:t>
            </w:r>
            <w:r>
              <w:rPr>
                <w:rStyle w:val="IndexLink"/>
                <w:rtl w:val="true"/>
              </w:rPr>
              <w:t>.</w:t>
              <w:tab/>
            </w:r>
            <w:r>
              <w:rPr>
                <w:rStyle w:val="IndexLink"/>
              </w:rPr>
              <w:t>131</w:t>
            </w:r>
          </w:hyperlink>
        </w:p>
        <w:p>
          <w:pPr>
            <w:pStyle w:val="Contents6"/>
            <w:tabs>
              <w:tab w:val="clear" w:pos="7609"/>
              <w:tab w:val="right" w:pos="9026" w:leader="dot"/>
            </w:tabs>
            <w:rPr/>
          </w:pPr>
          <w:hyperlink w:anchor="__RefHeading___Toc4191877_2142443653">
            <w:r>
              <w:rPr>
                <w:webHidden/>
                <w:rStyle w:val="IndexLink"/>
                <w:rtl w:val="true"/>
              </w:rPr>
              <w:t>الحادية عشرة</w:t>
            </w:r>
            <w:r>
              <w:rPr>
                <w:rStyle w:val="IndexLink"/>
                <w:rtl w:val="true"/>
              </w:rPr>
              <w:t xml:space="preserve">: </w:t>
            </w:r>
            <w:r>
              <w:rPr>
                <w:rStyle w:val="IndexLink"/>
                <w:rtl w:val="true"/>
              </w:rPr>
              <w:t>المسكرات الجامدة بالأصالة طاهرة،</w:t>
            </w:r>
            <w:r>
              <w:rPr>
                <w:rStyle w:val="IndexLink"/>
                <w:rtl w:val="true"/>
              </w:rPr>
              <w:tab/>
            </w:r>
            <w:r>
              <w:rPr>
                <w:rStyle w:val="IndexLink"/>
              </w:rPr>
              <w:t>131</w:t>
            </w:r>
          </w:hyperlink>
        </w:p>
        <w:p>
          <w:pPr>
            <w:pStyle w:val="Contents6"/>
            <w:tabs>
              <w:tab w:val="clear" w:pos="7609"/>
              <w:tab w:val="right" w:pos="9026" w:leader="dot"/>
            </w:tabs>
            <w:rPr/>
          </w:pPr>
          <w:hyperlink w:anchor="__RefHeading___Toc4191879_2142443653">
            <w:r>
              <w:rPr>
                <w:webHidden/>
                <w:rStyle w:val="IndexLink"/>
                <w:rtl w:val="true"/>
              </w:rPr>
              <w:t>الثانية عشرة</w:t>
            </w:r>
            <w:r>
              <w:rPr>
                <w:rStyle w:val="IndexLink"/>
                <w:rtl w:val="true"/>
              </w:rPr>
              <w:t xml:space="preserve">: </w:t>
            </w:r>
            <w:r>
              <w:rPr>
                <w:rStyle w:val="IndexLink"/>
                <w:rtl w:val="true"/>
              </w:rPr>
              <w:t>المتولد من الكلب و الخنزير نجس</w:t>
            </w:r>
            <w:r>
              <w:rPr>
                <w:rStyle w:val="IndexLink"/>
                <w:rtl w:val="true"/>
              </w:rPr>
              <w:tab/>
            </w:r>
            <w:r>
              <w:rPr>
                <w:rStyle w:val="IndexLink"/>
              </w:rPr>
              <w:t>131</w:t>
            </w:r>
          </w:hyperlink>
        </w:p>
        <w:p>
          <w:pPr>
            <w:pStyle w:val="Contents6"/>
            <w:tabs>
              <w:tab w:val="clear" w:pos="7609"/>
              <w:tab w:val="right" w:pos="9026" w:leader="dot"/>
            </w:tabs>
            <w:rPr/>
          </w:pPr>
          <w:hyperlink w:anchor="__RefHeading___Toc4191881_2142443653">
            <w:r>
              <w:rPr>
                <w:webHidden/>
                <w:rStyle w:val="IndexLink"/>
                <w:rtl w:val="true"/>
              </w:rPr>
              <w:t>الثالثة عشرة</w:t>
            </w:r>
            <w:r>
              <w:rPr>
                <w:rStyle w:val="IndexLink"/>
                <w:rtl w:val="true"/>
              </w:rPr>
              <w:t xml:space="preserve">: </w:t>
            </w:r>
            <w:r>
              <w:rPr>
                <w:rStyle w:val="IndexLink"/>
                <w:rtl w:val="true"/>
              </w:rPr>
              <w:t>كلب الماء طاهر</w:t>
            </w:r>
            <w:r>
              <w:rPr>
                <w:rStyle w:val="IndexLink"/>
                <w:rtl w:val="true"/>
              </w:rPr>
              <w:tab/>
            </w:r>
            <w:r>
              <w:rPr>
                <w:rStyle w:val="IndexLink"/>
              </w:rPr>
              <w:t>132</w:t>
            </w:r>
          </w:hyperlink>
        </w:p>
        <w:p>
          <w:pPr>
            <w:pStyle w:val="Contents6"/>
            <w:tabs>
              <w:tab w:val="clear" w:pos="7609"/>
              <w:tab w:val="right" w:pos="9026" w:leader="dot"/>
            </w:tabs>
            <w:rPr/>
          </w:pPr>
          <w:hyperlink w:anchor="__RefHeading___Toc4191883_2142443653">
            <w:r>
              <w:rPr>
                <w:webHidden/>
                <w:rStyle w:val="IndexLink"/>
                <w:rtl w:val="true"/>
              </w:rPr>
              <w:t>الرابعة عشرة</w:t>
            </w:r>
            <w:r>
              <w:rPr>
                <w:rStyle w:val="IndexLink"/>
                <w:rtl w:val="true"/>
              </w:rPr>
              <w:t xml:space="preserve">: </w:t>
            </w:r>
            <w:r>
              <w:rPr>
                <w:rStyle w:val="IndexLink"/>
                <w:rtl w:val="true"/>
              </w:rPr>
              <w:t>ولد الكافرين نجس</w:t>
            </w:r>
            <w:r>
              <w:rPr>
                <w:rStyle w:val="IndexLink"/>
                <w:rtl w:val="true"/>
              </w:rPr>
              <w:t>.</w:t>
              <w:tab/>
            </w:r>
            <w:r>
              <w:rPr>
                <w:rStyle w:val="IndexLink"/>
              </w:rPr>
              <w:t>132</w:t>
            </w:r>
          </w:hyperlink>
        </w:p>
        <w:p>
          <w:pPr>
            <w:pStyle w:val="Contents6"/>
            <w:tabs>
              <w:tab w:val="clear" w:pos="7609"/>
              <w:tab w:val="right" w:pos="9026" w:leader="dot"/>
            </w:tabs>
            <w:rPr/>
          </w:pPr>
          <w:hyperlink w:anchor="__RefHeading___Toc4191885_2142443653">
            <w:r>
              <w:rPr>
                <w:webHidden/>
                <w:rStyle w:val="IndexLink"/>
                <w:rtl w:val="true"/>
              </w:rPr>
              <w:t>الخامسة عشرة</w:t>
            </w:r>
            <w:r>
              <w:rPr>
                <w:rStyle w:val="IndexLink"/>
                <w:rtl w:val="true"/>
              </w:rPr>
              <w:t xml:space="preserve">: </w:t>
            </w:r>
            <w:r>
              <w:rPr>
                <w:rStyle w:val="IndexLink"/>
                <w:rtl w:val="true"/>
              </w:rPr>
              <w:t>آنية المشركين و ما في أيديهم طاهرة مع جهل النجاسة،</w:t>
            </w:r>
            <w:r>
              <w:rPr>
                <w:rStyle w:val="IndexLink"/>
                <w:rtl w:val="true"/>
              </w:rPr>
              <w:tab/>
            </w:r>
            <w:r>
              <w:rPr>
                <w:rStyle w:val="IndexLink"/>
              </w:rPr>
              <w:t>132</w:t>
            </w:r>
          </w:hyperlink>
        </w:p>
        <w:p>
          <w:pPr>
            <w:pStyle w:val="Contents6"/>
            <w:tabs>
              <w:tab w:val="clear" w:pos="7609"/>
              <w:tab w:val="right" w:pos="9026" w:leader="dot"/>
            </w:tabs>
            <w:rPr/>
          </w:pPr>
          <w:hyperlink w:anchor="__RefHeading___Toc4191887_2142443653">
            <w:r>
              <w:rPr>
                <w:webHidden/>
                <w:rStyle w:val="IndexLink"/>
                <w:rtl w:val="true"/>
              </w:rPr>
              <w:t>و يلحق بذلك ما ظن نجاسته و لم يثبت،</w:t>
            </w:r>
            <w:r>
              <w:rPr>
                <w:rStyle w:val="IndexLink"/>
                <w:rtl w:val="true"/>
              </w:rPr>
              <w:tab/>
            </w:r>
            <w:r>
              <w:rPr>
                <w:rStyle w:val="IndexLink"/>
              </w:rPr>
              <w:t>132</w:t>
            </w:r>
          </w:hyperlink>
        </w:p>
        <w:p>
          <w:pPr>
            <w:pStyle w:val="Contents6"/>
            <w:tabs>
              <w:tab w:val="clear" w:pos="7609"/>
              <w:tab w:val="right" w:pos="9026" w:leader="dot"/>
            </w:tabs>
            <w:rPr/>
          </w:pPr>
          <w:hyperlink w:anchor="__RefHeading___Toc4191889_2142443653">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4191891_2142443653">
            <w:r>
              <w:rPr>
                <w:webHidden/>
                <w:rStyle w:val="IndexLink"/>
                <w:rtl w:val="true"/>
              </w:rPr>
              <w:t>أولها</w:t>
            </w:r>
            <w:r>
              <w:rPr>
                <w:rStyle w:val="IndexLink"/>
                <w:rtl w:val="true"/>
              </w:rPr>
              <w:t xml:space="preserve">: </w:t>
            </w:r>
            <w:r>
              <w:rPr>
                <w:rStyle w:val="IndexLink"/>
                <w:rtl w:val="true"/>
              </w:rPr>
              <w:t>ذرق الدجاج غير الجلاّل</w:t>
            </w:r>
            <w:r>
              <w:rPr>
                <w:rStyle w:val="IndexLink"/>
                <w:rtl w:val="true"/>
              </w:rPr>
              <w:tab/>
            </w:r>
            <w:r>
              <w:rPr>
                <w:rStyle w:val="IndexLink"/>
              </w:rPr>
              <w:t>132</w:t>
            </w:r>
          </w:hyperlink>
        </w:p>
        <w:p>
          <w:pPr>
            <w:pStyle w:val="Contents6"/>
            <w:tabs>
              <w:tab w:val="clear" w:pos="7609"/>
              <w:tab w:val="right" w:pos="9026" w:leader="dot"/>
            </w:tabs>
            <w:rPr/>
          </w:pPr>
          <w:hyperlink w:anchor="__RefHeading___Toc4191893_2142443653">
            <w:r>
              <w:rPr>
                <w:webHidden/>
                <w:rStyle w:val="IndexLink"/>
                <w:rtl w:val="true"/>
              </w:rPr>
              <w:t>و ثانيها</w:t>
            </w:r>
            <w:r>
              <w:rPr>
                <w:rStyle w:val="IndexLink"/>
                <w:rtl w:val="true"/>
              </w:rPr>
              <w:t xml:space="preserve">: </w:t>
            </w:r>
            <w:r>
              <w:rPr>
                <w:rStyle w:val="IndexLink"/>
                <w:rtl w:val="true"/>
              </w:rPr>
              <w:t>لبن البنت،</w:t>
            </w:r>
            <w:r>
              <w:rPr>
                <w:rStyle w:val="IndexLink"/>
                <w:rtl w:val="true"/>
              </w:rPr>
              <w:tab/>
            </w:r>
            <w:r>
              <w:rPr>
                <w:rStyle w:val="IndexLink"/>
              </w:rPr>
              <w:t>133</w:t>
            </w:r>
          </w:hyperlink>
        </w:p>
        <w:p>
          <w:pPr>
            <w:pStyle w:val="Contents6"/>
            <w:tabs>
              <w:tab w:val="clear" w:pos="7609"/>
              <w:tab w:val="right" w:pos="9026" w:leader="dot"/>
            </w:tabs>
            <w:rPr/>
          </w:pPr>
          <w:hyperlink w:anchor="__RefHeading___Toc4191895_2142443653">
            <w:r>
              <w:rPr>
                <w:webHidden/>
                <w:rStyle w:val="IndexLink"/>
                <w:rtl w:val="true"/>
              </w:rPr>
              <w:t>و ثالثها</w:t>
            </w:r>
            <w:r>
              <w:rPr>
                <w:rStyle w:val="IndexLink"/>
                <w:rtl w:val="true"/>
              </w:rPr>
              <w:t xml:space="preserve">: </w:t>
            </w:r>
            <w:r>
              <w:rPr>
                <w:rStyle w:val="IndexLink"/>
                <w:rtl w:val="true"/>
              </w:rPr>
              <w:t>القيء،</w:t>
            </w:r>
            <w:r>
              <w:rPr>
                <w:rStyle w:val="IndexLink"/>
                <w:rtl w:val="true"/>
              </w:rPr>
              <w:tab/>
            </w:r>
            <w:r>
              <w:rPr>
                <w:rStyle w:val="IndexLink"/>
              </w:rPr>
              <w:t>133</w:t>
            </w:r>
          </w:hyperlink>
        </w:p>
        <w:p>
          <w:pPr>
            <w:pStyle w:val="Contents6"/>
            <w:tabs>
              <w:tab w:val="clear" w:pos="7609"/>
              <w:tab w:val="right" w:pos="9026" w:leader="dot"/>
            </w:tabs>
            <w:rPr/>
          </w:pPr>
          <w:hyperlink w:anchor="__RefHeading___Toc4191897_2142443653">
            <w:r>
              <w:rPr>
                <w:webHidden/>
                <w:rStyle w:val="IndexLink"/>
                <w:rtl w:val="true"/>
              </w:rPr>
              <w:t>و رابعها</w:t>
            </w:r>
            <w:r>
              <w:rPr>
                <w:rStyle w:val="IndexLink"/>
                <w:rtl w:val="true"/>
              </w:rPr>
              <w:t xml:space="preserve">: </w:t>
            </w:r>
            <w:r>
              <w:rPr>
                <w:rStyle w:val="IndexLink"/>
                <w:rtl w:val="true"/>
              </w:rPr>
              <w:t>عرق الإبل الجلاّلة، و الجنب من الحرام</w:t>
            </w:r>
            <w:r>
              <w:rPr>
                <w:rStyle w:val="IndexLink"/>
                <w:rtl w:val="true"/>
              </w:rPr>
              <w:tab/>
            </w:r>
            <w:r>
              <w:rPr>
                <w:rStyle w:val="IndexLink"/>
              </w:rPr>
              <w:t>133</w:t>
            </w:r>
          </w:hyperlink>
        </w:p>
        <w:p>
          <w:pPr>
            <w:pStyle w:val="Contents6"/>
            <w:tabs>
              <w:tab w:val="clear" w:pos="7609"/>
              <w:tab w:val="right" w:pos="9026" w:leader="dot"/>
            </w:tabs>
            <w:rPr/>
          </w:pPr>
          <w:hyperlink w:anchor="__RefHeading___Toc4191899_2142443653">
            <w:r>
              <w:rPr>
                <w:webHidden/>
                <w:rStyle w:val="IndexLink"/>
                <w:rtl w:val="true"/>
              </w:rPr>
              <w:t>و خامسها</w:t>
            </w:r>
            <w:r>
              <w:rPr>
                <w:rStyle w:val="IndexLink"/>
                <w:rtl w:val="true"/>
              </w:rPr>
              <w:t xml:space="preserve">: </w:t>
            </w:r>
            <w:r>
              <w:rPr>
                <w:rStyle w:val="IndexLink"/>
                <w:rtl w:val="true"/>
              </w:rPr>
              <w:t>المذي</w:t>
            </w:r>
            <w:r>
              <w:rPr>
                <w:rStyle w:val="IndexLink"/>
                <w:rtl w:val="true"/>
              </w:rPr>
              <w:tab/>
            </w:r>
            <w:r>
              <w:rPr>
                <w:rStyle w:val="IndexLink"/>
              </w:rPr>
              <w:t>134</w:t>
            </w:r>
          </w:hyperlink>
        </w:p>
        <w:p>
          <w:pPr>
            <w:pStyle w:val="Contents6"/>
            <w:tabs>
              <w:tab w:val="clear" w:pos="7609"/>
              <w:tab w:val="right" w:pos="9026" w:leader="dot"/>
            </w:tabs>
            <w:rPr/>
          </w:pPr>
          <w:hyperlink w:anchor="__RefHeading___Toc4191901_2142443653">
            <w:r>
              <w:rPr>
                <w:webHidden/>
                <w:rStyle w:val="IndexLink"/>
                <w:rtl w:val="true"/>
              </w:rPr>
              <w:t>في أحكام النجاسات، و فيها بحوث</w:t>
            </w:r>
            <w:r>
              <w:rPr>
                <w:rStyle w:val="IndexLink"/>
                <w:rtl w:val="true"/>
              </w:rPr>
              <w:t>:</w:t>
              <w:tab/>
            </w:r>
            <w:r>
              <w:rPr>
                <w:rStyle w:val="IndexLink"/>
              </w:rPr>
              <w:t>135</w:t>
            </w:r>
          </w:hyperlink>
        </w:p>
        <w:p>
          <w:pPr>
            <w:pStyle w:val="Contents6"/>
            <w:tabs>
              <w:tab w:val="clear" w:pos="7609"/>
              <w:tab w:val="right" w:pos="9026" w:leader="dot"/>
            </w:tabs>
            <w:rPr/>
          </w:pPr>
          <w:hyperlink w:anchor="__RefHeading___Toc4191903_2142443653">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4191905_2142443653">
            <w:r>
              <w:rPr>
                <w:webHidden/>
                <w:rStyle w:val="IndexLink"/>
                <w:rtl w:val="true"/>
              </w:rPr>
              <w:t>الأول</w:t>
            </w:r>
            <w:r>
              <w:rPr>
                <w:rStyle w:val="IndexLink"/>
                <w:rtl w:val="true"/>
              </w:rPr>
              <w:t xml:space="preserve">: </w:t>
            </w:r>
            <w:r>
              <w:rPr>
                <w:rStyle w:val="IndexLink"/>
                <w:rtl w:val="true"/>
              </w:rPr>
              <w:t>يجب ازالة ما عدا الدم عن الثوب و البدن،</w:t>
            </w:r>
            <w:r>
              <w:rPr>
                <w:rStyle w:val="IndexLink"/>
                <w:rtl w:val="true"/>
              </w:rPr>
              <w:tab/>
            </w:r>
            <w:r>
              <w:rPr>
                <w:rStyle w:val="IndexLink"/>
              </w:rPr>
              <w:t>135</w:t>
            </w:r>
          </w:hyperlink>
        </w:p>
        <w:p>
          <w:pPr>
            <w:pStyle w:val="Contents6"/>
            <w:tabs>
              <w:tab w:val="clear" w:pos="7609"/>
              <w:tab w:val="right" w:pos="9026" w:leader="dot"/>
            </w:tabs>
            <w:rPr/>
          </w:pPr>
          <w:hyperlink w:anchor="__RefHeading___Toc4191907_2142443653">
            <w:r>
              <w:rPr>
                <w:webHidden/>
                <w:rStyle w:val="IndexLink"/>
                <w:rtl w:val="true"/>
              </w:rPr>
              <w:t>الثاني</w:t>
            </w:r>
            <w:r>
              <w:rPr>
                <w:rStyle w:val="IndexLink"/>
                <w:rtl w:val="true"/>
              </w:rPr>
              <w:t xml:space="preserve">: </w:t>
            </w:r>
            <w:r>
              <w:rPr>
                <w:rStyle w:val="IndexLink"/>
                <w:rtl w:val="true"/>
              </w:rPr>
              <w:t>انما يطهر بالغسل العددي ما يمكن فصل الغسالة عنه</w:t>
            </w:r>
            <w:r>
              <w:rPr>
                <w:rStyle w:val="IndexLink"/>
                <w:rtl w:val="true"/>
              </w:rPr>
              <w:tab/>
            </w:r>
            <w:r>
              <w:rPr>
                <w:rStyle w:val="IndexLink"/>
              </w:rPr>
              <w:t>136</w:t>
            </w:r>
          </w:hyperlink>
        </w:p>
        <w:p>
          <w:pPr>
            <w:pStyle w:val="Contents6"/>
            <w:tabs>
              <w:tab w:val="clear" w:pos="7609"/>
              <w:tab w:val="right" w:pos="9026" w:leader="dot"/>
            </w:tabs>
            <w:rPr/>
          </w:pPr>
          <w:hyperlink w:anchor="__RefHeading___Toc4191909_2142443653">
            <w:r>
              <w:rPr>
                <w:webHidden/>
                <w:rStyle w:val="IndexLink"/>
                <w:rtl w:val="true"/>
              </w:rPr>
              <w:t>الثالث</w:t>
            </w:r>
            <w:r>
              <w:rPr>
                <w:rStyle w:val="IndexLink"/>
                <w:rtl w:val="true"/>
              </w:rPr>
              <w:t xml:space="preserve">: </w:t>
            </w:r>
            <w:r>
              <w:rPr>
                <w:rStyle w:val="IndexLink"/>
                <w:rtl w:val="true"/>
              </w:rPr>
              <w:t>يكفي الغسل مرة في غير الإناء،</w:t>
            </w:r>
            <w:r>
              <w:rPr>
                <w:rStyle w:val="IndexLink"/>
                <w:rtl w:val="true"/>
              </w:rPr>
              <w:tab/>
            </w:r>
            <w:r>
              <w:rPr>
                <w:rStyle w:val="IndexLink"/>
              </w:rPr>
              <w:t>137</w:t>
            </w:r>
          </w:hyperlink>
        </w:p>
        <w:p>
          <w:pPr>
            <w:pStyle w:val="Contents6"/>
            <w:tabs>
              <w:tab w:val="clear" w:pos="7609"/>
              <w:tab w:val="right" w:pos="9026" w:leader="dot"/>
            </w:tabs>
            <w:rPr/>
          </w:pPr>
          <w:hyperlink w:anchor="__RefHeading___Toc4191911_2142443653">
            <w:r>
              <w:rPr>
                <w:webHidden/>
                <w:rStyle w:val="IndexLink"/>
                <w:rtl w:val="true"/>
              </w:rPr>
              <w:t>الرابع</w:t>
            </w:r>
            <w:r>
              <w:rPr>
                <w:rStyle w:val="IndexLink"/>
                <w:rtl w:val="true"/>
              </w:rPr>
              <w:t xml:space="preserve">: </w:t>
            </w:r>
            <w:r>
              <w:rPr>
                <w:rStyle w:val="IndexLink"/>
                <w:rtl w:val="true"/>
              </w:rPr>
              <w:t>تطهر الأرض و الحصر و البواري بتجفيف الشمس،</w:t>
            </w:r>
            <w:r>
              <w:rPr>
                <w:rStyle w:val="IndexLink"/>
                <w:rtl w:val="true"/>
              </w:rPr>
              <w:tab/>
            </w:r>
            <w:r>
              <w:rPr>
                <w:rStyle w:val="IndexLink"/>
              </w:rPr>
              <w:t>141</w:t>
            </w:r>
          </w:hyperlink>
        </w:p>
        <w:p>
          <w:pPr>
            <w:pStyle w:val="Contents6"/>
            <w:tabs>
              <w:tab w:val="clear" w:pos="7609"/>
              <w:tab w:val="right" w:pos="9026" w:leader="dot"/>
            </w:tabs>
            <w:rPr/>
          </w:pPr>
          <w:hyperlink w:anchor="__RefHeading___Toc4191913_2142443653">
            <w:r>
              <w:rPr>
                <w:webHidden/>
                <w:rStyle w:val="IndexLink"/>
                <w:rtl w:val="true"/>
              </w:rPr>
              <w:t>الخامس</w:t>
            </w:r>
            <w:r>
              <w:rPr>
                <w:rStyle w:val="IndexLink"/>
                <w:rtl w:val="true"/>
              </w:rPr>
              <w:t xml:space="preserve">: </w:t>
            </w:r>
            <w:r>
              <w:rPr>
                <w:rStyle w:val="IndexLink"/>
                <w:rtl w:val="true"/>
              </w:rPr>
              <w:t>يطهر باطن القدم و باطن النعل و الخف بالأرض،</w:t>
            </w:r>
            <w:r>
              <w:rPr>
                <w:rStyle w:val="IndexLink"/>
                <w:rtl w:val="true"/>
              </w:rPr>
              <w:tab/>
            </w:r>
            <w:r>
              <w:rPr>
                <w:rStyle w:val="IndexLink"/>
              </w:rPr>
              <w:t>142</w:t>
            </w:r>
          </w:hyperlink>
        </w:p>
        <w:p>
          <w:pPr>
            <w:pStyle w:val="Contents6"/>
            <w:tabs>
              <w:tab w:val="clear" w:pos="7609"/>
              <w:tab w:val="right" w:pos="9026" w:leader="dot"/>
            </w:tabs>
            <w:rPr/>
          </w:pPr>
          <w:hyperlink w:anchor="__RefHeading___Toc4191915_2142443653">
            <w:r>
              <w:rPr>
                <w:webHidden/>
                <w:rStyle w:val="IndexLink"/>
                <w:rtl w:val="true"/>
              </w:rPr>
              <w:t>السادس</w:t>
            </w:r>
            <w:r>
              <w:rPr>
                <w:rStyle w:val="IndexLink"/>
                <w:rtl w:val="true"/>
              </w:rPr>
              <w:t xml:space="preserve">: </w:t>
            </w:r>
            <w:r>
              <w:rPr>
                <w:rStyle w:val="IndexLink"/>
                <w:rtl w:val="true"/>
              </w:rPr>
              <w:t>لا خلاف في طهارة النّطفة و العلقة و البيضة بصيرورتها حيوانا</w:t>
            </w:r>
            <w:r>
              <w:rPr>
                <w:rStyle w:val="IndexLink"/>
                <w:rtl w:val="true"/>
              </w:rPr>
              <w:t>.</w:t>
              <w:tab/>
            </w:r>
            <w:r>
              <w:rPr>
                <w:rStyle w:val="IndexLink"/>
              </w:rPr>
              <w:t>142</w:t>
            </w:r>
          </w:hyperlink>
        </w:p>
        <w:p>
          <w:pPr>
            <w:pStyle w:val="Contents6"/>
            <w:tabs>
              <w:tab w:val="clear" w:pos="7609"/>
              <w:tab w:val="right" w:pos="9026" w:leader="dot"/>
            </w:tabs>
            <w:rPr/>
          </w:pPr>
          <w:hyperlink w:anchor="__RefHeading___Toc4191917_2142443653">
            <w:r>
              <w:rPr>
                <w:webHidden/>
                <w:rStyle w:val="IndexLink"/>
                <w:rtl w:val="true"/>
              </w:rPr>
              <w:t>السابع</w:t>
            </w:r>
            <w:r>
              <w:rPr>
                <w:rStyle w:val="IndexLink"/>
                <w:rtl w:val="true"/>
              </w:rPr>
              <w:t xml:space="preserve">: </w:t>
            </w:r>
            <w:r>
              <w:rPr>
                <w:rStyle w:val="IndexLink"/>
                <w:rtl w:val="true"/>
              </w:rPr>
              <w:t>تطهر الأرض بما لا ينفعل من الماء بالملاقاة</w:t>
            </w:r>
            <w:r>
              <w:rPr>
                <w:rStyle w:val="IndexLink"/>
                <w:rtl w:val="true"/>
              </w:rPr>
              <w:t>.</w:t>
              <w:tab/>
            </w:r>
            <w:r>
              <w:rPr>
                <w:rStyle w:val="IndexLink"/>
              </w:rPr>
              <w:t>143</w:t>
            </w:r>
          </w:hyperlink>
        </w:p>
        <w:p>
          <w:pPr>
            <w:pStyle w:val="Contents6"/>
            <w:tabs>
              <w:tab w:val="clear" w:pos="7609"/>
              <w:tab w:val="right" w:pos="9026" w:leader="dot"/>
            </w:tabs>
            <w:rPr/>
          </w:pPr>
          <w:hyperlink w:anchor="__RefHeading___Toc4191919_2142443653">
            <w:r>
              <w:rPr>
                <w:webHidden/>
                <w:rStyle w:val="IndexLink"/>
                <w:rtl w:val="true"/>
              </w:rPr>
              <w:t>الثامن</w:t>
            </w:r>
            <w:r>
              <w:rPr>
                <w:rStyle w:val="IndexLink"/>
                <w:rtl w:val="true"/>
              </w:rPr>
              <w:t xml:space="preserve">: </w:t>
            </w:r>
            <w:r>
              <w:rPr>
                <w:rStyle w:val="IndexLink"/>
                <w:rtl w:val="true"/>
              </w:rPr>
              <w:t>لو طهّر بعض الثوب النجس،</w:t>
            </w:r>
            <w:r>
              <w:rPr>
                <w:rStyle w:val="IndexLink"/>
                <w:rtl w:val="true"/>
              </w:rPr>
              <w:tab/>
            </w:r>
            <w:r>
              <w:rPr>
                <w:rStyle w:val="IndexLink"/>
              </w:rPr>
              <w:t>143</w:t>
            </w:r>
          </w:hyperlink>
        </w:p>
        <w:p>
          <w:pPr>
            <w:pStyle w:val="Contents6"/>
            <w:tabs>
              <w:tab w:val="clear" w:pos="7609"/>
              <w:tab w:val="right" w:pos="9026" w:leader="dot"/>
            </w:tabs>
            <w:rPr/>
          </w:pPr>
          <w:hyperlink w:anchor="__RefHeading___Toc4191921_2142443653">
            <w:r>
              <w:rPr>
                <w:webHidden/>
                <w:rStyle w:val="IndexLink"/>
                <w:rtl w:val="true"/>
              </w:rPr>
              <w:t>التاسع</w:t>
            </w:r>
            <w:r>
              <w:rPr>
                <w:rStyle w:val="IndexLink"/>
                <w:rtl w:val="true"/>
              </w:rPr>
              <w:t xml:space="preserve">: </w:t>
            </w:r>
            <w:r>
              <w:rPr>
                <w:rStyle w:val="IndexLink"/>
                <w:rtl w:val="true"/>
              </w:rPr>
              <w:t>لو اشتبه موضع النجاسة غسل كل ما يمكن،</w:t>
            </w:r>
            <w:r>
              <w:rPr>
                <w:rStyle w:val="IndexLink"/>
                <w:rtl w:val="true"/>
              </w:rPr>
              <w:tab/>
            </w:r>
            <w:r>
              <w:rPr>
                <w:rStyle w:val="IndexLink"/>
              </w:rPr>
              <w:t>144</w:t>
            </w:r>
          </w:hyperlink>
        </w:p>
        <w:p>
          <w:pPr>
            <w:pStyle w:val="Contents6"/>
            <w:tabs>
              <w:tab w:val="clear" w:pos="7609"/>
              <w:tab w:val="right" w:pos="9026" w:leader="dot"/>
            </w:tabs>
            <w:rPr/>
          </w:pPr>
          <w:hyperlink w:anchor="__RefHeading___Toc4191923_2142443653">
            <w:r>
              <w:rPr>
                <w:webHidden/>
                <w:rStyle w:val="IndexLink"/>
                <w:rtl w:val="true"/>
              </w:rPr>
              <w:t>العاشر</w:t>
            </w:r>
            <w:r>
              <w:rPr>
                <w:rStyle w:val="IndexLink"/>
                <w:rtl w:val="true"/>
              </w:rPr>
              <w:t xml:space="preserve">: </w:t>
            </w:r>
            <w:r>
              <w:rPr>
                <w:rStyle w:val="IndexLink"/>
                <w:rtl w:val="true"/>
              </w:rPr>
              <w:t>الظاهر</w:t>
            </w:r>
            <w:r>
              <w:rPr>
                <w:rStyle w:val="IndexLink"/>
                <w:rtl w:val="true"/>
              </w:rPr>
              <w:t xml:space="preserve">: </w:t>
            </w:r>
            <w:r>
              <w:rPr>
                <w:rStyle w:val="IndexLink"/>
                <w:rtl w:val="true"/>
              </w:rPr>
              <w:t>اشتراط ورود الماء على النجاسة،</w:t>
            </w:r>
            <w:r>
              <w:rPr>
                <w:rStyle w:val="IndexLink"/>
                <w:rtl w:val="true"/>
              </w:rPr>
              <w:tab/>
            </w:r>
            <w:r>
              <w:rPr>
                <w:rStyle w:val="IndexLink"/>
              </w:rPr>
              <w:t>144</w:t>
            </w:r>
          </w:hyperlink>
        </w:p>
        <w:p>
          <w:pPr>
            <w:pStyle w:val="Contents6"/>
            <w:tabs>
              <w:tab w:val="clear" w:pos="7609"/>
              <w:tab w:val="right" w:pos="9026" w:leader="dot"/>
            </w:tabs>
            <w:rPr/>
          </w:pPr>
          <w:hyperlink w:anchor="__RefHeading___Toc4191925_2142443653">
            <w:r>
              <w:rPr>
                <w:webHidden/>
                <w:rStyle w:val="IndexLink"/>
                <w:rtl w:val="true"/>
              </w:rPr>
              <w:t>الحادي عشر</w:t>
            </w:r>
            <w:r>
              <w:rPr>
                <w:rStyle w:val="IndexLink"/>
                <w:rtl w:val="true"/>
              </w:rPr>
              <w:t xml:space="preserve">: </w:t>
            </w:r>
            <w:r>
              <w:rPr>
                <w:rStyle w:val="IndexLink"/>
                <w:rtl w:val="true"/>
              </w:rPr>
              <w:t>يطهر الكافر بإسلامه إجماعا</w:t>
            </w:r>
            <w:r>
              <w:rPr>
                <w:rStyle w:val="IndexLink"/>
                <w:rtl w:val="true"/>
              </w:rPr>
              <w:tab/>
            </w:r>
            <w:r>
              <w:rPr>
                <w:rStyle w:val="IndexLink"/>
              </w:rPr>
              <w:t>144</w:t>
            </w:r>
          </w:hyperlink>
        </w:p>
        <w:p>
          <w:pPr>
            <w:pStyle w:val="Contents6"/>
            <w:tabs>
              <w:tab w:val="clear" w:pos="7609"/>
              <w:tab w:val="right" w:pos="9026" w:leader="dot"/>
            </w:tabs>
            <w:rPr/>
          </w:pPr>
          <w:hyperlink w:anchor="__RefHeading___Toc4191927_2142443653">
            <w:r>
              <w:rPr>
                <w:webHidden/>
                <w:rStyle w:val="IndexLink"/>
                <w:rtl w:val="true"/>
              </w:rPr>
              <w:t>الثاني عشر</w:t>
            </w:r>
            <w:r>
              <w:rPr>
                <w:rStyle w:val="IndexLink"/>
                <w:rtl w:val="true"/>
              </w:rPr>
              <w:t xml:space="preserve">: </w:t>
            </w:r>
            <w:r>
              <w:rPr>
                <w:rStyle w:val="IndexLink"/>
                <w:rtl w:val="true"/>
              </w:rPr>
              <w:t>يطهر الدم بانتقاله إلى البعوض و البرغوث،</w:t>
            </w:r>
            <w:r>
              <w:rPr>
                <w:rStyle w:val="IndexLink"/>
                <w:rtl w:val="true"/>
              </w:rPr>
              <w:tab/>
            </w:r>
            <w:r>
              <w:rPr>
                <w:rStyle w:val="IndexLink"/>
              </w:rPr>
              <w:t>144</w:t>
            </w:r>
          </w:hyperlink>
        </w:p>
        <w:p>
          <w:pPr>
            <w:pStyle w:val="Contents6"/>
            <w:tabs>
              <w:tab w:val="clear" w:pos="7609"/>
              <w:tab w:val="right" w:pos="9026" w:leader="dot"/>
            </w:tabs>
            <w:rPr/>
          </w:pPr>
          <w:hyperlink w:anchor="__RefHeading___Toc4191929_2142443653">
            <w:r>
              <w:rPr>
                <w:webHidden/>
                <w:rStyle w:val="IndexLink"/>
                <w:rtl w:val="true"/>
              </w:rPr>
              <w:t>الثالث عشر</w:t>
            </w:r>
            <w:r>
              <w:rPr>
                <w:rStyle w:val="IndexLink"/>
                <w:rtl w:val="true"/>
              </w:rPr>
              <w:t xml:space="preserve">: </w:t>
            </w:r>
            <w:r>
              <w:rPr>
                <w:rStyle w:val="IndexLink"/>
                <w:rtl w:val="true"/>
              </w:rPr>
              <w:t xml:space="preserve">طهّر المرتضى الصقيل </w:t>
            </w:r>
            <w:r>
              <w:rPr>
                <w:rStyle w:val="IndexLink"/>
                <w:rtl w:val="true"/>
              </w:rPr>
              <w:t xml:space="preserve">- </w:t>
            </w:r>
            <w:r>
              <w:rPr>
                <w:rStyle w:val="IndexLink"/>
                <w:rtl w:val="true"/>
              </w:rPr>
              <w:t xml:space="preserve">كالسيف و المرآة </w:t>
            </w:r>
            <w:r>
              <w:rPr>
                <w:rStyle w:val="IndexLink"/>
                <w:rtl w:val="true"/>
              </w:rPr>
              <w:t xml:space="preserve">- </w:t>
            </w:r>
            <w:r>
              <w:rPr>
                <w:rStyle w:val="IndexLink"/>
                <w:rtl w:val="true"/>
              </w:rPr>
              <w:t>بالمسح ،</w:t>
            </w:r>
            <w:r>
              <w:rPr>
                <w:rStyle w:val="IndexLink"/>
                <w:rtl w:val="true"/>
              </w:rPr>
              <w:tab/>
            </w:r>
            <w:r>
              <w:rPr>
                <w:rStyle w:val="IndexLink"/>
              </w:rPr>
              <w:t>145</w:t>
            </w:r>
          </w:hyperlink>
        </w:p>
        <w:p>
          <w:pPr>
            <w:pStyle w:val="Contents6"/>
            <w:tabs>
              <w:tab w:val="clear" w:pos="7609"/>
              <w:tab w:val="right" w:pos="9026" w:leader="dot"/>
            </w:tabs>
            <w:rPr/>
          </w:pPr>
          <w:hyperlink w:anchor="__RefHeading___Toc4191931_2142443653">
            <w:r>
              <w:rPr>
                <w:webHidden/>
                <w:rStyle w:val="IndexLink"/>
                <w:rtl w:val="true"/>
              </w:rPr>
              <w:t>الرابع عشر</w:t>
            </w:r>
            <w:r>
              <w:rPr>
                <w:rStyle w:val="IndexLink"/>
                <w:rtl w:val="true"/>
              </w:rPr>
              <w:t xml:space="preserve">: </w:t>
            </w:r>
            <w:r>
              <w:rPr>
                <w:rStyle w:val="IndexLink"/>
                <w:rtl w:val="true"/>
              </w:rPr>
              <w:t xml:space="preserve">روي عن علي </w:t>
            </w:r>
            <w:r>
              <w:rPr>
                <w:rStyle w:val="IndexLink"/>
                <w:rtl w:val="true"/>
              </w:rPr>
              <w:t>(</w:t>
            </w:r>
            <w:r>
              <w:rPr>
                <w:rStyle w:val="IndexLink"/>
                <w:rtl w:val="true"/>
              </w:rPr>
              <w:t>عليه السلام</w:t>
            </w:r>
            <w:r>
              <w:rPr>
                <w:rStyle w:val="IndexLink"/>
                <w:rtl w:val="true"/>
              </w:rPr>
              <w:t>): «</w:t>
            </w:r>
            <w:r>
              <w:rPr>
                <w:rStyle w:val="IndexLink"/>
                <w:rtl w:val="true"/>
              </w:rPr>
              <w:t>لا بأس ان يغسل الدم بالبصاق</w:t>
            </w:r>
            <w:r>
              <w:rPr>
                <w:rStyle w:val="IndexLink"/>
                <w:rtl w:val="true"/>
              </w:rPr>
              <w:t>»</w:t>
              <w:tab/>
            </w:r>
            <w:r>
              <w:rPr>
                <w:rStyle w:val="IndexLink"/>
              </w:rPr>
              <w:t>145</w:t>
            </w:r>
          </w:hyperlink>
        </w:p>
        <w:p>
          <w:pPr>
            <w:pStyle w:val="Contents6"/>
            <w:tabs>
              <w:tab w:val="clear" w:pos="7609"/>
              <w:tab w:val="right" w:pos="9026" w:leader="dot"/>
            </w:tabs>
            <w:rPr/>
          </w:pPr>
          <w:hyperlink w:anchor="__RefHeading___Toc4191933_2142443653">
            <w:r>
              <w:rPr>
                <w:webHidden/>
                <w:rStyle w:val="IndexLink"/>
                <w:rtl w:val="true"/>
              </w:rPr>
              <w:t>الخامس عشر</w:t>
            </w:r>
            <w:r>
              <w:rPr>
                <w:rStyle w:val="IndexLink"/>
                <w:rtl w:val="true"/>
              </w:rPr>
              <w:t xml:space="preserve">: </w:t>
            </w:r>
            <w:r>
              <w:rPr>
                <w:rStyle w:val="IndexLink"/>
                <w:rtl w:val="true"/>
              </w:rPr>
              <w:t>لا تتعدّى النجاسة مع اليبوسة،</w:t>
            </w:r>
            <w:r>
              <w:rPr>
                <w:rStyle w:val="IndexLink"/>
                <w:rtl w:val="true"/>
              </w:rPr>
              <w:tab/>
            </w:r>
            <w:r>
              <w:rPr>
                <w:rStyle w:val="IndexLink"/>
              </w:rPr>
              <w:t>145</w:t>
            </w:r>
          </w:hyperlink>
        </w:p>
        <w:p>
          <w:pPr>
            <w:pStyle w:val="Contents6"/>
            <w:tabs>
              <w:tab w:val="clear" w:pos="7609"/>
              <w:tab w:val="right" w:pos="9026" w:leader="dot"/>
            </w:tabs>
            <w:rPr/>
          </w:pPr>
          <w:hyperlink w:anchor="__RefHeading___Toc4191935_2142443653">
            <w:r>
              <w:rPr>
                <w:webHidden/>
                <w:rStyle w:val="IndexLink"/>
                <w:rtl w:val="true"/>
              </w:rPr>
              <w:t>السادس عشر</w:t>
            </w:r>
            <w:r>
              <w:rPr>
                <w:rStyle w:val="IndexLink"/>
                <w:rtl w:val="true"/>
              </w:rPr>
              <w:t xml:space="preserve">: </w:t>
            </w:r>
            <w:r>
              <w:rPr>
                <w:rStyle w:val="IndexLink"/>
                <w:rtl w:val="true"/>
              </w:rPr>
              <w:t>لا يطهر جلد الميتة بالدباغ،</w:t>
            </w:r>
            <w:r>
              <w:rPr>
                <w:rStyle w:val="IndexLink"/>
                <w:rtl w:val="true"/>
              </w:rPr>
              <w:tab/>
            </w:r>
            <w:r>
              <w:rPr>
                <w:rStyle w:val="IndexLink"/>
              </w:rPr>
              <w:t>146</w:t>
            </w:r>
          </w:hyperlink>
        </w:p>
        <w:p>
          <w:pPr>
            <w:pStyle w:val="Contents6"/>
            <w:tabs>
              <w:tab w:val="clear" w:pos="7609"/>
              <w:tab w:val="right" w:pos="9026" w:leader="dot"/>
            </w:tabs>
            <w:rPr/>
          </w:pPr>
          <w:hyperlink w:anchor="__RefHeading___Toc4191937_2142443653">
            <w:r>
              <w:rPr>
                <w:webHidden/>
                <w:rStyle w:val="IndexLink"/>
                <w:rtl w:val="true"/>
              </w:rPr>
              <w:t>السابع عشر</w:t>
            </w:r>
            <w:r>
              <w:rPr>
                <w:rStyle w:val="IndexLink"/>
                <w:rtl w:val="true"/>
              </w:rPr>
              <w:t xml:space="preserve">: </w:t>
            </w:r>
            <w:r>
              <w:rPr>
                <w:rStyle w:val="IndexLink"/>
                <w:rtl w:val="true"/>
              </w:rPr>
              <w:t>الأصح وقوع الذكاة على الطاهر في حال الحياة كالسباع،</w:t>
            </w:r>
            <w:r>
              <w:rPr>
                <w:rStyle w:val="IndexLink"/>
                <w:rtl w:val="true"/>
              </w:rPr>
              <w:tab/>
            </w:r>
            <w:r>
              <w:rPr>
                <w:rStyle w:val="IndexLink"/>
              </w:rPr>
              <w:t>148</w:t>
            </w:r>
          </w:hyperlink>
        </w:p>
        <w:p>
          <w:pPr>
            <w:pStyle w:val="Contents6"/>
            <w:tabs>
              <w:tab w:val="clear" w:pos="7609"/>
              <w:tab w:val="right" w:pos="9026" w:leader="dot"/>
            </w:tabs>
            <w:rPr/>
          </w:pPr>
          <w:hyperlink w:anchor="__RefHeading___Toc4191939_2142443653">
            <w:r>
              <w:rPr>
                <w:webHidden/>
                <w:rStyle w:val="IndexLink"/>
                <w:rtl w:val="true"/>
              </w:rPr>
              <w:t>الثامن عشر</w:t>
            </w:r>
            <w:r>
              <w:rPr>
                <w:rStyle w:val="IndexLink"/>
                <w:rtl w:val="true"/>
              </w:rPr>
              <w:t xml:space="preserve">: </w:t>
            </w:r>
            <w:r>
              <w:rPr>
                <w:rStyle w:val="IndexLink"/>
                <w:rtl w:val="true"/>
              </w:rPr>
              <w:t>عفي عن الدم في الثوب و البدن عما نقص عن سعة الدرهم الوافي</w:t>
            </w:r>
            <w:r>
              <w:rPr>
                <w:rStyle w:val="IndexLink"/>
                <w:rtl w:val="true"/>
              </w:rPr>
              <w:t>.</w:t>
              <w:tab/>
            </w:r>
            <w:r>
              <w:rPr>
                <w:rStyle w:val="IndexLink"/>
              </w:rPr>
              <w:t>149</w:t>
            </w:r>
          </w:hyperlink>
        </w:p>
        <w:p>
          <w:pPr>
            <w:pStyle w:val="Contents6"/>
            <w:tabs>
              <w:tab w:val="clear" w:pos="7609"/>
              <w:tab w:val="right" w:pos="9026" w:leader="dot"/>
            </w:tabs>
            <w:rPr/>
          </w:pPr>
          <w:hyperlink w:anchor="__RefHeading___Toc4191941_2142443653">
            <w:r>
              <w:rPr>
                <w:webHidden/>
                <w:rStyle w:val="IndexLink"/>
                <w:rtl w:val="true"/>
              </w:rPr>
              <w:t>التاسع عشر</w:t>
            </w:r>
            <w:r>
              <w:rPr>
                <w:rStyle w:val="IndexLink"/>
                <w:rtl w:val="true"/>
              </w:rPr>
              <w:t xml:space="preserve">: </w:t>
            </w:r>
            <w:r>
              <w:rPr>
                <w:rStyle w:val="IndexLink"/>
                <w:rtl w:val="true"/>
              </w:rPr>
              <w:t>لو تعذّر الستر بغير ثوب نجس تعذّر تطهيره،</w:t>
            </w:r>
            <w:r>
              <w:rPr>
                <w:rStyle w:val="IndexLink"/>
                <w:rtl w:val="true"/>
              </w:rPr>
              <w:tab/>
            </w:r>
            <w:r>
              <w:rPr>
                <w:rStyle w:val="IndexLink"/>
              </w:rPr>
              <w:t>152</w:t>
            </w:r>
          </w:hyperlink>
        </w:p>
        <w:p>
          <w:pPr>
            <w:pStyle w:val="Contents6"/>
            <w:tabs>
              <w:tab w:val="clear" w:pos="7609"/>
              <w:tab w:val="right" w:pos="9026" w:leader="dot"/>
            </w:tabs>
            <w:rPr/>
          </w:pPr>
          <w:hyperlink w:anchor="__RefHeading___Toc4191943_2142443653">
            <w:r>
              <w:rPr>
                <w:webHidden/>
                <w:rStyle w:val="IndexLink"/>
                <w:rtl w:val="true"/>
              </w:rPr>
              <w:t>العشرون</w:t>
            </w:r>
            <w:r>
              <w:rPr>
                <w:rStyle w:val="IndexLink"/>
                <w:rtl w:val="true"/>
              </w:rPr>
              <w:t xml:space="preserve">: </w:t>
            </w:r>
            <w:r>
              <w:rPr>
                <w:rStyle w:val="IndexLink"/>
                <w:rtl w:val="true"/>
              </w:rPr>
              <w:t>يعيد المصلّي بنجاسة في بدنه أو ثوبه مع تمكنه</w:t>
            </w:r>
            <w:r>
              <w:rPr>
                <w:rStyle w:val="IndexLink"/>
                <w:rtl w:val="true"/>
              </w:rPr>
              <w:tab/>
            </w:r>
            <w:r>
              <w:rPr>
                <w:rStyle w:val="IndexLink"/>
              </w:rPr>
              <w:t>153</w:t>
            </w:r>
          </w:hyperlink>
        </w:p>
        <w:p>
          <w:pPr>
            <w:pStyle w:val="Contents6"/>
            <w:tabs>
              <w:tab w:val="clear" w:pos="7609"/>
              <w:tab w:val="right" w:pos="9026" w:leader="dot"/>
            </w:tabs>
            <w:rPr/>
          </w:pPr>
          <w:hyperlink w:anchor="__RefHeading___Toc4191945_2142443653">
            <w:r>
              <w:rPr>
                <w:webHidden/>
                <w:rStyle w:val="IndexLink"/>
                <w:rtl w:val="true"/>
              </w:rPr>
              <w:t>الحادي و العشرون</w:t>
            </w:r>
            <w:r>
              <w:rPr>
                <w:rStyle w:val="IndexLink"/>
                <w:rtl w:val="true"/>
              </w:rPr>
              <w:t xml:space="preserve">: </w:t>
            </w:r>
            <w:r>
              <w:rPr>
                <w:rStyle w:val="IndexLink"/>
                <w:rtl w:val="true"/>
              </w:rPr>
              <w:t>قال الفاضل</w:t>
            </w:r>
            <w:r>
              <w:rPr>
                <w:rStyle w:val="IndexLink"/>
                <w:rtl w:val="true"/>
              </w:rPr>
              <w:t xml:space="preserve">: </w:t>
            </w:r>
            <w:r>
              <w:rPr>
                <w:rStyle w:val="IndexLink"/>
                <w:rtl w:val="true"/>
              </w:rPr>
              <w:t>مراتب إيراد الماء ثلاثة</w:t>
            </w:r>
            <w:r>
              <w:rPr>
                <w:rStyle w:val="IndexLink"/>
                <w:rtl w:val="true"/>
              </w:rPr>
              <w:t>:</w:t>
              <w:tab/>
            </w:r>
            <w:r>
              <w:rPr>
                <w:rStyle w:val="IndexLink"/>
              </w:rPr>
              <w:t>155</w:t>
            </w:r>
          </w:hyperlink>
        </w:p>
        <w:p>
          <w:pPr>
            <w:pStyle w:val="Contents6"/>
            <w:tabs>
              <w:tab w:val="clear" w:pos="7609"/>
              <w:tab w:val="right" w:pos="9026" w:leader="dot"/>
            </w:tabs>
            <w:rPr/>
          </w:pPr>
          <w:hyperlink w:anchor="__RefHeading___Toc4191947_2142443653">
            <w:r>
              <w:rPr>
                <w:webHidden/>
                <w:rStyle w:val="IndexLink"/>
                <w:rtl w:val="true"/>
              </w:rPr>
              <w:t>فروع</w:t>
            </w:r>
            <w:r>
              <w:rPr>
                <w:rStyle w:val="IndexLink"/>
                <w:rtl w:val="true"/>
              </w:rPr>
              <w:t>:</w:t>
              <w:tab/>
            </w:r>
            <w:r>
              <w:rPr>
                <w:rStyle w:val="IndexLink"/>
              </w:rPr>
              <w:t>155</w:t>
            </w:r>
          </w:hyperlink>
        </w:p>
        <w:p>
          <w:pPr>
            <w:pStyle w:val="Contents6"/>
            <w:tabs>
              <w:tab w:val="clear" w:pos="7609"/>
              <w:tab w:val="right" w:pos="9026" w:leader="dot"/>
            </w:tabs>
            <w:rPr/>
          </w:pPr>
          <w:hyperlink w:anchor="__RefHeading___Toc4191949_2142443653">
            <w:r>
              <w:rPr>
                <w:webHidden/>
                <w:rStyle w:val="IndexLink"/>
                <w:rtl w:val="true"/>
              </w:rPr>
              <w:t>الأول</w:t>
            </w:r>
            <w:r>
              <w:rPr>
                <w:rStyle w:val="IndexLink"/>
                <w:rtl w:val="true"/>
              </w:rPr>
              <w:t xml:space="preserve">: </w:t>
            </w:r>
            <w:r>
              <w:rPr>
                <w:rStyle w:val="IndexLink"/>
                <w:rtl w:val="true"/>
              </w:rPr>
              <w:t>لو حمل المصلي حيّا طاهرا غير مأكول</w:t>
            </w:r>
            <w:r>
              <w:rPr>
                <w:rStyle w:val="IndexLink"/>
                <w:rtl w:val="true"/>
              </w:rPr>
              <w:tab/>
            </w:r>
            <w:r>
              <w:rPr>
                <w:rStyle w:val="IndexLink"/>
              </w:rPr>
              <w:t>155</w:t>
            </w:r>
          </w:hyperlink>
        </w:p>
        <w:p>
          <w:pPr>
            <w:pStyle w:val="Contents6"/>
            <w:tabs>
              <w:tab w:val="clear" w:pos="7609"/>
              <w:tab w:val="right" w:pos="9026" w:leader="dot"/>
            </w:tabs>
            <w:rPr/>
          </w:pPr>
          <w:hyperlink w:anchor="__RefHeading___Toc4191951_2142443653">
            <w:r>
              <w:rPr>
                <w:webHidden/>
                <w:rStyle w:val="IndexLink"/>
                <w:rtl w:val="true"/>
              </w:rPr>
              <w:t>الثاني</w:t>
            </w:r>
            <w:r>
              <w:rPr>
                <w:rStyle w:val="IndexLink"/>
                <w:rtl w:val="true"/>
              </w:rPr>
              <w:t xml:space="preserve">: </w:t>
            </w:r>
            <w:r>
              <w:rPr>
                <w:rStyle w:val="IndexLink"/>
                <w:rtl w:val="true"/>
              </w:rPr>
              <w:t>لا يضرّ الحبل المشدود في نجاسة</w:t>
            </w:r>
            <w:r>
              <w:rPr>
                <w:rStyle w:val="IndexLink"/>
                <w:rtl w:val="true"/>
              </w:rPr>
              <w:tab/>
            </w:r>
            <w:r>
              <w:rPr>
                <w:rStyle w:val="IndexLink"/>
              </w:rPr>
              <w:t>156</w:t>
            </w:r>
          </w:hyperlink>
        </w:p>
        <w:p>
          <w:pPr>
            <w:pStyle w:val="Contents6"/>
            <w:tabs>
              <w:tab w:val="clear" w:pos="7609"/>
              <w:tab w:val="right" w:pos="9026" w:leader="dot"/>
            </w:tabs>
            <w:rPr/>
          </w:pPr>
          <w:hyperlink w:anchor="__RefHeading___Toc4191953_2142443653">
            <w:r>
              <w:rPr>
                <w:webHidden/>
                <w:rStyle w:val="IndexLink"/>
                <w:rtl w:val="true"/>
              </w:rPr>
              <w:t>الثالث</w:t>
            </w:r>
            <w:r>
              <w:rPr>
                <w:rStyle w:val="IndexLink"/>
                <w:rtl w:val="true"/>
              </w:rPr>
              <w:t xml:space="preserve">: </w:t>
            </w:r>
            <w:r>
              <w:rPr>
                <w:rStyle w:val="IndexLink"/>
                <w:rtl w:val="true"/>
              </w:rPr>
              <w:t>لو جبر بعظم نجس</w:t>
            </w:r>
            <w:r>
              <w:rPr>
                <w:rStyle w:val="IndexLink"/>
                <w:rtl w:val="true"/>
              </w:rPr>
              <w:tab/>
            </w:r>
            <w:r>
              <w:rPr>
                <w:rStyle w:val="IndexLink"/>
              </w:rPr>
              <w:t>156</w:t>
            </w:r>
          </w:hyperlink>
        </w:p>
        <w:p>
          <w:pPr>
            <w:pStyle w:val="Contents6"/>
            <w:tabs>
              <w:tab w:val="clear" w:pos="7609"/>
              <w:tab w:val="right" w:pos="9026" w:leader="dot"/>
            </w:tabs>
            <w:rPr/>
          </w:pPr>
          <w:hyperlink w:anchor="__RefHeading___Toc4191955_2142443653">
            <w:r>
              <w:rPr>
                <w:webHidden/>
                <w:rStyle w:val="IndexLink"/>
                <w:rtl w:val="true"/>
              </w:rPr>
              <w:t>الرابع</w:t>
            </w:r>
            <w:r>
              <w:rPr>
                <w:rStyle w:val="IndexLink"/>
                <w:rtl w:val="true"/>
              </w:rPr>
              <w:t xml:space="preserve">: </w:t>
            </w:r>
            <w:r>
              <w:rPr>
                <w:rStyle w:val="IndexLink"/>
                <w:rtl w:val="true"/>
              </w:rPr>
              <w:t>حكم في المبسوط بنجاسة تراب القبر المختلط بالميت،</w:t>
            </w:r>
            <w:r>
              <w:rPr>
                <w:rStyle w:val="IndexLink"/>
                <w:rtl w:val="true"/>
              </w:rPr>
              <w:tab/>
            </w:r>
            <w:r>
              <w:rPr>
                <w:rStyle w:val="IndexLink"/>
              </w:rPr>
              <w:t>157</w:t>
            </w:r>
          </w:hyperlink>
        </w:p>
        <w:p>
          <w:pPr>
            <w:pStyle w:val="Contents6"/>
            <w:tabs>
              <w:tab w:val="clear" w:pos="7609"/>
              <w:tab w:val="right" w:pos="9026" w:leader="dot"/>
            </w:tabs>
            <w:rPr/>
          </w:pPr>
          <w:hyperlink w:anchor="__RefHeading___Toc4191957_2142443653">
            <w:r>
              <w:rPr>
                <w:webHidden/>
                <w:rStyle w:val="IndexLink"/>
                <w:rtl w:val="true"/>
              </w:rPr>
              <w:t>الخامس</w:t>
            </w:r>
            <w:r>
              <w:rPr>
                <w:rStyle w:val="IndexLink"/>
                <w:rtl w:val="true"/>
              </w:rPr>
              <w:t xml:space="preserve">: </w:t>
            </w:r>
            <w:r>
              <w:rPr>
                <w:rStyle w:val="IndexLink"/>
                <w:rtl w:val="true"/>
              </w:rPr>
              <w:t>لو شرب خمرا أو نجسا أو أكل ميتة غير مضطرّ،</w:t>
            </w:r>
            <w:r>
              <w:rPr>
                <w:rStyle w:val="IndexLink"/>
                <w:rtl w:val="true"/>
              </w:rPr>
              <w:tab/>
            </w:r>
            <w:r>
              <w:rPr>
                <w:rStyle w:val="IndexLink"/>
              </w:rPr>
              <w:t>157</w:t>
            </w:r>
          </w:hyperlink>
        </w:p>
        <w:p>
          <w:pPr>
            <w:pStyle w:val="Contents6"/>
            <w:tabs>
              <w:tab w:val="clear" w:pos="7609"/>
              <w:tab w:val="right" w:pos="9026" w:leader="dot"/>
            </w:tabs>
            <w:rPr/>
          </w:pPr>
          <w:hyperlink w:anchor="__RefHeading___Toc4191959_2142443653">
            <w:r>
              <w:rPr>
                <w:webHidden/>
                <w:rStyle w:val="IndexLink"/>
                <w:rtl w:val="true"/>
              </w:rPr>
              <w:t>خاتمة</w:t>
            </w:r>
            <w:r>
              <w:rPr>
                <w:rStyle w:val="IndexLink"/>
                <w:rtl w:val="true"/>
              </w:rPr>
              <w:t xml:space="preserve">: </w:t>
            </w:r>
            <w:r>
              <w:rPr>
                <w:rStyle w:val="IndexLink"/>
                <w:rtl w:val="true"/>
              </w:rPr>
              <w:t>الآنية خمسة</w:t>
            </w:r>
            <w:r>
              <w:rPr>
                <w:rStyle w:val="IndexLink"/>
                <w:rtl w:val="true"/>
              </w:rPr>
              <w:t>:</w:t>
              <w:tab/>
            </w:r>
            <w:r>
              <w:rPr>
                <w:rStyle w:val="IndexLink"/>
              </w:rPr>
              <w:t>158</w:t>
            </w:r>
          </w:hyperlink>
        </w:p>
        <w:p>
          <w:pPr>
            <w:pStyle w:val="Contents6"/>
            <w:tabs>
              <w:tab w:val="clear" w:pos="7609"/>
              <w:tab w:val="right" w:pos="9026" w:leader="dot"/>
            </w:tabs>
            <w:rPr/>
          </w:pPr>
          <w:hyperlink w:anchor="__RefHeading___Toc4191961_2142443653">
            <w:r>
              <w:rPr>
                <w:webHidden/>
                <w:rStyle w:val="IndexLink"/>
                <w:rtl w:val="true"/>
              </w:rPr>
              <w:t>إحداها</w:t>
            </w:r>
            <w:r>
              <w:rPr>
                <w:rStyle w:val="IndexLink"/>
                <w:rtl w:val="true"/>
              </w:rPr>
              <w:t xml:space="preserve">: </w:t>
            </w:r>
            <w:r>
              <w:rPr>
                <w:rStyle w:val="IndexLink"/>
                <w:rtl w:val="true"/>
              </w:rPr>
              <w:t>المتّخذة من الذهب و الفضة</w:t>
            </w:r>
            <w:r>
              <w:rPr>
                <w:rStyle w:val="IndexLink"/>
                <w:rtl w:val="true"/>
              </w:rPr>
              <w:t>.</w:t>
              <w:tab/>
            </w:r>
            <w:r>
              <w:rPr>
                <w:rStyle w:val="IndexLink"/>
              </w:rPr>
              <w:t>158</w:t>
            </w:r>
          </w:hyperlink>
        </w:p>
        <w:p>
          <w:pPr>
            <w:pStyle w:val="Contents6"/>
            <w:tabs>
              <w:tab w:val="clear" w:pos="7609"/>
              <w:tab w:val="right" w:pos="9026" w:leader="dot"/>
            </w:tabs>
            <w:rPr/>
          </w:pPr>
          <w:hyperlink w:anchor="__RefHeading___Toc4191963_2142443653">
            <w:r>
              <w:rPr>
                <w:webHidden/>
                <w:rStyle w:val="IndexLink"/>
                <w:rtl w:val="true"/>
              </w:rPr>
              <w:t>و ثانيها</w:t>
            </w:r>
            <w:r>
              <w:rPr>
                <w:rStyle w:val="IndexLink"/>
                <w:rtl w:val="true"/>
              </w:rPr>
              <w:t xml:space="preserve">: </w:t>
            </w:r>
            <w:r>
              <w:rPr>
                <w:rStyle w:val="IndexLink"/>
                <w:rtl w:val="true"/>
              </w:rPr>
              <w:t>المتّخذ من غير هذين من المعادن و الجواهر،</w:t>
            </w:r>
            <w:r>
              <w:rPr>
                <w:rStyle w:val="IndexLink"/>
                <w:rtl w:val="true"/>
              </w:rPr>
              <w:tab/>
            </w:r>
            <w:r>
              <w:rPr>
                <w:rStyle w:val="IndexLink"/>
              </w:rPr>
              <w:t>162</w:t>
            </w:r>
          </w:hyperlink>
        </w:p>
        <w:p>
          <w:pPr>
            <w:pStyle w:val="Contents6"/>
            <w:tabs>
              <w:tab w:val="clear" w:pos="7609"/>
              <w:tab w:val="right" w:pos="9026" w:leader="dot"/>
            </w:tabs>
            <w:rPr/>
          </w:pPr>
          <w:hyperlink w:anchor="__RefHeading___Toc4191965_2142443653">
            <w:r>
              <w:rPr>
                <w:webHidden/>
                <w:rStyle w:val="IndexLink"/>
                <w:rtl w:val="true"/>
              </w:rPr>
              <w:t>و ثالثها</w:t>
            </w:r>
            <w:r>
              <w:rPr>
                <w:rStyle w:val="IndexLink"/>
                <w:rtl w:val="true"/>
              </w:rPr>
              <w:t xml:space="preserve">: </w:t>
            </w:r>
            <w:r>
              <w:rPr>
                <w:rStyle w:val="IndexLink"/>
                <w:rtl w:val="true"/>
              </w:rPr>
              <w:t>المتّخذ من العظام،</w:t>
            </w:r>
            <w:r>
              <w:rPr>
                <w:rStyle w:val="IndexLink"/>
                <w:rtl w:val="true"/>
              </w:rPr>
              <w:tab/>
            </w:r>
            <w:r>
              <w:rPr>
                <w:rStyle w:val="IndexLink"/>
              </w:rPr>
              <w:t>162</w:t>
            </w:r>
          </w:hyperlink>
        </w:p>
        <w:p>
          <w:pPr>
            <w:pStyle w:val="Contents6"/>
            <w:tabs>
              <w:tab w:val="clear" w:pos="7609"/>
              <w:tab w:val="right" w:pos="9026" w:leader="dot"/>
            </w:tabs>
            <w:rPr/>
          </w:pPr>
          <w:hyperlink w:anchor="__RefHeading___Toc4191967_2142443653">
            <w:r>
              <w:rPr>
                <w:webHidden/>
                <w:rStyle w:val="IndexLink"/>
                <w:rtl w:val="true"/>
              </w:rPr>
              <w:t>و رابعها</w:t>
            </w:r>
            <w:r>
              <w:rPr>
                <w:rStyle w:val="IndexLink"/>
                <w:rtl w:val="true"/>
              </w:rPr>
              <w:t xml:space="preserve">: </w:t>
            </w:r>
            <w:r>
              <w:rPr>
                <w:rStyle w:val="IndexLink"/>
                <w:rtl w:val="true"/>
              </w:rPr>
              <w:t>المتّخذ من الجلد،</w:t>
            </w:r>
            <w:r>
              <w:rPr>
                <w:rStyle w:val="IndexLink"/>
                <w:rtl w:val="true"/>
              </w:rPr>
              <w:tab/>
            </w:r>
            <w:r>
              <w:rPr>
                <w:rStyle w:val="IndexLink"/>
              </w:rPr>
              <w:t>162</w:t>
            </w:r>
          </w:hyperlink>
        </w:p>
        <w:p>
          <w:pPr>
            <w:pStyle w:val="Contents6"/>
            <w:tabs>
              <w:tab w:val="clear" w:pos="7609"/>
              <w:tab w:val="right" w:pos="9026" w:leader="dot"/>
            </w:tabs>
            <w:rPr/>
          </w:pPr>
          <w:hyperlink w:anchor="__RefHeading___Toc4191969_2142443653">
            <w:r>
              <w:rPr>
                <w:webHidden/>
                <w:rStyle w:val="IndexLink"/>
                <w:rtl w:val="true"/>
              </w:rPr>
              <w:t>و خامسها</w:t>
            </w:r>
            <w:r>
              <w:rPr>
                <w:rStyle w:val="IndexLink"/>
                <w:rtl w:val="true"/>
              </w:rPr>
              <w:t xml:space="preserve">: </w:t>
            </w:r>
            <w:r>
              <w:rPr>
                <w:rStyle w:val="IndexLink"/>
                <w:rtl w:val="true"/>
              </w:rPr>
              <w:t>المتّخذ من غير هذه،</w:t>
            </w:r>
            <w:r>
              <w:rPr>
                <w:rStyle w:val="IndexLink"/>
                <w:rtl w:val="true"/>
              </w:rPr>
              <w:tab/>
            </w:r>
            <w:r>
              <w:rPr>
                <w:rStyle w:val="IndexLink"/>
              </w:rPr>
              <w:t>162</w:t>
            </w:r>
          </w:hyperlink>
        </w:p>
        <w:p>
          <w:pPr>
            <w:pStyle w:val="Contents6"/>
            <w:tabs>
              <w:tab w:val="clear" w:pos="7609"/>
              <w:tab w:val="right" w:pos="9026" w:leader="dot"/>
            </w:tabs>
            <w:rPr/>
          </w:pPr>
          <w:hyperlink w:anchor="__RefHeading___Toc4191971_2142443653">
            <w:r>
              <w:rPr>
                <w:webHidden/>
                <w:rStyle w:val="IndexLink"/>
                <w:rtl w:val="true"/>
              </w:rPr>
              <w:t>و يلحق بذلك النظر في آداب الحمّام و الاستطابة</w:t>
            </w:r>
            <w:r>
              <w:rPr>
                <w:rStyle w:val="IndexLink"/>
                <w:rtl w:val="true"/>
              </w:rPr>
              <w:t>:</w:t>
              <w:tab/>
            </w:r>
            <w:r>
              <w:rPr>
                <w:rStyle w:val="IndexLink"/>
              </w:rPr>
              <w:t>162</w:t>
            </w:r>
          </w:hyperlink>
        </w:p>
        <w:p>
          <w:pPr>
            <w:pStyle w:val="Contents6"/>
            <w:tabs>
              <w:tab w:val="clear" w:pos="7609"/>
              <w:tab w:val="right" w:pos="9026" w:leader="dot"/>
            </w:tabs>
            <w:rPr/>
          </w:pPr>
          <w:hyperlink w:anchor="__RefHeading___Toc4191973_2142443653">
            <w:r>
              <w:rPr>
                <w:webHidden/>
                <w:rStyle w:val="IndexLink"/>
                <w:rtl w:val="true"/>
              </w:rPr>
              <w:t>الأوّل</w:t>
            </w:r>
            <w:r>
              <w:rPr>
                <w:rStyle w:val="IndexLink"/>
                <w:rtl w:val="true"/>
              </w:rPr>
              <w:t xml:space="preserve">: </w:t>
            </w:r>
            <w:r>
              <w:rPr>
                <w:rStyle w:val="IndexLink"/>
                <w:rtl w:val="true"/>
              </w:rPr>
              <w:t>آداب الحمام</w:t>
            </w:r>
            <w:r>
              <w:rPr>
                <w:rStyle w:val="IndexLink"/>
                <w:rtl w:val="true"/>
              </w:rPr>
              <w:tab/>
            </w:r>
            <w:r>
              <w:rPr>
                <w:rStyle w:val="IndexLink"/>
              </w:rPr>
              <w:t>162</w:t>
            </w:r>
          </w:hyperlink>
        </w:p>
        <w:p>
          <w:pPr>
            <w:pStyle w:val="Contents6"/>
            <w:tabs>
              <w:tab w:val="clear" w:pos="7609"/>
              <w:tab w:val="right" w:pos="9026" w:leader="dot"/>
            </w:tabs>
            <w:rPr/>
          </w:pPr>
          <w:hyperlink w:anchor="__RefHeading___Toc4191975_2142443653">
            <w:r>
              <w:rPr>
                <w:webHidden/>
                <w:rStyle w:val="IndexLink"/>
                <w:rtl w:val="true"/>
              </w:rPr>
              <w:t>الثاني</w:t>
            </w:r>
            <w:r>
              <w:rPr>
                <w:rStyle w:val="IndexLink"/>
                <w:rtl w:val="true"/>
              </w:rPr>
              <w:t xml:space="preserve">: </w:t>
            </w:r>
            <w:r>
              <w:rPr>
                <w:rStyle w:val="IndexLink"/>
                <w:rtl w:val="true"/>
              </w:rPr>
              <w:t>في الاستطابة،</w:t>
            </w:r>
            <w:r>
              <w:rPr>
                <w:rStyle w:val="IndexLink"/>
                <w:rtl w:val="true"/>
              </w:rPr>
              <w:tab/>
            </w:r>
            <w:r>
              <w:rPr>
                <w:rStyle w:val="IndexLink"/>
              </w:rPr>
              <w:t>169</w:t>
            </w:r>
          </w:hyperlink>
        </w:p>
        <w:p>
          <w:pPr>
            <w:pStyle w:val="Contents6"/>
            <w:tabs>
              <w:tab w:val="clear" w:pos="7609"/>
              <w:tab w:val="right" w:pos="9026" w:leader="dot"/>
            </w:tabs>
            <w:rPr/>
          </w:pPr>
          <w:hyperlink w:anchor="__RefHeading___Toc4191977_2142443653">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4191979_2142443653">
            <w:r>
              <w:rPr>
                <w:webHidden/>
                <w:rStyle w:val="IndexLink"/>
                <w:rtl w:val="true"/>
              </w:rPr>
              <w:t>الأول</w:t>
            </w:r>
            <w:r>
              <w:rPr>
                <w:rStyle w:val="IndexLink"/>
                <w:rtl w:val="true"/>
              </w:rPr>
              <w:t xml:space="preserve">: </w:t>
            </w:r>
            <w:r>
              <w:rPr>
                <w:rStyle w:val="IndexLink"/>
                <w:rtl w:val="true"/>
              </w:rPr>
              <w:t>المطلقة،</w:t>
            </w:r>
            <w:r>
              <w:rPr>
                <w:rStyle w:val="IndexLink"/>
                <w:rtl w:val="true"/>
              </w:rPr>
              <w:tab/>
            </w:r>
            <w:r>
              <w:rPr>
                <w:rStyle w:val="IndexLink"/>
              </w:rPr>
              <w:t>169</w:t>
            </w:r>
          </w:hyperlink>
        </w:p>
        <w:p>
          <w:pPr>
            <w:pStyle w:val="Contents6"/>
            <w:tabs>
              <w:tab w:val="clear" w:pos="7609"/>
              <w:tab w:val="right" w:pos="9026" w:leader="dot"/>
            </w:tabs>
            <w:rPr/>
          </w:pPr>
          <w:hyperlink w:anchor="__RefHeading___Toc4191981_2142443653">
            <w:r>
              <w:rPr>
                <w:webHidden/>
                <w:rStyle w:val="IndexLink"/>
                <w:rtl w:val="true"/>
              </w:rPr>
              <w:t>النوع الثاني</w:t>
            </w:r>
            <w:r>
              <w:rPr>
                <w:rStyle w:val="IndexLink"/>
                <w:rtl w:val="true"/>
              </w:rPr>
              <w:t xml:space="preserve">: </w:t>
            </w:r>
            <w:r>
              <w:rPr>
                <w:rStyle w:val="IndexLink"/>
                <w:rtl w:val="true"/>
              </w:rPr>
              <w:t>استطابة الخلوة، و فيها مطلبان</w:t>
            </w:r>
            <w:r>
              <w:rPr>
                <w:rStyle w:val="IndexLink"/>
                <w:rtl w:val="true"/>
              </w:rPr>
              <w:t>:</w:t>
              <w:tab/>
            </w:r>
            <w:r>
              <w:rPr>
                <w:rStyle w:val="IndexLink"/>
              </w:rPr>
              <w:t>175</w:t>
            </w:r>
          </w:hyperlink>
        </w:p>
        <w:p>
          <w:pPr>
            <w:pStyle w:val="Contents6"/>
            <w:tabs>
              <w:tab w:val="clear" w:pos="7609"/>
              <w:tab w:val="right" w:pos="9026" w:leader="dot"/>
            </w:tabs>
            <w:rPr/>
          </w:pPr>
          <w:hyperlink w:anchor="__RefHeading___Toc4191983_2142443653">
            <w:r>
              <w:rPr>
                <w:webHidden/>
                <w:rStyle w:val="IndexLink"/>
                <w:rtl w:val="true"/>
              </w:rPr>
              <w:t>المطلب الأول كيفية التخلّي و سننه</w:t>
            </w:r>
            <w:r>
              <w:rPr>
                <w:rStyle w:val="IndexLink"/>
                <w:rtl w:val="true"/>
              </w:rPr>
              <w:tab/>
            </w:r>
            <w:r>
              <w:rPr>
                <w:rStyle w:val="IndexLink"/>
              </w:rPr>
              <w:t>175</w:t>
            </w:r>
          </w:hyperlink>
        </w:p>
        <w:p>
          <w:pPr>
            <w:pStyle w:val="Contents6"/>
            <w:tabs>
              <w:tab w:val="clear" w:pos="7609"/>
              <w:tab w:val="right" w:pos="9026" w:leader="dot"/>
            </w:tabs>
            <w:rPr/>
          </w:pPr>
          <w:hyperlink w:anchor="__RefHeading___Toc4191985_2142443653">
            <w:r>
              <w:rPr>
                <w:webHidden/>
                <w:rStyle w:val="IndexLink"/>
                <w:rtl w:val="true"/>
              </w:rPr>
              <w:t>المطلب الثاني</w:t>
            </w:r>
            <w:r>
              <w:rPr>
                <w:rStyle w:val="IndexLink"/>
                <w:rtl w:val="true"/>
              </w:rPr>
              <w:t xml:space="preserve">: </w:t>
            </w:r>
            <w:r>
              <w:rPr>
                <w:rStyle w:val="IndexLink"/>
                <w:rtl w:val="true"/>
              </w:rPr>
              <w:t>في الاستنجاء</w:t>
            </w:r>
            <w:r>
              <w:rPr>
                <w:rStyle w:val="IndexLink"/>
                <w:rtl w:val="true"/>
              </w:rPr>
              <w:t>.</w:t>
              <w:tab/>
            </w:r>
            <w:r>
              <w:rPr>
                <w:rStyle w:val="IndexLink"/>
              </w:rPr>
              <w:t>182</w:t>
            </w:r>
          </w:hyperlink>
        </w:p>
        <w:p>
          <w:pPr>
            <w:pStyle w:val="Contents6"/>
            <w:tabs>
              <w:tab w:val="clear" w:pos="7609"/>
              <w:tab w:val="right" w:pos="9026" w:leader="dot"/>
            </w:tabs>
            <w:rPr/>
          </w:pPr>
          <w:hyperlink w:anchor="__RefHeading___Toc4191987_2142443653">
            <w:r>
              <w:rPr>
                <w:webHidden/>
                <w:rStyle w:val="IndexLink"/>
                <w:rtl w:val="true"/>
              </w:rPr>
              <w:t>فروع عشرة</w:t>
            </w:r>
            <w:r>
              <w:rPr>
                <w:rStyle w:val="IndexLink"/>
                <w:rtl w:val="true"/>
              </w:rPr>
              <w:t>.</w:t>
              <w:tab/>
            </w:r>
            <w:r>
              <w:rPr>
                <w:rStyle w:val="IndexLink"/>
              </w:rPr>
              <w:t>186</w:t>
            </w:r>
          </w:hyperlink>
        </w:p>
        <w:p>
          <w:pPr>
            <w:pStyle w:val="Contents6"/>
            <w:tabs>
              <w:tab w:val="clear" w:pos="7609"/>
              <w:tab w:val="right" w:pos="9026" w:leader="dot"/>
            </w:tabs>
            <w:rPr/>
          </w:pPr>
          <w:hyperlink w:anchor="__RefHeading___Toc4191989_2142443653">
            <w:r>
              <w:rPr>
                <w:webHidden/>
                <w:rStyle w:val="IndexLink"/>
                <w:rtl w:val="true"/>
              </w:rPr>
              <w:t>الأول</w:t>
            </w:r>
            <w:r>
              <w:rPr>
                <w:rStyle w:val="IndexLink"/>
                <w:rtl w:val="true"/>
              </w:rPr>
              <w:t xml:space="preserve">: </w:t>
            </w:r>
            <w:r>
              <w:rPr>
                <w:rStyle w:val="IndexLink"/>
                <w:rtl w:val="true"/>
              </w:rPr>
              <w:t>تعيّن الماء لو استجمر بنجس مطلقا،</w:t>
            </w:r>
            <w:r>
              <w:rPr>
                <w:rStyle w:val="IndexLink"/>
                <w:rtl w:val="true"/>
              </w:rPr>
              <w:tab/>
            </w:r>
            <w:r>
              <w:rPr>
                <w:rStyle w:val="IndexLink"/>
              </w:rPr>
              <w:t>186</w:t>
            </w:r>
          </w:hyperlink>
        </w:p>
        <w:p>
          <w:pPr>
            <w:pStyle w:val="Contents6"/>
            <w:tabs>
              <w:tab w:val="clear" w:pos="7609"/>
              <w:tab w:val="right" w:pos="9026" w:leader="dot"/>
            </w:tabs>
            <w:rPr/>
          </w:pPr>
          <w:hyperlink w:anchor="__RefHeading___Toc4191991_2142443653">
            <w:r>
              <w:rPr>
                <w:webHidden/>
                <w:rStyle w:val="IndexLink"/>
                <w:rtl w:val="true"/>
              </w:rPr>
              <w:t>الثاني</w:t>
            </w:r>
            <w:r>
              <w:rPr>
                <w:rStyle w:val="IndexLink"/>
                <w:rtl w:val="true"/>
              </w:rPr>
              <w:t xml:space="preserve">: </w:t>
            </w:r>
            <w:r>
              <w:rPr>
                <w:rStyle w:val="IndexLink"/>
                <w:rtl w:val="true"/>
              </w:rPr>
              <w:t>لو خرج الغائط ممتزجا بنجاسة أخرى لم يكف الاستجمار</w:t>
            </w:r>
            <w:r>
              <w:rPr>
                <w:rStyle w:val="IndexLink"/>
                <w:rtl w:val="true"/>
              </w:rPr>
              <w:t>.</w:t>
              <w:tab/>
            </w:r>
            <w:r>
              <w:rPr>
                <w:rStyle w:val="IndexLink"/>
              </w:rPr>
              <w:t>186</w:t>
            </w:r>
          </w:hyperlink>
        </w:p>
        <w:p>
          <w:pPr>
            <w:pStyle w:val="Contents6"/>
            <w:tabs>
              <w:tab w:val="clear" w:pos="7609"/>
              <w:tab w:val="right" w:pos="9026" w:leader="dot"/>
            </w:tabs>
            <w:rPr/>
          </w:pPr>
          <w:hyperlink w:anchor="__RefHeading___Toc4191993_2142443653">
            <w:r>
              <w:rPr>
                <w:webHidden/>
                <w:rStyle w:val="IndexLink"/>
                <w:rtl w:val="true"/>
              </w:rPr>
              <w:t>الثالث</w:t>
            </w:r>
            <w:r>
              <w:rPr>
                <w:rStyle w:val="IndexLink"/>
                <w:rtl w:val="true"/>
              </w:rPr>
              <w:t xml:space="preserve">: </w:t>
            </w:r>
            <w:r>
              <w:rPr>
                <w:rStyle w:val="IndexLink"/>
                <w:rtl w:val="true"/>
              </w:rPr>
              <w:t>يستحب تقديم الاستنجاء على الوضوء،</w:t>
            </w:r>
            <w:r>
              <w:rPr>
                <w:rStyle w:val="IndexLink"/>
                <w:rtl w:val="true"/>
              </w:rPr>
              <w:tab/>
            </w:r>
            <w:r>
              <w:rPr>
                <w:rStyle w:val="IndexLink"/>
              </w:rPr>
              <w:t>186</w:t>
            </w:r>
          </w:hyperlink>
        </w:p>
        <w:p>
          <w:pPr>
            <w:pStyle w:val="Contents6"/>
            <w:tabs>
              <w:tab w:val="clear" w:pos="7609"/>
              <w:tab w:val="right" w:pos="9026" w:leader="dot"/>
            </w:tabs>
            <w:rPr/>
          </w:pPr>
          <w:hyperlink w:anchor="__RefHeading___Toc4191995_2142443653">
            <w:r>
              <w:rPr>
                <w:webHidden/>
                <w:rStyle w:val="IndexLink"/>
                <w:rtl w:val="true"/>
              </w:rPr>
              <w:t>الرابع</w:t>
            </w:r>
            <w:r>
              <w:rPr>
                <w:rStyle w:val="IndexLink"/>
                <w:rtl w:val="true"/>
              </w:rPr>
              <w:t xml:space="preserve">: </w:t>
            </w:r>
            <w:r>
              <w:rPr>
                <w:rStyle w:val="IndexLink"/>
                <w:rtl w:val="true"/>
              </w:rPr>
              <w:t>يجب كشف البشرة على الأغلف ان أمكن،</w:t>
            </w:r>
            <w:r>
              <w:rPr>
                <w:rStyle w:val="IndexLink"/>
                <w:rtl w:val="true"/>
              </w:rPr>
              <w:tab/>
            </w:r>
            <w:r>
              <w:rPr>
                <w:rStyle w:val="IndexLink"/>
              </w:rPr>
              <w:t>186</w:t>
            </w:r>
          </w:hyperlink>
        </w:p>
        <w:p>
          <w:pPr>
            <w:pStyle w:val="Contents6"/>
            <w:tabs>
              <w:tab w:val="clear" w:pos="7609"/>
              <w:tab w:val="right" w:pos="9026" w:leader="dot"/>
            </w:tabs>
            <w:rPr/>
          </w:pPr>
          <w:hyperlink w:anchor="__RefHeading___Toc4191997_2142443653">
            <w:r>
              <w:rPr>
                <w:webHidden/>
                <w:rStyle w:val="IndexLink"/>
                <w:rtl w:val="true"/>
              </w:rPr>
              <w:t>الخامس</w:t>
            </w:r>
            <w:r>
              <w:rPr>
                <w:rStyle w:val="IndexLink"/>
                <w:rtl w:val="true"/>
              </w:rPr>
              <w:t xml:space="preserve">: </w:t>
            </w:r>
            <w:r>
              <w:rPr>
                <w:rStyle w:val="IndexLink"/>
                <w:rtl w:val="true"/>
              </w:rPr>
              <w:t>لو وجد بللا مشتبها بعده،</w:t>
            </w:r>
            <w:r>
              <w:rPr>
                <w:rStyle w:val="IndexLink"/>
                <w:rtl w:val="true"/>
              </w:rPr>
              <w:tab/>
            </w:r>
            <w:r>
              <w:rPr>
                <w:rStyle w:val="IndexLink"/>
              </w:rPr>
              <w:t>186</w:t>
            </w:r>
          </w:hyperlink>
        </w:p>
        <w:p>
          <w:pPr>
            <w:pStyle w:val="Contents6"/>
            <w:tabs>
              <w:tab w:val="clear" w:pos="7609"/>
              <w:tab w:val="right" w:pos="9026" w:leader="dot"/>
            </w:tabs>
            <w:rPr/>
          </w:pPr>
          <w:hyperlink w:anchor="__RefHeading___Toc4191999_2142443653">
            <w:r>
              <w:rPr>
                <w:webHidden/>
                <w:rStyle w:val="IndexLink"/>
                <w:rtl w:val="true"/>
              </w:rPr>
              <w:t>السادس</w:t>
            </w:r>
            <w:r>
              <w:rPr>
                <w:rStyle w:val="IndexLink"/>
                <w:rtl w:val="true"/>
              </w:rPr>
              <w:t xml:space="preserve">: </w:t>
            </w:r>
            <w:r>
              <w:rPr>
                <w:rStyle w:val="IndexLink"/>
                <w:rtl w:val="true"/>
              </w:rPr>
              <w:t>لا ريب في أجزاء ذي الشعب الثلاثة،</w:t>
            </w:r>
            <w:r>
              <w:rPr>
                <w:rStyle w:val="IndexLink"/>
                <w:rtl w:val="true"/>
              </w:rPr>
              <w:tab/>
            </w:r>
            <w:r>
              <w:rPr>
                <w:rStyle w:val="IndexLink"/>
              </w:rPr>
              <w:t>186</w:t>
            </w:r>
          </w:hyperlink>
        </w:p>
        <w:p>
          <w:pPr>
            <w:pStyle w:val="Contents6"/>
            <w:tabs>
              <w:tab w:val="clear" w:pos="7609"/>
              <w:tab w:val="right" w:pos="9026" w:leader="dot"/>
            </w:tabs>
            <w:rPr/>
          </w:pPr>
          <w:hyperlink w:anchor="__RefHeading___Toc4192001_2142443653">
            <w:r>
              <w:rPr>
                <w:webHidden/>
                <w:rStyle w:val="IndexLink"/>
                <w:rtl w:val="true"/>
              </w:rPr>
              <w:t>السابع</w:t>
            </w:r>
            <w:r>
              <w:rPr>
                <w:rStyle w:val="IndexLink"/>
                <w:rtl w:val="true"/>
              </w:rPr>
              <w:t xml:space="preserve">: </w:t>
            </w:r>
            <w:r>
              <w:rPr>
                <w:rStyle w:val="IndexLink"/>
                <w:rtl w:val="true"/>
              </w:rPr>
              <w:t>الخنثى المشكل</w:t>
            </w:r>
            <w:r>
              <w:rPr>
                <w:rStyle w:val="IndexLink"/>
                <w:rtl w:val="true"/>
              </w:rPr>
              <w:tab/>
            </w:r>
            <w:r>
              <w:rPr>
                <w:rStyle w:val="IndexLink"/>
              </w:rPr>
              <w:t>187</w:t>
            </w:r>
          </w:hyperlink>
        </w:p>
        <w:p>
          <w:pPr>
            <w:pStyle w:val="Contents6"/>
            <w:tabs>
              <w:tab w:val="clear" w:pos="7609"/>
              <w:tab w:val="right" w:pos="9026" w:leader="dot"/>
            </w:tabs>
            <w:rPr/>
          </w:pPr>
          <w:hyperlink w:anchor="__RefHeading___Toc4192003_2142443653">
            <w:r>
              <w:rPr>
                <w:webHidden/>
                <w:rStyle w:val="IndexLink"/>
                <w:rtl w:val="true"/>
              </w:rPr>
              <w:t>الثامن</w:t>
            </w:r>
            <w:r>
              <w:rPr>
                <w:rStyle w:val="IndexLink"/>
                <w:rtl w:val="true"/>
              </w:rPr>
              <w:t xml:space="preserve">: </w:t>
            </w:r>
            <w:r>
              <w:rPr>
                <w:rStyle w:val="IndexLink"/>
                <w:rtl w:val="true"/>
              </w:rPr>
              <w:t>لا فرق في عدم غسل الباطن بين الرجل و المرأة، بكرا أو ثيّبا</w:t>
            </w:r>
            <w:r>
              <w:rPr>
                <w:rStyle w:val="IndexLink"/>
                <w:rtl w:val="true"/>
              </w:rPr>
              <w:t>.</w:t>
              <w:tab/>
            </w:r>
            <w:r>
              <w:rPr>
                <w:rStyle w:val="IndexLink"/>
              </w:rPr>
              <w:t>187</w:t>
            </w:r>
          </w:hyperlink>
        </w:p>
        <w:p>
          <w:pPr>
            <w:pStyle w:val="Contents6"/>
            <w:tabs>
              <w:tab w:val="clear" w:pos="7609"/>
              <w:tab w:val="right" w:pos="9026" w:leader="dot"/>
            </w:tabs>
            <w:rPr/>
          </w:pPr>
          <w:hyperlink w:anchor="__RefHeading___Toc4192005_2142443653">
            <w:r>
              <w:rPr>
                <w:webHidden/>
                <w:rStyle w:val="IndexLink"/>
                <w:rtl w:val="true"/>
              </w:rPr>
              <w:t>التاسع</w:t>
            </w:r>
            <w:r>
              <w:rPr>
                <w:rStyle w:val="IndexLink"/>
                <w:rtl w:val="true"/>
              </w:rPr>
              <w:t xml:space="preserve">: </w:t>
            </w:r>
            <w:r>
              <w:rPr>
                <w:rStyle w:val="IndexLink"/>
                <w:rtl w:val="true"/>
              </w:rPr>
              <w:t>من المحترم ما كتب عليه قرآن، أو فقه، أو حديث</w:t>
            </w:r>
            <w:r>
              <w:rPr>
                <w:rStyle w:val="IndexLink"/>
                <w:rtl w:val="true"/>
              </w:rPr>
              <w:t>.</w:t>
              <w:tab/>
            </w:r>
            <w:r>
              <w:rPr>
                <w:rStyle w:val="IndexLink"/>
              </w:rPr>
              <w:t>187</w:t>
            </w:r>
          </w:hyperlink>
        </w:p>
        <w:p>
          <w:pPr>
            <w:pStyle w:val="Contents6"/>
            <w:tabs>
              <w:tab w:val="clear" w:pos="7609"/>
              <w:tab w:val="right" w:pos="9026" w:leader="dot"/>
            </w:tabs>
            <w:rPr/>
          </w:pPr>
          <w:hyperlink w:anchor="__RefHeading___Toc4192007_2142443653">
            <w:r>
              <w:rPr>
                <w:webHidden/>
                <w:rStyle w:val="IndexLink"/>
                <w:rtl w:val="true"/>
              </w:rPr>
              <w:t>العاشر</w:t>
            </w:r>
            <w:r>
              <w:rPr>
                <w:rStyle w:val="IndexLink"/>
                <w:rtl w:val="true"/>
              </w:rPr>
              <w:t xml:space="preserve">: </w:t>
            </w:r>
            <w:r>
              <w:rPr>
                <w:rStyle w:val="IndexLink"/>
                <w:rtl w:val="true"/>
              </w:rPr>
              <w:t>لو قلنا في المحترم بعدم الاجزاء،</w:t>
            </w:r>
            <w:r>
              <w:rPr>
                <w:rStyle w:val="IndexLink"/>
                <w:rtl w:val="true"/>
              </w:rPr>
              <w:tab/>
            </w:r>
            <w:r>
              <w:rPr>
                <w:rStyle w:val="IndexLink"/>
              </w:rPr>
              <w:t>187</w:t>
            </w:r>
          </w:hyperlink>
        </w:p>
        <w:p>
          <w:pPr>
            <w:pStyle w:val="Contents6"/>
            <w:tabs>
              <w:tab w:val="clear" w:pos="7609"/>
              <w:tab w:val="right" w:pos="9026" w:leader="dot"/>
            </w:tabs>
            <w:rPr/>
          </w:pPr>
          <w:hyperlink w:anchor="__RefHeading___Toc4192009_2142443653">
            <w:r>
              <w:rPr>
                <w:webHidden/>
                <w:rStyle w:val="IndexLink"/>
                <w:rtl w:val="true"/>
              </w:rPr>
              <w:t>الفصل الثاني</w:t>
            </w:r>
            <w:r>
              <w:rPr>
                <w:rStyle w:val="IndexLink"/>
                <w:rtl w:val="true"/>
              </w:rPr>
              <w:t xml:space="preserve">: </w:t>
            </w:r>
            <w:r>
              <w:rPr>
                <w:rStyle w:val="IndexLink"/>
                <w:rtl w:val="true"/>
              </w:rPr>
              <w:t>المستعمل الاضطراري</w:t>
            </w:r>
            <w:r>
              <w:rPr>
                <w:rStyle w:val="IndexLink"/>
                <w:rtl w:val="true"/>
              </w:rPr>
              <w:t>.</w:t>
              <w:tab/>
            </w:r>
            <w:r>
              <w:rPr>
                <w:rStyle w:val="IndexLink"/>
              </w:rPr>
              <w:t>190</w:t>
            </w:r>
          </w:hyperlink>
        </w:p>
        <w:p>
          <w:pPr>
            <w:pStyle w:val="Contents6"/>
            <w:tabs>
              <w:tab w:val="clear" w:pos="7609"/>
              <w:tab w:val="right" w:pos="9026" w:leader="dot"/>
            </w:tabs>
            <w:rPr/>
          </w:pPr>
          <w:hyperlink w:anchor="__RefHeading___Toc4192011_2142443653">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4192013_2142443653">
            <w:r>
              <w:rPr>
                <w:webHidden/>
                <w:rStyle w:val="IndexLink"/>
                <w:rtl w:val="true"/>
              </w:rPr>
              <w:t>المطلب الأول</w:t>
            </w:r>
            <w:r>
              <w:rPr>
                <w:rStyle w:val="IndexLink"/>
                <w:rtl w:val="true"/>
              </w:rPr>
              <w:t xml:space="preserve">: </w:t>
            </w:r>
            <w:r>
              <w:rPr>
                <w:rStyle w:val="IndexLink"/>
                <w:rtl w:val="true"/>
              </w:rPr>
              <w:t>الصعيد</w:t>
            </w:r>
            <w:r>
              <w:rPr>
                <w:rStyle w:val="IndexLink"/>
                <w:rtl w:val="true"/>
              </w:rPr>
              <w:t>:</w:t>
              <w:tab/>
            </w:r>
            <w:r>
              <w:rPr>
                <w:rStyle w:val="IndexLink"/>
              </w:rPr>
              <w:t>190</w:t>
            </w:r>
          </w:hyperlink>
        </w:p>
        <w:p>
          <w:pPr>
            <w:pStyle w:val="Contents6"/>
            <w:tabs>
              <w:tab w:val="clear" w:pos="7609"/>
              <w:tab w:val="right" w:pos="9026" w:leader="dot"/>
            </w:tabs>
            <w:rPr/>
          </w:pPr>
          <w:hyperlink w:anchor="__RefHeading___Toc4192015_2142443653">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4192017_2142443653">
            <w:r>
              <w:rPr>
                <w:webHidden/>
                <w:rStyle w:val="IndexLink"/>
                <w:rtl w:val="true"/>
              </w:rPr>
              <w:t>فروع</w:t>
            </w:r>
            <w:r>
              <w:rPr>
                <w:rStyle w:val="IndexLink"/>
                <w:rtl w:val="true"/>
              </w:rPr>
              <w:t>:</w:t>
              <w:tab/>
            </w:r>
            <w:r>
              <w:rPr>
                <w:rStyle w:val="IndexLink"/>
              </w:rPr>
              <w:t>192</w:t>
            </w:r>
          </w:hyperlink>
        </w:p>
        <w:p>
          <w:pPr>
            <w:pStyle w:val="Contents6"/>
            <w:tabs>
              <w:tab w:val="clear" w:pos="7609"/>
              <w:tab w:val="right" w:pos="9026" w:leader="dot"/>
            </w:tabs>
            <w:rPr/>
          </w:pPr>
          <w:hyperlink w:anchor="__RefHeading___Toc4192019_2142443653">
            <w:r>
              <w:rPr>
                <w:webHidden/>
                <w:rStyle w:val="IndexLink"/>
                <w:rtl w:val="true"/>
              </w:rPr>
              <w:t xml:space="preserve">الأول يجب شراء التراب </w:t>
            </w:r>
            <w:r>
              <w:rPr>
                <w:rStyle w:val="IndexLink"/>
                <w:rtl w:val="true"/>
              </w:rPr>
              <w:t xml:space="preserve">- </w:t>
            </w:r>
            <w:r>
              <w:rPr>
                <w:rStyle w:val="IndexLink"/>
                <w:rtl w:val="true"/>
              </w:rPr>
              <w:t xml:space="preserve">كالماء </w:t>
            </w:r>
            <w:r>
              <w:rPr>
                <w:rStyle w:val="IndexLink"/>
                <w:rtl w:val="true"/>
              </w:rPr>
              <w:t xml:space="preserve">- </w:t>
            </w:r>
            <w:r>
              <w:rPr>
                <w:rStyle w:val="IndexLink"/>
                <w:rtl w:val="true"/>
              </w:rPr>
              <w:t>أو استئجاره</w:t>
            </w:r>
            <w:r>
              <w:rPr>
                <w:rStyle w:val="IndexLink"/>
                <w:rtl w:val="true"/>
              </w:rPr>
              <w:t>.</w:t>
              <w:tab/>
            </w:r>
            <w:r>
              <w:rPr>
                <w:rStyle w:val="IndexLink"/>
              </w:rPr>
              <w:t>192</w:t>
            </w:r>
          </w:hyperlink>
        </w:p>
        <w:p>
          <w:pPr>
            <w:pStyle w:val="Contents6"/>
            <w:tabs>
              <w:tab w:val="clear" w:pos="7609"/>
              <w:tab w:val="right" w:pos="9026" w:leader="dot"/>
            </w:tabs>
            <w:rPr/>
          </w:pPr>
          <w:hyperlink w:anchor="__RefHeading___Toc4192021_2142443653">
            <w:r>
              <w:rPr>
                <w:webHidden/>
                <w:rStyle w:val="IndexLink"/>
                <w:rtl w:val="true"/>
              </w:rPr>
              <w:t>الثاني</w:t>
            </w:r>
            <w:r>
              <w:rPr>
                <w:rStyle w:val="IndexLink"/>
                <w:rtl w:val="true"/>
              </w:rPr>
              <w:t xml:space="preserve">: </w:t>
            </w:r>
            <w:r>
              <w:rPr>
                <w:rStyle w:val="IndexLink"/>
                <w:rtl w:val="true"/>
              </w:rPr>
              <w:t>يجوز على جدار الغير و بأرضه،</w:t>
            </w:r>
            <w:r>
              <w:rPr>
                <w:rStyle w:val="IndexLink"/>
                <w:rtl w:val="true"/>
              </w:rPr>
              <w:tab/>
            </w:r>
            <w:r>
              <w:rPr>
                <w:rStyle w:val="IndexLink"/>
              </w:rPr>
              <w:t>193</w:t>
            </w:r>
          </w:hyperlink>
        </w:p>
        <w:p>
          <w:pPr>
            <w:pStyle w:val="Contents6"/>
            <w:tabs>
              <w:tab w:val="clear" w:pos="7609"/>
              <w:tab w:val="right" w:pos="9026" w:leader="dot"/>
            </w:tabs>
            <w:rPr/>
          </w:pPr>
          <w:hyperlink w:anchor="__RefHeading___Toc4192023_2142443653">
            <w:r>
              <w:rPr>
                <w:webHidden/>
                <w:rStyle w:val="IndexLink"/>
                <w:rtl w:val="true"/>
              </w:rPr>
              <w:t>الثالث</w:t>
            </w:r>
            <w:r>
              <w:rPr>
                <w:rStyle w:val="IndexLink"/>
                <w:rtl w:val="true"/>
              </w:rPr>
              <w:t xml:space="preserve">: </w:t>
            </w:r>
            <w:r>
              <w:rPr>
                <w:rStyle w:val="IndexLink"/>
                <w:rtl w:val="true"/>
              </w:rPr>
              <w:t>لو مزج بالصعيد ماء مضاف و غلب التراب،</w:t>
            </w:r>
            <w:r>
              <w:rPr>
                <w:rStyle w:val="IndexLink"/>
                <w:rtl w:val="true"/>
              </w:rPr>
              <w:tab/>
            </w:r>
            <w:r>
              <w:rPr>
                <w:rStyle w:val="IndexLink"/>
              </w:rPr>
              <w:t>193</w:t>
            </w:r>
          </w:hyperlink>
        </w:p>
        <w:p>
          <w:pPr>
            <w:pStyle w:val="Contents6"/>
            <w:tabs>
              <w:tab w:val="clear" w:pos="7609"/>
              <w:tab w:val="right" w:pos="9026" w:leader="dot"/>
            </w:tabs>
            <w:rPr/>
          </w:pPr>
          <w:hyperlink w:anchor="__RefHeading___Toc4192025_2142443653">
            <w:r>
              <w:rPr>
                <w:webHidden/>
                <w:rStyle w:val="IndexLink"/>
                <w:rtl w:val="true"/>
              </w:rPr>
              <w:t>الرابع</w:t>
            </w:r>
            <w:r>
              <w:rPr>
                <w:rStyle w:val="IndexLink"/>
                <w:rtl w:val="true"/>
              </w:rPr>
              <w:t xml:space="preserve">: </w:t>
            </w:r>
            <w:r>
              <w:rPr>
                <w:rStyle w:val="IndexLink"/>
                <w:rtl w:val="true"/>
              </w:rPr>
              <w:t>لو أمكن تجفيف الوحل وجب،</w:t>
            </w:r>
            <w:r>
              <w:rPr>
                <w:rStyle w:val="IndexLink"/>
                <w:rtl w:val="true"/>
              </w:rPr>
              <w:tab/>
            </w:r>
            <w:r>
              <w:rPr>
                <w:rStyle w:val="IndexLink"/>
              </w:rPr>
              <w:t>193</w:t>
            </w:r>
          </w:hyperlink>
        </w:p>
        <w:p>
          <w:pPr>
            <w:pStyle w:val="Contents6"/>
            <w:tabs>
              <w:tab w:val="clear" w:pos="7609"/>
              <w:tab w:val="right" w:pos="9026" w:leader="dot"/>
            </w:tabs>
            <w:rPr/>
          </w:pPr>
          <w:hyperlink w:anchor="__RefHeading___Toc4192027_2142443653">
            <w:r>
              <w:rPr>
                <w:webHidden/>
                <w:rStyle w:val="IndexLink"/>
                <w:rtl w:val="true"/>
              </w:rPr>
              <w:t>الخامس</w:t>
            </w:r>
            <w:r>
              <w:rPr>
                <w:rStyle w:val="IndexLink"/>
                <w:rtl w:val="true"/>
              </w:rPr>
              <w:t xml:space="preserve">: </w:t>
            </w:r>
            <w:r>
              <w:rPr>
                <w:rStyle w:val="IndexLink"/>
                <w:rtl w:val="true"/>
              </w:rPr>
              <w:t>الترتيب بين الغبار و الوحل</w:t>
            </w:r>
            <w:r>
              <w:rPr>
                <w:rStyle w:val="IndexLink"/>
                <w:rtl w:val="true"/>
              </w:rPr>
              <w:tab/>
            </w:r>
            <w:r>
              <w:rPr>
                <w:rStyle w:val="IndexLink"/>
              </w:rPr>
              <w:t>193</w:t>
            </w:r>
          </w:hyperlink>
        </w:p>
        <w:p>
          <w:pPr>
            <w:pStyle w:val="Contents6"/>
            <w:tabs>
              <w:tab w:val="clear" w:pos="7609"/>
              <w:tab w:val="right" w:pos="9026" w:leader="dot"/>
            </w:tabs>
            <w:rPr/>
          </w:pPr>
          <w:hyperlink w:anchor="__RefHeading___Toc4192029_2142443653">
            <w:r>
              <w:rPr>
                <w:webHidden/>
                <w:rStyle w:val="IndexLink"/>
                <w:rtl w:val="true"/>
              </w:rPr>
              <w:t>السادس</w:t>
            </w:r>
            <w:r>
              <w:rPr>
                <w:rStyle w:val="IndexLink"/>
                <w:rtl w:val="true"/>
              </w:rPr>
              <w:t xml:space="preserve">: </w:t>
            </w:r>
            <w:r>
              <w:rPr>
                <w:rStyle w:val="IndexLink"/>
                <w:rtl w:val="true"/>
              </w:rPr>
              <w:t>ظاهر المرتضى و ابن الجنيد التيمّم بالثلج</w:t>
            </w:r>
            <w:r>
              <w:rPr>
                <w:rStyle w:val="IndexLink"/>
                <w:rtl w:val="true"/>
              </w:rPr>
              <w:tab/>
            </w:r>
            <w:r>
              <w:rPr>
                <w:rStyle w:val="IndexLink"/>
              </w:rPr>
              <w:t>193</w:t>
            </w:r>
          </w:hyperlink>
        </w:p>
        <w:p>
          <w:pPr>
            <w:pStyle w:val="Contents6"/>
            <w:tabs>
              <w:tab w:val="clear" w:pos="7609"/>
              <w:tab w:val="right" w:pos="9026" w:leader="dot"/>
            </w:tabs>
            <w:rPr/>
          </w:pPr>
          <w:hyperlink w:anchor="__RefHeading___Toc4192031_2142443653">
            <w:r>
              <w:rPr>
                <w:webHidden/>
                <w:rStyle w:val="IndexLink"/>
                <w:rtl w:val="true"/>
              </w:rPr>
              <w:t>المطلب الثاني</w:t>
            </w:r>
            <w:r>
              <w:rPr>
                <w:rStyle w:val="IndexLink"/>
                <w:rtl w:val="true"/>
              </w:rPr>
              <w:t xml:space="preserve">: </w:t>
            </w:r>
            <w:r>
              <w:rPr>
                <w:rStyle w:val="IndexLink"/>
                <w:rtl w:val="true"/>
              </w:rPr>
              <w:t>في مسوّغة</w:t>
            </w:r>
            <w:r>
              <w:rPr>
                <w:rStyle w:val="IndexLink"/>
                <w:rtl w:val="true"/>
              </w:rPr>
              <w:t>.</w:t>
              <w:tab/>
            </w:r>
            <w:r>
              <w:rPr>
                <w:rStyle w:val="IndexLink"/>
              </w:rPr>
              <w:t>195</w:t>
            </w:r>
          </w:hyperlink>
        </w:p>
        <w:p>
          <w:pPr>
            <w:pStyle w:val="Contents6"/>
            <w:tabs>
              <w:tab w:val="clear" w:pos="7609"/>
              <w:tab w:val="right" w:pos="9026" w:leader="dot"/>
            </w:tabs>
            <w:rPr/>
          </w:pPr>
          <w:hyperlink w:anchor="__RefHeading___Toc4192033_2142443653">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4192035_2142443653">
            <w:r>
              <w:rPr>
                <w:webHidden/>
                <w:rStyle w:val="IndexLink"/>
                <w:rtl w:val="true"/>
              </w:rPr>
              <w:t>أحدها</w:t>
            </w:r>
            <w:r>
              <w:rPr>
                <w:rStyle w:val="IndexLink"/>
                <w:rtl w:val="true"/>
              </w:rPr>
              <w:t xml:space="preserve">: </w:t>
            </w:r>
            <w:r>
              <w:rPr>
                <w:rStyle w:val="IndexLink"/>
                <w:rtl w:val="true"/>
              </w:rPr>
              <w:t>عدم وجوده،</w:t>
            </w:r>
            <w:r>
              <w:rPr>
                <w:rStyle w:val="IndexLink"/>
                <w:rtl w:val="true"/>
              </w:rPr>
              <w:tab/>
            </w:r>
            <w:r>
              <w:rPr>
                <w:rStyle w:val="IndexLink"/>
              </w:rPr>
              <w:t>195</w:t>
            </w:r>
          </w:hyperlink>
        </w:p>
        <w:p>
          <w:pPr>
            <w:pStyle w:val="Contents6"/>
            <w:tabs>
              <w:tab w:val="clear" w:pos="7609"/>
              <w:tab w:val="right" w:pos="9026" w:leader="dot"/>
            </w:tabs>
            <w:rPr/>
          </w:pPr>
          <w:hyperlink w:anchor="__RefHeading___Toc4192037_2142443653">
            <w:r>
              <w:rPr>
                <w:webHidden/>
                <w:rStyle w:val="IndexLink"/>
                <w:rtl w:val="true"/>
              </w:rPr>
              <w:t>و ثانيها</w:t>
            </w:r>
            <w:r>
              <w:rPr>
                <w:rStyle w:val="IndexLink"/>
                <w:rtl w:val="true"/>
              </w:rPr>
              <w:t xml:space="preserve">: </w:t>
            </w:r>
            <w:r>
              <w:rPr>
                <w:rStyle w:val="IndexLink"/>
                <w:rtl w:val="true"/>
              </w:rPr>
              <w:t>عدم وصلته، لفقد ثمنه</w:t>
            </w:r>
            <w:r>
              <w:rPr>
                <w:rStyle w:val="IndexLink"/>
                <w:rtl w:val="true"/>
              </w:rPr>
              <w:t>.</w:t>
              <w:tab/>
            </w:r>
            <w:r>
              <w:rPr>
                <w:rStyle w:val="IndexLink"/>
              </w:rPr>
              <w:t>197</w:t>
            </w:r>
          </w:hyperlink>
        </w:p>
        <w:p>
          <w:pPr>
            <w:pStyle w:val="Contents6"/>
            <w:tabs>
              <w:tab w:val="clear" w:pos="7609"/>
              <w:tab w:val="right" w:pos="9026" w:leader="dot"/>
            </w:tabs>
            <w:rPr/>
          </w:pPr>
          <w:hyperlink w:anchor="__RefHeading___Toc4192039_2142443653">
            <w:r>
              <w:rPr>
                <w:webHidden/>
                <w:rStyle w:val="IndexLink"/>
                <w:rtl w:val="true"/>
              </w:rPr>
              <w:t>و ثالثها</w:t>
            </w:r>
            <w:r>
              <w:rPr>
                <w:rStyle w:val="IndexLink"/>
                <w:rtl w:val="true"/>
              </w:rPr>
              <w:t xml:space="preserve">: </w:t>
            </w:r>
            <w:r>
              <w:rPr>
                <w:rStyle w:val="IndexLink"/>
                <w:rtl w:val="true"/>
              </w:rPr>
              <w:t>الخوف على نفسه أو ماله من استعماله،</w:t>
            </w:r>
            <w:r>
              <w:rPr>
                <w:rStyle w:val="IndexLink"/>
                <w:rtl w:val="true"/>
              </w:rPr>
              <w:tab/>
            </w:r>
            <w:r>
              <w:rPr>
                <w:rStyle w:val="IndexLink"/>
              </w:rPr>
              <w:t>198</w:t>
            </w:r>
          </w:hyperlink>
        </w:p>
        <w:p>
          <w:pPr>
            <w:pStyle w:val="Contents6"/>
            <w:tabs>
              <w:tab w:val="clear" w:pos="7609"/>
              <w:tab w:val="right" w:pos="9026" w:leader="dot"/>
            </w:tabs>
            <w:rPr/>
          </w:pPr>
          <w:hyperlink w:anchor="__RefHeading___Toc4192041_2142443653">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4192043_2142443653">
            <w:r>
              <w:rPr>
                <w:webHidden/>
                <w:rStyle w:val="IndexLink"/>
                <w:rtl w:val="true"/>
              </w:rPr>
              <w:t>مسائل أربع</w:t>
            </w:r>
            <w:r>
              <w:rPr>
                <w:rStyle w:val="IndexLink"/>
                <w:rtl w:val="true"/>
              </w:rPr>
              <w:t>:</w:t>
              <w:tab/>
            </w:r>
            <w:r>
              <w:rPr>
                <w:rStyle w:val="IndexLink"/>
              </w:rPr>
              <w:t>201</w:t>
            </w:r>
          </w:hyperlink>
        </w:p>
        <w:p>
          <w:pPr>
            <w:pStyle w:val="Contents6"/>
            <w:tabs>
              <w:tab w:val="clear" w:pos="7609"/>
              <w:tab w:val="right" w:pos="9026" w:leader="dot"/>
            </w:tabs>
            <w:rPr/>
          </w:pPr>
          <w:hyperlink w:anchor="__RefHeading___Toc4192045_2142443653">
            <w:r>
              <w:rPr>
                <w:webHidden/>
                <w:rStyle w:val="IndexLink"/>
                <w:rtl w:val="true"/>
              </w:rPr>
              <w:t>المسألة الأولى</w:t>
            </w:r>
            <w:r>
              <w:rPr>
                <w:rStyle w:val="IndexLink"/>
                <w:rtl w:val="true"/>
              </w:rPr>
              <w:t xml:space="preserve">: </w:t>
            </w:r>
            <w:r>
              <w:rPr>
                <w:rStyle w:val="IndexLink"/>
                <w:rtl w:val="true"/>
              </w:rPr>
              <w:t>الجنب أولى من الميت و المحدث بالماء،</w:t>
            </w:r>
            <w:r>
              <w:rPr>
                <w:rStyle w:val="IndexLink"/>
                <w:rtl w:val="true"/>
              </w:rPr>
              <w:tab/>
            </w:r>
            <w:r>
              <w:rPr>
                <w:rStyle w:val="IndexLink"/>
              </w:rPr>
              <w:t>201</w:t>
            </w:r>
          </w:hyperlink>
        </w:p>
        <w:p>
          <w:pPr>
            <w:pStyle w:val="Contents6"/>
            <w:tabs>
              <w:tab w:val="clear" w:pos="7609"/>
              <w:tab w:val="right" w:pos="9026" w:leader="dot"/>
            </w:tabs>
            <w:rPr/>
          </w:pPr>
          <w:hyperlink w:anchor="__RefHeading___Toc4192047_2142443653">
            <w:r>
              <w:rPr>
                <w:webHidden/>
                <w:rStyle w:val="IndexLink"/>
                <w:rtl w:val="true"/>
              </w:rPr>
              <w:t>المسألة الثانية</w:t>
            </w:r>
            <w:r>
              <w:rPr>
                <w:rStyle w:val="IndexLink"/>
                <w:rtl w:val="true"/>
              </w:rPr>
              <w:t xml:space="preserve">: </w:t>
            </w:r>
            <w:r>
              <w:rPr>
                <w:rStyle w:val="IndexLink"/>
                <w:rtl w:val="true"/>
              </w:rPr>
              <w:t>لا يجوز للمكلّف بالطهارة بماء بذله لغيره،</w:t>
            </w:r>
            <w:r>
              <w:rPr>
                <w:rStyle w:val="IndexLink"/>
                <w:rtl w:val="true"/>
              </w:rPr>
              <w:tab/>
            </w:r>
            <w:r>
              <w:rPr>
                <w:rStyle w:val="IndexLink"/>
              </w:rPr>
              <w:t>202</w:t>
            </w:r>
          </w:hyperlink>
        </w:p>
        <w:p>
          <w:pPr>
            <w:pStyle w:val="Contents6"/>
            <w:tabs>
              <w:tab w:val="clear" w:pos="7609"/>
              <w:tab w:val="right" w:pos="9026" w:leader="dot"/>
            </w:tabs>
            <w:rPr/>
          </w:pPr>
          <w:hyperlink w:anchor="__RefHeading___Toc4192049_2142443653">
            <w:r>
              <w:rPr>
                <w:webHidden/>
                <w:rStyle w:val="IndexLink"/>
                <w:rtl w:val="true"/>
              </w:rPr>
              <w:t>المسألة الثالثة</w:t>
            </w:r>
            <w:r>
              <w:rPr>
                <w:rStyle w:val="IndexLink"/>
                <w:rtl w:val="true"/>
              </w:rPr>
              <w:t xml:space="preserve">: </w:t>
            </w:r>
            <w:r>
              <w:rPr>
                <w:rStyle w:val="IndexLink"/>
                <w:rtl w:val="true"/>
              </w:rPr>
              <w:t>فاقد الطهورين يؤخر الصلاة،</w:t>
            </w:r>
            <w:r>
              <w:rPr>
                <w:rStyle w:val="IndexLink"/>
                <w:rtl w:val="true"/>
              </w:rPr>
              <w:tab/>
            </w:r>
            <w:r>
              <w:rPr>
                <w:rStyle w:val="IndexLink"/>
              </w:rPr>
              <w:t>202</w:t>
            </w:r>
          </w:hyperlink>
        </w:p>
        <w:p>
          <w:pPr>
            <w:pStyle w:val="Contents6"/>
            <w:tabs>
              <w:tab w:val="clear" w:pos="7609"/>
              <w:tab w:val="right" w:pos="9026" w:leader="dot"/>
            </w:tabs>
            <w:rPr/>
          </w:pPr>
          <w:hyperlink w:anchor="__RefHeading___Toc4192051_2142443653">
            <w:r>
              <w:rPr>
                <w:webHidden/>
                <w:rStyle w:val="IndexLink"/>
                <w:rtl w:val="true"/>
              </w:rPr>
              <w:t>المسألة الرابعة</w:t>
            </w:r>
            <w:r>
              <w:rPr>
                <w:rStyle w:val="IndexLink"/>
                <w:rtl w:val="true"/>
              </w:rPr>
              <w:t xml:space="preserve">: </w:t>
            </w:r>
            <w:r>
              <w:rPr>
                <w:rStyle w:val="IndexLink"/>
                <w:rtl w:val="true"/>
              </w:rPr>
              <w:t>لو وجد من عليه غسل و وضوء ما يكفي أحدهما،</w:t>
            </w:r>
            <w:r>
              <w:rPr>
                <w:rStyle w:val="IndexLink"/>
                <w:rtl w:val="true"/>
              </w:rPr>
              <w:tab/>
            </w:r>
            <w:r>
              <w:rPr>
                <w:rStyle w:val="IndexLink"/>
              </w:rPr>
              <w:t>203</w:t>
            </w:r>
          </w:hyperlink>
        </w:p>
        <w:p>
          <w:pPr>
            <w:pStyle w:val="Contents6"/>
            <w:tabs>
              <w:tab w:val="clear" w:pos="7609"/>
              <w:tab w:val="right" w:pos="9026" w:leader="dot"/>
            </w:tabs>
            <w:rPr/>
          </w:pPr>
          <w:hyperlink w:anchor="__RefHeading___Toc4192053_2142443653">
            <w:r>
              <w:rPr>
                <w:webHidden/>
                <w:rStyle w:val="IndexLink"/>
                <w:rtl w:val="true"/>
              </w:rPr>
              <w:t>الفصل الثالث</w:t>
            </w:r>
            <w:r>
              <w:rPr>
                <w:rStyle w:val="IndexLink"/>
                <w:rtl w:val="true"/>
              </w:rPr>
              <w:t xml:space="preserve">: </w:t>
            </w:r>
            <w:r>
              <w:rPr>
                <w:rStyle w:val="IndexLink"/>
                <w:rtl w:val="true"/>
              </w:rPr>
              <w:t>المستعمل له</w:t>
            </w:r>
            <w:r>
              <w:rPr>
                <w:rStyle w:val="IndexLink"/>
                <w:rtl w:val="true"/>
              </w:rPr>
              <w:tab/>
            </w:r>
            <w:r>
              <w:rPr>
                <w:rStyle w:val="IndexLink"/>
              </w:rPr>
              <w:t>204</w:t>
            </w:r>
          </w:hyperlink>
        </w:p>
        <w:p>
          <w:pPr>
            <w:pStyle w:val="Contents6"/>
            <w:tabs>
              <w:tab w:val="clear" w:pos="7609"/>
              <w:tab w:val="right" w:pos="9026" w:leader="dot"/>
            </w:tabs>
            <w:rPr/>
          </w:pPr>
          <w:hyperlink w:anchor="__RefHeading___Toc4192055_2142443653">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4192057_2142443653">
            <w:r>
              <w:rPr>
                <w:webHidden/>
                <w:rStyle w:val="IndexLink"/>
                <w:rtl w:val="true"/>
              </w:rPr>
              <w:t>المطلب الأول في الوضوء و الغسل</w:t>
            </w:r>
            <w:r>
              <w:rPr>
                <w:rStyle w:val="IndexLink"/>
                <w:rtl w:val="true"/>
              </w:rPr>
              <w:tab/>
            </w:r>
            <w:r>
              <w:rPr>
                <w:rStyle w:val="IndexLink"/>
              </w:rPr>
              <w:t>206</w:t>
            </w:r>
          </w:hyperlink>
        </w:p>
        <w:p>
          <w:pPr>
            <w:pStyle w:val="Contents6"/>
            <w:tabs>
              <w:tab w:val="clear" w:pos="7609"/>
              <w:tab w:val="right" w:pos="9026" w:leader="dot"/>
            </w:tabs>
            <w:rPr/>
          </w:pPr>
          <w:hyperlink w:anchor="__RefHeading___Toc4192059_2142443653">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4192061_2142443653">
            <w:r>
              <w:rPr>
                <w:webHidden/>
                <w:rStyle w:val="IndexLink"/>
                <w:rtl w:val="true"/>
              </w:rPr>
              <w:t>فروع</w:t>
            </w:r>
            <w:r>
              <w:rPr>
                <w:rStyle w:val="IndexLink"/>
                <w:rtl w:val="true"/>
              </w:rPr>
              <w:t>:</w:t>
              <w:tab/>
            </w:r>
            <w:r>
              <w:rPr>
                <w:rStyle w:val="IndexLink"/>
              </w:rPr>
              <w:t>213</w:t>
            </w:r>
          </w:hyperlink>
        </w:p>
        <w:p>
          <w:pPr>
            <w:pStyle w:val="Contents6"/>
            <w:tabs>
              <w:tab w:val="clear" w:pos="7609"/>
              <w:tab w:val="right" w:pos="9026" w:leader="dot"/>
            </w:tabs>
            <w:rPr/>
          </w:pPr>
          <w:hyperlink w:anchor="__RefHeading___Toc4192063_2142443653">
            <w:r>
              <w:rPr>
                <w:webHidden/>
                <w:rStyle w:val="IndexLink"/>
                <w:rtl w:val="true"/>
              </w:rPr>
              <w:t>الأول</w:t>
            </w:r>
            <w:r>
              <w:rPr>
                <w:rStyle w:val="IndexLink"/>
                <w:rtl w:val="true"/>
              </w:rPr>
              <w:t xml:space="preserve">: </w:t>
            </w:r>
            <w:r>
              <w:rPr>
                <w:rStyle w:val="IndexLink"/>
                <w:rtl w:val="true"/>
              </w:rPr>
              <w:t>بعض هذه الأغسال آكد من بعض،</w:t>
            </w:r>
            <w:r>
              <w:rPr>
                <w:rStyle w:val="IndexLink"/>
                <w:rtl w:val="true"/>
              </w:rPr>
              <w:tab/>
            </w:r>
            <w:r>
              <w:rPr>
                <w:rStyle w:val="IndexLink"/>
              </w:rPr>
              <w:t>213</w:t>
            </w:r>
          </w:hyperlink>
        </w:p>
        <w:p>
          <w:pPr>
            <w:pStyle w:val="Contents6"/>
            <w:tabs>
              <w:tab w:val="clear" w:pos="7609"/>
              <w:tab w:val="right" w:pos="9026" w:leader="dot"/>
            </w:tabs>
            <w:rPr/>
          </w:pPr>
          <w:hyperlink w:anchor="__RefHeading___Toc4192065_2142443653">
            <w:r>
              <w:rPr>
                <w:webHidden/>
                <w:rStyle w:val="IndexLink"/>
                <w:rtl w:val="true"/>
              </w:rPr>
              <w:t>الثاني</w:t>
            </w:r>
            <w:r>
              <w:rPr>
                <w:rStyle w:val="IndexLink"/>
                <w:rtl w:val="true"/>
              </w:rPr>
              <w:t xml:space="preserve">: </w:t>
            </w:r>
            <w:r>
              <w:rPr>
                <w:rStyle w:val="IndexLink"/>
                <w:rtl w:val="true"/>
              </w:rPr>
              <w:t>لا يختص غسل الجمعة بآتيها</w:t>
            </w:r>
            <w:r>
              <w:rPr>
                <w:rStyle w:val="IndexLink"/>
                <w:rtl w:val="true"/>
              </w:rPr>
              <w:tab/>
            </w:r>
            <w:r>
              <w:rPr>
                <w:rStyle w:val="IndexLink"/>
              </w:rPr>
              <w:t>214</w:t>
            </w:r>
          </w:hyperlink>
        </w:p>
        <w:p>
          <w:pPr>
            <w:pStyle w:val="Contents6"/>
            <w:tabs>
              <w:tab w:val="clear" w:pos="7609"/>
              <w:tab w:val="right" w:pos="9026" w:leader="dot"/>
            </w:tabs>
            <w:rPr/>
          </w:pPr>
          <w:hyperlink w:anchor="__RefHeading___Toc4192067_2142443653">
            <w:r>
              <w:rPr>
                <w:webHidden/>
                <w:rStyle w:val="IndexLink"/>
                <w:rtl w:val="true"/>
              </w:rPr>
              <w:t>الثالث</w:t>
            </w:r>
            <w:r>
              <w:rPr>
                <w:rStyle w:val="IndexLink"/>
                <w:rtl w:val="true"/>
              </w:rPr>
              <w:t xml:space="preserve">: </w:t>
            </w:r>
            <w:r>
              <w:rPr>
                <w:rStyle w:val="IndexLink"/>
                <w:rtl w:val="true"/>
              </w:rPr>
              <w:t>قضاؤه مشروع لمن فاته لعذر و غيره،</w:t>
            </w:r>
            <w:r>
              <w:rPr>
                <w:rStyle w:val="IndexLink"/>
                <w:rtl w:val="true"/>
              </w:rPr>
              <w:tab/>
            </w:r>
            <w:r>
              <w:rPr>
                <w:rStyle w:val="IndexLink"/>
              </w:rPr>
              <w:t>214</w:t>
            </w:r>
          </w:hyperlink>
        </w:p>
        <w:p>
          <w:pPr>
            <w:pStyle w:val="Contents6"/>
            <w:tabs>
              <w:tab w:val="clear" w:pos="7609"/>
              <w:tab w:val="right" w:pos="9026" w:leader="dot"/>
            </w:tabs>
            <w:rPr/>
          </w:pPr>
          <w:hyperlink w:anchor="__RefHeading___Toc4192069_2142443653">
            <w:r>
              <w:rPr>
                <w:webHidden/>
                <w:rStyle w:val="IndexLink"/>
                <w:rtl w:val="true"/>
              </w:rPr>
              <w:t>الرابع</w:t>
            </w:r>
            <w:r>
              <w:rPr>
                <w:rStyle w:val="IndexLink"/>
                <w:rtl w:val="true"/>
              </w:rPr>
              <w:t xml:space="preserve">: </w:t>
            </w:r>
            <w:r>
              <w:rPr>
                <w:rStyle w:val="IndexLink"/>
                <w:rtl w:val="true"/>
              </w:rPr>
              <w:t>كل غسل لزمان فهو ظرفه،</w:t>
            </w:r>
            <w:r>
              <w:rPr>
                <w:rStyle w:val="IndexLink"/>
                <w:rtl w:val="true"/>
              </w:rPr>
              <w:tab/>
            </w:r>
            <w:r>
              <w:rPr>
                <w:rStyle w:val="IndexLink"/>
              </w:rPr>
              <w:t>214</w:t>
            </w:r>
          </w:hyperlink>
        </w:p>
        <w:p>
          <w:pPr>
            <w:pStyle w:val="Contents6"/>
            <w:tabs>
              <w:tab w:val="clear" w:pos="7609"/>
              <w:tab w:val="right" w:pos="9026" w:leader="dot"/>
            </w:tabs>
            <w:rPr/>
          </w:pPr>
          <w:hyperlink w:anchor="__RefHeading___Toc4192071_2142443653">
            <w:r>
              <w:rPr>
                <w:webHidden/>
                <w:rStyle w:val="IndexLink"/>
                <w:rtl w:val="true"/>
              </w:rPr>
              <w:t>الخامس</w:t>
            </w:r>
            <w:r>
              <w:rPr>
                <w:rStyle w:val="IndexLink"/>
                <w:rtl w:val="true"/>
              </w:rPr>
              <w:t xml:space="preserve">: </w:t>
            </w:r>
            <w:r>
              <w:rPr>
                <w:rStyle w:val="IndexLink"/>
                <w:rtl w:val="true"/>
              </w:rPr>
              <w:t>لو فقد الماء، ففي شرعيّة التيمم نظر،</w:t>
            </w:r>
            <w:r>
              <w:rPr>
                <w:rStyle w:val="IndexLink"/>
                <w:rtl w:val="true"/>
              </w:rPr>
              <w:tab/>
            </w:r>
            <w:r>
              <w:rPr>
                <w:rStyle w:val="IndexLink"/>
              </w:rPr>
              <w:t>215</w:t>
            </w:r>
          </w:hyperlink>
        </w:p>
        <w:p>
          <w:pPr>
            <w:pStyle w:val="Contents6"/>
            <w:tabs>
              <w:tab w:val="clear" w:pos="7609"/>
              <w:tab w:val="right" w:pos="9026" w:leader="dot"/>
            </w:tabs>
            <w:rPr/>
          </w:pPr>
          <w:hyperlink w:anchor="__RefHeading___Toc4192073_2142443653">
            <w:r>
              <w:rPr>
                <w:webHidden/>
                <w:rStyle w:val="IndexLink"/>
                <w:rtl w:val="true"/>
              </w:rPr>
              <w:t>السادس</w:t>
            </w:r>
            <w:r>
              <w:rPr>
                <w:rStyle w:val="IndexLink"/>
                <w:rtl w:val="true"/>
              </w:rPr>
              <w:t xml:space="preserve">: </w:t>
            </w:r>
            <w:r>
              <w:rPr>
                <w:rStyle w:val="IndexLink"/>
                <w:rtl w:val="true"/>
              </w:rPr>
              <w:t>الظاهر</w:t>
            </w:r>
            <w:r>
              <w:rPr>
                <w:rStyle w:val="IndexLink"/>
                <w:rtl w:val="true"/>
              </w:rPr>
              <w:t xml:space="preserve">: </w:t>
            </w:r>
            <w:r>
              <w:rPr>
                <w:rStyle w:val="IndexLink"/>
                <w:rtl w:val="true"/>
              </w:rPr>
              <w:t>ان غسل العيدين يمتدّ بامتداد اليوم،</w:t>
            </w:r>
            <w:r>
              <w:rPr>
                <w:rStyle w:val="IndexLink"/>
                <w:rtl w:val="true"/>
              </w:rPr>
              <w:tab/>
            </w:r>
            <w:r>
              <w:rPr>
                <w:rStyle w:val="IndexLink"/>
              </w:rPr>
              <w:t>215</w:t>
            </w:r>
          </w:hyperlink>
        </w:p>
        <w:p>
          <w:pPr>
            <w:pStyle w:val="Contents6"/>
            <w:tabs>
              <w:tab w:val="clear" w:pos="7609"/>
              <w:tab w:val="right" w:pos="9026" w:leader="dot"/>
            </w:tabs>
            <w:rPr/>
          </w:pPr>
          <w:hyperlink w:anchor="__RefHeading___Toc4192075_2142443653">
            <w:r>
              <w:rPr>
                <w:webHidden/>
                <w:rStyle w:val="IndexLink"/>
                <w:rtl w:val="true"/>
              </w:rPr>
              <w:t>السابع</w:t>
            </w:r>
            <w:r>
              <w:rPr>
                <w:rStyle w:val="IndexLink"/>
                <w:rtl w:val="true"/>
              </w:rPr>
              <w:t xml:space="preserve">: </w:t>
            </w:r>
            <w:r>
              <w:rPr>
                <w:rStyle w:val="IndexLink"/>
                <w:rtl w:val="true"/>
              </w:rPr>
              <w:t>لا فرق في استحباب الغسل للتوبة بين</w:t>
            </w:r>
            <w:r>
              <w:rPr>
                <w:rStyle w:val="IndexLink"/>
                <w:rtl w:val="true"/>
              </w:rPr>
              <w:t xml:space="preserve">: </w:t>
            </w:r>
            <w:r>
              <w:rPr>
                <w:rStyle w:val="IndexLink"/>
                <w:rtl w:val="true"/>
              </w:rPr>
              <w:t>الفسق و الكفر،</w:t>
            </w:r>
            <w:r>
              <w:rPr>
                <w:rStyle w:val="IndexLink"/>
                <w:rtl w:val="true"/>
              </w:rPr>
              <w:tab/>
            </w:r>
            <w:r>
              <w:rPr>
                <w:rStyle w:val="IndexLink"/>
              </w:rPr>
              <w:t>215</w:t>
            </w:r>
          </w:hyperlink>
        </w:p>
        <w:p>
          <w:pPr>
            <w:pStyle w:val="Contents6"/>
            <w:tabs>
              <w:tab w:val="clear" w:pos="7609"/>
              <w:tab w:val="right" w:pos="9026" w:leader="dot"/>
            </w:tabs>
            <w:rPr/>
          </w:pPr>
          <w:hyperlink w:anchor="__RefHeading___Toc4192077_2142443653">
            <w:r>
              <w:rPr>
                <w:webHidden/>
                <w:rStyle w:val="IndexLink"/>
                <w:rtl w:val="true"/>
              </w:rPr>
              <w:t>الثامن</w:t>
            </w:r>
            <w:r>
              <w:rPr>
                <w:rStyle w:val="IndexLink"/>
                <w:rtl w:val="true"/>
              </w:rPr>
              <w:t xml:space="preserve">: </w:t>
            </w:r>
            <w:r>
              <w:rPr>
                <w:rStyle w:val="IndexLink"/>
                <w:rtl w:val="true"/>
              </w:rPr>
              <w:t>هيئة هذه الأغسال كهيئة الواجب،</w:t>
            </w:r>
            <w:r>
              <w:rPr>
                <w:rStyle w:val="IndexLink"/>
                <w:rtl w:val="true"/>
              </w:rPr>
              <w:tab/>
            </w:r>
            <w:r>
              <w:rPr>
                <w:rStyle w:val="IndexLink"/>
              </w:rPr>
              <w:t>215</w:t>
            </w:r>
          </w:hyperlink>
        </w:p>
        <w:p>
          <w:pPr>
            <w:pStyle w:val="Contents6"/>
            <w:tabs>
              <w:tab w:val="clear" w:pos="7609"/>
              <w:tab w:val="right" w:pos="9026" w:leader="dot"/>
            </w:tabs>
            <w:rPr/>
          </w:pPr>
          <w:hyperlink w:anchor="__RefHeading___Toc4192079_2142443653">
            <w:r>
              <w:rPr>
                <w:webHidden/>
                <w:rStyle w:val="IndexLink"/>
                <w:rtl w:val="true"/>
              </w:rPr>
              <w:t>التاسع</w:t>
            </w:r>
            <w:r>
              <w:rPr>
                <w:rStyle w:val="IndexLink"/>
                <w:rtl w:val="true"/>
              </w:rPr>
              <w:t xml:space="preserve">: </w:t>
            </w:r>
            <w:r>
              <w:rPr>
                <w:rStyle w:val="IndexLink"/>
                <w:rtl w:val="true"/>
              </w:rPr>
              <w:t>الأقرب</w:t>
            </w:r>
            <w:r>
              <w:rPr>
                <w:rStyle w:val="IndexLink"/>
                <w:rtl w:val="true"/>
              </w:rPr>
              <w:t xml:space="preserve">: </w:t>
            </w:r>
            <w:r>
              <w:rPr>
                <w:rStyle w:val="IndexLink"/>
                <w:rtl w:val="true"/>
              </w:rPr>
              <w:t>إعادة غسل الفعل بتخلّل الحدث،</w:t>
            </w:r>
            <w:r>
              <w:rPr>
                <w:rStyle w:val="IndexLink"/>
                <w:rtl w:val="true"/>
              </w:rPr>
              <w:tab/>
            </w:r>
            <w:r>
              <w:rPr>
                <w:rStyle w:val="IndexLink"/>
              </w:rPr>
              <w:t>215</w:t>
            </w:r>
          </w:hyperlink>
        </w:p>
        <w:p>
          <w:pPr>
            <w:pStyle w:val="Contents6"/>
            <w:tabs>
              <w:tab w:val="clear" w:pos="7609"/>
              <w:tab w:val="right" w:pos="9026" w:leader="dot"/>
            </w:tabs>
            <w:rPr/>
          </w:pPr>
          <w:hyperlink w:anchor="__RefHeading___Toc4192081_2142443653">
            <w:r>
              <w:rPr>
                <w:webHidden/>
                <w:rStyle w:val="IndexLink"/>
                <w:rtl w:val="true"/>
              </w:rPr>
              <w:t>مسائل أربع</w:t>
            </w:r>
            <w:r>
              <w:rPr>
                <w:rStyle w:val="IndexLink"/>
                <w:rtl w:val="true"/>
              </w:rPr>
              <w:t>:</w:t>
              <w:tab/>
            </w:r>
            <w:r>
              <w:rPr>
                <w:rStyle w:val="IndexLink"/>
              </w:rPr>
              <w:t>216</w:t>
            </w:r>
          </w:hyperlink>
        </w:p>
        <w:p>
          <w:pPr>
            <w:pStyle w:val="Contents6"/>
            <w:tabs>
              <w:tab w:val="clear" w:pos="7609"/>
              <w:tab w:val="right" w:pos="9026" w:leader="dot"/>
            </w:tabs>
            <w:rPr/>
          </w:pPr>
          <w:hyperlink w:anchor="__RefHeading___Toc4192083_2142443653">
            <w:r>
              <w:rPr>
                <w:webHidden/>
                <w:rStyle w:val="IndexLink"/>
                <w:rtl w:val="true"/>
              </w:rPr>
              <w:t>الأولى</w:t>
            </w:r>
            <w:r>
              <w:rPr>
                <w:rStyle w:val="IndexLink"/>
                <w:rtl w:val="true"/>
              </w:rPr>
              <w:t xml:space="preserve">: </w:t>
            </w:r>
            <w:r>
              <w:rPr>
                <w:rStyle w:val="IndexLink"/>
                <w:rtl w:val="true"/>
              </w:rPr>
              <w:t>يمكن ان يكون الوضوء معتبرا في تحقق غايتها،</w:t>
            </w:r>
            <w:r>
              <w:rPr>
                <w:rStyle w:val="IndexLink"/>
                <w:rtl w:val="true"/>
              </w:rPr>
              <w:tab/>
            </w:r>
            <w:r>
              <w:rPr>
                <w:rStyle w:val="IndexLink"/>
              </w:rPr>
              <w:t>216</w:t>
            </w:r>
          </w:hyperlink>
        </w:p>
        <w:p>
          <w:pPr>
            <w:pStyle w:val="Contents6"/>
            <w:tabs>
              <w:tab w:val="clear" w:pos="7609"/>
              <w:tab w:val="right" w:pos="9026" w:leader="dot"/>
            </w:tabs>
            <w:rPr/>
          </w:pPr>
          <w:hyperlink w:anchor="__RefHeading___Toc4192085_2142443653">
            <w:r>
              <w:rPr>
                <w:webHidden/>
                <w:rStyle w:val="IndexLink"/>
                <w:rtl w:val="true"/>
              </w:rPr>
              <w:t>الثانية</w:t>
            </w:r>
            <w:r>
              <w:rPr>
                <w:rStyle w:val="IndexLink"/>
                <w:rtl w:val="true"/>
              </w:rPr>
              <w:t xml:space="preserve">: </w:t>
            </w:r>
            <w:r>
              <w:rPr>
                <w:rStyle w:val="IndexLink"/>
                <w:rtl w:val="true"/>
              </w:rPr>
              <w:t>أوجب ابن أبي عقيل غسل الإحرام</w:t>
            </w:r>
            <w:r>
              <w:rPr>
                <w:rStyle w:val="IndexLink"/>
                <w:rtl w:val="true"/>
              </w:rPr>
              <w:tab/>
            </w:r>
            <w:r>
              <w:rPr>
                <w:rStyle w:val="IndexLink"/>
              </w:rPr>
              <w:t>217</w:t>
            </w:r>
          </w:hyperlink>
        </w:p>
        <w:p>
          <w:pPr>
            <w:pStyle w:val="Contents6"/>
            <w:tabs>
              <w:tab w:val="clear" w:pos="7609"/>
              <w:tab w:val="right" w:pos="9026" w:leader="dot"/>
            </w:tabs>
            <w:rPr/>
          </w:pPr>
          <w:hyperlink w:anchor="__RefHeading___Toc4192087_2142443653">
            <w:r>
              <w:rPr>
                <w:webHidden/>
                <w:rStyle w:val="IndexLink"/>
                <w:rtl w:val="true"/>
              </w:rPr>
              <w:t>الثالثة</w:t>
            </w:r>
            <w:r>
              <w:rPr>
                <w:rStyle w:val="IndexLink"/>
                <w:rtl w:val="true"/>
              </w:rPr>
              <w:t xml:space="preserve">: </w:t>
            </w:r>
            <w:r>
              <w:rPr>
                <w:rStyle w:val="IndexLink"/>
                <w:rtl w:val="true"/>
              </w:rPr>
              <w:t>قيل</w:t>
            </w:r>
            <w:r>
              <w:rPr>
                <w:rStyle w:val="IndexLink"/>
                <w:rtl w:val="true"/>
              </w:rPr>
              <w:t xml:space="preserve">: </w:t>
            </w:r>
            <w:r>
              <w:rPr>
                <w:rStyle w:val="IndexLink"/>
                <w:rtl w:val="true"/>
              </w:rPr>
              <w:t>لا تداخل في هذه الأغسال،</w:t>
            </w:r>
            <w:r>
              <w:rPr>
                <w:rStyle w:val="IndexLink"/>
                <w:rtl w:val="true"/>
              </w:rPr>
              <w:tab/>
            </w:r>
            <w:r>
              <w:rPr>
                <w:rStyle w:val="IndexLink"/>
              </w:rPr>
              <w:t>217</w:t>
            </w:r>
          </w:hyperlink>
        </w:p>
        <w:p>
          <w:pPr>
            <w:pStyle w:val="Contents6"/>
            <w:tabs>
              <w:tab w:val="clear" w:pos="7609"/>
              <w:tab w:val="right" w:pos="9026" w:leader="dot"/>
            </w:tabs>
            <w:rPr/>
          </w:pPr>
          <w:hyperlink w:anchor="__RefHeading___Toc4192089_2142443653">
            <w:r>
              <w:rPr>
                <w:webHidden/>
                <w:rStyle w:val="IndexLink"/>
                <w:rtl w:val="true"/>
              </w:rPr>
              <w:t>الرابعة</w:t>
            </w:r>
            <w:r>
              <w:rPr>
                <w:rStyle w:val="IndexLink"/>
                <w:rtl w:val="true"/>
              </w:rPr>
              <w:t xml:space="preserve">: </w:t>
            </w:r>
            <w:r>
              <w:rPr>
                <w:rStyle w:val="IndexLink"/>
                <w:rtl w:val="true"/>
              </w:rPr>
              <w:t>لو أجنبت ثم حاضت أخّرته،</w:t>
            </w:r>
            <w:r>
              <w:rPr>
                <w:rStyle w:val="IndexLink"/>
                <w:rtl w:val="true"/>
              </w:rPr>
              <w:tab/>
            </w:r>
            <w:r>
              <w:rPr>
                <w:rStyle w:val="IndexLink"/>
              </w:rPr>
              <w:t>219</w:t>
            </w:r>
          </w:hyperlink>
        </w:p>
        <w:p>
          <w:pPr>
            <w:pStyle w:val="Contents6"/>
            <w:tabs>
              <w:tab w:val="clear" w:pos="7609"/>
              <w:tab w:val="right" w:pos="9026" w:leader="dot"/>
            </w:tabs>
            <w:rPr/>
          </w:pPr>
          <w:hyperlink w:anchor="__RefHeading___Toc4192091_2142443653">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4192093_2142443653">
            <w:r>
              <w:rPr>
                <w:webHidden/>
                <w:rStyle w:val="IndexLink"/>
                <w:rtl w:val="true"/>
              </w:rPr>
              <w:t>فروع</w:t>
            </w:r>
            <w:r>
              <w:rPr>
                <w:rStyle w:val="IndexLink"/>
                <w:rtl w:val="true"/>
              </w:rPr>
              <w:t>:</w:t>
              <w:tab/>
            </w:r>
            <w:r>
              <w:rPr>
                <w:rStyle w:val="IndexLink"/>
              </w:rPr>
              <w:t>220</w:t>
            </w:r>
          </w:hyperlink>
        </w:p>
        <w:p>
          <w:pPr>
            <w:pStyle w:val="Contents6"/>
            <w:tabs>
              <w:tab w:val="clear" w:pos="7609"/>
              <w:tab w:val="right" w:pos="9026" w:leader="dot"/>
            </w:tabs>
            <w:rPr/>
          </w:pPr>
          <w:hyperlink w:anchor="__RefHeading___Toc4192095_2142443653">
            <w:r>
              <w:rPr>
                <w:webHidden/>
                <w:rStyle w:val="IndexLink"/>
                <w:rtl w:val="true"/>
              </w:rPr>
              <w:t>الأول</w:t>
            </w:r>
            <w:r>
              <w:rPr>
                <w:rStyle w:val="IndexLink"/>
                <w:rtl w:val="true"/>
              </w:rPr>
              <w:t xml:space="preserve">: </w:t>
            </w:r>
            <w:r>
              <w:rPr>
                <w:rStyle w:val="IndexLink"/>
                <w:rtl w:val="true"/>
              </w:rPr>
              <w:t>يجب على المجنب الذهاب بأقرب الطرق،</w:t>
            </w:r>
            <w:r>
              <w:rPr>
                <w:rStyle w:val="IndexLink"/>
                <w:rtl w:val="true"/>
              </w:rPr>
              <w:tab/>
            </w:r>
            <w:r>
              <w:rPr>
                <w:rStyle w:val="IndexLink"/>
              </w:rPr>
              <w:t>220</w:t>
            </w:r>
          </w:hyperlink>
        </w:p>
        <w:p>
          <w:pPr>
            <w:pStyle w:val="Contents6"/>
            <w:tabs>
              <w:tab w:val="clear" w:pos="7609"/>
              <w:tab w:val="right" w:pos="9026" w:leader="dot"/>
            </w:tabs>
            <w:rPr/>
          </w:pPr>
          <w:hyperlink w:anchor="__RefHeading___Toc4192097_2142443653">
            <w:r>
              <w:rPr>
                <w:webHidden/>
                <w:rStyle w:val="IndexLink"/>
                <w:rtl w:val="true"/>
              </w:rPr>
              <w:t>الثاني</w:t>
            </w:r>
            <w:r>
              <w:rPr>
                <w:rStyle w:val="IndexLink"/>
                <w:rtl w:val="true"/>
              </w:rPr>
              <w:t xml:space="preserve">: </w:t>
            </w:r>
            <w:r>
              <w:rPr>
                <w:rStyle w:val="IndexLink"/>
                <w:rtl w:val="true"/>
              </w:rPr>
              <w:t>الأقرب</w:t>
            </w:r>
            <w:r>
              <w:rPr>
                <w:rStyle w:val="IndexLink"/>
                <w:rtl w:val="true"/>
              </w:rPr>
              <w:t xml:space="preserve">: </w:t>
            </w:r>
            <w:r>
              <w:rPr>
                <w:rStyle w:val="IndexLink"/>
                <w:rtl w:val="true"/>
              </w:rPr>
              <w:t>استحباب التيمّم لباقي المساجد،</w:t>
            </w:r>
            <w:r>
              <w:rPr>
                <w:rStyle w:val="IndexLink"/>
                <w:rtl w:val="true"/>
              </w:rPr>
              <w:tab/>
            </w:r>
            <w:r>
              <w:rPr>
                <w:rStyle w:val="IndexLink"/>
              </w:rPr>
              <w:t>220</w:t>
            </w:r>
          </w:hyperlink>
        </w:p>
        <w:p>
          <w:pPr>
            <w:pStyle w:val="Contents6"/>
            <w:tabs>
              <w:tab w:val="clear" w:pos="7609"/>
              <w:tab w:val="right" w:pos="9026" w:leader="dot"/>
            </w:tabs>
            <w:rPr/>
          </w:pPr>
          <w:hyperlink w:anchor="__RefHeading___Toc4192099_2142443653">
            <w:r>
              <w:rPr>
                <w:webHidden/>
                <w:rStyle w:val="IndexLink"/>
                <w:rtl w:val="true"/>
              </w:rPr>
              <w:t>الثالث</w:t>
            </w:r>
            <w:r>
              <w:rPr>
                <w:rStyle w:val="IndexLink"/>
                <w:rtl w:val="true"/>
              </w:rPr>
              <w:t xml:space="preserve">: </w:t>
            </w:r>
            <w:r>
              <w:rPr>
                <w:rStyle w:val="IndexLink"/>
                <w:rtl w:val="true"/>
              </w:rPr>
              <w:t>الخبر ورد في المحتلم،</w:t>
            </w:r>
            <w:r>
              <w:rPr>
                <w:rStyle w:val="IndexLink"/>
                <w:rtl w:val="true"/>
              </w:rPr>
              <w:tab/>
            </w:r>
            <w:r>
              <w:rPr>
                <w:rStyle w:val="IndexLink"/>
              </w:rPr>
              <w:t>220</w:t>
            </w:r>
          </w:hyperlink>
        </w:p>
        <w:p>
          <w:pPr>
            <w:pStyle w:val="Contents6"/>
            <w:tabs>
              <w:tab w:val="clear" w:pos="7609"/>
              <w:tab w:val="right" w:pos="9026" w:leader="dot"/>
            </w:tabs>
            <w:rPr/>
          </w:pPr>
          <w:hyperlink w:anchor="__RefHeading___Toc4192101_2142443653">
            <w:r>
              <w:rPr>
                <w:webHidden/>
                <w:rStyle w:val="IndexLink"/>
                <w:rtl w:val="true"/>
              </w:rPr>
              <w:t>الرابع</w:t>
            </w:r>
            <w:r>
              <w:rPr>
                <w:rStyle w:val="IndexLink"/>
                <w:rtl w:val="true"/>
              </w:rPr>
              <w:t xml:space="preserve">: </w:t>
            </w:r>
            <w:r>
              <w:rPr>
                <w:rStyle w:val="IndexLink"/>
                <w:rtl w:val="true"/>
              </w:rPr>
              <w:t>لو أمكنه الغسل في المسجد بماء كثير أو قليل، ففي جوازه نظر،</w:t>
            </w:r>
            <w:r>
              <w:rPr>
                <w:rStyle w:val="IndexLink"/>
                <w:rtl w:val="true"/>
              </w:rPr>
              <w:tab/>
            </w:r>
            <w:r>
              <w:rPr>
                <w:rStyle w:val="IndexLink"/>
              </w:rPr>
              <w:t>220</w:t>
            </w:r>
          </w:hyperlink>
        </w:p>
        <w:p>
          <w:pPr>
            <w:pStyle w:val="Contents6"/>
            <w:tabs>
              <w:tab w:val="clear" w:pos="7609"/>
              <w:tab w:val="right" w:pos="9026" w:leader="dot"/>
            </w:tabs>
            <w:rPr/>
          </w:pPr>
          <w:hyperlink w:anchor="__RefHeading___Toc4192103_2142443653">
            <w:r>
              <w:rPr>
                <w:webHidden/>
                <w:rStyle w:val="IndexLink"/>
                <w:rtl w:val="true"/>
              </w:rPr>
              <w:t>المطلب الثاني</w:t>
            </w:r>
            <w:r>
              <w:rPr>
                <w:rStyle w:val="IndexLink"/>
                <w:rtl w:val="true"/>
              </w:rPr>
              <w:t xml:space="preserve">: </w:t>
            </w:r>
            <w:r>
              <w:rPr>
                <w:rStyle w:val="IndexLink"/>
                <w:rtl w:val="true"/>
              </w:rPr>
              <w:t>في المستعمل منه</w:t>
            </w:r>
            <w:r>
              <w:rPr>
                <w:rStyle w:val="IndexLink"/>
                <w:rtl w:val="true"/>
              </w:rPr>
              <w:t xml:space="preserve">. </w:t>
            </w:r>
            <w:r>
              <w:rPr>
                <w:rStyle w:val="IndexLink"/>
                <w:rtl w:val="true"/>
              </w:rPr>
              <w:t>و هو الأسباب الموجبة للطهارة،</w:t>
            </w:r>
            <w:r>
              <w:rPr>
                <w:rStyle w:val="IndexLink"/>
                <w:rtl w:val="true"/>
              </w:rPr>
              <w:tab/>
            </w:r>
            <w:r>
              <w:rPr>
                <w:rStyle w:val="IndexLink"/>
              </w:rPr>
              <w:t>222</w:t>
            </w:r>
          </w:hyperlink>
        </w:p>
        <w:p>
          <w:pPr>
            <w:pStyle w:val="Contents6"/>
            <w:tabs>
              <w:tab w:val="clear" w:pos="7609"/>
              <w:tab w:val="right" w:pos="9026" w:leader="dot"/>
            </w:tabs>
            <w:rPr/>
          </w:pPr>
          <w:hyperlink w:anchor="__RefHeading___Toc4192105_2142443653">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4192107_2142443653">
            <w:r>
              <w:rPr>
                <w:webHidden/>
                <w:rStyle w:val="IndexLink"/>
                <w:rtl w:val="true"/>
              </w:rPr>
              <w:t>فالأول الموجبة للوضوء وحده</w:t>
            </w:r>
            <w:r>
              <w:rPr>
                <w:rStyle w:val="IndexLink"/>
                <w:rtl w:val="true"/>
              </w:rPr>
              <w:tab/>
            </w:r>
            <w:r>
              <w:rPr>
                <w:rStyle w:val="IndexLink"/>
              </w:rPr>
              <w:t>222</w:t>
            </w:r>
          </w:hyperlink>
        </w:p>
        <w:p>
          <w:pPr>
            <w:pStyle w:val="Contents6"/>
            <w:tabs>
              <w:tab w:val="clear" w:pos="7609"/>
              <w:tab w:val="right" w:pos="9026" w:leader="dot"/>
            </w:tabs>
            <w:rPr/>
          </w:pPr>
          <w:hyperlink w:anchor="__RefHeading___Toc4192109_2142443653">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4192111_2142443653">
            <w:r>
              <w:rPr>
                <w:webHidden/>
                <w:rStyle w:val="IndexLink"/>
                <w:rtl w:val="true"/>
              </w:rPr>
              <w:t>مسائل</w:t>
            </w:r>
            <w:r>
              <w:rPr>
                <w:rStyle w:val="IndexLink"/>
                <w:rtl w:val="true"/>
              </w:rPr>
              <w:t>:</w:t>
              <w:tab/>
            </w:r>
            <w:r>
              <w:rPr>
                <w:rStyle w:val="IndexLink"/>
              </w:rPr>
              <w:t>223</w:t>
            </w:r>
          </w:hyperlink>
        </w:p>
        <w:p>
          <w:pPr>
            <w:pStyle w:val="Contents6"/>
            <w:tabs>
              <w:tab w:val="clear" w:pos="7609"/>
              <w:tab w:val="right" w:pos="9026" w:leader="dot"/>
            </w:tabs>
            <w:rPr/>
          </w:pPr>
          <w:hyperlink w:anchor="__RefHeading___Toc4192113_2142443653">
            <w:r>
              <w:rPr>
                <w:webHidden/>
                <w:rStyle w:val="IndexLink"/>
                <w:rtl w:val="true"/>
              </w:rPr>
              <w:t>الأولى</w:t>
            </w:r>
            <w:r>
              <w:rPr>
                <w:rStyle w:val="IndexLink"/>
                <w:rtl w:val="true"/>
              </w:rPr>
              <w:t xml:space="preserve">: </w:t>
            </w:r>
            <w:r>
              <w:rPr>
                <w:rStyle w:val="IndexLink"/>
                <w:rtl w:val="true"/>
              </w:rPr>
              <w:t>الخارج من الثلاثة من غير المخرج المعتاد ناقض ان اعتيد،</w:t>
            </w:r>
            <w:r>
              <w:rPr>
                <w:rStyle w:val="IndexLink"/>
                <w:rtl w:val="true"/>
              </w:rPr>
              <w:tab/>
            </w:r>
            <w:r>
              <w:rPr>
                <w:rStyle w:val="IndexLink"/>
              </w:rPr>
              <w:t>223</w:t>
            </w:r>
          </w:hyperlink>
        </w:p>
        <w:p>
          <w:pPr>
            <w:pStyle w:val="Contents6"/>
            <w:tabs>
              <w:tab w:val="clear" w:pos="7609"/>
              <w:tab w:val="right" w:pos="9026" w:leader="dot"/>
            </w:tabs>
            <w:rPr/>
          </w:pPr>
          <w:hyperlink w:anchor="__RefHeading___Toc4192115_2142443653">
            <w:r>
              <w:rPr>
                <w:webHidden/>
                <w:rStyle w:val="IndexLink"/>
                <w:rtl w:val="true"/>
              </w:rPr>
              <w:t>الثانية</w:t>
            </w:r>
            <w:r>
              <w:rPr>
                <w:rStyle w:val="IndexLink"/>
                <w:rtl w:val="true"/>
              </w:rPr>
              <w:t xml:space="preserve">: </w:t>
            </w:r>
            <w:r>
              <w:rPr>
                <w:rStyle w:val="IndexLink"/>
                <w:rtl w:val="true"/>
              </w:rPr>
              <w:t>لا ينقض ما يخرج منهما غير الثلاثة و الدماء الثلاثة،</w:t>
            </w:r>
            <w:r>
              <w:rPr>
                <w:rStyle w:val="IndexLink"/>
                <w:rtl w:val="true"/>
              </w:rPr>
              <w:tab/>
            </w:r>
            <w:r>
              <w:rPr>
                <w:rStyle w:val="IndexLink"/>
              </w:rPr>
              <w:t>223</w:t>
            </w:r>
          </w:hyperlink>
        </w:p>
        <w:p>
          <w:pPr>
            <w:pStyle w:val="Contents6"/>
            <w:tabs>
              <w:tab w:val="clear" w:pos="7609"/>
              <w:tab w:val="right" w:pos="9026" w:leader="dot"/>
            </w:tabs>
            <w:rPr/>
          </w:pPr>
          <w:hyperlink w:anchor="__RefHeading___Toc4192117_2142443653">
            <w:r>
              <w:rPr>
                <w:webHidden/>
                <w:rStyle w:val="IndexLink"/>
                <w:rtl w:val="true"/>
              </w:rPr>
              <w:t>الثالثة</w:t>
            </w:r>
            <w:r>
              <w:rPr>
                <w:rStyle w:val="IndexLink"/>
                <w:rtl w:val="true"/>
              </w:rPr>
              <w:t xml:space="preserve">: </w:t>
            </w:r>
            <w:r>
              <w:rPr>
                <w:rStyle w:val="IndexLink"/>
                <w:rtl w:val="true"/>
              </w:rPr>
              <w:t>لا ينقض خروج الريح من الذّكر،</w:t>
            </w:r>
            <w:r>
              <w:rPr>
                <w:rStyle w:val="IndexLink"/>
                <w:rtl w:val="true"/>
              </w:rPr>
              <w:tab/>
            </w:r>
            <w:r>
              <w:rPr>
                <w:rStyle w:val="IndexLink"/>
              </w:rPr>
              <w:t>224</w:t>
            </w:r>
          </w:hyperlink>
        </w:p>
        <w:p>
          <w:pPr>
            <w:pStyle w:val="Contents6"/>
            <w:tabs>
              <w:tab w:val="clear" w:pos="7609"/>
              <w:tab w:val="right" w:pos="9026" w:leader="dot"/>
            </w:tabs>
            <w:rPr/>
          </w:pPr>
          <w:hyperlink w:anchor="__RefHeading___Toc4192119_2142443653">
            <w:r>
              <w:rPr>
                <w:webHidden/>
                <w:rStyle w:val="IndexLink"/>
                <w:rtl w:val="true"/>
              </w:rPr>
              <w:t>الرابعة</w:t>
            </w:r>
            <w:r>
              <w:rPr>
                <w:rStyle w:val="IndexLink"/>
                <w:rtl w:val="true"/>
              </w:rPr>
              <w:t xml:space="preserve">: </w:t>
            </w:r>
            <w:r>
              <w:rPr>
                <w:rStyle w:val="IndexLink"/>
                <w:rtl w:val="true"/>
              </w:rPr>
              <w:t>لا ينقض الدهن المستدخل و الحقنة إذا خرجا ما لم يستصحبا،</w:t>
            </w:r>
            <w:r>
              <w:rPr>
                <w:rStyle w:val="IndexLink"/>
                <w:rtl w:val="true"/>
              </w:rPr>
              <w:tab/>
            </w:r>
            <w:r>
              <w:rPr>
                <w:rStyle w:val="IndexLink"/>
              </w:rPr>
              <w:t>224</w:t>
            </w:r>
          </w:hyperlink>
        </w:p>
        <w:p>
          <w:pPr>
            <w:pStyle w:val="Contents6"/>
            <w:tabs>
              <w:tab w:val="clear" w:pos="7609"/>
              <w:tab w:val="right" w:pos="9026" w:leader="dot"/>
            </w:tabs>
            <w:rPr/>
          </w:pPr>
          <w:hyperlink w:anchor="__RefHeading___Toc4192121_2142443653">
            <w:r>
              <w:rPr>
                <w:webHidden/>
                <w:rStyle w:val="IndexLink"/>
                <w:rtl w:val="true"/>
              </w:rPr>
              <w:t>الخامسة</w:t>
            </w:r>
            <w:r>
              <w:rPr>
                <w:rStyle w:val="IndexLink"/>
                <w:rtl w:val="true"/>
              </w:rPr>
              <w:t xml:space="preserve">: </w:t>
            </w:r>
            <w:r>
              <w:rPr>
                <w:rStyle w:val="IndexLink"/>
                <w:rtl w:val="true"/>
              </w:rPr>
              <w:t>الخنثى المشكل</w:t>
            </w:r>
            <w:r>
              <w:rPr>
                <w:rStyle w:val="IndexLink"/>
                <w:rtl w:val="true"/>
              </w:rPr>
              <w:tab/>
            </w:r>
            <w:r>
              <w:rPr>
                <w:rStyle w:val="IndexLink"/>
              </w:rPr>
              <w:t>224</w:t>
            </w:r>
          </w:hyperlink>
        </w:p>
        <w:p>
          <w:pPr>
            <w:pStyle w:val="Contents6"/>
            <w:tabs>
              <w:tab w:val="clear" w:pos="7609"/>
              <w:tab w:val="right" w:pos="9026" w:leader="dot"/>
            </w:tabs>
            <w:rPr/>
          </w:pPr>
          <w:hyperlink w:anchor="__RefHeading___Toc4192123_2142443653">
            <w:r>
              <w:rPr>
                <w:webHidden/>
                <w:rStyle w:val="IndexLink"/>
                <w:rtl w:val="true"/>
              </w:rPr>
              <w:t>السادسة</w:t>
            </w:r>
            <w:r>
              <w:rPr>
                <w:rStyle w:val="IndexLink"/>
                <w:rtl w:val="true"/>
              </w:rPr>
              <w:t xml:space="preserve">: </w:t>
            </w:r>
            <w:r>
              <w:rPr>
                <w:rStyle w:val="IndexLink"/>
                <w:rtl w:val="true"/>
              </w:rPr>
              <w:t xml:space="preserve">لا تنقض السنة </w:t>
            </w:r>
            <w:r>
              <w:rPr>
                <w:rStyle w:val="IndexLink"/>
                <w:rtl w:val="true"/>
              </w:rPr>
              <w:t>-</w:t>
              <w:tab/>
            </w:r>
            <w:r>
              <w:rPr>
                <w:rStyle w:val="IndexLink"/>
              </w:rPr>
              <w:t>224</w:t>
            </w:r>
          </w:hyperlink>
        </w:p>
        <w:p>
          <w:pPr>
            <w:pStyle w:val="Contents6"/>
            <w:tabs>
              <w:tab w:val="clear" w:pos="7609"/>
              <w:tab w:val="right" w:pos="9026" w:leader="dot"/>
            </w:tabs>
            <w:rPr/>
          </w:pPr>
          <w:hyperlink w:anchor="__RefHeading___Toc4192125_2142443653">
            <w:r>
              <w:rPr>
                <w:webHidden/>
                <w:rStyle w:val="IndexLink"/>
                <w:rtl w:val="true"/>
              </w:rPr>
              <w:t>السابعة</w:t>
            </w:r>
            <w:r>
              <w:rPr>
                <w:rStyle w:val="IndexLink"/>
                <w:rtl w:val="true"/>
              </w:rPr>
              <w:t xml:space="preserve">: </w:t>
            </w:r>
            <w:r>
              <w:rPr>
                <w:rStyle w:val="IndexLink"/>
                <w:rtl w:val="true"/>
              </w:rPr>
              <w:t>لا ينقض المذي مطلقا،</w:t>
            </w:r>
            <w:r>
              <w:rPr>
                <w:rStyle w:val="IndexLink"/>
                <w:rtl w:val="true"/>
              </w:rPr>
              <w:tab/>
            </w:r>
            <w:r>
              <w:rPr>
                <w:rStyle w:val="IndexLink"/>
              </w:rPr>
              <w:t>225</w:t>
            </w:r>
          </w:hyperlink>
        </w:p>
        <w:p>
          <w:pPr>
            <w:pStyle w:val="Contents6"/>
            <w:tabs>
              <w:tab w:val="clear" w:pos="7609"/>
              <w:tab w:val="right" w:pos="9026" w:leader="dot"/>
            </w:tabs>
            <w:rPr/>
          </w:pPr>
          <w:hyperlink w:anchor="__RefHeading___Toc4192127_2142443653">
            <w:r>
              <w:rPr>
                <w:webHidden/>
                <w:rStyle w:val="IndexLink"/>
                <w:rtl w:val="true"/>
              </w:rPr>
              <w:t>القسم الثاني</w:t>
            </w:r>
            <w:r>
              <w:rPr>
                <w:rStyle w:val="IndexLink"/>
                <w:rtl w:val="true"/>
              </w:rPr>
              <w:t xml:space="preserve">: </w:t>
            </w:r>
            <w:r>
              <w:rPr>
                <w:rStyle w:val="IndexLink"/>
                <w:rtl w:val="true"/>
              </w:rPr>
              <w:t>موجب الغسل و حدّه</w:t>
            </w:r>
            <w:r>
              <w:rPr>
                <w:rStyle w:val="IndexLink"/>
                <w:rtl w:val="true"/>
              </w:rPr>
              <w:t>.</w:t>
              <w:tab/>
            </w:r>
            <w:r>
              <w:rPr>
                <w:rStyle w:val="IndexLink"/>
              </w:rPr>
              <w:t>228</w:t>
            </w:r>
          </w:hyperlink>
        </w:p>
        <w:p>
          <w:pPr>
            <w:pStyle w:val="Contents6"/>
            <w:tabs>
              <w:tab w:val="clear" w:pos="7609"/>
              <w:tab w:val="right" w:pos="9026" w:leader="dot"/>
            </w:tabs>
            <w:rPr/>
          </w:pPr>
          <w:hyperlink w:anchor="__RefHeading___Toc4192129_2142443653">
            <w:r>
              <w:rPr>
                <w:webHidden/>
                <w:rStyle w:val="IndexLink"/>
                <w:rtl w:val="true"/>
              </w:rPr>
              <w:t>القسم الثالث الموجبة للوضوء و الغسل مجتمعين أو متفرقين</w:t>
            </w:r>
            <w:r>
              <w:rPr>
                <w:rStyle w:val="IndexLink"/>
                <w:rtl w:val="true"/>
              </w:rPr>
              <w:tab/>
            </w:r>
            <w:r>
              <w:rPr>
                <w:rStyle w:val="IndexLink"/>
              </w:rPr>
              <w:t>230</w:t>
            </w:r>
          </w:hyperlink>
        </w:p>
        <w:p>
          <w:pPr>
            <w:pStyle w:val="Contents6"/>
            <w:tabs>
              <w:tab w:val="clear" w:pos="7609"/>
              <w:tab w:val="right" w:pos="9026" w:leader="dot"/>
            </w:tabs>
            <w:rPr/>
          </w:pPr>
          <w:hyperlink w:anchor="__RefHeading___Toc4192131_2142443653">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4192133_2142443653">
            <w:r>
              <w:rPr>
                <w:webHidden/>
                <w:rStyle w:val="IndexLink"/>
                <w:rtl w:val="true"/>
              </w:rPr>
              <w:t>المقام الأول</w:t>
            </w:r>
            <w:r>
              <w:rPr>
                <w:rStyle w:val="IndexLink"/>
                <w:rtl w:val="true"/>
              </w:rPr>
              <w:t xml:space="preserve">: </w:t>
            </w:r>
            <w:r>
              <w:rPr>
                <w:rStyle w:val="IndexLink"/>
                <w:rtl w:val="true"/>
              </w:rPr>
              <w:t>للجنابة سببان</w:t>
            </w:r>
            <w:r>
              <w:rPr>
                <w:rStyle w:val="IndexLink"/>
                <w:rtl w:val="true"/>
              </w:rPr>
              <w:t>:</w:t>
              <w:tab/>
            </w:r>
            <w:r>
              <w:rPr>
                <w:rStyle w:val="IndexLink"/>
              </w:rPr>
              <w:t>232</w:t>
            </w:r>
          </w:hyperlink>
        </w:p>
        <w:p>
          <w:pPr>
            <w:pStyle w:val="Contents6"/>
            <w:tabs>
              <w:tab w:val="clear" w:pos="7609"/>
              <w:tab w:val="right" w:pos="9026" w:leader="dot"/>
            </w:tabs>
            <w:rPr/>
          </w:pPr>
          <w:hyperlink w:anchor="__RefHeading___Toc4192135_2142443653">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4192137_2142443653">
            <w:r>
              <w:rPr>
                <w:webHidden/>
                <w:rStyle w:val="IndexLink"/>
                <w:rtl w:val="true"/>
              </w:rPr>
              <w:t>مسائل</w:t>
            </w:r>
            <w:r>
              <w:rPr>
                <w:rStyle w:val="IndexLink"/>
                <w:rtl w:val="true"/>
              </w:rPr>
              <w:t>:</w:t>
              <w:tab/>
            </w:r>
            <w:r>
              <w:rPr>
                <w:rStyle w:val="IndexLink"/>
              </w:rPr>
              <w:t>235</w:t>
            </w:r>
          </w:hyperlink>
        </w:p>
        <w:p>
          <w:pPr>
            <w:pStyle w:val="Contents6"/>
            <w:tabs>
              <w:tab w:val="clear" w:pos="7609"/>
              <w:tab w:val="right" w:pos="9026" w:leader="dot"/>
            </w:tabs>
            <w:rPr/>
          </w:pPr>
          <w:hyperlink w:anchor="__RefHeading___Toc4192139_2142443653">
            <w:r>
              <w:rPr>
                <w:webHidden/>
                <w:rStyle w:val="IndexLink"/>
                <w:rtl w:val="true"/>
              </w:rPr>
              <w:t>الأولى</w:t>
            </w:r>
            <w:r>
              <w:rPr>
                <w:rStyle w:val="IndexLink"/>
                <w:rtl w:val="true"/>
              </w:rPr>
              <w:t xml:space="preserve">: </w:t>
            </w:r>
            <w:r>
              <w:rPr>
                <w:rStyle w:val="IndexLink"/>
                <w:rtl w:val="true"/>
              </w:rPr>
              <w:t>مراعاة صفات المنيّ إنّما هي مع الاشتباه،</w:t>
            </w:r>
            <w:r>
              <w:rPr>
                <w:rStyle w:val="IndexLink"/>
                <w:rtl w:val="true"/>
              </w:rPr>
              <w:tab/>
            </w:r>
            <w:r>
              <w:rPr>
                <w:rStyle w:val="IndexLink"/>
              </w:rPr>
              <w:t>235</w:t>
            </w:r>
          </w:hyperlink>
        </w:p>
        <w:p>
          <w:pPr>
            <w:pStyle w:val="Contents6"/>
            <w:tabs>
              <w:tab w:val="clear" w:pos="7609"/>
              <w:tab w:val="right" w:pos="9026" w:leader="dot"/>
            </w:tabs>
            <w:rPr/>
          </w:pPr>
          <w:hyperlink w:anchor="__RefHeading___Toc4192141_2142443653">
            <w:r>
              <w:rPr>
                <w:webHidden/>
                <w:rStyle w:val="IndexLink"/>
                <w:rtl w:val="true"/>
              </w:rPr>
              <w:t>الثانية</w:t>
            </w:r>
            <w:r>
              <w:rPr>
                <w:rStyle w:val="IndexLink"/>
                <w:rtl w:val="true"/>
              </w:rPr>
              <w:t xml:space="preserve">: </w:t>
            </w:r>
            <w:r>
              <w:rPr>
                <w:rStyle w:val="IndexLink"/>
                <w:rtl w:val="true"/>
              </w:rPr>
              <w:t>لا عبرة بالشهوة و الفتور من غير أمناء</w:t>
            </w:r>
            <w:r>
              <w:rPr>
                <w:rStyle w:val="IndexLink"/>
                <w:rtl w:val="true"/>
              </w:rPr>
              <w:tab/>
            </w:r>
            <w:r>
              <w:rPr>
                <w:rStyle w:val="IndexLink"/>
              </w:rPr>
              <w:t>236</w:t>
            </w:r>
          </w:hyperlink>
        </w:p>
        <w:p>
          <w:pPr>
            <w:pStyle w:val="Contents6"/>
            <w:tabs>
              <w:tab w:val="clear" w:pos="7609"/>
              <w:tab w:val="right" w:pos="9026" w:leader="dot"/>
            </w:tabs>
            <w:rPr/>
          </w:pPr>
          <w:hyperlink w:anchor="__RefHeading___Toc4192143_2142443653">
            <w:r>
              <w:rPr>
                <w:webHidden/>
                <w:rStyle w:val="IndexLink"/>
                <w:rtl w:val="true"/>
              </w:rPr>
              <w:t>الثالثة</w:t>
            </w:r>
            <w:r>
              <w:rPr>
                <w:rStyle w:val="IndexLink"/>
                <w:rtl w:val="true"/>
              </w:rPr>
              <w:t xml:space="preserve">: </w:t>
            </w:r>
            <w:r>
              <w:rPr>
                <w:rStyle w:val="IndexLink"/>
                <w:rtl w:val="true"/>
              </w:rPr>
              <w:t xml:space="preserve">روى عبد الرحمن بن أبي عبد اللّه، عن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عدم وجوب الغسل على المرأة بخروج نطفة الرجل </w:t>
            </w:r>
            <w:r>
              <w:rPr>
                <w:rStyle w:val="IndexLink"/>
                <w:rtl w:val="true"/>
              </w:rPr>
              <w:t>.</w:t>
              <w:tab/>
            </w:r>
            <w:r>
              <w:rPr>
                <w:rStyle w:val="IndexLink"/>
              </w:rPr>
              <w:t>236</w:t>
            </w:r>
          </w:hyperlink>
        </w:p>
        <w:p>
          <w:pPr>
            <w:pStyle w:val="Contents6"/>
            <w:tabs>
              <w:tab w:val="clear" w:pos="7609"/>
              <w:tab w:val="right" w:pos="9026" w:leader="dot"/>
            </w:tabs>
            <w:rPr/>
          </w:pPr>
          <w:hyperlink w:anchor="__RefHeading___Toc4192145_2142443653">
            <w:r>
              <w:rPr>
                <w:webHidden/>
                <w:rStyle w:val="IndexLink"/>
                <w:rtl w:val="true"/>
              </w:rPr>
              <w:t>الرابعة</w:t>
            </w:r>
            <w:r>
              <w:rPr>
                <w:rStyle w:val="IndexLink"/>
                <w:rtl w:val="true"/>
              </w:rPr>
              <w:t xml:space="preserve">: </w:t>
            </w:r>
            <w:r>
              <w:rPr>
                <w:rStyle w:val="IndexLink"/>
                <w:rtl w:val="true"/>
              </w:rPr>
              <w:t>لا يكفي في الإيلاج غيبوبة بعض الحشفة،</w:t>
            </w:r>
            <w:r>
              <w:rPr>
                <w:rStyle w:val="IndexLink"/>
                <w:rtl w:val="true"/>
              </w:rPr>
              <w:tab/>
            </w:r>
            <w:r>
              <w:rPr>
                <w:rStyle w:val="IndexLink"/>
              </w:rPr>
              <w:t>236</w:t>
            </w:r>
          </w:hyperlink>
        </w:p>
        <w:p>
          <w:pPr>
            <w:pStyle w:val="Contents6"/>
            <w:tabs>
              <w:tab w:val="clear" w:pos="7609"/>
              <w:tab w:val="right" w:pos="9026" w:leader="dot"/>
            </w:tabs>
            <w:rPr/>
          </w:pPr>
          <w:hyperlink w:anchor="__RefHeading___Toc4192147_2142443653">
            <w:r>
              <w:rPr>
                <w:webHidden/>
                <w:rStyle w:val="IndexLink"/>
                <w:rtl w:val="true"/>
              </w:rPr>
              <w:t>الخامسة</w:t>
            </w:r>
            <w:r>
              <w:rPr>
                <w:rStyle w:val="IndexLink"/>
                <w:rtl w:val="true"/>
              </w:rPr>
              <w:t xml:space="preserve">: </w:t>
            </w:r>
            <w:r>
              <w:rPr>
                <w:rStyle w:val="IndexLink"/>
                <w:rtl w:val="true"/>
              </w:rPr>
              <w:t>إيلاج الصبي في البالغة، و بالعكس،</w:t>
            </w:r>
            <w:r>
              <w:rPr>
                <w:rStyle w:val="IndexLink"/>
                <w:rtl w:val="true"/>
              </w:rPr>
              <w:tab/>
            </w:r>
            <w:r>
              <w:rPr>
                <w:rStyle w:val="IndexLink"/>
              </w:rPr>
              <w:t>236</w:t>
            </w:r>
          </w:hyperlink>
        </w:p>
        <w:p>
          <w:pPr>
            <w:pStyle w:val="Contents6"/>
            <w:tabs>
              <w:tab w:val="clear" w:pos="7609"/>
              <w:tab w:val="right" w:pos="9026" w:leader="dot"/>
            </w:tabs>
            <w:rPr/>
          </w:pPr>
          <w:hyperlink w:anchor="__RefHeading___Toc4192149_2142443653">
            <w:r>
              <w:rPr>
                <w:webHidden/>
                <w:rStyle w:val="IndexLink"/>
                <w:rtl w:val="true"/>
              </w:rPr>
              <w:t>السادسة</w:t>
            </w:r>
            <w:r>
              <w:rPr>
                <w:rStyle w:val="IndexLink"/>
                <w:rtl w:val="true"/>
              </w:rPr>
              <w:t xml:space="preserve">: </w:t>
            </w:r>
            <w:r>
              <w:rPr>
                <w:rStyle w:val="IndexLink"/>
                <w:rtl w:val="true"/>
              </w:rPr>
              <w:t>الملفوف كغيره</w:t>
            </w:r>
            <w:r>
              <w:rPr>
                <w:rStyle w:val="IndexLink"/>
                <w:rtl w:val="true"/>
              </w:rPr>
              <w:tab/>
            </w:r>
            <w:r>
              <w:rPr>
                <w:rStyle w:val="IndexLink"/>
              </w:rPr>
              <w:t>237</w:t>
            </w:r>
          </w:hyperlink>
        </w:p>
        <w:p>
          <w:pPr>
            <w:pStyle w:val="Contents6"/>
            <w:tabs>
              <w:tab w:val="clear" w:pos="7609"/>
              <w:tab w:val="right" w:pos="9026" w:leader="dot"/>
            </w:tabs>
            <w:rPr/>
          </w:pPr>
          <w:hyperlink w:anchor="__RefHeading___Toc4192151_2142443653">
            <w:r>
              <w:rPr>
                <w:webHidden/>
                <w:rStyle w:val="IndexLink"/>
                <w:rtl w:val="true"/>
              </w:rPr>
              <w:t>السابعة</w:t>
            </w:r>
            <w:r>
              <w:rPr>
                <w:rStyle w:val="IndexLink"/>
                <w:rtl w:val="true"/>
              </w:rPr>
              <w:t xml:space="preserve">: </w:t>
            </w:r>
            <w:r>
              <w:rPr>
                <w:rStyle w:val="IndexLink"/>
                <w:rtl w:val="true"/>
              </w:rPr>
              <w:t>لا فرق بين العضو الأشلّ و غيره</w:t>
            </w:r>
            <w:r>
              <w:rPr>
                <w:rStyle w:val="IndexLink"/>
                <w:rtl w:val="true"/>
              </w:rPr>
              <w:t>.</w:t>
              <w:tab/>
            </w:r>
            <w:r>
              <w:rPr>
                <w:rStyle w:val="IndexLink"/>
              </w:rPr>
              <w:t>237</w:t>
            </w:r>
          </w:hyperlink>
        </w:p>
        <w:p>
          <w:pPr>
            <w:pStyle w:val="Contents6"/>
            <w:tabs>
              <w:tab w:val="clear" w:pos="7609"/>
              <w:tab w:val="right" w:pos="9026" w:leader="dot"/>
            </w:tabs>
            <w:rPr/>
          </w:pPr>
          <w:hyperlink w:anchor="__RefHeading___Toc4192153_2142443653">
            <w:r>
              <w:rPr>
                <w:webHidden/>
                <w:rStyle w:val="IndexLink"/>
                <w:rtl w:val="true"/>
              </w:rPr>
              <w:t>الثامنة</w:t>
            </w:r>
            <w:r>
              <w:rPr>
                <w:rStyle w:val="IndexLink"/>
                <w:rtl w:val="true"/>
              </w:rPr>
              <w:t xml:space="preserve">: </w:t>
            </w:r>
            <w:r>
              <w:rPr>
                <w:rStyle w:val="IndexLink"/>
                <w:rtl w:val="true"/>
              </w:rPr>
              <w:t>لو خرج المني من ثقبة اعتبر الاعتياد</w:t>
            </w:r>
            <w:r>
              <w:rPr>
                <w:rStyle w:val="IndexLink"/>
                <w:rtl w:val="true"/>
              </w:rPr>
              <w:t>.</w:t>
              <w:tab/>
            </w:r>
            <w:r>
              <w:rPr>
                <w:rStyle w:val="IndexLink"/>
              </w:rPr>
              <w:t>237</w:t>
            </w:r>
          </w:hyperlink>
        </w:p>
        <w:p>
          <w:pPr>
            <w:pStyle w:val="Contents6"/>
            <w:tabs>
              <w:tab w:val="clear" w:pos="7609"/>
              <w:tab w:val="right" w:pos="9026" w:leader="dot"/>
            </w:tabs>
            <w:rPr/>
          </w:pPr>
          <w:hyperlink w:anchor="__RefHeading___Toc4192155_2142443653">
            <w:r>
              <w:rPr>
                <w:webHidden/>
                <w:rStyle w:val="IndexLink"/>
                <w:rtl w:val="true"/>
              </w:rPr>
              <w:t>التاسعة</w:t>
            </w:r>
            <w:r>
              <w:rPr>
                <w:rStyle w:val="IndexLink"/>
                <w:rtl w:val="true"/>
              </w:rPr>
              <w:t xml:space="preserve">: </w:t>
            </w:r>
            <w:r>
              <w:rPr>
                <w:rStyle w:val="IndexLink"/>
                <w:rtl w:val="true"/>
              </w:rPr>
              <w:t>لا فرق بين الرجل و المرأة في خروج المني،</w:t>
            </w:r>
            <w:r>
              <w:rPr>
                <w:rStyle w:val="IndexLink"/>
                <w:rtl w:val="true"/>
              </w:rPr>
              <w:tab/>
            </w:r>
            <w:r>
              <w:rPr>
                <w:rStyle w:val="IndexLink"/>
              </w:rPr>
              <w:t>237</w:t>
            </w:r>
          </w:hyperlink>
        </w:p>
        <w:p>
          <w:pPr>
            <w:pStyle w:val="Contents6"/>
            <w:tabs>
              <w:tab w:val="clear" w:pos="7609"/>
              <w:tab w:val="right" w:pos="9026" w:leader="dot"/>
            </w:tabs>
            <w:rPr/>
          </w:pPr>
          <w:hyperlink w:anchor="__RefHeading___Toc4192157_2142443653">
            <w:r>
              <w:rPr>
                <w:webHidden/>
                <w:rStyle w:val="IndexLink"/>
                <w:rtl w:val="true"/>
              </w:rPr>
              <w:t>العاشرة</w:t>
            </w:r>
            <w:r>
              <w:rPr>
                <w:rStyle w:val="IndexLink"/>
                <w:rtl w:val="true"/>
              </w:rPr>
              <w:t xml:space="preserve">: </w:t>
            </w:r>
            <w:r>
              <w:rPr>
                <w:rStyle w:val="IndexLink"/>
                <w:rtl w:val="true"/>
              </w:rPr>
              <w:t>الغسل يجب على الكافر كسائر العبادات،</w:t>
            </w:r>
            <w:r>
              <w:rPr>
                <w:rStyle w:val="IndexLink"/>
                <w:rtl w:val="true"/>
              </w:rPr>
              <w:tab/>
            </w:r>
            <w:r>
              <w:rPr>
                <w:rStyle w:val="IndexLink"/>
              </w:rPr>
              <w:t>238</w:t>
            </w:r>
          </w:hyperlink>
        </w:p>
        <w:p>
          <w:pPr>
            <w:pStyle w:val="Contents6"/>
            <w:tabs>
              <w:tab w:val="clear" w:pos="7609"/>
              <w:tab w:val="right" w:pos="9026" w:leader="dot"/>
            </w:tabs>
            <w:rPr/>
          </w:pPr>
          <w:hyperlink w:anchor="__RefHeading___Toc4192159_2142443653">
            <w:r>
              <w:rPr>
                <w:webHidden/>
                <w:rStyle w:val="IndexLink"/>
                <w:rtl w:val="true"/>
              </w:rPr>
              <w:t>المقام الثاني</w:t>
            </w:r>
            <w:r>
              <w:rPr>
                <w:rStyle w:val="IndexLink"/>
                <w:rtl w:val="true"/>
              </w:rPr>
              <w:t xml:space="preserve">: </w:t>
            </w:r>
            <w:r>
              <w:rPr>
                <w:rStyle w:val="IndexLink"/>
                <w:rtl w:val="true"/>
              </w:rPr>
              <w:t>في الحيض</w:t>
            </w:r>
            <w:r>
              <w:rPr>
                <w:rStyle w:val="IndexLink"/>
                <w:rtl w:val="true"/>
              </w:rPr>
              <w:t>.</w:t>
              <w:tab/>
            </w:r>
            <w:r>
              <w:rPr>
                <w:rStyle w:val="IndexLink"/>
              </w:rPr>
              <w:t>240</w:t>
            </w:r>
          </w:hyperlink>
        </w:p>
        <w:p>
          <w:pPr>
            <w:pStyle w:val="Contents6"/>
            <w:tabs>
              <w:tab w:val="clear" w:pos="7609"/>
              <w:tab w:val="right" w:pos="9026" w:leader="dot"/>
            </w:tabs>
            <w:rPr/>
          </w:pPr>
          <w:hyperlink w:anchor="__RefHeading___Toc4192161_2142443653">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4192163_2142443653">
            <w:r>
              <w:rPr>
                <w:webHidden/>
                <w:rStyle w:val="IndexLink"/>
                <w:rtl w:val="true"/>
              </w:rPr>
              <w:t>مسائل</w:t>
            </w:r>
            <w:r>
              <w:rPr>
                <w:rStyle w:val="IndexLink"/>
                <w:rtl w:val="true"/>
              </w:rPr>
              <w:t>:</w:t>
              <w:tab/>
            </w:r>
            <w:r>
              <w:rPr>
                <w:rStyle w:val="IndexLink"/>
              </w:rPr>
              <w:t>245</w:t>
            </w:r>
          </w:hyperlink>
        </w:p>
        <w:p>
          <w:pPr>
            <w:pStyle w:val="Contents6"/>
            <w:tabs>
              <w:tab w:val="clear" w:pos="7609"/>
              <w:tab w:val="right" w:pos="9026" w:leader="dot"/>
            </w:tabs>
            <w:rPr/>
          </w:pPr>
          <w:hyperlink w:anchor="__RefHeading___Toc4192165_2142443653">
            <w:r>
              <w:rPr>
                <w:webHidden/>
                <w:rStyle w:val="IndexLink"/>
                <w:rtl w:val="true"/>
              </w:rPr>
              <w:t>الأولى</w:t>
            </w:r>
            <w:r>
              <w:rPr>
                <w:rStyle w:val="IndexLink"/>
                <w:rtl w:val="true"/>
              </w:rPr>
              <w:t xml:space="preserve">: </w:t>
            </w:r>
            <w:r>
              <w:rPr>
                <w:rStyle w:val="IndexLink"/>
                <w:rtl w:val="true"/>
              </w:rPr>
              <w:t>تثبت العادة بمرتين متساويتين عددا و وقتا،</w:t>
            </w:r>
            <w:r>
              <w:rPr>
                <w:rStyle w:val="IndexLink"/>
                <w:rtl w:val="true"/>
              </w:rPr>
              <w:tab/>
            </w:r>
            <w:r>
              <w:rPr>
                <w:rStyle w:val="IndexLink"/>
              </w:rPr>
              <w:t>245</w:t>
            </w:r>
          </w:hyperlink>
        </w:p>
        <w:p>
          <w:pPr>
            <w:pStyle w:val="Contents6"/>
            <w:tabs>
              <w:tab w:val="clear" w:pos="7609"/>
              <w:tab w:val="right" w:pos="9026" w:leader="dot"/>
            </w:tabs>
            <w:rPr/>
          </w:pPr>
          <w:hyperlink w:anchor="__RefHeading___Toc4192167_2142443653">
            <w:r>
              <w:rPr>
                <w:webHidden/>
                <w:rStyle w:val="IndexLink"/>
                <w:rtl w:val="true"/>
              </w:rPr>
              <w:t>الثانية</w:t>
            </w:r>
            <w:r>
              <w:rPr>
                <w:rStyle w:val="IndexLink"/>
                <w:rtl w:val="true"/>
              </w:rPr>
              <w:t xml:space="preserve">: </w:t>
            </w:r>
            <w:r>
              <w:rPr>
                <w:rStyle w:val="IndexLink"/>
                <w:rtl w:val="true"/>
              </w:rPr>
              <w:t>لا يشترط في العادة تعدّد الشهر،</w:t>
            </w:r>
            <w:r>
              <w:rPr>
                <w:rStyle w:val="IndexLink"/>
                <w:rtl w:val="true"/>
              </w:rPr>
              <w:tab/>
            </w:r>
            <w:r>
              <w:rPr>
                <w:rStyle w:val="IndexLink"/>
              </w:rPr>
              <w:t>245</w:t>
            </w:r>
          </w:hyperlink>
        </w:p>
        <w:p>
          <w:pPr>
            <w:pStyle w:val="Contents6"/>
            <w:tabs>
              <w:tab w:val="clear" w:pos="7609"/>
              <w:tab w:val="right" w:pos="9026" w:leader="dot"/>
            </w:tabs>
            <w:rPr/>
          </w:pPr>
          <w:hyperlink w:anchor="__RefHeading___Toc4192169_2142443653">
            <w:r>
              <w:rPr>
                <w:webHidden/>
                <w:rStyle w:val="IndexLink"/>
                <w:rtl w:val="true"/>
              </w:rPr>
              <w:t>الثالثة</w:t>
            </w:r>
            <w:r>
              <w:rPr>
                <w:rStyle w:val="IndexLink"/>
                <w:rtl w:val="true"/>
              </w:rPr>
              <w:t xml:space="preserve">: </w:t>
            </w:r>
            <w:r>
              <w:rPr>
                <w:rStyle w:val="IndexLink"/>
                <w:rtl w:val="true"/>
              </w:rPr>
              <w:t>لو اتفقت أيام التمييز</w:t>
            </w:r>
            <w:r>
              <w:rPr>
                <w:rStyle w:val="IndexLink"/>
                <w:rtl w:val="true"/>
              </w:rPr>
              <w:tab/>
            </w:r>
            <w:r>
              <w:rPr>
                <w:rStyle w:val="IndexLink"/>
              </w:rPr>
              <w:t>246</w:t>
            </w:r>
          </w:hyperlink>
        </w:p>
        <w:p>
          <w:pPr>
            <w:pStyle w:val="Contents6"/>
            <w:tabs>
              <w:tab w:val="clear" w:pos="7609"/>
              <w:tab w:val="right" w:pos="9026" w:leader="dot"/>
            </w:tabs>
            <w:rPr/>
          </w:pPr>
          <w:hyperlink w:anchor="__RefHeading___Toc4192171_2142443653">
            <w:r>
              <w:rPr>
                <w:webHidden/>
                <w:rStyle w:val="IndexLink"/>
                <w:rtl w:val="true"/>
              </w:rPr>
              <w:t>الرابعة</w:t>
            </w:r>
            <w:r>
              <w:rPr>
                <w:rStyle w:val="IndexLink"/>
                <w:rtl w:val="true"/>
              </w:rPr>
              <w:t xml:space="preserve">: </w:t>
            </w:r>
            <w:r>
              <w:rPr>
                <w:rStyle w:val="IndexLink"/>
                <w:rtl w:val="true"/>
              </w:rPr>
              <w:t>قد تتعدّد العادة على نظام طبيعي،</w:t>
            </w:r>
            <w:r>
              <w:rPr>
                <w:rStyle w:val="IndexLink"/>
                <w:rtl w:val="true"/>
              </w:rPr>
              <w:tab/>
            </w:r>
            <w:r>
              <w:rPr>
                <w:rStyle w:val="IndexLink"/>
              </w:rPr>
              <w:t>246</w:t>
            </w:r>
          </w:hyperlink>
        </w:p>
        <w:p>
          <w:pPr>
            <w:pStyle w:val="Contents6"/>
            <w:tabs>
              <w:tab w:val="clear" w:pos="7609"/>
              <w:tab w:val="right" w:pos="9026" w:leader="dot"/>
            </w:tabs>
            <w:rPr/>
          </w:pPr>
          <w:hyperlink w:anchor="__RefHeading___Toc4192173_2142443653">
            <w:r>
              <w:rPr>
                <w:webHidden/>
                <w:rStyle w:val="IndexLink"/>
                <w:rtl w:val="true"/>
              </w:rPr>
              <w:t>الخامسة</w:t>
            </w:r>
            <w:r>
              <w:rPr>
                <w:rStyle w:val="IndexLink"/>
                <w:rtl w:val="true"/>
              </w:rPr>
              <w:t xml:space="preserve">: </w:t>
            </w:r>
            <w:r>
              <w:rPr>
                <w:rStyle w:val="IndexLink"/>
                <w:rtl w:val="true"/>
              </w:rPr>
              <w:t>قد تترك ذات التمييز الصلاة و الصوم عشرين يوما متوالية،</w:t>
            </w:r>
            <w:r>
              <w:rPr>
                <w:rStyle w:val="IndexLink"/>
                <w:rtl w:val="true"/>
              </w:rPr>
              <w:tab/>
            </w:r>
            <w:r>
              <w:rPr>
                <w:rStyle w:val="IndexLink"/>
              </w:rPr>
              <w:t>247</w:t>
            </w:r>
          </w:hyperlink>
        </w:p>
        <w:p>
          <w:pPr>
            <w:pStyle w:val="Contents6"/>
            <w:tabs>
              <w:tab w:val="clear" w:pos="7609"/>
              <w:tab w:val="right" w:pos="9026" w:leader="dot"/>
            </w:tabs>
            <w:rPr/>
          </w:pPr>
          <w:hyperlink w:anchor="__RefHeading___Toc4192175_2142443653">
            <w:r>
              <w:rPr>
                <w:webHidden/>
                <w:rStyle w:val="IndexLink"/>
                <w:rtl w:val="true"/>
              </w:rPr>
              <w:t>السادسة</w:t>
            </w:r>
            <w:r>
              <w:rPr>
                <w:rStyle w:val="IndexLink"/>
                <w:rtl w:val="true"/>
              </w:rPr>
              <w:t xml:space="preserve">: </w:t>
            </w:r>
            <w:r>
              <w:rPr>
                <w:rStyle w:val="IndexLink"/>
                <w:rtl w:val="true"/>
              </w:rPr>
              <w:t>هل يشترط في التمييز بلوغ الدم الضعيف أقلّ الطهر؟</w:t>
            </w:r>
            <w:r>
              <w:rPr>
                <w:rStyle w:val="IndexLink"/>
                <w:rtl w:val="true"/>
              </w:rPr>
              <w:tab/>
            </w:r>
            <w:r>
              <w:rPr>
                <w:rStyle w:val="IndexLink"/>
              </w:rPr>
              <w:t>247</w:t>
            </w:r>
          </w:hyperlink>
        </w:p>
        <w:p>
          <w:pPr>
            <w:pStyle w:val="Contents6"/>
            <w:tabs>
              <w:tab w:val="clear" w:pos="7609"/>
              <w:tab w:val="right" w:pos="9026" w:leader="dot"/>
            </w:tabs>
            <w:rPr/>
          </w:pPr>
          <w:hyperlink w:anchor="__RefHeading___Toc4192177_2142443653">
            <w:r>
              <w:rPr>
                <w:webHidden/>
                <w:rStyle w:val="IndexLink"/>
                <w:rtl w:val="true"/>
              </w:rPr>
              <w:t>السابعة</w:t>
            </w:r>
            <w:r>
              <w:rPr>
                <w:rStyle w:val="IndexLink"/>
                <w:rtl w:val="true"/>
              </w:rPr>
              <w:t xml:space="preserve">: </w:t>
            </w:r>
            <w:r>
              <w:rPr>
                <w:rStyle w:val="IndexLink"/>
                <w:rtl w:val="true"/>
              </w:rPr>
              <w:t>قال في المبسوط</w:t>
            </w:r>
            <w:r>
              <w:rPr>
                <w:rStyle w:val="IndexLink"/>
                <w:rtl w:val="true"/>
              </w:rPr>
              <w:t xml:space="preserve">: </w:t>
            </w:r>
            <w:r>
              <w:rPr>
                <w:rStyle w:val="IndexLink"/>
                <w:rtl w:val="true"/>
              </w:rPr>
              <w:t xml:space="preserve">روي عنهم </w:t>
            </w:r>
            <w:r>
              <w:rPr>
                <w:rStyle w:val="IndexLink"/>
                <w:rtl w:val="true"/>
              </w:rPr>
              <w:t>(</w:t>
            </w:r>
            <w:r>
              <w:rPr>
                <w:rStyle w:val="IndexLink"/>
                <w:rtl w:val="true"/>
              </w:rPr>
              <w:t>عليهم السلام</w:t>
            </w:r>
            <w:r>
              <w:rPr>
                <w:rStyle w:val="IndexLink"/>
                <w:rtl w:val="true"/>
              </w:rPr>
              <w:t>): «</w:t>
            </w:r>
            <w:r>
              <w:rPr>
                <w:rStyle w:val="IndexLink"/>
                <w:rtl w:val="true"/>
              </w:rPr>
              <w:t>انّ الصفرة في أيام الحيض حيض،</w:t>
            </w:r>
            <w:r>
              <w:rPr>
                <w:rStyle w:val="IndexLink"/>
                <w:rtl w:val="true"/>
              </w:rPr>
              <w:tab/>
            </w:r>
            <w:r>
              <w:rPr>
                <w:rStyle w:val="IndexLink"/>
              </w:rPr>
              <w:t>248</w:t>
            </w:r>
          </w:hyperlink>
        </w:p>
        <w:p>
          <w:pPr>
            <w:pStyle w:val="Contents6"/>
            <w:tabs>
              <w:tab w:val="clear" w:pos="7609"/>
              <w:tab w:val="right" w:pos="9026" w:leader="dot"/>
            </w:tabs>
            <w:rPr/>
          </w:pPr>
          <w:hyperlink w:anchor="__RefHeading___Toc4192179_2142443653">
            <w:r>
              <w:rPr>
                <w:webHidden/>
                <w:rStyle w:val="IndexLink"/>
                <w:rtl w:val="true"/>
              </w:rPr>
              <w:t>الثامنة</w:t>
            </w:r>
            <w:r>
              <w:rPr>
                <w:rStyle w:val="IndexLink"/>
                <w:rtl w:val="true"/>
              </w:rPr>
              <w:t xml:space="preserve">: </w:t>
            </w:r>
            <w:r>
              <w:rPr>
                <w:rStyle w:val="IndexLink"/>
                <w:rtl w:val="true"/>
              </w:rPr>
              <w:t>ذات العادة المستقرة تترك العبادة بالرؤية</w:t>
            </w:r>
            <w:r>
              <w:rPr>
                <w:rStyle w:val="IndexLink"/>
                <w:rtl w:val="true"/>
              </w:rPr>
              <w:tab/>
            </w:r>
            <w:r>
              <w:rPr>
                <w:rStyle w:val="IndexLink"/>
              </w:rPr>
              <w:t>249</w:t>
            </w:r>
          </w:hyperlink>
        </w:p>
        <w:p>
          <w:pPr>
            <w:pStyle w:val="Contents6"/>
            <w:tabs>
              <w:tab w:val="clear" w:pos="7609"/>
              <w:tab w:val="right" w:pos="9026" w:leader="dot"/>
            </w:tabs>
            <w:rPr/>
          </w:pPr>
          <w:hyperlink w:anchor="__RefHeading___Toc4192181_2142443653">
            <w:r>
              <w:rPr>
                <w:webHidden/>
                <w:rStyle w:val="IndexLink"/>
                <w:rtl w:val="true"/>
              </w:rPr>
              <w:t>التاسعة</w:t>
            </w:r>
            <w:r>
              <w:rPr>
                <w:rStyle w:val="IndexLink"/>
                <w:rtl w:val="true"/>
              </w:rPr>
              <w:t xml:space="preserve">: </w:t>
            </w:r>
            <w:r>
              <w:rPr>
                <w:rStyle w:val="IndexLink"/>
                <w:rtl w:val="true"/>
              </w:rPr>
              <w:t>المعتادة دون العشرة مع الدم المستمر،</w:t>
            </w:r>
            <w:r>
              <w:rPr>
                <w:rStyle w:val="IndexLink"/>
                <w:rtl w:val="true"/>
              </w:rPr>
              <w:tab/>
            </w:r>
            <w:r>
              <w:rPr>
                <w:rStyle w:val="IndexLink"/>
              </w:rPr>
              <w:t>250</w:t>
            </w:r>
          </w:hyperlink>
        </w:p>
        <w:p>
          <w:pPr>
            <w:pStyle w:val="Contents6"/>
            <w:tabs>
              <w:tab w:val="clear" w:pos="7609"/>
              <w:tab w:val="right" w:pos="9026" w:leader="dot"/>
            </w:tabs>
            <w:rPr/>
          </w:pPr>
          <w:hyperlink w:anchor="__RefHeading___Toc4192183_2142443653">
            <w:r>
              <w:rPr>
                <w:webHidden/>
                <w:rStyle w:val="IndexLink"/>
                <w:rtl w:val="true"/>
              </w:rPr>
              <w:t>العاشرة</w:t>
            </w:r>
            <w:r>
              <w:rPr>
                <w:rStyle w:val="IndexLink"/>
                <w:rtl w:val="true"/>
              </w:rPr>
              <w:t xml:space="preserve">: </w:t>
            </w:r>
            <w:r>
              <w:rPr>
                <w:rStyle w:val="IndexLink"/>
                <w:rtl w:val="true"/>
              </w:rPr>
              <w:t xml:space="preserve">لو عارض التمييز العادة </w:t>
            </w:r>
            <w:r>
              <w:rPr>
                <w:rStyle w:val="IndexLink"/>
                <w:rtl w:val="true"/>
              </w:rPr>
              <w:t>-</w:t>
              <w:tab/>
            </w:r>
            <w:r>
              <w:rPr>
                <w:rStyle w:val="IndexLink"/>
              </w:rPr>
              <w:t>252</w:t>
            </w:r>
          </w:hyperlink>
        </w:p>
        <w:p>
          <w:pPr>
            <w:pStyle w:val="Contents6"/>
            <w:tabs>
              <w:tab w:val="clear" w:pos="7609"/>
              <w:tab w:val="right" w:pos="9026" w:leader="dot"/>
            </w:tabs>
            <w:rPr/>
          </w:pPr>
          <w:hyperlink w:anchor="__RefHeading___Toc4192185_2142443653">
            <w:r>
              <w:rPr>
                <w:webHidden/>
                <w:rStyle w:val="IndexLink"/>
                <w:rtl w:val="true"/>
              </w:rPr>
              <w:t>المقام الثالث</w:t>
            </w:r>
            <w:r>
              <w:rPr>
                <w:rStyle w:val="IndexLink"/>
                <w:rtl w:val="true"/>
              </w:rPr>
              <w:t xml:space="preserve">: </w:t>
            </w:r>
            <w:r>
              <w:rPr>
                <w:rStyle w:val="IndexLink"/>
                <w:rtl w:val="true"/>
              </w:rPr>
              <w:t>في الاستحاضة</w:t>
            </w:r>
            <w:r>
              <w:rPr>
                <w:rStyle w:val="IndexLink"/>
                <w:rtl w:val="true"/>
              </w:rPr>
              <w:t>.</w:t>
              <w:tab/>
            </w:r>
            <w:r>
              <w:rPr>
                <w:rStyle w:val="IndexLink"/>
              </w:rPr>
              <w:t>254</w:t>
            </w:r>
          </w:hyperlink>
        </w:p>
        <w:p>
          <w:pPr>
            <w:pStyle w:val="Contents6"/>
            <w:tabs>
              <w:tab w:val="clear" w:pos="7609"/>
              <w:tab w:val="right" w:pos="9026" w:leader="dot"/>
            </w:tabs>
            <w:rPr/>
          </w:pPr>
          <w:hyperlink w:anchor="__RefHeading___Toc4192187_2142443653">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4192189_2142443653">
            <w:r>
              <w:rPr>
                <w:webHidden/>
                <w:rStyle w:val="IndexLink"/>
                <w:rtl w:val="true"/>
              </w:rPr>
              <w:t>فروع</w:t>
            </w:r>
            <w:r>
              <w:rPr>
                <w:rStyle w:val="IndexLink"/>
                <w:rtl w:val="true"/>
              </w:rPr>
              <w:t>:</w:t>
              <w:tab/>
            </w:r>
            <w:r>
              <w:rPr>
                <w:rStyle w:val="IndexLink"/>
              </w:rPr>
              <w:t>259</w:t>
            </w:r>
          </w:hyperlink>
        </w:p>
        <w:p>
          <w:pPr>
            <w:pStyle w:val="Contents6"/>
            <w:tabs>
              <w:tab w:val="clear" w:pos="7609"/>
              <w:tab w:val="right" w:pos="9026" w:leader="dot"/>
            </w:tabs>
            <w:rPr/>
          </w:pPr>
          <w:hyperlink w:anchor="__RefHeading___Toc4192191_2142443653">
            <w:r>
              <w:rPr>
                <w:webHidden/>
                <w:rStyle w:val="IndexLink"/>
                <w:rtl w:val="true"/>
              </w:rPr>
              <w:t>الأول</w:t>
            </w:r>
            <w:r>
              <w:rPr>
                <w:rStyle w:val="IndexLink"/>
                <w:rtl w:val="true"/>
              </w:rPr>
              <w:t xml:space="preserve">: </w:t>
            </w:r>
            <w:r>
              <w:rPr>
                <w:rStyle w:val="IndexLink"/>
                <w:rtl w:val="true"/>
              </w:rPr>
              <w:t>ظاهر الخبر التخيير بين الستة و السبعة،</w:t>
            </w:r>
            <w:r>
              <w:rPr>
                <w:rStyle w:val="IndexLink"/>
                <w:rtl w:val="true"/>
              </w:rPr>
              <w:tab/>
            </w:r>
            <w:r>
              <w:rPr>
                <w:rStyle w:val="IndexLink"/>
              </w:rPr>
              <w:t>259</w:t>
            </w:r>
          </w:hyperlink>
        </w:p>
        <w:p>
          <w:pPr>
            <w:pStyle w:val="Contents6"/>
            <w:tabs>
              <w:tab w:val="clear" w:pos="7609"/>
              <w:tab w:val="right" w:pos="9026" w:leader="dot"/>
            </w:tabs>
            <w:rPr/>
          </w:pPr>
          <w:hyperlink w:anchor="__RefHeading___Toc4192193_2142443653">
            <w:r>
              <w:rPr>
                <w:webHidden/>
                <w:rStyle w:val="IndexLink"/>
                <w:rtl w:val="true"/>
              </w:rPr>
              <w:t>الثاني</w:t>
            </w:r>
            <w:r>
              <w:rPr>
                <w:rStyle w:val="IndexLink"/>
                <w:rtl w:val="true"/>
              </w:rPr>
              <w:t xml:space="preserve">: </w:t>
            </w:r>
            <w:r>
              <w:rPr>
                <w:rStyle w:val="IndexLink"/>
                <w:rtl w:val="true"/>
              </w:rPr>
              <w:t>خبر محمد بن مسلم يدل على التمسّك و لو بواحدة،</w:t>
            </w:r>
            <w:r>
              <w:rPr>
                <w:rStyle w:val="IndexLink"/>
                <w:rtl w:val="true"/>
              </w:rPr>
              <w:tab/>
            </w:r>
            <w:r>
              <w:rPr>
                <w:rStyle w:val="IndexLink"/>
              </w:rPr>
              <w:t>260</w:t>
            </w:r>
          </w:hyperlink>
        </w:p>
        <w:p>
          <w:pPr>
            <w:pStyle w:val="Contents6"/>
            <w:tabs>
              <w:tab w:val="clear" w:pos="7609"/>
              <w:tab w:val="right" w:pos="9026" w:leader="dot"/>
            </w:tabs>
            <w:rPr/>
          </w:pPr>
          <w:hyperlink w:anchor="__RefHeading___Toc4192195_2142443653">
            <w:r>
              <w:rPr>
                <w:webHidden/>
                <w:rStyle w:val="IndexLink"/>
                <w:rtl w:val="true"/>
              </w:rPr>
              <w:t>الثالث</w:t>
            </w:r>
            <w:r>
              <w:rPr>
                <w:rStyle w:val="IndexLink"/>
                <w:rtl w:val="true"/>
              </w:rPr>
              <w:t xml:space="preserve">: </w:t>
            </w:r>
            <w:r>
              <w:rPr>
                <w:rStyle w:val="IndexLink"/>
                <w:rtl w:val="true"/>
              </w:rPr>
              <w:t>أنكر في المعتبر العود إلى الأقران</w:t>
            </w:r>
            <w:r>
              <w:rPr>
                <w:rStyle w:val="IndexLink"/>
                <w:rtl w:val="true"/>
              </w:rPr>
              <w:tab/>
            </w:r>
            <w:r>
              <w:rPr>
                <w:rStyle w:val="IndexLink"/>
              </w:rPr>
              <w:t>260</w:t>
            </w:r>
          </w:hyperlink>
        </w:p>
        <w:p>
          <w:pPr>
            <w:pStyle w:val="Contents6"/>
            <w:tabs>
              <w:tab w:val="clear" w:pos="7609"/>
              <w:tab w:val="right" w:pos="9026" w:leader="dot"/>
            </w:tabs>
            <w:rPr/>
          </w:pPr>
          <w:hyperlink w:anchor="__RefHeading___Toc4192197_2142443653">
            <w:r>
              <w:rPr>
                <w:webHidden/>
                <w:rStyle w:val="IndexLink"/>
                <w:rtl w:val="true"/>
              </w:rPr>
              <w:t>الرابع</w:t>
            </w:r>
            <w:r>
              <w:rPr>
                <w:rStyle w:val="IndexLink"/>
                <w:rtl w:val="true"/>
              </w:rPr>
              <w:t xml:space="preserve">: </w:t>
            </w:r>
            <w:r>
              <w:rPr>
                <w:rStyle w:val="IndexLink"/>
                <w:rtl w:val="true"/>
              </w:rPr>
              <w:t>حكم أبو الصلاح برجوع المضطربة الى النساء،</w:t>
            </w:r>
            <w:r>
              <w:rPr>
                <w:rStyle w:val="IndexLink"/>
                <w:rtl w:val="true"/>
              </w:rPr>
              <w:tab/>
            </w:r>
            <w:r>
              <w:rPr>
                <w:rStyle w:val="IndexLink"/>
              </w:rPr>
              <w:t>260</w:t>
            </w:r>
          </w:hyperlink>
        </w:p>
        <w:p>
          <w:pPr>
            <w:pStyle w:val="Contents6"/>
            <w:tabs>
              <w:tab w:val="clear" w:pos="7609"/>
              <w:tab w:val="right" w:pos="9026" w:leader="dot"/>
            </w:tabs>
            <w:rPr/>
          </w:pPr>
          <w:hyperlink w:anchor="__RefHeading___Toc4192199_2142443653">
            <w:r>
              <w:rPr>
                <w:webHidden/>
                <w:rStyle w:val="IndexLink"/>
                <w:rtl w:val="true"/>
              </w:rPr>
              <w:t>الخامس</w:t>
            </w:r>
            <w:r>
              <w:rPr>
                <w:rStyle w:val="IndexLink"/>
                <w:rtl w:val="true"/>
              </w:rPr>
              <w:t xml:space="preserve">: </w:t>
            </w:r>
            <w:r>
              <w:rPr>
                <w:rStyle w:val="IndexLink"/>
                <w:rtl w:val="true"/>
              </w:rPr>
              <w:t>لا تصح طهارتها قبل الوقت،</w:t>
            </w:r>
            <w:r>
              <w:rPr>
                <w:rStyle w:val="IndexLink"/>
                <w:rtl w:val="true"/>
              </w:rPr>
              <w:tab/>
            </w:r>
            <w:r>
              <w:rPr>
                <w:rStyle w:val="IndexLink"/>
              </w:rPr>
              <w:t>261</w:t>
            </w:r>
          </w:hyperlink>
        </w:p>
        <w:p>
          <w:pPr>
            <w:pStyle w:val="Contents6"/>
            <w:tabs>
              <w:tab w:val="clear" w:pos="7609"/>
              <w:tab w:val="right" w:pos="9026" w:leader="dot"/>
            </w:tabs>
            <w:rPr/>
          </w:pPr>
          <w:hyperlink w:anchor="__RefHeading___Toc4192201_2142443653">
            <w:r>
              <w:rPr>
                <w:webHidden/>
                <w:rStyle w:val="IndexLink"/>
                <w:rtl w:val="true"/>
              </w:rPr>
              <w:t>السادس</w:t>
            </w:r>
            <w:r>
              <w:rPr>
                <w:rStyle w:val="IndexLink"/>
                <w:rtl w:val="true"/>
              </w:rPr>
              <w:t xml:space="preserve">: </w:t>
            </w:r>
            <w:r>
              <w:rPr>
                <w:rStyle w:val="IndexLink"/>
                <w:rtl w:val="true"/>
              </w:rPr>
              <w:t>الأجود تجديد الوضوء لصلاة النافلة،</w:t>
            </w:r>
            <w:r>
              <w:rPr>
                <w:rStyle w:val="IndexLink"/>
                <w:rtl w:val="true"/>
              </w:rPr>
              <w:tab/>
            </w:r>
            <w:r>
              <w:rPr>
                <w:rStyle w:val="IndexLink"/>
              </w:rPr>
              <w:t>262</w:t>
            </w:r>
          </w:hyperlink>
        </w:p>
        <w:p>
          <w:pPr>
            <w:pStyle w:val="Contents6"/>
            <w:tabs>
              <w:tab w:val="clear" w:pos="7609"/>
              <w:tab w:val="right" w:pos="9026" w:leader="dot"/>
            </w:tabs>
            <w:rPr/>
          </w:pPr>
          <w:hyperlink w:anchor="__RefHeading___Toc4192203_2142443653">
            <w:r>
              <w:rPr>
                <w:webHidden/>
                <w:rStyle w:val="IndexLink"/>
                <w:rtl w:val="true"/>
              </w:rPr>
              <w:t>السابع</w:t>
            </w:r>
            <w:r>
              <w:rPr>
                <w:rStyle w:val="IndexLink"/>
                <w:rtl w:val="true"/>
              </w:rPr>
              <w:t xml:space="preserve">: </w:t>
            </w:r>
            <w:r>
              <w:rPr>
                <w:rStyle w:val="IndexLink"/>
                <w:rtl w:val="true"/>
              </w:rPr>
              <w:t>ظاهر الأصحاب توقّف حلّ الوطء</w:t>
            </w:r>
            <w:r>
              <w:rPr>
                <w:rStyle w:val="IndexLink"/>
                <w:rtl w:val="true"/>
              </w:rPr>
              <w:tab/>
            </w:r>
            <w:r>
              <w:rPr>
                <w:rStyle w:val="IndexLink"/>
              </w:rPr>
              <w:t>263</w:t>
            </w:r>
          </w:hyperlink>
        </w:p>
        <w:p>
          <w:pPr>
            <w:pStyle w:val="Contents6"/>
            <w:tabs>
              <w:tab w:val="clear" w:pos="7609"/>
              <w:tab w:val="right" w:pos="9026" w:leader="dot"/>
            </w:tabs>
            <w:rPr/>
          </w:pPr>
          <w:hyperlink w:anchor="__RefHeading___Toc4192205_2142443653">
            <w:r>
              <w:rPr>
                <w:webHidden/>
                <w:rStyle w:val="IndexLink"/>
                <w:rtl w:val="true"/>
              </w:rPr>
              <w:t>الثامن</w:t>
            </w:r>
            <w:r>
              <w:rPr>
                <w:rStyle w:val="IndexLink"/>
                <w:rtl w:val="true"/>
              </w:rPr>
              <w:t xml:space="preserve">: </w:t>
            </w:r>
            <w:r>
              <w:rPr>
                <w:rStyle w:val="IndexLink"/>
                <w:rtl w:val="true"/>
              </w:rPr>
              <w:t>حكم الشيخ بأنّ انقطاع دمها بعد الوضوء يوجب الوضوء ،</w:t>
            </w:r>
            <w:r>
              <w:rPr>
                <w:rStyle w:val="IndexLink"/>
                <w:rtl w:val="true"/>
              </w:rPr>
              <w:tab/>
            </w:r>
            <w:r>
              <w:rPr>
                <w:rStyle w:val="IndexLink"/>
              </w:rPr>
              <w:t>264</w:t>
            </w:r>
          </w:hyperlink>
        </w:p>
        <w:p>
          <w:pPr>
            <w:pStyle w:val="Contents6"/>
            <w:tabs>
              <w:tab w:val="clear" w:pos="7609"/>
              <w:tab w:val="right" w:pos="9026" w:leader="dot"/>
            </w:tabs>
            <w:rPr/>
          </w:pPr>
          <w:hyperlink w:anchor="__RefHeading___Toc4192207_2142443653">
            <w:r>
              <w:rPr>
                <w:webHidden/>
                <w:rStyle w:val="IndexLink"/>
                <w:rtl w:val="true"/>
              </w:rPr>
              <w:t>التاسع</w:t>
            </w:r>
            <w:r>
              <w:rPr>
                <w:rStyle w:val="IndexLink"/>
                <w:rtl w:val="true"/>
              </w:rPr>
              <w:t xml:space="preserve">: </w:t>
            </w:r>
            <w:r>
              <w:rPr>
                <w:rStyle w:val="IndexLink"/>
                <w:rtl w:val="true"/>
              </w:rPr>
              <w:t>لو انقطع الدم في أثناء الصلاة،</w:t>
            </w:r>
            <w:r>
              <w:rPr>
                <w:rStyle w:val="IndexLink"/>
                <w:rtl w:val="true"/>
              </w:rPr>
              <w:tab/>
            </w:r>
            <w:r>
              <w:rPr>
                <w:rStyle w:val="IndexLink"/>
              </w:rPr>
              <w:t>265</w:t>
            </w:r>
          </w:hyperlink>
        </w:p>
        <w:p>
          <w:pPr>
            <w:pStyle w:val="Contents6"/>
            <w:tabs>
              <w:tab w:val="clear" w:pos="7609"/>
              <w:tab w:val="right" w:pos="9026" w:leader="dot"/>
            </w:tabs>
            <w:rPr/>
          </w:pPr>
          <w:hyperlink w:anchor="__RefHeading___Toc4192209_2142443653">
            <w:r>
              <w:rPr>
                <w:webHidden/>
                <w:rStyle w:val="IndexLink"/>
                <w:rtl w:val="true"/>
              </w:rPr>
              <w:t>العاشر</w:t>
            </w:r>
            <w:r>
              <w:rPr>
                <w:rStyle w:val="IndexLink"/>
                <w:rtl w:val="true"/>
              </w:rPr>
              <w:t xml:space="preserve">: </w:t>
            </w:r>
            <w:r>
              <w:rPr>
                <w:rStyle w:val="IndexLink"/>
                <w:rtl w:val="true"/>
              </w:rPr>
              <w:t>قيل</w:t>
            </w:r>
            <w:r>
              <w:rPr>
                <w:rStyle w:val="IndexLink"/>
                <w:rtl w:val="true"/>
              </w:rPr>
              <w:t xml:space="preserve">: </w:t>
            </w:r>
            <w:r>
              <w:rPr>
                <w:rStyle w:val="IndexLink"/>
                <w:rtl w:val="true"/>
              </w:rPr>
              <w:t>الاعتبار في الكثرة و القلة بأوقات الصلوات،</w:t>
            </w:r>
            <w:r>
              <w:rPr>
                <w:rStyle w:val="IndexLink"/>
                <w:rtl w:val="true"/>
              </w:rPr>
              <w:tab/>
            </w:r>
            <w:r>
              <w:rPr>
                <w:rStyle w:val="IndexLink"/>
              </w:rPr>
              <w:t>266</w:t>
            </w:r>
          </w:hyperlink>
        </w:p>
        <w:p>
          <w:pPr>
            <w:pStyle w:val="Contents6"/>
            <w:tabs>
              <w:tab w:val="clear" w:pos="7609"/>
              <w:tab w:val="right" w:pos="9026" w:leader="dot"/>
            </w:tabs>
            <w:rPr/>
          </w:pPr>
          <w:hyperlink w:anchor="__RefHeading___Toc4192211_2142443653">
            <w:r>
              <w:rPr>
                <w:webHidden/>
                <w:rStyle w:val="IndexLink"/>
                <w:rtl w:val="true"/>
              </w:rPr>
              <w:t>الحادي عشر</w:t>
            </w:r>
            <w:r>
              <w:rPr>
                <w:rStyle w:val="IndexLink"/>
                <w:rtl w:val="true"/>
              </w:rPr>
              <w:t xml:space="preserve">: </w:t>
            </w:r>
            <w:r>
              <w:rPr>
                <w:rStyle w:val="IndexLink"/>
                <w:rtl w:val="true"/>
              </w:rPr>
              <w:t>الأجود انه إذا انقطع الدم بعد الطهارة إعادتها</w:t>
            </w:r>
            <w:r>
              <w:rPr>
                <w:rStyle w:val="IndexLink"/>
                <w:rtl w:val="true"/>
              </w:rPr>
              <w:tab/>
            </w:r>
            <w:r>
              <w:rPr>
                <w:rStyle w:val="IndexLink"/>
              </w:rPr>
              <w:t>266</w:t>
            </w:r>
          </w:hyperlink>
        </w:p>
        <w:p>
          <w:pPr>
            <w:pStyle w:val="Contents6"/>
            <w:tabs>
              <w:tab w:val="clear" w:pos="7609"/>
              <w:tab w:val="right" w:pos="9026" w:leader="dot"/>
            </w:tabs>
            <w:rPr/>
          </w:pPr>
          <w:hyperlink w:anchor="__RefHeading___Toc4192213_2142443653">
            <w:r>
              <w:rPr>
                <w:webHidden/>
                <w:rStyle w:val="IndexLink"/>
                <w:rtl w:val="true"/>
              </w:rPr>
              <w:t>حكم مضطربة فاقد التمييز في المرأة المستحاضة</w:t>
            </w:r>
            <w:r>
              <w:rPr>
                <w:rStyle w:val="IndexLink"/>
                <w:rtl w:val="true"/>
              </w:rPr>
              <w:tab/>
            </w:r>
            <w:r>
              <w:rPr>
                <w:rStyle w:val="IndexLink"/>
              </w:rPr>
              <w:t>267</w:t>
            </w:r>
          </w:hyperlink>
        </w:p>
        <w:p>
          <w:pPr>
            <w:pStyle w:val="Contents6"/>
            <w:tabs>
              <w:tab w:val="clear" w:pos="7609"/>
              <w:tab w:val="right" w:pos="9026" w:leader="dot"/>
            </w:tabs>
            <w:rPr/>
          </w:pPr>
          <w:hyperlink w:anchor="__RefHeading___Toc4192215_2142443653">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4192217_2142443653">
            <w:r>
              <w:rPr>
                <w:webHidden/>
                <w:rStyle w:val="IndexLink"/>
                <w:rtl w:val="true"/>
              </w:rPr>
              <w:t>الأولى</w:t>
            </w:r>
            <w:r>
              <w:rPr>
                <w:rStyle w:val="IndexLink"/>
                <w:rtl w:val="true"/>
              </w:rPr>
              <w:t xml:space="preserve">: </w:t>
            </w:r>
            <w:r>
              <w:rPr>
                <w:rStyle w:val="IndexLink"/>
                <w:rtl w:val="true"/>
              </w:rPr>
              <w:t>ذكرت العدد و نسيت الوقت،</w:t>
            </w:r>
            <w:r>
              <w:rPr>
                <w:rStyle w:val="IndexLink"/>
                <w:rtl w:val="true"/>
              </w:rPr>
              <w:tab/>
            </w:r>
            <w:r>
              <w:rPr>
                <w:rStyle w:val="IndexLink"/>
              </w:rPr>
              <w:t>267</w:t>
            </w:r>
          </w:hyperlink>
        </w:p>
        <w:p>
          <w:pPr>
            <w:pStyle w:val="Contents6"/>
            <w:tabs>
              <w:tab w:val="clear" w:pos="7609"/>
              <w:tab w:val="right" w:pos="9026" w:leader="dot"/>
            </w:tabs>
            <w:rPr/>
          </w:pPr>
          <w:hyperlink w:anchor="__RefHeading___Toc4192219_2142443653">
            <w:r>
              <w:rPr>
                <w:webHidden/>
                <w:rStyle w:val="IndexLink"/>
                <w:rtl w:val="true"/>
              </w:rPr>
              <w:t>الثانية</w:t>
            </w:r>
            <w:r>
              <w:rPr>
                <w:rStyle w:val="IndexLink"/>
                <w:rtl w:val="true"/>
              </w:rPr>
              <w:t xml:space="preserve">: </w:t>
            </w:r>
            <w:r>
              <w:rPr>
                <w:rStyle w:val="IndexLink"/>
                <w:rtl w:val="true"/>
              </w:rPr>
              <w:t>ذكرت الوقت و نسيت العدد،</w:t>
            </w:r>
            <w:r>
              <w:rPr>
                <w:rStyle w:val="IndexLink"/>
                <w:rtl w:val="true"/>
              </w:rPr>
              <w:tab/>
            </w:r>
            <w:r>
              <w:rPr>
                <w:rStyle w:val="IndexLink"/>
              </w:rPr>
              <w:t>268</w:t>
            </w:r>
          </w:hyperlink>
        </w:p>
        <w:p>
          <w:pPr>
            <w:pStyle w:val="Contents6"/>
            <w:tabs>
              <w:tab w:val="clear" w:pos="7609"/>
              <w:tab w:val="right" w:pos="9026" w:leader="dot"/>
            </w:tabs>
            <w:rPr/>
          </w:pPr>
          <w:hyperlink w:anchor="__RefHeading___Toc4192221_2142443653">
            <w:r>
              <w:rPr>
                <w:webHidden/>
                <w:rStyle w:val="IndexLink"/>
                <w:rtl w:val="true"/>
              </w:rPr>
              <w:t>الثالثة</w:t>
            </w:r>
            <w:r>
              <w:rPr>
                <w:rStyle w:val="IndexLink"/>
                <w:rtl w:val="true"/>
              </w:rPr>
              <w:t xml:space="preserve">: </w:t>
            </w:r>
            <w:r>
              <w:rPr>
                <w:rStyle w:val="IndexLink"/>
                <w:rtl w:val="true"/>
              </w:rPr>
              <w:t>نسيتهما جميعا،</w:t>
            </w:r>
            <w:r>
              <w:rPr>
                <w:rStyle w:val="IndexLink"/>
                <w:rtl w:val="true"/>
              </w:rPr>
              <w:tab/>
            </w:r>
            <w:r>
              <w:rPr>
                <w:rStyle w:val="IndexLink"/>
              </w:rPr>
              <w:t>269</w:t>
            </w:r>
          </w:hyperlink>
        </w:p>
        <w:p>
          <w:pPr>
            <w:pStyle w:val="Contents6"/>
            <w:tabs>
              <w:tab w:val="clear" w:pos="7609"/>
              <w:tab w:val="right" w:pos="9026" w:leader="dot"/>
            </w:tabs>
            <w:rPr/>
          </w:pPr>
          <w:hyperlink w:anchor="__RefHeading___Toc4192223_2142443653">
            <w:r>
              <w:rPr>
                <w:webHidden/>
                <w:rStyle w:val="IndexLink"/>
                <w:rtl w:val="true"/>
              </w:rPr>
              <w:t>المقام الرابع</w:t>
            </w:r>
            <w:r>
              <w:rPr>
                <w:rStyle w:val="IndexLink"/>
                <w:rtl w:val="true"/>
              </w:rPr>
              <w:t xml:space="preserve">: </w:t>
            </w:r>
            <w:r>
              <w:rPr>
                <w:rStyle w:val="IndexLink"/>
                <w:rtl w:val="true"/>
              </w:rPr>
              <w:t>في النفاس</w:t>
            </w:r>
            <w:r>
              <w:rPr>
                <w:rStyle w:val="IndexLink"/>
                <w:rtl w:val="true"/>
              </w:rPr>
              <w:t>.</w:t>
              <w:tab/>
            </w:r>
            <w:r>
              <w:rPr>
                <w:rStyle w:val="IndexLink"/>
              </w:rPr>
              <w:t>272</w:t>
            </w:r>
          </w:hyperlink>
        </w:p>
        <w:p>
          <w:pPr>
            <w:pStyle w:val="Contents6"/>
            <w:tabs>
              <w:tab w:val="clear" w:pos="7609"/>
              <w:tab w:val="right" w:pos="9026" w:leader="dot"/>
            </w:tabs>
            <w:rPr/>
          </w:pPr>
          <w:hyperlink w:anchor="__RefHeading___Toc4192225_2142443653">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4192227_2142443653">
            <w:r>
              <w:rPr>
                <w:webHidden/>
                <w:rStyle w:val="IndexLink"/>
                <w:rtl w:val="true"/>
              </w:rPr>
              <w:t>مسائل</w:t>
            </w:r>
            <w:r>
              <w:rPr>
                <w:rStyle w:val="IndexLink"/>
                <w:rtl w:val="true"/>
              </w:rPr>
              <w:t>:</w:t>
              <w:tab/>
            </w:r>
            <w:r>
              <w:rPr>
                <w:rStyle w:val="IndexLink"/>
              </w:rPr>
              <w:t>275</w:t>
            </w:r>
          </w:hyperlink>
        </w:p>
        <w:p>
          <w:pPr>
            <w:pStyle w:val="Contents6"/>
            <w:tabs>
              <w:tab w:val="clear" w:pos="7609"/>
              <w:tab w:val="right" w:pos="9026" w:leader="dot"/>
            </w:tabs>
            <w:rPr/>
          </w:pPr>
          <w:hyperlink w:anchor="__RefHeading___Toc4192229_2142443653">
            <w:r>
              <w:rPr>
                <w:webHidden/>
                <w:rStyle w:val="IndexLink"/>
                <w:rtl w:val="true"/>
              </w:rPr>
              <w:t>الأولى</w:t>
            </w:r>
            <w:r>
              <w:rPr>
                <w:rStyle w:val="IndexLink"/>
                <w:rtl w:val="true"/>
              </w:rPr>
              <w:t xml:space="preserve">: </w:t>
            </w:r>
            <w:r>
              <w:rPr>
                <w:rStyle w:val="IndexLink"/>
                <w:rtl w:val="true"/>
              </w:rPr>
              <w:t>ما تراه بعد الأكثر استحاضة،</w:t>
            </w:r>
            <w:r>
              <w:rPr>
                <w:rStyle w:val="IndexLink"/>
                <w:rtl w:val="true"/>
              </w:rPr>
              <w:tab/>
            </w:r>
            <w:r>
              <w:rPr>
                <w:rStyle w:val="IndexLink"/>
              </w:rPr>
              <w:t>275</w:t>
            </w:r>
          </w:hyperlink>
        </w:p>
        <w:p>
          <w:pPr>
            <w:pStyle w:val="Contents6"/>
            <w:tabs>
              <w:tab w:val="clear" w:pos="7609"/>
              <w:tab w:val="right" w:pos="9026" w:leader="dot"/>
            </w:tabs>
            <w:rPr/>
          </w:pPr>
          <w:hyperlink w:anchor="__RefHeading___Toc4192231_2142443653">
            <w:r>
              <w:rPr>
                <w:webHidden/>
                <w:rStyle w:val="IndexLink"/>
                <w:rtl w:val="true"/>
              </w:rPr>
              <w:t>الثانية</w:t>
            </w:r>
            <w:r>
              <w:rPr>
                <w:rStyle w:val="IndexLink"/>
                <w:rtl w:val="true"/>
              </w:rPr>
              <w:t xml:space="preserve">: </w:t>
            </w:r>
            <w:r>
              <w:rPr>
                <w:rStyle w:val="IndexLink"/>
                <w:rtl w:val="true"/>
              </w:rPr>
              <w:t>لو لم تر دما حتى انقضى الأكثر فلا نفاس،</w:t>
            </w:r>
            <w:r>
              <w:rPr>
                <w:rStyle w:val="IndexLink"/>
                <w:rtl w:val="true"/>
              </w:rPr>
              <w:tab/>
            </w:r>
            <w:r>
              <w:rPr>
                <w:rStyle w:val="IndexLink"/>
              </w:rPr>
              <w:t>276</w:t>
            </w:r>
          </w:hyperlink>
        </w:p>
        <w:p>
          <w:pPr>
            <w:pStyle w:val="Contents6"/>
            <w:tabs>
              <w:tab w:val="clear" w:pos="7609"/>
              <w:tab w:val="right" w:pos="9026" w:leader="dot"/>
            </w:tabs>
            <w:rPr/>
          </w:pPr>
          <w:hyperlink w:anchor="__RefHeading___Toc4192233_2142443653">
            <w:r>
              <w:rPr>
                <w:webHidden/>
                <w:rStyle w:val="IndexLink"/>
                <w:rtl w:val="true"/>
              </w:rPr>
              <w:t>الثالثة</w:t>
            </w:r>
            <w:r>
              <w:rPr>
                <w:rStyle w:val="IndexLink"/>
                <w:rtl w:val="true"/>
              </w:rPr>
              <w:t xml:space="preserve">: </w:t>
            </w:r>
            <w:r>
              <w:rPr>
                <w:rStyle w:val="IndexLink"/>
                <w:rtl w:val="true"/>
              </w:rPr>
              <w:t>ذات التوأمين فصاعدا يتعدّد نفاسها عملا بالعلة،</w:t>
            </w:r>
            <w:r>
              <w:rPr>
                <w:rStyle w:val="IndexLink"/>
                <w:rtl w:val="true"/>
              </w:rPr>
              <w:tab/>
            </w:r>
            <w:r>
              <w:rPr>
                <w:rStyle w:val="IndexLink"/>
              </w:rPr>
              <w:t>276</w:t>
            </w:r>
          </w:hyperlink>
        </w:p>
        <w:p>
          <w:pPr>
            <w:pStyle w:val="Contents6"/>
            <w:tabs>
              <w:tab w:val="clear" w:pos="7609"/>
              <w:tab w:val="right" w:pos="9026" w:leader="dot"/>
            </w:tabs>
            <w:rPr/>
          </w:pPr>
          <w:hyperlink w:anchor="__RefHeading___Toc4192235_2142443653">
            <w:r>
              <w:rPr>
                <w:webHidden/>
                <w:rStyle w:val="IndexLink"/>
                <w:rtl w:val="true"/>
              </w:rPr>
              <w:t>الرابعة</w:t>
            </w:r>
            <w:r>
              <w:rPr>
                <w:rStyle w:val="IndexLink"/>
                <w:rtl w:val="true"/>
              </w:rPr>
              <w:t xml:space="preserve">: </w:t>
            </w:r>
            <w:r>
              <w:rPr>
                <w:rStyle w:val="IndexLink"/>
                <w:rtl w:val="true"/>
              </w:rPr>
              <w:t>لو نفست ذات العادة عشرا،</w:t>
            </w:r>
            <w:r>
              <w:rPr>
                <w:rStyle w:val="IndexLink"/>
                <w:rtl w:val="true"/>
              </w:rPr>
              <w:tab/>
            </w:r>
            <w:r>
              <w:rPr>
                <w:rStyle w:val="IndexLink"/>
              </w:rPr>
              <w:t>276</w:t>
            </w:r>
          </w:hyperlink>
        </w:p>
        <w:p>
          <w:pPr>
            <w:pStyle w:val="Contents6"/>
            <w:tabs>
              <w:tab w:val="clear" w:pos="7609"/>
              <w:tab w:val="right" w:pos="9026" w:leader="dot"/>
            </w:tabs>
            <w:rPr/>
          </w:pPr>
          <w:hyperlink w:anchor="__RefHeading___Toc4192237_2142443653">
            <w:r>
              <w:rPr>
                <w:webHidden/>
                <w:rStyle w:val="IndexLink"/>
                <w:rtl w:val="true"/>
              </w:rPr>
              <w:t>الخامسة</w:t>
            </w:r>
            <w:r>
              <w:rPr>
                <w:rStyle w:val="IndexLink"/>
                <w:rtl w:val="true"/>
              </w:rPr>
              <w:t xml:space="preserve">: </w:t>
            </w:r>
            <w:r>
              <w:rPr>
                <w:rStyle w:val="IndexLink"/>
                <w:rtl w:val="true"/>
              </w:rPr>
              <w:t>لو سقط عضو من الولد و تخلف الباقي،</w:t>
            </w:r>
            <w:r>
              <w:rPr>
                <w:rStyle w:val="IndexLink"/>
                <w:rtl w:val="true"/>
              </w:rPr>
              <w:tab/>
            </w:r>
            <w:r>
              <w:rPr>
                <w:rStyle w:val="IndexLink"/>
              </w:rPr>
              <w:t>277</w:t>
            </w:r>
          </w:hyperlink>
        </w:p>
        <w:p>
          <w:pPr>
            <w:pStyle w:val="Contents6"/>
            <w:tabs>
              <w:tab w:val="clear" w:pos="7609"/>
              <w:tab w:val="right" w:pos="9026" w:leader="dot"/>
            </w:tabs>
            <w:rPr/>
          </w:pPr>
          <w:hyperlink w:anchor="__RefHeading___Toc4192239_2142443653">
            <w:r>
              <w:rPr>
                <w:webHidden/>
                <w:rStyle w:val="IndexLink"/>
                <w:rtl w:val="true"/>
              </w:rPr>
              <w:t>السادسة</w:t>
            </w:r>
            <w:r>
              <w:rPr>
                <w:rStyle w:val="IndexLink"/>
                <w:rtl w:val="true"/>
              </w:rPr>
              <w:t xml:space="preserve">: </w:t>
            </w:r>
            <w:r>
              <w:rPr>
                <w:rStyle w:val="IndexLink"/>
                <w:rtl w:val="true"/>
              </w:rPr>
              <w:t>لو رأت ثلاثة ثم ولدت قبل مضيّ طهر،</w:t>
            </w:r>
            <w:r>
              <w:rPr>
                <w:rStyle w:val="IndexLink"/>
                <w:rtl w:val="true"/>
              </w:rPr>
              <w:tab/>
            </w:r>
            <w:r>
              <w:rPr>
                <w:rStyle w:val="IndexLink"/>
              </w:rPr>
              <w:t>277</w:t>
            </w:r>
          </w:hyperlink>
        </w:p>
        <w:p>
          <w:pPr>
            <w:pStyle w:val="Contents6"/>
            <w:tabs>
              <w:tab w:val="clear" w:pos="7609"/>
              <w:tab w:val="right" w:pos="9026" w:leader="dot"/>
            </w:tabs>
            <w:rPr/>
          </w:pPr>
          <w:hyperlink w:anchor="__RefHeading___Toc4192241_2142443653">
            <w:r>
              <w:rPr>
                <w:webHidden/>
                <w:rStyle w:val="IndexLink"/>
                <w:rtl w:val="true"/>
              </w:rPr>
              <w:t>السابعة</w:t>
            </w:r>
            <w:r>
              <w:rPr>
                <w:rStyle w:val="IndexLink"/>
                <w:rtl w:val="true"/>
              </w:rPr>
              <w:t xml:space="preserve">: </w:t>
            </w:r>
            <w:r>
              <w:rPr>
                <w:rStyle w:val="IndexLink"/>
                <w:rtl w:val="true"/>
              </w:rPr>
              <w:t>يفترق الحيض و النفاس في الأقل قطعا</w:t>
            </w:r>
            <w:r>
              <w:rPr>
                <w:rStyle w:val="IndexLink"/>
                <w:rtl w:val="true"/>
              </w:rPr>
              <w:t>.</w:t>
              <w:tab/>
            </w:r>
            <w:r>
              <w:rPr>
                <w:rStyle w:val="IndexLink"/>
              </w:rPr>
              <w:t>277</w:t>
            </w:r>
          </w:hyperlink>
        </w:p>
        <w:p>
          <w:pPr>
            <w:pStyle w:val="Contents6"/>
            <w:tabs>
              <w:tab w:val="clear" w:pos="7609"/>
              <w:tab w:val="right" w:pos="9026" w:leader="dot"/>
            </w:tabs>
            <w:rPr/>
          </w:pPr>
          <w:hyperlink w:anchor="__RefHeading___Toc4192243_2142443653">
            <w:r>
              <w:rPr>
                <w:webHidden/>
                <w:rStyle w:val="IndexLink"/>
                <w:rtl w:val="true"/>
              </w:rPr>
              <w:t>و يلحق بذلك أحكام المحدث،</w:t>
            </w:r>
            <w:r>
              <w:rPr>
                <w:rStyle w:val="IndexLink"/>
                <w:rtl w:val="true"/>
              </w:rPr>
              <w:tab/>
            </w:r>
            <w:r>
              <w:rPr>
                <w:rStyle w:val="IndexLink"/>
              </w:rPr>
              <w:t>277</w:t>
            </w:r>
          </w:hyperlink>
        </w:p>
        <w:p>
          <w:pPr>
            <w:pStyle w:val="Contents6"/>
            <w:tabs>
              <w:tab w:val="clear" w:pos="7609"/>
              <w:tab w:val="right" w:pos="9026" w:leader="dot"/>
            </w:tabs>
            <w:rPr/>
          </w:pPr>
          <w:hyperlink w:anchor="__RefHeading___Toc4192245_2142443653">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4192247_2142443653">
            <w:r>
              <w:rPr>
                <w:webHidden/>
                <w:rStyle w:val="IndexLink"/>
                <w:rtl w:val="true"/>
              </w:rPr>
              <w:t>أحدهما</w:t>
            </w:r>
            <w:r>
              <w:rPr>
                <w:rStyle w:val="IndexLink"/>
                <w:rtl w:val="true"/>
              </w:rPr>
              <w:t xml:space="preserve">: </w:t>
            </w:r>
            <w:r>
              <w:rPr>
                <w:rStyle w:val="IndexLink"/>
                <w:rtl w:val="true"/>
              </w:rPr>
              <w:t>حكم الأصغر،</w:t>
            </w:r>
            <w:r>
              <w:rPr>
                <w:rStyle w:val="IndexLink"/>
                <w:rtl w:val="true"/>
              </w:rPr>
              <w:tab/>
            </w:r>
            <w:r>
              <w:rPr>
                <w:rStyle w:val="IndexLink"/>
              </w:rPr>
              <w:t>277</w:t>
            </w:r>
          </w:hyperlink>
        </w:p>
        <w:p>
          <w:pPr>
            <w:pStyle w:val="Contents6"/>
            <w:tabs>
              <w:tab w:val="clear" w:pos="7609"/>
              <w:tab w:val="right" w:pos="9026" w:leader="dot"/>
            </w:tabs>
            <w:rPr/>
          </w:pPr>
          <w:hyperlink w:anchor="__RefHeading___Toc4192249_2142443653">
            <w:r>
              <w:rPr>
                <w:webHidden/>
                <w:rStyle w:val="IndexLink"/>
                <w:rtl w:val="true"/>
              </w:rPr>
              <w:t>الثاني</w:t>
            </w:r>
            <w:r>
              <w:rPr>
                <w:rStyle w:val="IndexLink"/>
                <w:rtl w:val="true"/>
              </w:rPr>
              <w:t xml:space="preserve">: </w:t>
            </w:r>
            <w:r>
              <w:rPr>
                <w:rStyle w:val="IndexLink"/>
                <w:rtl w:val="true"/>
              </w:rPr>
              <w:t>حكم الأكبر،</w:t>
            </w:r>
            <w:r>
              <w:rPr>
                <w:rStyle w:val="IndexLink"/>
                <w:rtl w:val="true"/>
              </w:rPr>
              <w:tab/>
            </w:r>
            <w:r>
              <w:rPr>
                <w:rStyle w:val="IndexLink"/>
              </w:rPr>
              <w:t>279</w:t>
            </w:r>
          </w:hyperlink>
        </w:p>
        <w:p>
          <w:pPr>
            <w:pStyle w:val="Contents6"/>
            <w:tabs>
              <w:tab w:val="clear" w:pos="7609"/>
              <w:tab w:val="right" w:pos="9026" w:leader="dot"/>
            </w:tabs>
            <w:rPr/>
          </w:pPr>
          <w:hyperlink w:anchor="__RefHeading___Toc4192251_2142443653">
            <w:r>
              <w:rPr>
                <w:webHidden/>
                <w:rStyle w:val="IndexLink"/>
                <w:rtl w:val="true"/>
              </w:rPr>
              <w:t>و أمّا حكم الحائض و النفساء</w:t>
            </w:r>
            <w:r>
              <w:rPr>
                <w:rStyle w:val="IndexLink"/>
                <w:rtl w:val="true"/>
              </w:rPr>
              <w:tab/>
            </w:r>
            <w:r>
              <w:rPr>
                <w:rStyle w:val="IndexLink"/>
              </w:rPr>
              <w:t>283</w:t>
            </w:r>
          </w:hyperlink>
        </w:p>
        <w:p>
          <w:pPr>
            <w:pStyle w:val="Contents6"/>
            <w:tabs>
              <w:tab w:val="clear" w:pos="7609"/>
              <w:tab w:val="right" w:pos="9026" w:leader="dot"/>
            </w:tabs>
            <w:rPr/>
          </w:pPr>
          <w:hyperlink w:anchor="__RefHeading___Toc4192253_2142443653">
            <w:r>
              <w:rPr>
                <w:webHidden/>
                <w:rStyle w:val="IndexLink"/>
                <w:rtl w:val="true"/>
              </w:rPr>
              <w:t>ففيه مسائل</w:t>
            </w:r>
            <w:r>
              <w:rPr>
                <w:rStyle w:val="IndexLink"/>
                <w:rtl w:val="true"/>
              </w:rPr>
              <w:t>:</w:t>
              <w:tab/>
            </w:r>
            <w:r>
              <w:rPr>
                <w:rStyle w:val="IndexLink"/>
              </w:rPr>
              <w:t>283</w:t>
            </w:r>
          </w:hyperlink>
        </w:p>
        <w:p>
          <w:pPr>
            <w:pStyle w:val="Contents6"/>
            <w:tabs>
              <w:tab w:val="clear" w:pos="7609"/>
              <w:tab w:val="right" w:pos="9026" w:leader="dot"/>
            </w:tabs>
            <w:rPr/>
          </w:pPr>
          <w:hyperlink w:anchor="__RefHeading___Toc4192255_2142443653">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4192257_2142443653">
            <w:r>
              <w:rPr>
                <w:webHidden/>
                <w:rStyle w:val="IndexLink"/>
                <w:rtl w:val="true"/>
              </w:rPr>
              <w:t>الأولى</w:t>
            </w:r>
            <w:r>
              <w:rPr>
                <w:rStyle w:val="IndexLink"/>
                <w:rtl w:val="true"/>
              </w:rPr>
              <w:t xml:space="preserve">: </w:t>
            </w:r>
            <w:r>
              <w:rPr>
                <w:rStyle w:val="IndexLink"/>
                <w:rtl w:val="true"/>
              </w:rPr>
              <w:t xml:space="preserve">يحرم منها موضع الدم </w:t>
            </w:r>
            <w:r>
              <w:rPr>
                <w:rStyle w:val="IndexLink"/>
                <w:rtl w:val="true"/>
              </w:rPr>
              <w:t xml:space="preserve">- </w:t>
            </w:r>
            <w:r>
              <w:rPr>
                <w:rStyle w:val="IndexLink"/>
                <w:rtl w:val="true"/>
              </w:rPr>
              <w:t>إجماعا،</w:t>
            </w:r>
            <w:r>
              <w:rPr>
                <w:rStyle w:val="IndexLink"/>
                <w:rtl w:val="true"/>
              </w:rPr>
              <w:tab/>
            </w:r>
            <w:r>
              <w:rPr>
                <w:rStyle w:val="IndexLink"/>
              </w:rPr>
              <w:t>284</w:t>
            </w:r>
          </w:hyperlink>
        </w:p>
        <w:p>
          <w:pPr>
            <w:pStyle w:val="Contents6"/>
            <w:tabs>
              <w:tab w:val="clear" w:pos="7609"/>
              <w:tab w:val="right" w:pos="9026" w:leader="dot"/>
            </w:tabs>
            <w:rPr/>
          </w:pPr>
          <w:hyperlink w:anchor="__RefHeading___Toc4192259_2142443653">
            <w:r>
              <w:rPr>
                <w:webHidden/>
                <w:rStyle w:val="IndexLink"/>
                <w:rtl w:val="true"/>
              </w:rPr>
              <w:t>الثانية</w:t>
            </w:r>
            <w:r>
              <w:rPr>
                <w:rStyle w:val="IndexLink"/>
                <w:rtl w:val="true"/>
              </w:rPr>
              <w:t xml:space="preserve">: </w:t>
            </w:r>
            <w:r>
              <w:rPr>
                <w:rStyle w:val="IndexLink"/>
                <w:rtl w:val="true"/>
              </w:rPr>
              <w:t>يحرم طلاقها مع الدخول،</w:t>
            </w:r>
            <w:r>
              <w:rPr>
                <w:rStyle w:val="IndexLink"/>
                <w:rtl w:val="true"/>
              </w:rPr>
              <w:tab/>
            </w:r>
            <w:r>
              <w:rPr>
                <w:rStyle w:val="IndexLink"/>
              </w:rPr>
              <w:t>286</w:t>
            </w:r>
          </w:hyperlink>
        </w:p>
        <w:p>
          <w:pPr>
            <w:pStyle w:val="Contents6"/>
            <w:tabs>
              <w:tab w:val="clear" w:pos="7609"/>
              <w:tab w:val="right" w:pos="9026" w:leader="dot"/>
            </w:tabs>
            <w:rPr/>
          </w:pPr>
          <w:hyperlink w:anchor="__RefHeading___Toc4192261_2142443653">
            <w:r>
              <w:rPr>
                <w:webHidden/>
                <w:rStyle w:val="IndexLink"/>
                <w:rtl w:val="true"/>
              </w:rPr>
              <w:t>الثالثة</w:t>
            </w:r>
            <w:r>
              <w:rPr>
                <w:rStyle w:val="IndexLink"/>
                <w:rtl w:val="true"/>
              </w:rPr>
              <w:t xml:space="preserve">: </w:t>
            </w:r>
            <w:r>
              <w:rPr>
                <w:rStyle w:val="IndexLink"/>
                <w:rtl w:val="true"/>
              </w:rPr>
              <w:t>لا يرتفع حدثها لو تطهّرت،</w:t>
            </w:r>
            <w:r>
              <w:rPr>
                <w:rStyle w:val="IndexLink"/>
                <w:rtl w:val="true"/>
              </w:rPr>
              <w:tab/>
            </w:r>
            <w:r>
              <w:rPr>
                <w:rStyle w:val="IndexLink"/>
              </w:rPr>
              <w:t>286</w:t>
            </w:r>
          </w:hyperlink>
        </w:p>
        <w:p>
          <w:pPr>
            <w:pStyle w:val="Contents6"/>
            <w:tabs>
              <w:tab w:val="clear" w:pos="7609"/>
              <w:tab w:val="right" w:pos="9026" w:leader="dot"/>
            </w:tabs>
            <w:rPr/>
          </w:pPr>
          <w:hyperlink w:anchor="__RefHeading___Toc4192263_2142443653">
            <w:r>
              <w:rPr>
                <w:webHidden/>
                <w:rStyle w:val="IndexLink"/>
                <w:rtl w:val="true"/>
              </w:rPr>
              <w:t>الرابعة</w:t>
            </w:r>
            <w:r>
              <w:rPr>
                <w:rStyle w:val="IndexLink"/>
                <w:rtl w:val="true"/>
              </w:rPr>
              <w:t xml:space="preserve">: </w:t>
            </w:r>
            <w:r>
              <w:rPr>
                <w:rStyle w:val="IndexLink"/>
                <w:rtl w:val="true"/>
              </w:rPr>
              <w:t>لو حاضت بعد إمكان الأداء قضت،</w:t>
            </w:r>
            <w:r>
              <w:rPr>
                <w:rStyle w:val="IndexLink"/>
                <w:rtl w:val="true"/>
              </w:rPr>
              <w:tab/>
            </w:r>
            <w:r>
              <w:rPr>
                <w:rStyle w:val="IndexLink"/>
              </w:rPr>
              <w:t>287</w:t>
            </w:r>
          </w:hyperlink>
        </w:p>
        <w:p>
          <w:pPr>
            <w:pStyle w:val="Contents6"/>
            <w:tabs>
              <w:tab w:val="clear" w:pos="7609"/>
              <w:tab w:val="right" w:pos="9026" w:leader="dot"/>
            </w:tabs>
            <w:rPr/>
          </w:pPr>
          <w:hyperlink w:anchor="__RefHeading___Toc4192265_2142443653">
            <w:r>
              <w:rPr>
                <w:webHidden/>
                <w:rStyle w:val="IndexLink"/>
                <w:rtl w:val="true"/>
              </w:rPr>
              <w:t>الخامسة</w:t>
            </w:r>
            <w:r>
              <w:rPr>
                <w:rStyle w:val="IndexLink"/>
                <w:rtl w:val="true"/>
              </w:rPr>
              <w:t xml:space="preserve">: </w:t>
            </w:r>
            <w:r>
              <w:rPr>
                <w:rStyle w:val="IndexLink"/>
                <w:rtl w:val="true"/>
              </w:rPr>
              <w:t>يكره للجنب و الحائض الخضاب،</w:t>
            </w:r>
            <w:r>
              <w:rPr>
                <w:rStyle w:val="IndexLink"/>
                <w:rtl w:val="true"/>
              </w:rPr>
              <w:tab/>
            </w:r>
            <w:r>
              <w:rPr>
                <w:rStyle w:val="IndexLink"/>
              </w:rPr>
              <w:t>287</w:t>
            </w:r>
          </w:hyperlink>
        </w:p>
        <w:p>
          <w:pPr>
            <w:pStyle w:val="Contents6"/>
            <w:tabs>
              <w:tab w:val="clear" w:pos="7609"/>
              <w:tab w:val="right" w:pos="9026" w:leader="dot"/>
            </w:tabs>
            <w:rPr/>
          </w:pPr>
          <w:hyperlink w:anchor="__RefHeading___Toc4192267_2142443653">
            <w:r>
              <w:rPr>
                <w:webHidden/>
                <w:rStyle w:val="IndexLink"/>
                <w:rtl w:val="true"/>
              </w:rPr>
              <w:t>السادسة</w:t>
            </w:r>
            <w:r>
              <w:rPr>
                <w:rStyle w:val="IndexLink"/>
                <w:rtl w:val="true"/>
              </w:rPr>
              <w:t xml:space="preserve">: </w:t>
            </w:r>
            <w:r>
              <w:rPr>
                <w:rStyle w:val="IndexLink"/>
                <w:rtl w:val="true"/>
              </w:rPr>
              <w:t>يستحبّ الوضوء لوقت الصلاة،</w:t>
            </w:r>
            <w:r>
              <w:rPr>
                <w:rStyle w:val="IndexLink"/>
                <w:rtl w:val="true"/>
              </w:rPr>
              <w:tab/>
            </w:r>
            <w:r>
              <w:rPr>
                <w:rStyle w:val="IndexLink"/>
              </w:rPr>
              <w:t>289</w:t>
            </w:r>
          </w:hyperlink>
        </w:p>
        <w:p>
          <w:pPr>
            <w:pStyle w:val="Contents6"/>
            <w:tabs>
              <w:tab w:val="clear" w:pos="7609"/>
              <w:tab w:val="right" w:pos="9026" w:leader="dot"/>
            </w:tabs>
            <w:rPr/>
          </w:pPr>
          <w:hyperlink w:anchor="__RefHeading___Toc4192269_2142443653">
            <w:r>
              <w:rPr>
                <w:webHidden/>
                <w:rStyle w:val="IndexLink"/>
                <w:rtl w:val="true"/>
              </w:rPr>
              <w:t>السابعة</w:t>
            </w:r>
            <w:r>
              <w:rPr>
                <w:rStyle w:val="IndexLink"/>
                <w:rtl w:val="true"/>
              </w:rPr>
              <w:t xml:space="preserve">: </w:t>
            </w:r>
            <w:r>
              <w:rPr>
                <w:rStyle w:val="IndexLink"/>
                <w:rtl w:val="true"/>
              </w:rPr>
              <w:t>يجب قضاء الصوم دون الصلاة إجماعا،</w:t>
            </w:r>
            <w:r>
              <w:rPr>
                <w:rStyle w:val="IndexLink"/>
                <w:rtl w:val="true"/>
              </w:rPr>
              <w:tab/>
            </w:r>
            <w:r>
              <w:rPr>
                <w:rStyle w:val="IndexLink"/>
              </w:rPr>
              <w:t>289</w:t>
            </w:r>
          </w:hyperlink>
        </w:p>
        <w:p>
          <w:pPr>
            <w:pStyle w:val="Contents6"/>
            <w:tabs>
              <w:tab w:val="clear" w:pos="7609"/>
              <w:tab w:val="right" w:pos="9026" w:leader="dot"/>
            </w:tabs>
            <w:rPr/>
          </w:pPr>
          <w:hyperlink w:anchor="__RefHeading___Toc4192271_2142443653">
            <w:r>
              <w:rPr>
                <w:webHidden/>
                <w:rStyle w:val="IndexLink"/>
                <w:rtl w:val="true"/>
              </w:rPr>
              <w:t>الثامنة</w:t>
            </w:r>
            <w:r>
              <w:rPr>
                <w:rStyle w:val="IndexLink"/>
                <w:rtl w:val="true"/>
              </w:rPr>
              <w:t xml:space="preserve">: </w:t>
            </w:r>
            <w:r>
              <w:rPr>
                <w:rStyle w:val="IndexLink"/>
                <w:rtl w:val="true"/>
              </w:rPr>
              <w:t>يجب عليها الاستبراء بقطنة عند الانقطاع</w:t>
            </w:r>
            <w:r>
              <w:rPr>
                <w:rStyle w:val="IndexLink"/>
                <w:rtl w:val="true"/>
              </w:rPr>
              <w:tab/>
            </w:r>
            <w:r>
              <w:rPr>
                <w:rStyle w:val="IndexLink"/>
              </w:rPr>
              <w:t>290</w:t>
            </w:r>
          </w:hyperlink>
        </w:p>
        <w:p>
          <w:pPr>
            <w:pStyle w:val="Contents6"/>
            <w:tabs>
              <w:tab w:val="clear" w:pos="7609"/>
              <w:tab w:val="right" w:pos="9026" w:leader="dot"/>
            </w:tabs>
            <w:rPr/>
          </w:pPr>
          <w:hyperlink w:anchor="__RefHeading___Toc4192273_2142443653">
            <w:r>
              <w:rPr>
                <w:webHidden/>
                <w:rStyle w:val="IndexLink"/>
                <w:rtl w:val="true"/>
              </w:rPr>
              <w:t>المقام الخامس</w:t>
            </w:r>
            <w:r>
              <w:rPr>
                <w:rStyle w:val="IndexLink"/>
                <w:rtl w:val="true"/>
              </w:rPr>
              <w:t xml:space="preserve">: </w:t>
            </w:r>
            <w:r>
              <w:rPr>
                <w:rStyle w:val="IndexLink"/>
                <w:rtl w:val="true"/>
              </w:rPr>
              <w:t>في أحكام الميت</w:t>
            </w:r>
            <w:r>
              <w:rPr>
                <w:rStyle w:val="IndexLink"/>
                <w:rtl w:val="true"/>
              </w:rPr>
              <w:t>:</w:t>
              <w:tab/>
            </w:r>
            <w:r>
              <w:rPr>
                <w:rStyle w:val="IndexLink"/>
              </w:rPr>
              <w:t>294</w:t>
            </w:r>
          </w:hyperlink>
        </w:p>
        <w:p>
          <w:pPr>
            <w:pStyle w:val="Contents6"/>
            <w:tabs>
              <w:tab w:val="clear" w:pos="7609"/>
              <w:tab w:val="right" w:pos="9026" w:leader="dot"/>
            </w:tabs>
            <w:rPr/>
          </w:pPr>
          <w:hyperlink w:anchor="__RefHeading___Toc4192275_2142443653">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4192277_2142443653">
            <w:r>
              <w:rPr>
                <w:webHidden/>
                <w:rStyle w:val="IndexLink"/>
                <w:rtl w:val="true"/>
              </w:rPr>
              <w:t>الحكم الأول</w:t>
            </w:r>
            <w:r>
              <w:rPr>
                <w:rStyle w:val="IndexLink"/>
                <w:rtl w:val="true"/>
              </w:rPr>
              <w:t xml:space="preserve">: </w:t>
            </w:r>
            <w:r>
              <w:rPr>
                <w:rStyle w:val="IndexLink"/>
                <w:rtl w:val="true"/>
              </w:rPr>
              <w:t>الاحتضار</w:t>
            </w:r>
            <w:r>
              <w:rPr>
                <w:rStyle w:val="IndexLink"/>
                <w:rtl w:val="true"/>
              </w:rPr>
              <w:t>.</w:t>
              <w:tab/>
            </w:r>
            <w:r>
              <w:rPr>
                <w:rStyle w:val="IndexLink"/>
              </w:rPr>
              <w:t>308</w:t>
            </w:r>
          </w:hyperlink>
        </w:p>
        <w:p>
          <w:pPr>
            <w:pStyle w:val="Contents6"/>
            <w:tabs>
              <w:tab w:val="clear" w:pos="7609"/>
              <w:tab w:val="right" w:pos="9026" w:leader="dot"/>
            </w:tabs>
            <w:rPr/>
          </w:pPr>
          <w:hyperlink w:anchor="__RefHeading___Toc4192279_2142443653">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4192281_2142443653">
            <w:r>
              <w:rPr>
                <w:webHidden/>
                <w:rStyle w:val="IndexLink"/>
                <w:rtl w:val="true"/>
              </w:rPr>
              <w:t>فرعان</w:t>
            </w:r>
            <w:r>
              <w:rPr>
                <w:rStyle w:val="IndexLink"/>
                <w:rtl w:val="true"/>
              </w:rPr>
              <w:t>:</w:t>
              <w:tab/>
            </w:r>
            <w:r>
              <w:rPr>
                <w:rStyle w:val="IndexLink"/>
              </w:rPr>
              <w:t>308</w:t>
            </w:r>
          </w:hyperlink>
        </w:p>
        <w:p>
          <w:pPr>
            <w:pStyle w:val="Contents6"/>
            <w:tabs>
              <w:tab w:val="clear" w:pos="7609"/>
              <w:tab w:val="right" w:pos="9026" w:leader="dot"/>
            </w:tabs>
            <w:rPr/>
          </w:pPr>
          <w:hyperlink w:anchor="__RefHeading___Toc4192283_2142443653">
            <w:r>
              <w:rPr>
                <w:webHidden/>
                <w:rStyle w:val="IndexLink"/>
                <w:rtl w:val="true"/>
              </w:rPr>
              <w:t>الأول</w:t>
            </w:r>
            <w:r>
              <w:rPr>
                <w:rStyle w:val="IndexLink"/>
                <w:rtl w:val="true"/>
              </w:rPr>
              <w:t xml:space="preserve">: </w:t>
            </w:r>
            <w:r>
              <w:rPr>
                <w:rStyle w:val="IndexLink"/>
                <w:rtl w:val="true"/>
              </w:rPr>
              <w:t>ظاهر الأخبار سقوط الاستقبال بموته،</w:t>
            </w:r>
            <w:r>
              <w:rPr>
                <w:rStyle w:val="IndexLink"/>
                <w:rtl w:val="true"/>
              </w:rPr>
              <w:tab/>
            </w:r>
            <w:r>
              <w:rPr>
                <w:rStyle w:val="IndexLink"/>
              </w:rPr>
              <w:t>308</w:t>
            </w:r>
          </w:hyperlink>
        </w:p>
        <w:p>
          <w:pPr>
            <w:pStyle w:val="Contents6"/>
            <w:tabs>
              <w:tab w:val="clear" w:pos="7609"/>
              <w:tab w:val="right" w:pos="9026" w:leader="dot"/>
            </w:tabs>
            <w:rPr/>
          </w:pPr>
          <w:hyperlink w:anchor="__RefHeading___Toc4192285_2142443653">
            <w:r>
              <w:rPr>
                <w:webHidden/>
                <w:rStyle w:val="IndexLink"/>
                <w:rtl w:val="true"/>
              </w:rPr>
              <w:t>الثاني</w:t>
            </w:r>
            <w:r>
              <w:rPr>
                <w:rStyle w:val="IndexLink"/>
                <w:rtl w:val="true"/>
              </w:rPr>
              <w:t xml:space="preserve">: </w:t>
            </w:r>
            <w:r>
              <w:rPr>
                <w:rStyle w:val="IndexLink"/>
                <w:rtl w:val="true"/>
              </w:rPr>
              <w:t>يسقط الاستقبال مع اشتباه القبلة،</w:t>
            </w:r>
            <w:r>
              <w:rPr>
                <w:rStyle w:val="IndexLink"/>
                <w:rtl w:val="true"/>
              </w:rPr>
              <w:tab/>
            </w:r>
            <w:r>
              <w:rPr>
                <w:rStyle w:val="IndexLink"/>
              </w:rPr>
              <w:t>309</w:t>
            </w:r>
          </w:hyperlink>
        </w:p>
        <w:p>
          <w:pPr>
            <w:pStyle w:val="Contents6"/>
            <w:tabs>
              <w:tab w:val="clear" w:pos="7609"/>
              <w:tab w:val="right" w:pos="9026" w:leader="dot"/>
            </w:tabs>
            <w:rPr/>
          </w:pPr>
          <w:hyperlink w:anchor="__RefHeading___Toc4192287_2142443653">
            <w:r>
              <w:rPr>
                <w:webHidden/>
                <w:rStyle w:val="IndexLink"/>
                <w:rtl w:val="true"/>
              </w:rPr>
              <w:t>الحكم الثاني</w:t>
            </w:r>
            <w:r>
              <w:rPr>
                <w:rStyle w:val="IndexLink"/>
                <w:rtl w:val="true"/>
              </w:rPr>
              <w:t xml:space="preserve">: </w:t>
            </w:r>
            <w:r>
              <w:rPr>
                <w:rStyle w:val="IndexLink"/>
                <w:rtl w:val="true"/>
              </w:rPr>
              <w:t>التغسيل</w:t>
            </w:r>
            <w:r>
              <w:rPr>
                <w:rStyle w:val="IndexLink"/>
                <w:rtl w:val="true"/>
              </w:rPr>
              <w:t>:</w:t>
              <w:tab/>
            </w:r>
            <w:r>
              <w:rPr>
                <w:rStyle w:val="IndexLink"/>
              </w:rPr>
              <w:t>316</w:t>
            </w:r>
          </w:hyperlink>
        </w:p>
        <w:p>
          <w:pPr>
            <w:pStyle w:val="Contents6"/>
            <w:tabs>
              <w:tab w:val="clear" w:pos="7609"/>
              <w:tab w:val="right" w:pos="9026" w:leader="dot"/>
            </w:tabs>
            <w:rPr/>
          </w:pPr>
          <w:hyperlink w:anchor="__RefHeading___Toc4192289_2142443653">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4192291_2142443653">
            <w:r>
              <w:rPr>
                <w:webHidden/>
                <w:rStyle w:val="IndexLink"/>
                <w:rtl w:val="true"/>
              </w:rPr>
              <w:t>النظر الأول</w:t>
            </w:r>
            <w:r>
              <w:rPr>
                <w:rStyle w:val="IndexLink"/>
                <w:rtl w:val="true"/>
              </w:rPr>
              <w:t xml:space="preserve">: </w:t>
            </w:r>
            <w:r>
              <w:rPr>
                <w:rStyle w:val="IndexLink"/>
                <w:rtl w:val="true"/>
              </w:rPr>
              <w:t>في الغاسل</w:t>
            </w:r>
            <w:r>
              <w:rPr>
                <w:rStyle w:val="IndexLink"/>
                <w:rtl w:val="true"/>
              </w:rPr>
              <w:t>:</w:t>
              <w:tab/>
            </w:r>
            <w:r>
              <w:rPr>
                <w:rStyle w:val="IndexLink"/>
              </w:rPr>
              <w:t>316</w:t>
            </w:r>
          </w:hyperlink>
        </w:p>
        <w:p>
          <w:pPr>
            <w:pStyle w:val="Contents6"/>
            <w:tabs>
              <w:tab w:val="clear" w:pos="7609"/>
              <w:tab w:val="right" w:pos="9026" w:leader="dot"/>
            </w:tabs>
            <w:rPr/>
          </w:pPr>
          <w:hyperlink w:anchor="__RefHeading___Toc4192293_2142443653">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4192295_2142443653">
            <w:r>
              <w:rPr>
                <w:webHidden/>
                <w:rStyle w:val="IndexLink"/>
                <w:rtl w:val="true"/>
              </w:rPr>
              <w:t>فرع</w:t>
            </w:r>
            <w:r>
              <w:rPr>
                <w:rStyle w:val="IndexLink"/>
                <w:rtl w:val="true"/>
              </w:rPr>
              <w:t>:</w:t>
              <w:tab/>
            </w:r>
            <w:r>
              <w:rPr>
                <w:rStyle w:val="IndexLink"/>
              </w:rPr>
              <w:t>316</w:t>
            </w:r>
          </w:hyperlink>
        </w:p>
        <w:p>
          <w:pPr>
            <w:pStyle w:val="Contents6"/>
            <w:tabs>
              <w:tab w:val="clear" w:pos="7609"/>
              <w:tab w:val="right" w:pos="9026" w:leader="dot"/>
            </w:tabs>
            <w:rPr/>
          </w:pPr>
          <w:hyperlink w:anchor="__RefHeading___Toc4192297_2142443653">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4192299_2142443653">
            <w:r>
              <w:rPr>
                <w:webHidden/>
                <w:rStyle w:val="IndexLink"/>
                <w:rtl w:val="true"/>
              </w:rPr>
              <w:t>أحدها</w:t>
            </w:r>
            <w:r>
              <w:rPr>
                <w:rStyle w:val="IndexLink"/>
                <w:rtl w:val="true"/>
              </w:rPr>
              <w:t xml:space="preserve">: </w:t>
            </w:r>
            <w:r>
              <w:rPr>
                <w:rStyle w:val="IndexLink"/>
                <w:rtl w:val="true"/>
              </w:rPr>
              <w:t>الزوجية،</w:t>
            </w:r>
            <w:r>
              <w:rPr>
                <w:rStyle w:val="IndexLink"/>
                <w:rtl w:val="true"/>
              </w:rPr>
              <w:tab/>
            </w:r>
            <w:r>
              <w:rPr>
                <w:rStyle w:val="IndexLink"/>
              </w:rPr>
              <w:t>316</w:t>
            </w:r>
          </w:hyperlink>
        </w:p>
        <w:p>
          <w:pPr>
            <w:pStyle w:val="Contents6"/>
            <w:tabs>
              <w:tab w:val="clear" w:pos="7609"/>
              <w:tab w:val="right" w:pos="9026" w:leader="dot"/>
            </w:tabs>
            <w:rPr/>
          </w:pPr>
          <w:hyperlink w:anchor="__RefHeading___Toc4192301_2142443653">
            <w:r>
              <w:rPr>
                <w:webHidden/>
                <w:rStyle w:val="IndexLink"/>
                <w:rtl w:val="true"/>
              </w:rPr>
              <w:t>و ثانيها</w:t>
            </w:r>
            <w:r>
              <w:rPr>
                <w:rStyle w:val="IndexLink"/>
                <w:rtl w:val="true"/>
              </w:rPr>
              <w:t xml:space="preserve">: </w:t>
            </w:r>
            <w:r>
              <w:rPr>
                <w:rStyle w:val="IndexLink"/>
                <w:rtl w:val="true"/>
              </w:rPr>
              <w:t>أم الولد،</w:t>
            </w:r>
            <w:r>
              <w:rPr>
                <w:rStyle w:val="IndexLink"/>
                <w:rtl w:val="true"/>
              </w:rPr>
              <w:tab/>
            </w:r>
            <w:r>
              <w:rPr>
                <w:rStyle w:val="IndexLink"/>
              </w:rPr>
              <w:t>319</w:t>
            </w:r>
          </w:hyperlink>
        </w:p>
        <w:p>
          <w:pPr>
            <w:pStyle w:val="Contents6"/>
            <w:tabs>
              <w:tab w:val="clear" w:pos="7609"/>
              <w:tab w:val="right" w:pos="9026" w:leader="dot"/>
            </w:tabs>
            <w:rPr/>
          </w:pPr>
          <w:hyperlink w:anchor="__RefHeading___Toc4192303_2142443653">
            <w:r>
              <w:rPr>
                <w:webHidden/>
                <w:rStyle w:val="IndexLink"/>
                <w:rtl w:val="true"/>
              </w:rPr>
              <w:t>و ثالثها</w:t>
            </w:r>
            <w:r>
              <w:rPr>
                <w:rStyle w:val="IndexLink"/>
                <w:rtl w:val="true"/>
              </w:rPr>
              <w:t xml:space="preserve">: </w:t>
            </w:r>
            <w:r>
              <w:rPr>
                <w:rStyle w:val="IndexLink"/>
                <w:rtl w:val="true"/>
              </w:rPr>
              <w:t>المحرمية،</w:t>
            </w:r>
            <w:r>
              <w:rPr>
                <w:rStyle w:val="IndexLink"/>
                <w:rtl w:val="true"/>
              </w:rPr>
              <w:tab/>
            </w:r>
            <w:r>
              <w:rPr>
                <w:rStyle w:val="IndexLink"/>
              </w:rPr>
              <w:t>320</w:t>
            </w:r>
          </w:hyperlink>
        </w:p>
        <w:p>
          <w:pPr>
            <w:pStyle w:val="Contents6"/>
            <w:tabs>
              <w:tab w:val="clear" w:pos="7609"/>
              <w:tab w:val="right" w:pos="9026" w:leader="dot"/>
            </w:tabs>
            <w:rPr/>
          </w:pPr>
          <w:hyperlink w:anchor="__RefHeading___Toc4192305_2142443653">
            <w:r>
              <w:rPr>
                <w:webHidden/>
                <w:rStyle w:val="IndexLink"/>
                <w:rtl w:val="true"/>
              </w:rPr>
              <w:t>و رابعها</w:t>
            </w:r>
            <w:r>
              <w:rPr>
                <w:rStyle w:val="IndexLink"/>
                <w:rtl w:val="true"/>
              </w:rPr>
              <w:t xml:space="preserve">: </w:t>
            </w:r>
            <w:r>
              <w:rPr>
                <w:rStyle w:val="IndexLink"/>
                <w:rtl w:val="true"/>
              </w:rPr>
              <w:t>من لم يزد سنّة على ثلاث سنين</w:t>
            </w:r>
            <w:r>
              <w:rPr>
                <w:rStyle w:val="IndexLink"/>
                <w:rtl w:val="true"/>
              </w:rPr>
              <w:tab/>
            </w:r>
            <w:r>
              <w:rPr>
                <w:rStyle w:val="IndexLink"/>
              </w:rPr>
              <w:t>320</w:t>
            </w:r>
          </w:hyperlink>
        </w:p>
        <w:p>
          <w:pPr>
            <w:pStyle w:val="Contents6"/>
            <w:tabs>
              <w:tab w:val="clear" w:pos="7609"/>
              <w:tab w:val="right" w:pos="9026" w:leader="dot"/>
            </w:tabs>
            <w:rPr/>
          </w:pPr>
          <w:hyperlink w:anchor="__RefHeading___Toc4192307_2142443653">
            <w:r>
              <w:rPr>
                <w:webHidden/>
                <w:rStyle w:val="IndexLink"/>
                <w:rtl w:val="true"/>
              </w:rPr>
              <w:t>و خامسها</w:t>
            </w:r>
            <w:r>
              <w:rPr>
                <w:rStyle w:val="IndexLink"/>
                <w:rtl w:val="true"/>
              </w:rPr>
              <w:t xml:space="preserve">: </w:t>
            </w:r>
            <w:r>
              <w:rPr>
                <w:rStyle w:val="IndexLink"/>
                <w:rtl w:val="true"/>
              </w:rPr>
              <w:t>إذا فقد المماثل و الرحم،</w:t>
            </w:r>
            <w:r>
              <w:rPr>
                <w:rStyle w:val="IndexLink"/>
                <w:rtl w:val="true"/>
              </w:rPr>
              <w:tab/>
            </w:r>
            <w:r>
              <w:rPr>
                <w:rStyle w:val="IndexLink"/>
              </w:rPr>
              <w:t>321</w:t>
            </w:r>
          </w:hyperlink>
        </w:p>
        <w:p>
          <w:pPr>
            <w:pStyle w:val="Contents6"/>
            <w:tabs>
              <w:tab w:val="clear" w:pos="7609"/>
              <w:tab w:val="right" w:pos="9026" w:leader="dot"/>
            </w:tabs>
            <w:rPr/>
          </w:pPr>
          <w:hyperlink w:anchor="__RefHeading___Toc4192309_2142443653">
            <w:r>
              <w:rPr>
                <w:webHidden/>
                <w:rStyle w:val="IndexLink"/>
                <w:rtl w:val="true"/>
              </w:rPr>
              <w:t>النظر الثاني</w:t>
            </w:r>
            <w:r>
              <w:rPr>
                <w:rStyle w:val="IndexLink"/>
                <w:rtl w:val="true"/>
              </w:rPr>
              <w:t xml:space="preserve">: </w:t>
            </w:r>
            <w:r>
              <w:rPr>
                <w:rStyle w:val="IndexLink"/>
                <w:rtl w:val="true"/>
              </w:rPr>
              <w:t>في المحل</w:t>
            </w:r>
            <w:r>
              <w:rPr>
                <w:rStyle w:val="IndexLink"/>
                <w:rtl w:val="true"/>
              </w:rPr>
              <w:t>:</w:t>
              <w:tab/>
            </w:r>
            <w:r>
              <w:rPr>
                <w:rStyle w:val="IndexLink"/>
              </w:rPr>
              <w:t>328</w:t>
            </w:r>
          </w:hyperlink>
        </w:p>
        <w:p>
          <w:pPr>
            <w:pStyle w:val="Contents6"/>
            <w:tabs>
              <w:tab w:val="clear" w:pos="7609"/>
              <w:tab w:val="right" w:pos="9026" w:leader="dot"/>
            </w:tabs>
            <w:rPr/>
          </w:pPr>
          <w:hyperlink w:anchor="__RefHeading___Toc4192311_2142443653">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4192313_2142443653">
            <w:r>
              <w:rPr>
                <w:webHidden/>
                <w:rStyle w:val="IndexLink"/>
                <w:rtl w:val="true"/>
              </w:rPr>
              <w:t>و يسقط تغسيل عشرة</w:t>
            </w:r>
            <w:r>
              <w:rPr>
                <w:rStyle w:val="IndexLink"/>
                <w:rtl w:val="true"/>
              </w:rPr>
              <w:t>:</w:t>
              <w:tab/>
            </w:r>
            <w:r>
              <w:rPr>
                <w:rStyle w:val="IndexLink"/>
              </w:rPr>
              <w:t>333</w:t>
            </w:r>
          </w:hyperlink>
        </w:p>
        <w:p>
          <w:pPr>
            <w:pStyle w:val="Contents6"/>
            <w:tabs>
              <w:tab w:val="clear" w:pos="7609"/>
              <w:tab w:val="right" w:pos="9026" w:leader="dot"/>
            </w:tabs>
            <w:rPr/>
          </w:pPr>
          <w:hyperlink w:anchor="__RefHeading___Toc4192315_2142443653">
            <w:r>
              <w:rPr>
                <w:webHidden/>
                <w:rStyle w:val="IndexLink"/>
                <w:rtl w:val="true"/>
              </w:rPr>
              <w:t>الأول</w:t>
            </w:r>
            <w:r>
              <w:rPr>
                <w:rStyle w:val="IndexLink"/>
                <w:rtl w:val="true"/>
              </w:rPr>
              <w:t xml:space="preserve">: </w:t>
            </w:r>
            <w:r>
              <w:rPr>
                <w:rStyle w:val="IndexLink"/>
                <w:rtl w:val="true"/>
              </w:rPr>
              <w:t>الشهيد إذا مات في المعركة،</w:t>
            </w:r>
            <w:r>
              <w:rPr>
                <w:rStyle w:val="IndexLink"/>
                <w:rtl w:val="true"/>
              </w:rPr>
              <w:tab/>
            </w:r>
            <w:r>
              <w:rPr>
                <w:rStyle w:val="IndexLink"/>
              </w:rPr>
              <w:t>333</w:t>
            </w:r>
          </w:hyperlink>
        </w:p>
        <w:p>
          <w:pPr>
            <w:pStyle w:val="Contents6"/>
            <w:tabs>
              <w:tab w:val="clear" w:pos="7609"/>
              <w:tab w:val="right" w:pos="9026" w:leader="dot"/>
            </w:tabs>
            <w:rPr/>
          </w:pPr>
          <w:hyperlink w:anchor="__RefHeading___Toc4192317_2142443653">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4192319_2142443653">
            <w:r>
              <w:rPr>
                <w:webHidden/>
                <w:rStyle w:val="IndexLink"/>
                <w:rtl w:val="true"/>
              </w:rPr>
              <w:t>فروع</w:t>
            </w:r>
            <w:r>
              <w:rPr>
                <w:rStyle w:val="IndexLink"/>
                <w:rtl w:val="true"/>
              </w:rPr>
              <w:t>:</w:t>
              <w:tab/>
            </w:r>
            <w:r>
              <w:rPr>
                <w:rStyle w:val="IndexLink"/>
              </w:rPr>
              <w:t>334</w:t>
            </w:r>
          </w:hyperlink>
        </w:p>
        <w:p>
          <w:pPr>
            <w:pStyle w:val="Contents6"/>
            <w:tabs>
              <w:tab w:val="clear" w:pos="7609"/>
              <w:tab w:val="right" w:pos="9026" w:leader="dot"/>
            </w:tabs>
            <w:rPr/>
          </w:pPr>
          <w:hyperlink w:anchor="__RefHeading___Toc4192321_2142443653">
            <w:r>
              <w:rPr>
                <w:webHidden/>
                <w:rStyle w:val="IndexLink"/>
                <w:rtl w:val="true"/>
              </w:rPr>
              <w:t>الأول</w:t>
            </w:r>
            <w:r>
              <w:rPr>
                <w:rStyle w:val="IndexLink"/>
                <w:rtl w:val="true"/>
              </w:rPr>
              <w:t xml:space="preserve">: </w:t>
            </w:r>
            <w:r>
              <w:rPr>
                <w:rStyle w:val="IndexLink"/>
                <w:rtl w:val="true"/>
              </w:rPr>
              <w:t>لو قتل في الجهاد السائغ مع غيبة الإمام،</w:t>
            </w:r>
            <w:r>
              <w:rPr>
                <w:rStyle w:val="IndexLink"/>
                <w:rtl w:val="true"/>
              </w:rPr>
              <w:tab/>
            </w:r>
            <w:r>
              <w:rPr>
                <w:rStyle w:val="IndexLink"/>
              </w:rPr>
              <w:t>334</w:t>
            </w:r>
          </w:hyperlink>
        </w:p>
        <w:p>
          <w:pPr>
            <w:pStyle w:val="Contents6"/>
            <w:tabs>
              <w:tab w:val="clear" w:pos="7609"/>
              <w:tab w:val="right" w:pos="9026" w:leader="dot"/>
            </w:tabs>
            <w:rPr/>
          </w:pPr>
          <w:hyperlink w:anchor="__RefHeading___Toc4192323_2142443653">
            <w:r>
              <w:rPr>
                <w:webHidden/>
                <w:rStyle w:val="IndexLink"/>
                <w:rtl w:val="true"/>
              </w:rPr>
              <w:t>الثاني</w:t>
            </w:r>
            <w:r>
              <w:rPr>
                <w:rStyle w:val="IndexLink"/>
                <w:rtl w:val="true"/>
              </w:rPr>
              <w:t xml:space="preserve">: </w:t>
            </w:r>
            <w:r>
              <w:rPr>
                <w:rStyle w:val="IndexLink"/>
                <w:rtl w:val="true"/>
              </w:rPr>
              <w:t>لا فرق بين الجنب و غيره على الأقوى،</w:t>
            </w:r>
            <w:r>
              <w:rPr>
                <w:rStyle w:val="IndexLink"/>
                <w:rtl w:val="true"/>
              </w:rPr>
              <w:tab/>
            </w:r>
            <w:r>
              <w:rPr>
                <w:rStyle w:val="IndexLink"/>
              </w:rPr>
              <w:t>334</w:t>
            </w:r>
          </w:hyperlink>
        </w:p>
        <w:p>
          <w:pPr>
            <w:pStyle w:val="Contents6"/>
            <w:tabs>
              <w:tab w:val="clear" w:pos="7609"/>
              <w:tab w:val="right" w:pos="9026" w:leader="dot"/>
            </w:tabs>
            <w:rPr/>
          </w:pPr>
          <w:hyperlink w:anchor="__RefHeading___Toc4192325_2142443653">
            <w:r>
              <w:rPr>
                <w:webHidden/>
                <w:rStyle w:val="IndexLink"/>
                <w:rtl w:val="true"/>
              </w:rPr>
              <w:t>الثالث</w:t>
            </w:r>
            <w:r>
              <w:rPr>
                <w:rStyle w:val="IndexLink"/>
                <w:rtl w:val="true"/>
              </w:rPr>
              <w:t xml:space="preserve">: </w:t>
            </w:r>
            <w:r>
              <w:rPr>
                <w:rStyle w:val="IndexLink"/>
                <w:rtl w:val="true"/>
              </w:rPr>
              <w:t>لو وجد ميت في المعركة أو غريق أو محترق،</w:t>
            </w:r>
            <w:r>
              <w:rPr>
                <w:rStyle w:val="IndexLink"/>
                <w:rtl w:val="true"/>
              </w:rPr>
              <w:tab/>
            </w:r>
            <w:r>
              <w:rPr>
                <w:rStyle w:val="IndexLink"/>
              </w:rPr>
              <w:t>335</w:t>
            </w:r>
          </w:hyperlink>
        </w:p>
        <w:p>
          <w:pPr>
            <w:pStyle w:val="Contents6"/>
            <w:tabs>
              <w:tab w:val="clear" w:pos="7609"/>
              <w:tab w:val="right" w:pos="9026" w:leader="dot"/>
            </w:tabs>
            <w:rPr/>
          </w:pPr>
          <w:hyperlink w:anchor="__RefHeading___Toc4192327_2142443653">
            <w:r>
              <w:rPr>
                <w:webHidden/>
                <w:rStyle w:val="IndexLink"/>
                <w:rtl w:val="true"/>
              </w:rPr>
              <w:t>الرابع</w:t>
            </w:r>
            <w:r>
              <w:rPr>
                <w:rStyle w:val="IndexLink"/>
                <w:rtl w:val="true"/>
              </w:rPr>
              <w:t xml:space="preserve">: </w:t>
            </w:r>
            <w:r>
              <w:rPr>
                <w:rStyle w:val="IndexLink"/>
                <w:rtl w:val="true"/>
              </w:rPr>
              <w:t>لا فرق بين الصغير و الكبير،</w:t>
            </w:r>
            <w:r>
              <w:rPr>
                <w:rStyle w:val="IndexLink"/>
                <w:rtl w:val="true"/>
              </w:rPr>
              <w:tab/>
            </w:r>
            <w:r>
              <w:rPr>
                <w:rStyle w:val="IndexLink"/>
              </w:rPr>
              <w:t>335</w:t>
            </w:r>
          </w:hyperlink>
        </w:p>
        <w:p>
          <w:pPr>
            <w:pStyle w:val="Contents6"/>
            <w:tabs>
              <w:tab w:val="clear" w:pos="7609"/>
              <w:tab w:val="right" w:pos="9026" w:leader="dot"/>
            </w:tabs>
            <w:rPr/>
          </w:pPr>
          <w:hyperlink w:anchor="__RefHeading___Toc4192329_2142443653">
            <w:r>
              <w:rPr>
                <w:webHidden/>
                <w:rStyle w:val="IndexLink"/>
                <w:rtl w:val="true"/>
              </w:rPr>
              <w:t>الخامس</w:t>
            </w:r>
            <w:r>
              <w:rPr>
                <w:rStyle w:val="IndexLink"/>
                <w:rtl w:val="true"/>
              </w:rPr>
              <w:t xml:space="preserve">: </w:t>
            </w:r>
            <w:r>
              <w:rPr>
                <w:rStyle w:val="IndexLink"/>
                <w:rtl w:val="true"/>
              </w:rPr>
              <w:t>المقتول من أهل العدل شهيد،</w:t>
            </w:r>
            <w:r>
              <w:rPr>
                <w:rStyle w:val="IndexLink"/>
                <w:rtl w:val="true"/>
              </w:rPr>
              <w:tab/>
            </w:r>
            <w:r>
              <w:rPr>
                <w:rStyle w:val="IndexLink"/>
              </w:rPr>
              <w:t>336</w:t>
            </w:r>
          </w:hyperlink>
        </w:p>
        <w:p>
          <w:pPr>
            <w:pStyle w:val="Contents6"/>
            <w:tabs>
              <w:tab w:val="clear" w:pos="7609"/>
              <w:tab w:val="right" w:pos="9026" w:leader="dot"/>
            </w:tabs>
            <w:rPr/>
          </w:pPr>
          <w:hyperlink w:anchor="__RefHeading___Toc4192331_2142443653">
            <w:r>
              <w:rPr>
                <w:webHidden/>
                <w:rStyle w:val="IndexLink"/>
                <w:rtl w:val="true"/>
              </w:rPr>
              <w:t>السادس</w:t>
            </w:r>
            <w:r>
              <w:rPr>
                <w:rStyle w:val="IndexLink"/>
                <w:rtl w:val="true"/>
              </w:rPr>
              <w:t xml:space="preserve">: </w:t>
            </w:r>
            <w:r>
              <w:rPr>
                <w:rStyle w:val="IndexLink"/>
                <w:rtl w:val="true"/>
              </w:rPr>
              <w:t>أطلقت الشهادة في الأخبار على من قتل دون ماله و دون أهله،</w:t>
            </w:r>
            <w:r>
              <w:rPr>
                <w:rStyle w:val="IndexLink"/>
                <w:rtl w:val="true"/>
              </w:rPr>
              <w:tab/>
            </w:r>
            <w:r>
              <w:rPr>
                <w:rStyle w:val="IndexLink"/>
              </w:rPr>
              <w:t>336</w:t>
            </w:r>
          </w:hyperlink>
        </w:p>
        <w:p>
          <w:pPr>
            <w:pStyle w:val="Contents6"/>
            <w:tabs>
              <w:tab w:val="clear" w:pos="7609"/>
              <w:tab w:val="right" w:pos="9026" w:leader="dot"/>
            </w:tabs>
            <w:rPr/>
          </w:pPr>
          <w:hyperlink w:anchor="__RefHeading___Toc4192333_2142443653">
            <w:r>
              <w:rPr>
                <w:webHidden/>
                <w:rStyle w:val="IndexLink"/>
                <w:rtl w:val="true"/>
              </w:rPr>
              <w:t>الثاني</w:t>
            </w:r>
            <w:r>
              <w:rPr>
                <w:rStyle w:val="IndexLink"/>
                <w:rtl w:val="true"/>
              </w:rPr>
              <w:t xml:space="preserve">: </w:t>
            </w:r>
            <w:r>
              <w:rPr>
                <w:rStyle w:val="IndexLink"/>
                <w:rtl w:val="true"/>
              </w:rPr>
              <w:t>الكافر</w:t>
            </w:r>
            <w:r>
              <w:rPr>
                <w:rStyle w:val="IndexLink"/>
                <w:rtl w:val="true"/>
              </w:rPr>
              <w:tab/>
            </w:r>
            <w:r>
              <w:rPr>
                <w:rStyle w:val="IndexLink"/>
              </w:rPr>
              <w:t>338</w:t>
            </w:r>
          </w:hyperlink>
        </w:p>
        <w:p>
          <w:pPr>
            <w:pStyle w:val="Contents6"/>
            <w:tabs>
              <w:tab w:val="clear" w:pos="7609"/>
              <w:tab w:val="right" w:pos="9026" w:leader="dot"/>
            </w:tabs>
            <w:rPr/>
          </w:pPr>
          <w:hyperlink w:anchor="__RefHeading___Toc4192335_2142443653">
            <w:r>
              <w:rPr>
                <w:webHidden/>
                <w:rStyle w:val="IndexLink"/>
                <w:rtl w:val="true"/>
              </w:rPr>
              <w:t>الثالث</w:t>
            </w:r>
            <w:r>
              <w:rPr>
                <w:rStyle w:val="IndexLink"/>
                <w:rtl w:val="true"/>
              </w:rPr>
              <w:t xml:space="preserve">: </w:t>
            </w:r>
            <w:r>
              <w:rPr>
                <w:rStyle w:val="IndexLink"/>
                <w:rtl w:val="true"/>
              </w:rPr>
              <w:t>المخالف عند المفيد لا يغسّله المؤمن و لا يصلّي عليه،</w:t>
            </w:r>
            <w:r>
              <w:rPr>
                <w:rStyle w:val="IndexLink"/>
                <w:rtl w:val="true"/>
              </w:rPr>
              <w:tab/>
            </w:r>
            <w:r>
              <w:rPr>
                <w:rStyle w:val="IndexLink"/>
              </w:rPr>
              <w:t>340</w:t>
            </w:r>
          </w:hyperlink>
        </w:p>
        <w:p>
          <w:pPr>
            <w:pStyle w:val="Contents6"/>
            <w:tabs>
              <w:tab w:val="clear" w:pos="7609"/>
              <w:tab w:val="right" w:pos="9026" w:leader="dot"/>
            </w:tabs>
            <w:rPr/>
          </w:pPr>
          <w:hyperlink w:anchor="__RefHeading___Toc4192337_2142443653">
            <w:r>
              <w:rPr>
                <w:webHidden/>
                <w:rStyle w:val="IndexLink"/>
                <w:rtl w:val="true"/>
              </w:rPr>
              <w:t>الرابع</w:t>
            </w:r>
            <w:r>
              <w:rPr>
                <w:rStyle w:val="IndexLink"/>
                <w:rtl w:val="true"/>
              </w:rPr>
              <w:t xml:space="preserve">: </w:t>
            </w:r>
            <w:r>
              <w:rPr>
                <w:rStyle w:val="IndexLink"/>
                <w:rtl w:val="true"/>
              </w:rPr>
              <w:t>إذا فقد الغاسل،</w:t>
            </w:r>
            <w:r>
              <w:rPr>
                <w:rStyle w:val="IndexLink"/>
                <w:rtl w:val="true"/>
              </w:rPr>
              <w:tab/>
            </w:r>
            <w:r>
              <w:rPr>
                <w:rStyle w:val="IndexLink"/>
              </w:rPr>
              <w:t>340</w:t>
            </w:r>
          </w:hyperlink>
        </w:p>
        <w:p>
          <w:pPr>
            <w:pStyle w:val="Contents6"/>
            <w:tabs>
              <w:tab w:val="clear" w:pos="7609"/>
              <w:tab w:val="right" w:pos="9026" w:leader="dot"/>
            </w:tabs>
            <w:rPr/>
          </w:pPr>
          <w:hyperlink w:anchor="__RefHeading___Toc4192339_2142443653">
            <w:r>
              <w:rPr>
                <w:webHidden/>
                <w:rStyle w:val="IndexLink"/>
                <w:rtl w:val="true"/>
              </w:rPr>
              <w:t>الخامس</w:t>
            </w:r>
            <w:r>
              <w:rPr>
                <w:rStyle w:val="IndexLink"/>
                <w:rtl w:val="true"/>
              </w:rPr>
              <w:t xml:space="preserve">: </w:t>
            </w:r>
            <w:r>
              <w:rPr>
                <w:rStyle w:val="IndexLink"/>
                <w:rtl w:val="true"/>
              </w:rPr>
              <w:t>إذا عدم الماء أو وصلته</w:t>
            </w:r>
            <w:r>
              <w:rPr>
                <w:rStyle w:val="IndexLink"/>
                <w:rtl w:val="true"/>
              </w:rPr>
              <w:t>.</w:t>
              <w:tab/>
            </w:r>
            <w:r>
              <w:rPr>
                <w:rStyle w:val="IndexLink"/>
              </w:rPr>
              <w:t>340</w:t>
            </w:r>
          </w:hyperlink>
        </w:p>
        <w:p>
          <w:pPr>
            <w:pStyle w:val="Contents6"/>
            <w:tabs>
              <w:tab w:val="clear" w:pos="7609"/>
              <w:tab w:val="right" w:pos="9026" w:leader="dot"/>
            </w:tabs>
            <w:rPr/>
          </w:pPr>
          <w:hyperlink w:anchor="__RefHeading___Toc4192341_2142443653">
            <w:r>
              <w:rPr>
                <w:webHidden/>
                <w:rStyle w:val="IndexLink"/>
                <w:rtl w:val="true"/>
              </w:rPr>
              <w:t>السادس</w:t>
            </w:r>
            <w:r>
              <w:rPr>
                <w:rStyle w:val="IndexLink"/>
                <w:rtl w:val="true"/>
              </w:rPr>
              <w:t xml:space="preserve">: </w:t>
            </w:r>
            <w:r>
              <w:rPr>
                <w:rStyle w:val="IndexLink"/>
                <w:rtl w:val="true"/>
              </w:rPr>
              <w:t>إذا عجز المسلم عن تغسيله،</w:t>
            </w:r>
            <w:r>
              <w:rPr>
                <w:rStyle w:val="IndexLink"/>
                <w:rtl w:val="true"/>
              </w:rPr>
              <w:tab/>
            </w:r>
            <w:r>
              <w:rPr>
                <w:rStyle w:val="IndexLink"/>
              </w:rPr>
              <w:t>340</w:t>
            </w:r>
          </w:hyperlink>
        </w:p>
        <w:p>
          <w:pPr>
            <w:pStyle w:val="Contents6"/>
            <w:tabs>
              <w:tab w:val="clear" w:pos="7609"/>
              <w:tab w:val="right" w:pos="9026" w:leader="dot"/>
            </w:tabs>
            <w:rPr/>
          </w:pPr>
          <w:hyperlink w:anchor="__RefHeading___Toc4192343_2142443653">
            <w:r>
              <w:rPr>
                <w:webHidden/>
                <w:rStyle w:val="IndexLink"/>
                <w:rtl w:val="true"/>
              </w:rPr>
              <w:t>السابع</w:t>
            </w:r>
            <w:r>
              <w:rPr>
                <w:rStyle w:val="IndexLink"/>
                <w:rtl w:val="true"/>
              </w:rPr>
              <w:t xml:space="preserve">: </w:t>
            </w:r>
            <w:r>
              <w:rPr>
                <w:rStyle w:val="IndexLink"/>
                <w:rtl w:val="true"/>
              </w:rPr>
              <w:t>إذا لم يمكن تغسيله لخوف تناثر لحمه</w:t>
            </w:r>
            <w:r>
              <w:rPr>
                <w:rStyle w:val="IndexLink"/>
                <w:rtl w:val="true"/>
              </w:rPr>
              <w:tab/>
            </w:r>
            <w:r>
              <w:rPr>
                <w:rStyle w:val="IndexLink"/>
              </w:rPr>
              <w:t>340</w:t>
            </w:r>
          </w:hyperlink>
        </w:p>
        <w:p>
          <w:pPr>
            <w:pStyle w:val="Contents6"/>
            <w:tabs>
              <w:tab w:val="clear" w:pos="7609"/>
              <w:tab w:val="right" w:pos="9026" w:leader="dot"/>
            </w:tabs>
            <w:rPr/>
          </w:pPr>
          <w:hyperlink w:anchor="__RefHeading___Toc4192345_2142443653">
            <w:r>
              <w:rPr>
                <w:webHidden/>
                <w:rStyle w:val="IndexLink"/>
                <w:rtl w:val="true"/>
              </w:rPr>
              <w:t>الثامن</w:t>
            </w:r>
            <w:r>
              <w:rPr>
                <w:rStyle w:val="IndexLink"/>
                <w:rtl w:val="true"/>
              </w:rPr>
              <w:t xml:space="preserve">: </w:t>
            </w:r>
            <w:r>
              <w:rPr>
                <w:rStyle w:val="IndexLink"/>
                <w:rtl w:val="true"/>
              </w:rPr>
              <w:t>من وجب عليه الرجم أو القود</w:t>
            </w:r>
            <w:r>
              <w:rPr>
                <w:rStyle w:val="IndexLink"/>
                <w:rtl w:val="true"/>
              </w:rPr>
              <w:tab/>
            </w:r>
            <w:r>
              <w:rPr>
                <w:rStyle w:val="IndexLink"/>
              </w:rPr>
              <w:t>342</w:t>
            </w:r>
          </w:hyperlink>
        </w:p>
        <w:p>
          <w:pPr>
            <w:pStyle w:val="Contents6"/>
            <w:tabs>
              <w:tab w:val="clear" w:pos="7609"/>
              <w:tab w:val="right" w:pos="9026" w:leader="dot"/>
            </w:tabs>
            <w:rPr/>
          </w:pPr>
          <w:hyperlink w:anchor="__RefHeading___Toc4192347_2142443653">
            <w:r>
              <w:rPr>
                <w:webHidden/>
                <w:rStyle w:val="IndexLink"/>
                <w:rtl w:val="true"/>
              </w:rPr>
              <w:t>التاسع</w:t>
            </w:r>
            <w:r>
              <w:rPr>
                <w:rStyle w:val="IndexLink"/>
                <w:rtl w:val="true"/>
              </w:rPr>
              <w:t xml:space="preserve">: </w:t>
            </w:r>
            <w:r>
              <w:rPr>
                <w:rStyle w:val="IndexLink"/>
                <w:rtl w:val="true"/>
              </w:rPr>
              <w:t>ما في بطن الميتة من الأجنّة إذا مات،</w:t>
            </w:r>
            <w:r>
              <w:rPr>
                <w:rStyle w:val="IndexLink"/>
                <w:rtl w:val="true"/>
              </w:rPr>
              <w:tab/>
            </w:r>
            <w:r>
              <w:rPr>
                <w:rStyle w:val="IndexLink"/>
              </w:rPr>
              <w:t>343</w:t>
            </w:r>
          </w:hyperlink>
        </w:p>
        <w:p>
          <w:pPr>
            <w:pStyle w:val="Contents6"/>
            <w:tabs>
              <w:tab w:val="clear" w:pos="7609"/>
              <w:tab w:val="right" w:pos="9026" w:leader="dot"/>
            </w:tabs>
            <w:rPr/>
          </w:pPr>
          <w:hyperlink w:anchor="__RefHeading___Toc4192349_2142443653">
            <w:r>
              <w:rPr>
                <w:webHidden/>
                <w:rStyle w:val="IndexLink"/>
                <w:rtl w:val="true"/>
              </w:rPr>
              <w:t>العاشر</w:t>
            </w:r>
            <w:r>
              <w:rPr>
                <w:rStyle w:val="IndexLink"/>
                <w:rtl w:val="true"/>
              </w:rPr>
              <w:t xml:space="preserve">: </w:t>
            </w:r>
            <w:r>
              <w:rPr>
                <w:rStyle w:val="IndexLink"/>
                <w:rtl w:val="true"/>
              </w:rPr>
              <w:t>قطعة لا عظم فيها،</w:t>
            </w:r>
            <w:r>
              <w:rPr>
                <w:rStyle w:val="IndexLink"/>
                <w:rtl w:val="true"/>
              </w:rPr>
              <w:tab/>
            </w:r>
            <w:r>
              <w:rPr>
                <w:rStyle w:val="IndexLink"/>
              </w:rPr>
              <w:t>345</w:t>
            </w:r>
          </w:hyperlink>
        </w:p>
        <w:p>
          <w:pPr>
            <w:pStyle w:val="Contents6"/>
            <w:tabs>
              <w:tab w:val="clear" w:pos="7609"/>
              <w:tab w:val="right" w:pos="9026" w:leader="dot"/>
            </w:tabs>
            <w:rPr/>
          </w:pPr>
          <w:hyperlink w:anchor="__RefHeading___Toc4192351_2142443653">
            <w:r>
              <w:rPr>
                <w:webHidden/>
                <w:rStyle w:val="IndexLink"/>
                <w:rtl w:val="true"/>
              </w:rPr>
              <w:t>النظر الثالث</w:t>
            </w:r>
            <w:r>
              <w:rPr>
                <w:rStyle w:val="IndexLink"/>
                <w:rtl w:val="true"/>
              </w:rPr>
              <w:t xml:space="preserve">: </w:t>
            </w:r>
            <w:r>
              <w:rPr>
                <w:rStyle w:val="IndexLink"/>
                <w:rtl w:val="true"/>
              </w:rPr>
              <w:t>في الغسل</w:t>
            </w:r>
            <w:r>
              <w:rPr>
                <w:rStyle w:val="IndexLink"/>
                <w:rtl w:val="true"/>
              </w:rPr>
              <w:t>:</w:t>
              <w:tab/>
            </w:r>
            <w:r>
              <w:rPr>
                <w:rStyle w:val="IndexLink"/>
              </w:rPr>
              <w:t>346</w:t>
            </w:r>
          </w:hyperlink>
        </w:p>
        <w:p>
          <w:pPr>
            <w:pStyle w:val="Contents6"/>
            <w:tabs>
              <w:tab w:val="clear" w:pos="7609"/>
              <w:tab w:val="right" w:pos="9026" w:leader="dot"/>
            </w:tabs>
            <w:rPr/>
          </w:pPr>
          <w:hyperlink w:anchor="__RefHeading___Toc4192353_2142443653">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4192355_2142443653">
            <w:r>
              <w:rPr>
                <w:webHidden/>
                <w:rStyle w:val="IndexLink"/>
                <w:rtl w:val="true"/>
              </w:rPr>
              <w:t>ثم هنا مسائل</w:t>
            </w:r>
            <w:r>
              <w:rPr>
                <w:rStyle w:val="IndexLink"/>
                <w:rtl w:val="true"/>
              </w:rPr>
              <w:t>:</w:t>
              <w:tab/>
            </w:r>
            <w:r>
              <w:rPr>
                <w:rStyle w:val="IndexLink"/>
              </w:rPr>
              <w:t>353</w:t>
            </w:r>
          </w:hyperlink>
        </w:p>
        <w:p>
          <w:pPr>
            <w:pStyle w:val="Contents6"/>
            <w:tabs>
              <w:tab w:val="clear" w:pos="7609"/>
              <w:tab w:val="right" w:pos="9026" w:leader="dot"/>
            </w:tabs>
            <w:rPr/>
          </w:pPr>
          <w:hyperlink w:anchor="__RefHeading___Toc4192357_2142443653">
            <w:r>
              <w:rPr>
                <w:webHidden/>
                <w:rStyle w:val="IndexLink"/>
                <w:rtl w:val="true"/>
              </w:rPr>
              <w:t>المسألة الأولى</w:t>
            </w:r>
            <w:r>
              <w:rPr>
                <w:rStyle w:val="IndexLink"/>
                <w:rtl w:val="true"/>
              </w:rPr>
              <w:t xml:space="preserve">: </w:t>
            </w:r>
            <w:r>
              <w:rPr>
                <w:rStyle w:val="IndexLink"/>
                <w:rtl w:val="true"/>
              </w:rPr>
              <w:t>يجب استقبال القبلة حالة الغسل،</w:t>
            </w:r>
            <w:r>
              <w:rPr>
                <w:rStyle w:val="IndexLink"/>
                <w:rtl w:val="true"/>
              </w:rPr>
              <w:tab/>
            </w:r>
            <w:r>
              <w:rPr>
                <w:rStyle w:val="IndexLink"/>
              </w:rPr>
              <w:t>353</w:t>
            </w:r>
          </w:hyperlink>
        </w:p>
        <w:p>
          <w:pPr>
            <w:pStyle w:val="Contents6"/>
            <w:tabs>
              <w:tab w:val="clear" w:pos="7609"/>
              <w:tab w:val="right" w:pos="9026" w:leader="dot"/>
            </w:tabs>
            <w:rPr/>
          </w:pPr>
          <w:hyperlink w:anchor="__RefHeading___Toc4192359_2142443653">
            <w:r>
              <w:rPr>
                <w:webHidden/>
                <w:rStyle w:val="IndexLink"/>
                <w:rtl w:val="true"/>
              </w:rPr>
              <w:t>المسألة الثانية</w:t>
            </w:r>
            <w:r>
              <w:rPr>
                <w:rStyle w:val="IndexLink"/>
                <w:rtl w:val="true"/>
              </w:rPr>
              <w:t xml:space="preserve">: </w:t>
            </w:r>
            <w:r>
              <w:rPr>
                <w:rStyle w:val="IndexLink"/>
                <w:rtl w:val="true"/>
              </w:rPr>
              <w:t>يستحبّ وضعه على مرتفع</w:t>
            </w:r>
            <w:r>
              <w:rPr>
                <w:rStyle w:val="IndexLink"/>
                <w:rtl w:val="true"/>
              </w:rPr>
              <w:tab/>
            </w:r>
            <w:r>
              <w:rPr>
                <w:rStyle w:val="IndexLink"/>
              </w:rPr>
              <w:t>354</w:t>
            </w:r>
          </w:hyperlink>
        </w:p>
        <w:p>
          <w:pPr>
            <w:pStyle w:val="Contents6"/>
            <w:tabs>
              <w:tab w:val="clear" w:pos="7609"/>
              <w:tab w:val="right" w:pos="9026" w:leader="dot"/>
            </w:tabs>
            <w:rPr/>
          </w:pPr>
          <w:hyperlink w:anchor="__RefHeading___Toc4192361_2142443653">
            <w:r>
              <w:rPr>
                <w:webHidden/>
                <w:rStyle w:val="IndexLink"/>
                <w:rtl w:val="true"/>
              </w:rPr>
              <w:t>المسألة الثالثة</w:t>
            </w:r>
            <w:r>
              <w:rPr>
                <w:rStyle w:val="IndexLink"/>
                <w:rtl w:val="true"/>
              </w:rPr>
              <w:t xml:space="preserve">: </w:t>
            </w:r>
            <w:r>
              <w:rPr>
                <w:rStyle w:val="IndexLink"/>
                <w:rtl w:val="true"/>
              </w:rPr>
              <w:t>يفتق قميصه و ينزع من تحته،</w:t>
            </w:r>
            <w:r>
              <w:rPr>
                <w:rStyle w:val="IndexLink"/>
                <w:rtl w:val="true"/>
              </w:rPr>
              <w:tab/>
            </w:r>
            <w:r>
              <w:rPr>
                <w:rStyle w:val="IndexLink"/>
              </w:rPr>
              <w:t>354</w:t>
            </w:r>
          </w:hyperlink>
        </w:p>
        <w:p>
          <w:pPr>
            <w:pStyle w:val="Contents6"/>
            <w:tabs>
              <w:tab w:val="clear" w:pos="7609"/>
              <w:tab w:val="right" w:pos="9026" w:leader="dot"/>
            </w:tabs>
            <w:rPr/>
          </w:pPr>
          <w:hyperlink w:anchor="__RefHeading___Toc4192363_2142443653">
            <w:r>
              <w:rPr>
                <w:webHidden/>
                <w:rStyle w:val="IndexLink"/>
                <w:rtl w:val="true"/>
              </w:rPr>
              <w:t>المسألة الرابعة</w:t>
            </w:r>
            <w:r>
              <w:rPr>
                <w:rStyle w:val="IndexLink"/>
                <w:rtl w:val="true"/>
              </w:rPr>
              <w:t xml:space="preserve">: </w:t>
            </w:r>
            <w:r>
              <w:rPr>
                <w:rStyle w:val="IndexLink"/>
                <w:rtl w:val="true"/>
              </w:rPr>
              <w:t>يجب إزالة النجاسة عن بدنه أولا،</w:t>
            </w:r>
            <w:r>
              <w:rPr>
                <w:rStyle w:val="IndexLink"/>
                <w:rtl w:val="true"/>
              </w:rPr>
              <w:tab/>
            </w:r>
            <w:r>
              <w:rPr>
                <w:rStyle w:val="IndexLink"/>
              </w:rPr>
              <w:t>356</w:t>
            </w:r>
          </w:hyperlink>
        </w:p>
        <w:p>
          <w:pPr>
            <w:pStyle w:val="Contents6"/>
            <w:tabs>
              <w:tab w:val="clear" w:pos="7609"/>
              <w:tab w:val="right" w:pos="9026" w:leader="dot"/>
            </w:tabs>
            <w:rPr/>
          </w:pPr>
          <w:hyperlink w:anchor="__RefHeading___Toc4192365_2142443653">
            <w:r>
              <w:rPr>
                <w:webHidden/>
                <w:rStyle w:val="IndexLink"/>
                <w:rtl w:val="true"/>
              </w:rPr>
              <w:t>المسألة الخامسة</w:t>
            </w:r>
            <w:r>
              <w:rPr>
                <w:rStyle w:val="IndexLink"/>
                <w:rtl w:val="true"/>
              </w:rPr>
              <w:t xml:space="preserve">: </w:t>
            </w:r>
            <w:r>
              <w:rPr>
                <w:rStyle w:val="IndexLink"/>
                <w:rtl w:val="true"/>
              </w:rPr>
              <w:t xml:space="preserve">قطع في الخلاف على وجوب النيّة على الغاسل مدّعيا الإجماع </w:t>
            </w:r>
            <w:r>
              <w:rPr>
                <w:rStyle w:val="IndexLink"/>
                <w:rtl w:val="true"/>
              </w:rPr>
              <w:t>.</w:t>
              <w:tab/>
            </w:r>
            <w:r>
              <w:rPr>
                <w:rStyle w:val="IndexLink"/>
              </w:rPr>
              <w:t>356</w:t>
            </w:r>
          </w:hyperlink>
        </w:p>
        <w:p>
          <w:pPr>
            <w:pStyle w:val="Contents6"/>
            <w:tabs>
              <w:tab w:val="clear" w:pos="7609"/>
              <w:tab w:val="right" w:pos="9026" w:leader="dot"/>
            </w:tabs>
            <w:rPr/>
          </w:pPr>
          <w:hyperlink w:anchor="__RefHeading___Toc4192367_2142443653">
            <w:r>
              <w:rPr>
                <w:webHidden/>
                <w:rStyle w:val="IndexLink"/>
                <w:rtl w:val="true"/>
              </w:rPr>
              <w:t>المسألة السادسة</w:t>
            </w:r>
            <w:r>
              <w:rPr>
                <w:rStyle w:val="IndexLink"/>
                <w:rtl w:val="true"/>
              </w:rPr>
              <w:t xml:space="preserve">: </w:t>
            </w:r>
            <w:r>
              <w:rPr>
                <w:rStyle w:val="IndexLink"/>
                <w:rtl w:val="true"/>
              </w:rPr>
              <w:t>يجب تغسيله ثلاثا</w:t>
            </w:r>
            <w:r>
              <w:rPr>
                <w:rStyle w:val="IndexLink"/>
                <w:rtl w:val="true"/>
              </w:rPr>
              <w:t xml:space="preserve">: </w:t>
            </w:r>
            <w:r>
              <w:rPr>
                <w:rStyle w:val="IndexLink"/>
                <w:rtl w:val="true"/>
              </w:rPr>
              <w:t>بالسدر، ثمّ الكافور، ثم القراح</w:t>
            </w:r>
            <w:r>
              <w:rPr>
                <w:rStyle w:val="IndexLink"/>
                <w:rtl w:val="true"/>
              </w:rPr>
              <w:tab/>
            </w:r>
            <w:r>
              <w:rPr>
                <w:rStyle w:val="IndexLink"/>
              </w:rPr>
              <w:t>356</w:t>
            </w:r>
          </w:hyperlink>
        </w:p>
        <w:p>
          <w:pPr>
            <w:pStyle w:val="Contents6"/>
            <w:tabs>
              <w:tab w:val="clear" w:pos="7609"/>
              <w:tab w:val="right" w:pos="9026" w:leader="dot"/>
            </w:tabs>
            <w:rPr/>
          </w:pPr>
          <w:hyperlink w:anchor="__RefHeading___Toc4192369_2142443653">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4192371_2142443653">
            <w:r>
              <w:rPr>
                <w:webHidden/>
                <w:rStyle w:val="IndexLink"/>
                <w:rtl w:val="true"/>
              </w:rPr>
              <w:t>فروع</w:t>
            </w:r>
            <w:r>
              <w:rPr>
                <w:rStyle w:val="IndexLink"/>
                <w:rtl w:val="true"/>
              </w:rPr>
              <w:t>:</w:t>
              <w:tab/>
            </w:r>
            <w:r>
              <w:rPr>
                <w:rStyle w:val="IndexLink"/>
              </w:rPr>
              <w:t>357</w:t>
            </w:r>
          </w:hyperlink>
        </w:p>
        <w:p>
          <w:pPr>
            <w:pStyle w:val="Contents6"/>
            <w:tabs>
              <w:tab w:val="clear" w:pos="7609"/>
              <w:tab w:val="right" w:pos="9026" w:leader="dot"/>
            </w:tabs>
            <w:rPr/>
          </w:pPr>
          <w:hyperlink w:anchor="__RefHeading___Toc4192373_2142443653">
            <w:r>
              <w:rPr>
                <w:webHidden/>
                <w:rStyle w:val="IndexLink"/>
                <w:rtl w:val="true"/>
              </w:rPr>
              <w:t>الأول</w:t>
            </w:r>
            <w:r>
              <w:rPr>
                <w:rStyle w:val="IndexLink"/>
                <w:rtl w:val="true"/>
              </w:rPr>
              <w:t xml:space="preserve">: </w:t>
            </w:r>
            <w:r>
              <w:rPr>
                <w:rStyle w:val="IndexLink"/>
                <w:rtl w:val="true"/>
              </w:rPr>
              <w:t>الترتيب في هذه المياه واجب،</w:t>
            </w:r>
            <w:r>
              <w:rPr>
                <w:rStyle w:val="IndexLink"/>
                <w:rtl w:val="true"/>
              </w:rPr>
              <w:tab/>
            </w:r>
            <w:r>
              <w:rPr>
                <w:rStyle w:val="IndexLink"/>
              </w:rPr>
              <w:t>357</w:t>
            </w:r>
          </w:hyperlink>
        </w:p>
        <w:p>
          <w:pPr>
            <w:pStyle w:val="Contents6"/>
            <w:tabs>
              <w:tab w:val="clear" w:pos="7609"/>
              <w:tab w:val="right" w:pos="9026" w:leader="dot"/>
            </w:tabs>
            <w:rPr/>
          </w:pPr>
          <w:hyperlink w:anchor="__RefHeading___Toc4192375_2142443653">
            <w:r>
              <w:rPr>
                <w:webHidden/>
                <w:rStyle w:val="IndexLink"/>
                <w:rtl w:val="true"/>
              </w:rPr>
              <w:t>الثاني</w:t>
            </w:r>
            <w:r>
              <w:rPr>
                <w:rStyle w:val="IndexLink"/>
                <w:rtl w:val="true"/>
              </w:rPr>
              <w:t xml:space="preserve">: </w:t>
            </w:r>
            <w:r>
              <w:rPr>
                <w:rStyle w:val="IndexLink"/>
                <w:rtl w:val="true"/>
              </w:rPr>
              <w:t>لو عدم الخليط،</w:t>
            </w:r>
            <w:r>
              <w:rPr>
                <w:rStyle w:val="IndexLink"/>
                <w:rtl w:val="true"/>
              </w:rPr>
              <w:tab/>
            </w:r>
            <w:r>
              <w:rPr>
                <w:rStyle w:val="IndexLink"/>
              </w:rPr>
              <w:t>357</w:t>
            </w:r>
          </w:hyperlink>
        </w:p>
        <w:p>
          <w:pPr>
            <w:pStyle w:val="Contents6"/>
            <w:tabs>
              <w:tab w:val="clear" w:pos="7609"/>
              <w:tab w:val="right" w:pos="9026" w:leader="dot"/>
            </w:tabs>
            <w:rPr/>
          </w:pPr>
          <w:hyperlink w:anchor="__RefHeading___Toc4192377_2142443653">
            <w:r>
              <w:rPr>
                <w:webHidden/>
                <w:rStyle w:val="IndexLink"/>
                <w:rtl w:val="true"/>
              </w:rPr>
              <w:t>الثالث</w:t>
            </w:r>
            <w:r>
              <w:rPr>
                <w:rStyle w:val="IndexLink"/>
                <w:rtl w:val="true"/>
              </w:rPr>
              <w:t xml:space="preserve">: </w:t>
            </w:r>
            <w:r>
              <w:rPr>
                <w:rStyle w:val="IndexLink"/>
                <w:rtl w:val="true"/>
              </w:rPr>
              <w:t>لو وجد ماء لغسلة واحدة،</w:t>
            </w:r>
            <w:r>
              <w:rPr>
                <w:rStyle w:val="IndexLink"/>
                <w:rtl w:val="true"/>
              </w:rPr>
              <w:tab/>
            </w:r>
            <w:r>
              <w:rPr>
                <w:rStyle w:val="IndexLink"/>
              </w:rPr>
              <w:t>358</w:t>
            </w:r>
          </w:hyperlink>
        </w:p>
        <w:p>
          <w:pPr>
            <w:pStyle w:val="Contents6"/>
            <w:tabs>
              <w:tab w:val="clear" w:pos="7609"/>
              <w:tab w:val="right" w:pos="9026" w:leader="dot"/>
            </w:tabs>
            <w:rPr/>
          </w:pPr>
          <w:hyperlink w:anchor="__RefHeading___Toc4192379_2142443653">
            <w:r>
              <w:rPr>
                <w:webHidden/>
                <w:rStyle w:val="IndexLink"/>
                <w:rtl w:val="true"/>
              </w:rPr>
              <w:t>المسألة السابعة</w:t>
            </w:r>
            <w:r>
              <w:rPr>
                <w:rStyle w:val="IndexLink"/>
                <w:rtl w:val="true"/>
              </w:rPr>
              <w:t xml:space="preserve">: </w:t>
            </w:r>
            <w:r>
              <w:rPr>
                <w:rStyle w:val="IndexLink"/>
                <w:rtl w:val="true"/>
              </w:rPr>
              <w:t>تجب البدأة برأسه،</w:t>
            </w:r>
            <w:r>
              <w:rPr>
                <w:rStyle w:val="IndexLink"/>
                <w:rtl w:val="true"/>
              </w:rPr>
              <w:tab/>
            </w:r>
            <w:r>
              <w:rPr>
                <w:rStyle w:val="IndexLink"/>
              </w:rPr>
              <w:t>358</w:t>
            </w:r>
          </w:hyperlink>
        </w:p>
        <w:p>
          <w:pPr>
            <w:pStyle w:val="Contents6"/>
            <w:tabs>
              <w:tab w:val="clear" w:pos="7609"/>
              <w:tab w:val="right" w:pos="9026" w:leader="dot"/>
            </w:tabs>
            <w:rPr/>
          </w:pPr>
          <w:hyperlink w:anchor="__RefHeading___Toc4192381_2142443653">
            <w:r>
              <w:rPr>
                <w:webHidden/>
                <w:rStyle w:val="IndexLink"/>
                <w:rtl w:val="true"/>
              </w:rPr>
              <w:t>المسألة الثامنة</w:t>
            </w:r>
            <w:r>
              <w:rPr>
                <w:rStyle w:val="IndexLink"/>
                <w:rtl w:val="true"/>
              </w:rPr>
              <w:t xml:space="preserve">: </w:t>
            </w:r>
            <w:r>
              <w:rPr>
                <w:rStyle w:val="IndexLink"/>
                <w:rtl w:val="true"/>
              </w:rPr>
              <w:t>يظهر من الأخبار السابقة و غيرها وجوب الوضوء،</w:t>
            </w:r>
            <w:r>
              <w:rPr>
                <w:rStyle w:val="IndexLink"/>
                <w:rtl w:val="true"/>
              </w:rPr>
              <w:tab/>
            </w:r>
            <w:r>
              <w:rPr>
                <w:rStyle w:val="IndexLink"/>
              </w:rPr>
              <w:t>358</w:t>
            </w:r>
          </w:hyperlink>
        </w:p>
        <w:p>
          <w:pPr>
            <w:pStyle w:val="Contents6"/>
            <w:tabs>
              <w:tab w:val="clear" w:pos="7609"/>
              <w:tab w:val="right" w:pos="9026" w:leader="dot"/>
            </w:tabs>
            <w:rPr/>
          </w:pPr>
          <w:hyperlink w:anchor="__RefHeading___Toc4192383_2142443653">
            <w:r>
              <w:rPr>
                <w:webHidden/>
                <w:rStyle w:val="IndexLink"/>
                <w:rtl w:val="true"/>
              </w:rPr>
              <w:t>المسألة التاسعة</w:t>
            </w:r>
            <w:r>
              <w:rPr>
                <w:rStyle w:val="IndexLink"/>
                <w:rtl w:val="true"/>
              </w:rPr>
              <w:t xml:space="preserve">: </w:t>
            </w:r>
            <w:r>
              <w:rPr>
                <w:rStyle w:val="IndexLink"/>
                <w:rtl w:val="true"/>
              </w:rPr>
              <w:t>يستحبّ تليين أصابعه برفق،</w:t>
            </w:r>
            <w:r>
              <w:rPr>
                <w:rStyle w:val="IndexLink"/>
                <w:rtl w:val="true"/>
              </w:rPr>
              <w:tab/>
            </w:r>
            <w:r>
              <w:rPr>
                <w:rStyle w:val="IndexLink"/>
              </w:rPr>
              <w:t>359</w:t>
            </w:r>
          </w:hyperlink>
        </w:p>
        <w:p>
          <w:pPr>
            <w:pStyle w:val="Contents6"/>
            <w:tabs>
              <w:tab w:val="clear" w:pos="7609"/>
              <w:tab w:val="right" w:pos="9026" w:leader="dot"/>
            </w:tabs>
            <w:rPr/>
          </w:pPr>
          <w:hyperlink w:anchor="__RefHeading___Toc4192385_2142443653">
            <w:r>
              <w:rPr>
                <w:webHidden/>
                <w:rStyle w:val="IndexLink"/>
                <w:rtl w:val="true"/>
              </w:rPr>
              <w:t>المسألة العاشرة</w:t>
            </w:r>
            <w:r>
              <w:rPr>
                <w:rStyle w:val="IndexLink"/>
                <w:rtl w:val="true"/>
              </w:rPr>
              <w:t xml:space="preserve">: </w:t>
            </w:r>
            <w:r>
              <w:rPr>
                <w:rStyle w:val="IndexLink"/>
                <w:rtl w:val="true"/>
              </w:rPr>
              <w:t>مسح بطنه في الأوليين قبلهما ليرد عليه الماء،</w:t>
            </w:r>
            <w:r>
              <w:rPr>
                <w:rStyle w:val="IndexLink"/>
                <w:rtl w:val="true"/>
              </w:rPr>
              <w:tab/>
            </w:r>
            <w:r>
              <w:rPr>
                <w:rStyle w:val="IndexLink"/>
              </w:rPr>
              <w:t>359</w:t>
            </w:r>
          </w:hyperlink>
        </w:p>
        <w:p>
          <w:pPr>
            <w:pStyle w:val="Contents6"/>
            <w:tabs>
              <w:tab w:val="clear" w:pos="7609"/>
              <w:tab w:val="right" w:pos="9026" w:leader="dot"/>
            </w:tabs>
            <w:rPr/>
          </w:pPr>
          <w:hyperlink w:anchor="__RefHeading___Toc4192387_2142443653">
            <w:r>
              <w:rPr>
                <w:webHidden/>
                <w:rStyle w:val="IndexLink"/>
                <w:rtl w:val="true"/>
              </w:rPr>
              <w:t>المسألة الحادية عشرة</w:t>
            </w:r>
            <w:r>
              <w:rPr>
                <w:rStyle w:val="IndexLink"/>
                <w:rtl w:val="true"/>
              </w:rPr>
              <w:t xml:space="preserve">: </w:t>
            </w:r>
            <w:r>
              <w:rPr>
                <w:rStyle w:val="IndexLink"/>
                <w:rtl w:val="true"/>
              </w:rPr>
              <w:t>استحباب غسله تحت سقف اتفاق علمائنا،</w:t>
            </w:r>
            <w:r>
              <w:rPr>
                <w:rStyle w:val="IndexLink"/>
                <w:rtl w:val="true"/>
              </w:rPr>
              <w:tab/>
            </w:r>
            <w:r>
              <w:rPr>
                <w:rStyle w:val="IndexLink"/>
              </w:rPr>
              <w:t>361</w:t>
            </w:r>
          </w:hyperlink>
        </w:p>
        <w:p>
          <w:pPr>
            <w:pStyle w:val="Contents6"/>
            <w:tabs>
              <w:tab w:val="clear" w:pos="7609"/>
              <w:tab w:val="right" w:pos="9026" w:leader="dot"/>
            </w:tabs>
            <w:rPr/>
          </w:pPr>
          <w:hyperlink w:anchor="__RefHeading___Toc4192389_2142443653">
            <w:r>
              <w:rPr>
                <w:webHidden/>
                <w:rStyle w:val="IndexLink"/>
                <w:rtl w:val="true"/>
              </w:rPr>
              <w:t>المسألة الثانية عشرة</w:t>
            </w:r>
            <w:r>
              <w:rPr>
                <w:rStyle w:val="IndexLink"/>
                <w:rtl w:val="true"/>
              </w:rPr>
              <w:t xml:space="preserve">: </w:t>
            </w:r>
            <w:r>
              <w:rPr>
                <w:rStyle w:val="IndexLink"/>
                <w:rtl w:val="true"/>
              </w:rPr>
              <w:t>نقل الشيخ الإجماع على أنّه لا يجوز قصّ أظفاره،</w:t>
            </w:r>
            <w:r>
              <w:rPr>
                <w:rStyle w:val="IndexLink"/>
                <w:rtl w:val="true"/>
              </w:rPr>
              <w:tab/>
            </w:r>
            <w:r>
              <w:rPr>
                <w:rStyle w:val="IndexLink"/>
              </w:rPr>
              <w:t>361</w:t>
            </w:r>
          </w:hyperlink>
        </w:p>
        <w:p>
          <w:pPr>
            <w:pStyle w:val="Contents6"/>
            <w:tabs>
              <w:tab w:val="clear" w:pos="7609"/>
              <w:tab w:val="right" w:pos="9026" w:leader="dot"/>
            </w:tabs>
            <w:rPr/>
          </w:pPr>
          <w:hyperlink w:anchor="__RefHeading___Toc4192391_2142443653">
            <w:r>
              <w:rPr>
                <w:webHidden/>
                <w:rStyle w:val="IndexLink"/>
                <w:rtl w:val="true"/>
              </w:rPr>
              <w:t>المسألة الثالثة عشرة</w:t>
            </w:r>
            <w:r>
              <w:rPr>
                <w:rStyle w:val="IndexLink"/>
                <w:rtl w:val="true"/>
              </w:rPr>
              <w:t xml:space="preserve">: </w:t>
            </w:r>
            <w:r>
              <w:rPr>
                <w:rStyle w:val="IndexLink"/>
                <w:rtl w:val="true"/>
              </w:rPr>
              <w:t>أجمعنا على كراهية إرسال الماء في الكنيف دون البالوعة،</w:t>
            </w:r>
            <w:r>
              <w:rPr>
                <w:rStyle w:val="IndexLink"/>
                <w:rtl w:val="true"/>
              </w:rPr>
              <w:tab/>
            </w:r>
            <w:r>
              <w:rPr>
                <w:rStyle w:val="IndexLink"/>
              </w:rPr>
              <w:t>363</w:t>
            </w:r>
          </w:hyperlink>
        </w:p>
        <w:p>
          <w:pPr>
            <w:pStyle w:val="Contents6"/>
            <w:tabs>
              <w:tab w:val="clear" w:pos="7609"/>
              <w:tab w:val="right" w:pos="9026" w:leader="dot"/>
            </w:tabs>
            <w:rPr/>
          </w:pPr>
          <w:hyperlink w:anchor="__RefHeading___Toc4192393_2142443653">
            <w:r>
              <w:rPr>
                <w:webHidden/>
                <w:rStyle w:val="IndexLink"/>
                <w:rtl w:val="true"/>
              </w:rPr>
              <w:t>المسألة الرابعة عشرة</w:t>
            </w:r>
            <w:r>
              <w:rPr>
                <w:rStyle w:val="IndexLink"/>
                <w:rtl w:val="true"/>
              </w:rPr>
              <w:t xml:space="preserve">: </w:t>
            </w:r>
            <w:r>
              <w:rPr>
                <w:rStyle w:val="IndexLink"/>
                <w:rtl w:val="true"/>
              </w:rPr>
              <w:t xml:space="preserve">قال الفاضل </w:t>
            </w:r>
            <w:r>
              <w:rPr>
                <w:rStyle w:val="IndexLink"/>
                <w:rtl w:val="true"/>
              </w:rPr>
              <w:t xml:space="preserve">- </w:t>
            </w:r>
            <w:r>
              <w:rPr>
                <w:rStyle w:val="IndexLink"/>
                <w:rtl w:val="true"/>
              </w:rPr>
              <w:t xml:space="preserve">رحمه اللّه </w:t>
            </w:r>
            <w:r>
              <w:rPr>
                <w:rStyle w:val="IndexLink"/>
                <w:rtl w:val="true"/>
              </w:rPr>
              <w:t xml:space="preserve">-: </w:t>
            </w:r>
            <w:r>
              <w:rPr>
                <w:rStyle w:val="IndexLink"/>
                <w:rtl w:val="true"/>
              </w:rPr>
              <w:t>يشترط كون السدر و الكافور لا يخرجان الماء إلى الإضافة،</w:t>
            </w:r>
            <w:r>
              <w:rPr>
                <w:rStyle w:val="IndexLink"/>
                <w:rtl w:val="true"/>
              </w:rPr>
              <w:tab/>
            </w:r>
            <w:r>
              <w:rPr>
                <w:rStyle w:val="IndexLink"/>
              </w:rPr>
              <w:t>363</w:t>
            </w:r>
          </w:hyperlink>
        </w:p>
        <w:p>
          <w:pPr>
            <w:pStyle w:val="Contents6"/>
            <w:tabs>
              <w:tab w:val="clear" w:pos="7609"/>
              <w:tab w:val="right" w:pos="9026" w:leader="dot"/>
            </w:tabs>
            <w:rPr/>
          </w:pPr>
          <w:hyperlink w:anchor="__RefHeading___Toc4192395_2142443653">
            <w:r>
              <w:rPr>
                <w:webHidden/>
                <w:rStyle w:val="IndexLink"/>
                <w:rtl w:val="true"/>
              </w:rPr>
              <w:t>المسألة الخامسة عشرة</w:t>
            </w:r>
            <w:r>
              <w:rPr>
                <w:rStyle w:val="IndexLink"/>
                <w:rtl w:val="true"/>
              </w:rPr>
              <w:t xml:space="preserve">: </w:t>
            </w:r>
            <w:r>
              <w:rPr>
                <w:rStyle w:val="IndexLink"/>
                <w:rtl w:val="true"/>
              </w:rPr>
              <w:t>يستحبّ تقديم غسل يديه و فرجيه مع كلّ غسلة،</w:t>
            </w:r>
            <w:r>
              <w:rPr>
                <w:rStyle w:val="IndexLink"/>
                <w:rtl w:val="true"/>
              </w:rPr>
              <w:tab/>
            </w:r>
            <w:r>
              <w:rPr>
                <w:rStyle w:val="IndexLink"/>
              </w:rPr>
              <w:t>363</w:t>
            </w:r>
          </w:hyperlink>
        </w:p>
        <w:p>
          <w:pPr>
            <w:pStyle w:val="Contents6"/>
            <w:tabs>
              <w:tab w:val="clear" w:pos="7609"/>
              <w:tab w:val="right" w:pos="9026" w:leader="dot"/>
            </w:tabs>
            <w:rPr/>
          </w:pPr>
          <w:hyperlink w:anchor="__RefHeading___Toc4192397_2142443653">
            <w:r>
              <w:rPr>
                <w:webHidden/>
                <w:rStyle w:val="IndexLink"/>
                <w:rtl w:val="true"/>
              </w:rPr>
              <w:t>المسألة السادسة عشرة</w:t>
            </w:r>
            <w:r>
              <w:rPr>
                <w:rStyle w:val="IndexLink"/>
                <w:rtl w:val="true"/>
              </w:rPr>
              <w:t xml:space="preserve">: </w:t>
            </w:r>
            <w:r>
              <w:rPr>
                <w:rStyle w:val="IndexLink"/>
                <w:rtl w:val="true"/>
              </w:rPr>
              <w:t>لا يجزئ تكرار القراح ثلاثا في الغسل</w:t>
            </w:r>
            <w:r>
              <w:rPr>
                <w:rStyle w:val="IndexLink"/>
                <w:rtl w:val="true"/>
              </w:rPr>
              <w:tab/>
            </w:r>
            <w:r>
              <w:rPr>
                <w:rStyle w:val="IndexLink"/>
              </w:rPr>
              <w:t>364</w:t>
            </w:r>
          </w:hyperlink>
        </w:p>
        <w:p>
          <w:pPr>
            <w:pStyle w:val="Contents6"/>
            <w:tabs>
              <w:tab w:val="clear" w:pos="7609"/>
              <w:tab w:val="right" w:pos="9026" w:leader="dot"/>
            </w:tabs>
            <w:rPr/>
          </w:pPr>
          <w:hyperlink w:anchor="__RefHeading___Toc4192399_2142443653">
            <w:r>
              <w:rPr>
                <w:webHidden/>
                <w:rStyle w:val="IndexLink"/>
                <w:rtl w:val="true"/>
              </w:rPr>
              <w:t>المسألة السابعة عشرة</w:t>
            </w:r>
            <w:r>
              <w:rPr>
                <w:rStyle w:val="IndexLink"/>
                <w:rtl w:val="true"/>
              </w:rPr>
              <w:t xml:space="preserve">: </w:t>
            </w:r>
            <w:r>
              <w:rPr>
                <w:rStyle w:val="IndexLink"/>
                <w:rtl w:val="true"/>
              </w:rPr>
              <w:t>الغريق يعاد غسله بعد تيقّن موته بالاستبراء،</w:t>
            </w:r>
            <w:r>
              <w:rPr>
                <w:rStyle w:val="IndexLink"/>
                <w:rtl w:val="true"/>
              </w:rPr>
              <w:tab/>
            </w:r>
            <w:r>
              <w:rPr>
                <w:rStyle w:val="IndexLink"/>
              </w:rPr>
              <w:t>364</w:t>
            </w:r>
          </w:hyperlink>
        </w:p>
        <w:p>
          <w:pPr>
            <w:pStyle w:val="Contents6"/>
            <w:tabs>
              <w:tab w:val="clear" w:pos="7609"/>
              <w:tab w:val="right" w:pos="9026" w:leader="dot"/>
            </w:tabs>
            <w:rPr/>
          </w:pPr>
          <w:hyperlink w:anchor="__RefHeading___Toc4192401_2142443653">
            <w:r>
              <w:rPr>
                <w:webHidden/>
                <w:rStyle w:val="IndexLink"/>
                <w:rtl w:val="true"/>
              </w:rPr>
              <w:t>المسألة الثامنة عشرة</w:t>
            </w:r>
            <w:r>
              <w:rPr>
                <w:rStyle w:val="IndexLink"/>
                <w:rtl w:val="true"/>
              </w:rPr>
              <w:t xml:space="preserve">: </w:t>
            </w:r>
            <w:r>
              <w:rPr>
                <w:rStyle w:val="IndexLink"/>
                <w:rtl w:val="true"/>
              </w:rPr>
              <w:t>لا تستحب الدخنة بالعود و لا بغيره في أشهر الأخبار،</w:t>
            </w:r>
            <w:r>
              <w:rPr>
                <w:rStyle w:val="IndexLink"/>
                <w:rtl w:val="true"/>
              </w:rPr>
              <w:tab/>
            </w:r>
            <w:r>
              <w:rPr>
                <w:rStyle w:val="IndexLink"/>
              </w:rPr>
              <w:t>364</w:t>
            </w:r>
          </w:hyperlink>
        </w:p>
        <w:p>
          <w:pPr>
            <w:pStyle w:val="Contents6"/>
            <w:tabs>
              <w:tab w:val="clear" w:pos="7609"/>
              <w:tab w:val="right" w:pos="9026" w:leader="dot"/>
            </w:tabs>
            <w:rPr/>
          </w:pPr>
          <w:hyperlink w:anchor="__RefHeading___Toc4192403_2142443653">
            <w:r>
              <w:rPr>
                <w:webHidden/>
                <w:rStyle w:val="IndexLink"/>
                <w:rtl w:val="true"/>
              </w:rPr>
              <w:t>الحكم الثالث</w:t>
            </w:r>
            <w:r>
              <w:rPr>
                <w:rStyle w:val="IndexLink"/>
                <w:rtl w:val="true"/>
              </w:rPr>
              <w:t xml:space="preserve">: </w:t>
            </w:r>
            <w:r>
              <w:rPr>
                <w:rStyle w:val="IndexLink"/>
                <w:rtl w:val="true"/>
              </w:rPr>
              <w:t>تكفينه</w:t>
            </w:r>
            <w:r>
              <w:rPr>
                <w:rStyle w:val="IndexLink"/>
                <w:rtl w:val="true"/>
              </w:rPr>
              <w:t>.</w:t>
              <w:tab/>
            </w:r>
            <w:r>
              <w:rPr>
                <w:rStyle w:val="IndexLink"/>
              </w:rPr>
              <w:t>366</w:t>
            </w:r>
          </w:hyperlink>
        </w:p>
        <w:p>
          <w:pPr>
            <w:pStyle w:val="Contents6"/>
            <w:tabs>
              <w:tab w:val="clear" w:pos="7609"/>
              <w:tab w:val="right" w:pos="9026" w:leader="dot"/>
            </w:tabs>
            <w:rPr/>
          </w:pPr>
          <w:hyperlink w:anchor="__RefHeading___Toc4192405_2142443653">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4192407_2142443653">
            <w:r>
              <w:rPr>
                <w:webHidden/>
                <w:rStyle w:val="IndexLink"/>
                <w:rtl w:val="true"/>
              </w:rPr>
              <w:t>مسائل</w:t>
            </w:r>
            <w:r>
              <w:rPr>
                <w:rStyle w:val="IndexLink"/>
                <w:rtl w:val="true"/>
              </w:rPr>
              <w:t>:</w:t>
              <w:tab/>
            </w:r>
            <w:r>
              <w:rPr>
                <w:rStyle w:val="IndexLink"/>
              </w:rPr>
              <w:t>367</w:t>
            </w:r>
          </w:hyperlink>
        </w:p>
        <w:p>
          <w:pPr>
            <w:pStyle w:val="Contents6"/>
            <w:tabs>
              <w:tab w:val="clear" w:pos="7609"/>
              <w:tab w:val="right" w:pos="9026" w:leader="dot"/>
            </w:tabs>
            <w:rPr/>
          </w:pPr>
          <w:hyperlink w:anchor="__RefHeading___Toc4192409_2142443653">
            <w:r>
              <w:rPr>
                <w:webHidden/>
                <w:rStyle w:val="IndexLink"/>
                <w:rtl w:val="true"/>
              </w:rPr>
              <w:t>الأولى</w:t>
            </w:r>
            <w:r>
              <w:rPr>
                <w:rStyle w:val="IndexLink"/>
                <w:rtl w:val="true"/>
              </w:rPr>
              <w:t xml:space="preserve">: </w:t>
            </w:r>
            <w:r>
              <w:rPr>
                <w:rStyle w:val="IndexLink"/>
                <w:rtl w:val="true"/>
              </w:rPr>
              <w:t>يجزي عند الضرورة ثوبان</w:t>
            </w:r>
            <w:r>
              <w:rPr>
                <w:rStyle w:val="IndexLink"/>
                <w:rtl w:val="true"/>
              </w:rPr>
              <w:t>.</w:t>
              <w:tab/>
            </w:r>
            <w:r>
              <w:rPr>
                <w:rStyle w:val="IndexLink"/>
              </w:rPr>
              <w:t>367</w:t>
            </w:r>
          </w:hyperlink>
        </w:p>
        <w:p>
          <w:pPr>
            <w:pStyle w:val="Contents6"/>
            <w:tabs>
              <w:tab w:val="clear" w:pos="7609"/>
              <w:tab w:val="right" w:pos="9026" w:leader="dot"/>
            </w:tabs>
            <w:rPr/>
          </w:pPr>
          <w:hyperlink w:anchor="__RefHeading___Toc4192411_2142443653">
            <w:r>
              <w:rPr>
                <w:webHidden/>
                <w:rStyle w:val="IndexLink"/>
                <w:rtl w:val="true"/>
              </w:rPr>
              <w:t>الثانية</w:t>
            </w:r>
            <w:r>
              <w:rPr>
                <w:rStyle w:val="IndexLink"/>
                <w:rtl w:val="true"/>
              </w:rPr>
              <w:t xml:space="preserve">: </w:t>
            </w:r>
            <w:r>
              <w:rPr>
                <w:rStyle w:val="IndexLink"/>
                <w:rtl w:val="true"/>
              </w:rPr>
              <w:t>لا يجوز التكفين في المغصوب،</w:t>
            </w:r>
            <w:r>
              <w:rPr>
                <w:rStyle w:val="IndexLink"/>
                <w:rtl w:val="true"/>
              </w:rPr>
              <w:tab/>
            </w:r>
            <w:r>
              <w:rPr>
                <w:rStyle w:val="IndexLink"/>
              </w:rPr>
              <w:t>368</w:t>
            </w:r>
          </w:hyperlink>
        </w:p>
        <w:p>
          <w:pPr>
            <w:pStyle w:val="Contents6"/>
            <w:tabs>
              <w:tab w:val="clear" w:pos="7609"/>
              <w:tab w:val="right" w:pos="9026" w:leader="dot"/>
            </w:tabs>
            <w:rPr/>
          </w:pPr>
          <w:hyperlink w:anchor="__RefHeading___Toc4192413_2142443653">
            <w:r>
              <w:rPr>
                <w:webHidden/>
                <w:rStyle w:val="IndexLink"/>
                <w:rtl w:val="true"/>
              </w:rPr>
              <w:t>الثالثة</w:t>
            </w:r>
            <w:r>
              <w:rPr>
                <w:rStyle w:val="IndexLink"/>
                <w:rtl w:val="true"/>
              </w:rPr>
              <w:t xml:space="preserve">: </w:t>
            </w:r>
            <w:r>
              <w:rPr>
                <w:rStyle w:val="IndexLink"/>
                <w:rtl w:val="true"/>
              </w:rPr>
              <w:t>يجب وضع الكافور على المساجد السبعة،</w:t>
            </w:r>
            <w:r>
              <w:rPr>
                <w:rStyle w:val="IndexLink"/>
                <w:rtl w:val="true"/>
              </w:rPr>
              <w:tab/>
            </w:r>
            <w:r>
              <w:rPr>
                <w:rStyle w:val="IndexLink"/>
              </w:rPr>
              <w:t>368</w:t>
            </w:r>
          </w:hyperlink>
        </w:p>
        <w:p>
          <w:pPr>
            <w:pStyle w:val="Contents6"/>
            <w:tabs>
              <w:tab w:val="clear" w:pos="7609"/>
              <w:tab w:val="right" w:pos="9026" w:leader="dot"/>
            </w:tabs>
            <w:rPr/>
          </w:pPr>
          <w:hyperlink w:anchor="__RefHeading___Toc4192415_2142443653">
            <w:r>
              <w:rPr>
                <w:webHidden/>
                <w:rStyle w:val="IndexLink"/>
                <w:rtl w:val="true"/>
              </w:rPr>
              <w:t>الرابعة</w:t>
            </w:r>
            <w:r>
              <w:rPr>
                <w:rStyle w:val="IndexLink"/>
                <w:rtl w:val="true"/>
              </w:rPr>
              <w:t xml:space="preserve">: </w:t>
            </w:r>
            <w:r>
              <w:rPr>
                <w:rStyle w:val="IndexLink"/>
                <w:rtl w:val="true"/>
              </w:rPr>
              <w:t>يستحبّ الذريرة على الأكفان</w:t>
            </w:r>
            <w:r>
              <w:rPr>
                <w:rStyle w:val="IndexLink"/>
                <w:rtl w:val="true"/>
              </w:rPr>
              <w:t>.</w:t>
              <w:tab/>
            </w:r>
            <w:r>
              <w:rPr>
                <w:rStyle w:val="IndexLink"/>
              </w:rPr>
              <w:t>372</w:t>
            </w:r>
          </w:hyperlink>
        </w:p>
        <w:p>
          <w:pPr>
            <w:pStyle w:val="Contents6"/>
            <w:tabs>
              <w:tab w:val="clear" w:pos="7609"/>
              <w:tab w:val="right" w:pos="9026" w:leader="dot"/>
            </w:tabs>
            <w:rPr/>
          </w:pPr>
          <w:hyperlink w:anchor="__RefHeading___Toc4192417_2142443653">
            <w:r>
              <w:rPr>
                <w:webHidden/>
                <w:rStyle w:val="IndexLink"/>
                <w:rtl w:val="true"/>
              </w:rPr>
              <w:t>الخامسة</w:t>
            </w:r>
            <w:r>
              <w:rPr>
                <w:rStyle w:val="IndexLink"/>
                <w:rtl w:val="true"/>
              </w:rPr>
              <w:t xml:space="preserve">: </w:t>
            </w:r>
            <w:r>
              <w:rPr>
                <w:rStyle w:val="IndexLink"/>
                <w:rtl w:val="true"/>
              </w:rPr>
              <w:t>يستحبّ عندنا أن يزاد الرجل و المرأة حبرة</w:t>
            </w:r>
            <w:r>
              <w:rPr>
                <w:rStyle w:val="IndexLink"/>
                <w:rtl w:val="true"/>
              </w:rPr>
              <w:tab/>
            </w:r>
            <w:r>
              <w:rPr>
                <w:rStyle w:val="IndexLink"/>
              </w:rPr>
              <w:t>373</w:t>
            </w:r>
          </w:hyperlink>
        </w:p>
        <w:p>
          <w:pPr>
            <w:pStyle w:val="Contents6"/>
            <w:tabs>
              <w:tab w:val="clear" w:pos="7609"/>
              <w:tab w:val="right" w:pos="9026" w:leader="dot"/>
            </w:tabs>
            <w:rPr/>
          </w:pPr>
          <w:hyperlink w:anchor="__RefHeading___Toc4192419_2142443653">
            <w:r>
              <w:rPr>
                <w:webHidden/>
                <w:rStyle w:val="IndexLink"/>
                <w:rtl w:val="true"/>
              </w:rPr>
              <w:t>السادسة</w:t>
            </w:r>
            <w:r>
              <w:rPr>
                <w:rStyle w:val="IndexLink"/>
                <w:rtl w:val="true"/>
              </w:rPr>
              <w:t xml:space="preserve">: </w:t>
            </w:r>
            <w:r>
              <w:rPr>
                <w:rStyle w:val="IndexLink"/>
                <w:rtl w:val="true"/>
              </w:rPr>
              <w:t>يزادان أيضا خرقة لشدّ الفخذين،</w:t>
            </w:r>
            <w:r>
              <w:rPr>
                <w:rStyle w:val="IndexLink"/>
                <w:rtl w:val="true"/>
              </w:rPr>
              <w:tab/>
            </w:r>
            <w:r>
              <w:rPr>
                <w:rStyle w:val="IndexLink"/>
              </w:rPr>
              <w:t>374</w:t>
            </w:r>
          </w:hyperlink>
        </w:p>
        <w:p>
          <w:pPr>
            <w:pStyle w:val="Contents6"/>
            <w:tabs>
              <w:tab w:val="clear" w:pos="7609"/>
              <w:tab w:val="right" w:pos="9026" w:leader="dot"/>
            </w:tabs>
            <w:rPr/>
          </w:pPr>
          <w:hyperlink w:anchor="__RefHeading___Toc4192421_2142443653">
            <w:r>
              <w:rPr>
                <w:webHidden/>
                <w:rStyle w:val="IndexLink"/>
                <w:rtl w:val="true"/>
              </w:rPr>
              <w:t>السابعة</w:t>
            </w:r>
            <w:r>
              <w:rPr>
                <w:rStyle w:val="IndexLink"/>
                <w:rtl w:val="true"/>
              </w:rPr>
              <w:t xml:space="preserve">: </w:t>
            </w:r>
            <w:r>
              <w:rPr>
                <w:rStyle w:val="IndexLink"/>
                <w:rtl w:val="true"/>
              </w:rPr>
              <w:t>قال كثير من الأصحاب</w:t>
            </w:r>
            <w:r>
              <w:rPr>
                <w:rStyle w:val="IndexLink"/>
                <w:rtl w:val="true"/>
              </w:rPr>
              <w:t xml:space="preserve">: </w:t>
            </w:r>
            <w:r>
              <w:rPr>
                <w:rStyle w:val="IndexLink"/>
                <w:rtl w:val="true"/>
              </w:rPr>
              <w:t>تزاد المرأة نمطا ،</w:t>
            </w:r>
            <w:r>
              <w:rPr>
                <w:rStyle w:val="IndexLink"/>
                <w:rtl w:val="true"/>
              </w:rPr>
              <w:tab/>
            </w:r>
            <w:r>
              <w:rPr>
                <w:rStyle w:val="IndexLink"/>
              </w:rPr>
              <w:t>377</w:t>
            </w:r>
          </w:hyperlink>
        </w:p>
        <w:p>
          <w:pPr>
            <w:pStyle w:val="Contents6"/>
            <w:tabs>
              <w:tab w:val="clear" w:pos="7609"/>
              <w:tab w:val="right" w:pos="9026" w:leader="dot"/>
            </w:tabs>
            <w:rPr/>
          </w:pPr>
          <w:hyperlink w:anchor="__RefHeading___Toc4192423_2142443653">
            <w:r>
              <w:rPr>
                <w:webHidden/>
                <w:rStyle w:val="IndexLink"/>
                <w:rtl w:val="true"/>
              </w:rPr>
              <w:t>الثامنة</w:t>
            </w:r>
            <w:r>
              <w:rPr>
                <w:rStyle w:val="IndexLink"/>
                <w:rtl w:val="true"/>
              </w:rPr>
              <w:t xml:space="preserve">: </w:t>
            </w:r>
            <w:r>
              <w:rPr>
                <w:rStyle w:val="IndexLink"/>
                <w:rtl w:val="true"/>
              </w:rPr>
              <w:t>يستحب التكفين في القطن الأبيض</w:t>
            </w:r>
            <w:r>
              <w:rPr>
                <w:rStyle w:val="IndexLink"/>
                <w:rtl w:val="true"/>
              </w:rPr>
              <w:tab/>
            </w:r>
            <w:r>
              <w:rPr>
                <w:rStyle w:val="IndexLink"/>
              </w:rPr>
              <w:t>379</w:t>
            </w:r>
          </w:hyperlink>
        </w:p>
        <w:p>
          <w:pPr>
            <w:pStyle w:val="Contents6"/>
            <w:tabs>
              <w:tab w:val="clear" w:pos="7609"/>
              <w:tab w:val="right" w:pos="9026" w:leader="dot"/>
            </w:tabs>
            <w:rPr/>
          </w:pPr>
          <w:hyperlink w:anchor="__RefHeading___Toc4192425_2142443653">
            <w:r>
              <w:rPr>
                <w:webHidden/>
                <w:rStyle w:val="IndexLink"/>
                <w:rtl w:val="true"/>
              </w:rPr>
              <w:t>التاسعة</w:t>
            </w:r>
            <w:r>
              <w:rPr>
                <w:rStyle w:val="IndexLink"/>
                <w:rtl w:val="true"/>
              </w:rPr>
              <w:t xml:space="preserve">: </w:t>
            </w:r>
            <w:r>
              <w:rPr>
                <w:rStyle w:val="IndexLink"/>
                <w:rtl w:val="true"/>
              </w:rPr>
              <w:t>يكره في السواد ، و كلّ صبغ على الأصحّ،</w:t>
            </w:r>
            <w:r>
              <w:rPr>
                <w:rStyle w:val="IndexLink"/>
                <w:rtl w:val="true"/>
              </w:rPr>
              <w:tab/>
            </w:r>
            <w:r>
              <w:rPr>
                <w:rStyle w:val="IndexLink"/>
              </w:rPr>
              <w:t>380</w:t>
            </w:r>
          </w:hyperlink>
        </w:p>
        <w:p>
          <w:pPr>
            <w:pStyle w:val="Contents6"/>
            <w:tabs>
              <w:tab w:val="clear" w:pos="7609"/>
              <w:tab w:val="right" w:pos="9026" w:leader="dot"/>
            </w:tabs>
            <w:rPr/>
          </w:pPr>
          <w:hyperlink w:anchor="__RefHeading___Toc4192427_2142443653">
            <w:r>
              <w:rPr>
                <w:webHidden/>
                <w:rStyle w:val="IndexLink"/>
                <w:rtl w:val="true"/>
              </w:rPr>
              <w:t>العاشرة</w:t>
            </w:r>
            <w:r>
              <w:rPr>
                <w:rStyle w:val="IndexLink"/>
                <w:rtl w:val="true"/>
              </w:rPr>
              <w:t xml:space="preserve">: </w:t>
            </w:r>
            <w:r>
              <w:rPr>
                <w:rStyle w:val="IndexLink"/>
                <w:rtl w:val="true"/>
              </w:rPr>
              <w:t>يستحبّ الجريدتان،</w:t>
            </w:r>
            <w:r>
              <w:rPr>
                <w:rStyle w:val="IndexLink"/>
                <w:rtl w:val="true"/>
              </w:rPr>
              <w:tab/>
            </w:r>
            <w:r>
              <w:rPr>
                <w:rStyle w:val="IndexLink"/>
              </w:rPr>
              <w:t>381</w:t>
            </w:r>
          </w:hyperlink>
        </w:p>
        <w:p>
          <w:pPr>
            <w:pStyle w:val="Contents6"/>
            <w:tabs>
              <w:tab w:val="clear" w:pos="7609"/>
              <w:tab w:val="right" w:pos="9026" w:leader="dot"/>
            </w:tabs>
            <w:rPr/>
          </w:pPr>
          <w:hyperlink w:anchor="__RefHeading___Toc4192429_2142443653">
            <w:r>
              <w:rPr>
                <w:webHidden/>
                <w:rStyle w:val="IndexLink"/>
                <w:rtl w:val="true"/>
              </w:rPr>
              <w:t>الحادية عشرة</w:t>
            </w:r>
            <w:r>
              <w:rPr>
                <w:rStyle w:val="IndexLink"/>
                <w:rtl w:val="true"/>
              </w:rPr>
              <w:t xml:space="preserve">: </w:t>
            </w:r>
            <w:r>
              <w:rPr>
                <w:rStyle w:val="IndexLink"/>
                <w:rtl w:val="true"/>
              </w:rPr>
              <w:t>يستحب ان يكتب على الحبرة و اللفافة و القميص و العمامة و الجريدتين</w:t>
            </w:r>
            <w:r>
              <w:rPr>
                <w:rStyle w:val="IndexLink"/>
                <w:rtl w:val="true"/>
              </w:rPr>
              <w:t>:</w:t>
              <w:tab/>
            </w:r>
            <w:r>
              <w:rPr>
                <w:rStyle w:val="IndexLink"/>
              </w:rPr>
              <w:t>385</w:t>
            </w:r>
          </w:hyperlink>
        </w:p>
        <w:p>
          <w:pPr>
            <w:pStyle w:val="Contents6"/>
            <w:tabs>
              <w:tab w:val="clear" w:pos="7609"/>
              <w:tab w:val="right" w:pos="9026" w:leader="dot"/>
            </w:tabs>
            <w:rPr/>
          </w:pPr>
          <w:hyperlink w:anchor="__RefHeading___Toc4192431_2142443653">
            <w:r>
              <w:rPr>
                <w:webHidden/>
                <w:rStyle w:val="IndexLink"/>
                <w:rtl w:val="true"/>
              </w:rPr>
              <w:t>الثانية عشرة</w:t>
            </w:r>
            <w:r>
              <w:rPr>
                <w:rStyle w:val="IndexLink"/>
                <w:rtl w:val="true"/>
              </w:rPr>
              <w:t xml:space="preserve">: </w:t>
            </w:r>
            <w:r>
              <w:rPr>
                <w:rStyle w:val="IndexLink"/>
                <w:rtl w:val="true"/>
              </w:rPr>
              <w:t>يستحبّ أن يخاط الكفن بخيوطه،</w:t>
            </w:r>
            <w:r>
              <w:rPr>
                <w:rStyle w:val="IndexLink"/>
                <w:rtl w:val="true"/>
              </w:rPr>
              <w:tab/>
            </w:r>
            <w:r>
              <w:rPr>
                <w:rStyle w:val="IndexLink"/>
              </w:rPr>
              <w:t>385</w:t>
            </w:r>
          </w:hyperlink>
        </w:p>
        <w:p>
          <w:pPr>
            <w:pStyle w:val="Contents6"/>
            <w:tabs>
              <w:tab w:val="clear" w:pos="7609"/>
              <w:tab w:val="right" w:pos="9026" w:leader="dot"/>
            </w:tabs>
            <w:rPr/>
          </w:pPr>
          <w:hyperlink w:anchor="__RefHeading___Toc4192433_2142443653">
            <w:r>
              <w:rPr>
                <w:webHidden/>
                <w:rStyle w:val="IndexLink"/>
                <w:rtl w:val="true"/>
              </w:rPr>
              <w:t>خاتمة</w:t>
            </w:r>
            <w:r>
              <w:rPr>
                <w:rStyle w:val="IndexLink"/>
                <w:rtl w:val="true"/>
              </w:rPr>
              <w:t xml:space="preserve">: </w:t>
            </w:r>
            <w:r>
              <w:rPr>
                <w:rStyle w:val="IndexLink"/>
                <w:rtl w:val="true"/>
              </w:rPr>
              <w:t>في كيفية التكفين</w:t>
            </w:r>
            <w:r>
              <w:rPr>
                <w:rStyle w:val="IndexLink"/>
                <w:rtl w:val="true"/>
              </w:rPr>
              <w:t>.</w:t>
              <w:tab/>
            </w:r>
            <w:r>
              <w:rPr>
                <w:rStyle w:val="IndexLink"/>
              </w:rPr>
              <w:t>387</w:t>
            </w:r>
          </w:hyperlink>
        </w:p>
        <w:p>
          <w:pPr>
            <w:pStyle w:val="Contents6"/>
            <w:tabs>
              <w:tab w:val="clear" w:pos="7609"/>
              <w:tab w:val="right" w:pos="9026" w:leader="dot"/>
            </w:tabs>
            <w:rPr/>
          </w:pPr>
          <w:hyperlink w:anchor="__RefHeading___Toc4192435_2142443653">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4192437_2142443653">
            <w:r>
              <w:rPr>
                <w:webHidden/>
                <w:rStyle w:val="IndexLink"/>
                <w:rtl w:val="true"/>
              </w:rPr>
              <w:t>الأول قد مرّ أنّ العمامة و الخرقة ليسا من الكفن الواجب،</w:t>
            </w:r>
            <w:r>
              <w:rPr>
                <w:rStyle w:val="IndexLink"/>
                <w:rtl w:val="true"/>
              </w:rPr>
              <w:tab/>
            </w:r>
            <w:r>
              <w:rPr>
                <w:rStyle w:val="IndexLink"/>
              </w:rPr>
              <w:t>389</w:t>
            </w:r>
          </w:hyperlink>
        </w:p>
        <w:p>
          <w:pPr>
            <w:pStyle w:val="Contents6"/>
            <w:tabs>
              <w:tab w:val="clear" w:pos="7609"/>
              <w:tab w:val="right" w:pos="9026" w:leader="dot"/>
            </w:tabs>
            <w:rPr/>
          </w:pPr>
          <w:hyperlink w:anchor="__RefHeading___Toc4192439_2142443653">
            <w:r>
              <w:rPr>
                <w:webHidden/>
                <w:rStyle w:val="IndexLink"/>
                <w:rtl w:val="true"/>
              </w:rPr>
              <w:t>الثانية</w:t>
            </w:r>
            <w:r>
              <w:rPr>
                <w:rStyle w:val="IndexLink"/>
                <w:rtl w:val="true"/>
              </w:rPr>
              <w:t xml:space="preserve">: </w:t>
            </w:r>
            <w:r>
              <w:rPr>
                <w:rStyle w:val="IndexLink"/>
                <w:rtl w:val="true"/>
              </w:rPr>
              <w:t>لو خرج من الميت نجاسة غسلت عن بدنه مطلقا،</w:t>
            </w:r>
            <w:r>
              <w:rPr>
                <w:rStyle w:val="IndexLink"/>
                <w:rtl w:val="true"/>
              </w:rPr>
              <w:tab/>
            </w:r>
            <w:r>
              <w:rPr>
                <w:rStyle w:val="IndexLink"/>
              </w:rPr>
              <w:t>389</w:t>
            </w:r>
          </w:hyperlink>
        </w:p>
        <w:p>
          <w:pPr>
            <w:pStyle w:val="Contents6"/>
            <w:tabs>
              <w:tab w:val="clear" w:pos="7609"/>
              <w:tab w:val="right" w:pos="9026" w:leader="dot"/>
            </w:tabs>
            <w:rPr/>
          </w:pPr>
          <w:hyperlink w:anchor="__RefHeading___Toc4192441_2142443653">
            <w:r>
              <w:rPr>
                <w:webHidden/>
                <w:rStyle w:val="IndexLink"/>
                <w:rtl w:val="true"/>
              </w:rPr>
              <w:t>الثالثة</w:t>
            </w:r>
            <w:r>
              <w:rPr>
                <w:rStyle w:val="IndexLink"/>
                <w:rtl w:val="true"/>
              </w:rPr>
              <w:t xml:space="preserve">: </w:t>
            </w:r>
            <w:r>
              <w:rPr>
                <w:rStyle w:val="IndexLink"/>
                <w:rtl w:val="true"/>
              </w:rPr>
              <w:t>لو تعذّر شيء من الواجبات في الغسل و الكفن</w:t>
            </w:r>
            <w:r>
              <w:rPr>
                <w:rStyle w:val="IndexLink"/>
                <w:rtl w:val="true"/>
              </w:rPr>
              <w:tab/>
            </w:r>
            <w:r>
              <w:rPr>
                <w:rStyle w:val="IndexLink"/>
              </w:rPr>
              <w:t>390</w:t>
            </w:r>
          </w:hyperlink>
        </w:p>
        <w:p>
          <w:pPr>
            <w:pStyle w:val="Contents6"/>
            <w:tabs>
              <w:tab w:val="clear" w:pos="7609"/>
              <w:tab w:val="right" w:pos="9026" w:leader="dot"/>
            </w:tabs>
            <w:rPr/>
          </w:pPr>
          <w:hyperlink w:anchor="__RefHeading___Toc4192443_2142443653">
            <w:r>
              <w:rPr>
                <w:webHidden/>
                <w:rStyle w:val="IndexLink"/>
                <w:rtl w:val="true"/>
              </w:rPr>
              <w:t>الرابعة</w:t>
            </w:r>
            <w:r>
              <w:rPr>
                <w:rStyle w:val="IndexLink"/>
                <w:rtl w:val="true"/>
              </w:rPr>
              <w:t xml:space="preserve">: </w:t>
            </w:r>
            <w:r>
              <w:rPr>
                <w:rStyle w:val="IndexLink"/>
                <w:rtl w:val="true"/>
              </w:rPr>
              <w:t>في خبر أمّ أنس عن النبي صلّى اللّه عليه و آله في وصف غسل المرأة</w:t>
            </w:r>
            <w:r>
              <w:rPr>
                <w:rStyle w:val="IndexLink"/>
                <w:rtl w:val="true"/>
              </w:rPr>
              <w:t>:</w:t>
              <w:tab/>
            </w:r>
            <w:r>
              <w:rPr>
                <w:rStyle w:val="IndexLink"/>
              </w:rPr>
              <w:t>390</w:t>
            </w:r>
          </w:hyperlink>
        </w:p>
        <w:p>
          <w:pPr>
            <w:pStyle w:val="Contents6"/>
            <w:tabs>
              <w:tab w:val="clear" w:pos="7609"/>
              <w:tab w:val="right" w:pos="9026" w:leader="dot"/>
            </w:tabs>
            <w:rPr/>
          </w:pPr>
          <w:hyperlink w:anchor="__RefHeading___Toc4192445_2142443653">
            <w:r>
              <w:rPr>
                <w:webHidden/>
                <w:rStyle w:val="IndexLink"/>
                <w:rtl w:val="true"/>
              </w:rPr>
              <w:t>الخامسة</w:t>
            </w:r>
            <w:r>
              <w:rPr>
                <w:rStyle w:val="IndexLink"/>
                <w:rtl w:val="true"/>
              </w:rPr>
              <w:t xml:space="preserve">: </w:t>
            </w:r>
            <w:r>
              <w:rPr>
                <w:rStyle w:val="IndexLink"/>
                <w:rtl w:val="true"/>
              </w:rPr>
              <w:t>لو كفّنه في قميصه نزع أزراره دون أكمامه،</w:t>
            </w:r>
            <w:r>
              <w:rPr>
                <w:rStyle w:val="IndexLink"/>
                <w:rtl w:val="true"/>
              </w:rPr>
              <w:tab/>
            </w:r>
            <w:r>
              <w:rPr>
                <w:rStyle w:val="IndexLink"/>
              </w:rPr>
              <w:t>391</w:t>
            </w:r>
          </w:hyperlink>
        </w:p>
        <w:p>
          <w:pPr>
            <w:pStyle w:val="Contents6"/>
            <w:tabs>
              <w:tab w:val="clear" w:pos="7609"/>
              <w:tab w:val="right" w:pos="9026" w:leader="dot"/>
            </w:tabs>
            <w:rPr/>
          </w:pPr>
          <w:hyperlink w:anchor="__RefHeading___Toc4192447_2142443653">
            <w:r>
              <w:rPr>
                <w:webHidden/>
                <w:rStyle w:val="IndexLink"/>
                <w:rtl w:val="true"/>
              </w:rPr>
              <w:t>السادسة</w:t>
            </w:r>
            <w:r>
              <w:rPr>
                <w:rStyle w:val="IndexLink"/>
                <w:rtl w:val="true"/>
              </w:rPr>
              <w:t xml:space="preserve">: </w:t>
            </w:r>
            <w:r>
              <w:rPr>
                <w:rStyle w:val="IndexLink"/>
                <w:rtl w:val="true"/>
              </w:rPr>
              <w:t>لا بأس بمسّ الميت عند موته،</w:t>
            </w:r>
            <w:r>
              <w:rPr>
                <w:rStyle w:val="IndexLink"/>
                <w:rtl w:val="true"/>
              </w:rPr>
              <w:tab/>
            </w:r>
            <w:r>
              <w:rPr>
                <w:rStyle w:val="IndexLink"/>
              </w:rPr>
              <w:t>391</w:t>
            </w:r>
          </w:hyperlink>
        </w:p>
        <w:p>
          <w:pPr>
            <w:pStyle w:val="Contents6"/>
            <w:tabs>
              <w:tab w:val="clear" w:pos="7609"/>
              <w:tab w:val="right" w:pos="9026" w:leader="dot"/>
            </w:tabs>
            <w:rPr/>
          </w:pPr>
          <w:hyperlink w:anchor="__RefHeading___Toc4192449_2142443653">
            <w:r>
              <w:rPr>
                <w:webHidden/>
                <w:rStyle w:val="IndexLink"/>
                <w:rtl w:val="true"/>
              </w:rPr>
              <w:t>السابعة</w:t>
            </w:r>
            <w:r>
              <w:rPr>
                <w:rStyle w:val="IndexLink"/>
                <w:rtl w:val="true"/>
              </w:rPr>
              <w:t xml:space="preserve">: </w:t>
            </w:r>
            <w:r>
              <w:rPr>
                <w:rStyle w:val="IndexLink"/>
                <w:rtl w:val="true"/>
              </w:rPr>
              <w:t>لا فرق بين حنوط الرجل و المرأة،</w:t>
            </w:r>
            <w:r>
              <w:rPr>
                <w:rStyle w:val="IndexLink"/>
                <w:rtl w:val="true"/>
              </w:rPr>
              <w:tab/>
            </w:r>
            <w:r>
              <w:rPr>
                <w:rStyle w:val="IndexLink"/>
              </w:rPr>
              <w:t>392</w:t>
            </w:r>
          </w:hyperlink>
        </w:p>
        <w:p>
          <w:pPr>
            <w:pStyle w:val="Contents6"/>
            <w:tabs>
              <w:tab w:val="clear" w:pos="7609"/>
              <w:tab w:val="right" w:pos="9026" w:leader="dot"/>
            </w:tabs>
            <w:rPr/>
          </w:pPr>
          <w:hyperlink w:anchor="__RefHeading___Toc4192451_2142443653">
            <w:r>
              <w:rPr>
                <w:webHidden/>
                <w:rStyle w:val="IndexLink"/>
                <w:rtl w:val="true"/>
              </w:rPr>
              <w:t>الثامنة</w:t>
            </w:r>
            <w:r>
              <w:rPr>
                <w:rStyle w:val="IndexLink"/>
                <w:rtl w:val="true"/>
              </w:rPr>
              <w:t xml:space="preserve">: </w:t>
            </w:r>
            <w:r>
              <w:rPr>
                <w:rStyle w:val="IndexLink"/>
                <w:rtl w:val="true"/>
              </w:rPr>
              <w:t>الكفن من أصل المال</w:t>
            </w:r>
            <w:r>
              <w:rPr>
                <w:rStyle w:val="IndexLink"/>
                <w:rtl w:val="true"/>
              </w:rPr>
              <w:tab/>
            </w:r>
            <w:r>
              <w:rPr>
                <w:rStyle w:val="IndexLink"/>
              </w:rPr>
              <w:t>392</w:t>
            </w:r>
          </w:hyperlink>
        </w:p>
        <w:p>
          <w:pPr>
            <w:pStyle w:val="Contents6"/>
            <w:tabs>
              <w:tab w:val="clear" w:pos="7609"/>
              <w:tab w:val="right" w:pos="9026" w:leader="dot"/>
            </w:tabs>
            <w:rPr/>
          </w:pPr>
          <w:hyperlink w:anchor="__RefHeading___Toc4192453_2142443653">
            <w:r>
              <w:rPr>
                <w:webHidden/>
                <w:rStyle w:val="IndexLink"/>
                <w:rtl w:val="true"/>
              </w:rPr>
              <w:t>التاسعة</w:t>
            </w:r>
            <w:r>
              <w:rPr>
                <w:rStyle w:val="IndexLink"/>
                <w:rtl w:val="true"/>
              </w:rPr>
              <w:t xml:space="preserve">: </w:t>
            </w:r>
            <w:r>
              <w:rPr>
                <w:rStyle w:val="IndexLink"/>
                <w:rtl w:val="true"/>
              </w:rPr>
              <w:t>لو تشاحّ الورثة في الكفن اقتصر على الواجب</w:t>
            </w:r>
            <w:r>
              <w:rPr>
                <w:rStyle w:val="IndexLink"/>
                <w:rtl w:val="true"/>
              </w:rPr>
              <w:t>.</w:t>
              <w:tab/>
            </w:r>
            <w:r>
              <w:rPr>
                <w:rStyle w:val="IndexLink"/>
              </w:rPr>
              <w:t>393</w:t>
            </w:r>
          </w:hyperlink>
        </w:p>
        <w:p>
          <w:pPr>
            <w:pStyle w:val="Contents6"/>
            <w:tabs>
              <w:tab w:val="clear" w:pos="7609"/>
              <w:tab w:val="right" w:pos="9026" w:leader="dot"/>
            </w:tabs>
            <w:rPr/>
          </w:pPr>
          <w:hyperlink w:anchor="__RefHeading___Toc4192455_2142443653">
            <w:r>
              <w:rPr>
                <w:webHidden/>
                <w:rStyle w:val="IndexLink"/>
                <w:rtl w:val="true"/>
              </w:rPr>
              <w:t>العاشرة</w:t>
            </w:r>
            <w:r>
              <w:rPr>
                <w:rStyle w:val="IndexLink"/>
                <w:rtl w:val="true"/>
              </w:rPr>
              <w:t xml:space="preserve">: </w:t>
            </w:r>
            <w:r>
              <w:rPr>
                <w:rStyle w:val="IndexLink"/>
                <w:rtl w:val="true"/>
              </w:rPr>
              <w:t>كفن الزوجة على زوجها و إن كانت ذات يسار،</w:t>
            </w:r>
            <w:r>
              <w:rPr>
                <w:rStyle w:val="IndexLink"/>
                <w:rtl w:val="true"/>
              </w:rPr>
              <w:tab/>
            </w:r>
            <w:r>
              <w:rPr>
                <w:rStyle w:val="IndexLink"/>
              </w:rPr>
              <w:t>394</w:t>
            </w:r>
          </w:hyperlink>
        </w:p>
        <w:p>
          <w:pPr>
            <w:pStyle w:val="Contents6"/>
            <w:tabs>
              <w:tab w:val="clear" w:pos="7609"/>
              <w:tab w:val="right" w:pos="9026" w:leader="dot"/>
            </w:tabs>
            <w:rPr/>
          </w:pPr>
          <w:hyperlink w:anchor="__RefHeading___Toc4192457_2142443653">
            <w:r>
              <w:rPr>
                <w:webHidden/>
                <w:rStyle w:val="IndexLink"/>
                <w:rtl w:val="true"/>
              </w:rPr>
              <w:t>الحادية عشرة</w:t>
            </w:r>
            <w:r>
              <w:rPr>
                <w:rStyle w:val="IndexLink"/>
                <w:rtl w:val="true"/>
              </w:rPr>
              <w:t xml:space="preserve">: </w:t>
            </w:r>
            <w:r>
              <w:rPr>
                <w:rStyle w:val="IndexLink"/>
                <w:rtl w:val="true"/>
              </w:rPr>
              <w:t>لو وجد الكفن و يئس من الميت عاد ميراثا،</w:t>
            </w:r>
            <w:r>
              <w:rPr>
                <w:rStyle w:val="IndexLink"/>
                <w:rtl w:val="true"/>
              </w:rPr>
              <w:tab/>
            </w:r>
            <w:r>
              <w:rPr>
                <w:rStyle w:val="IndexLink"/>
              </w:rPr>
              <w:t>395</w:t>
            </w:r>
          </w:hyperlink>
        </w:p>
        <w:p>
          <w:pPr>
            <w:pStyle w:val="Contents6"/>
            <w:tabs>
              <w:tab w:val="clear" w:pos="7609"/>
              <w:tab w:val="right" w:pos="9026" w:leader="dot"/>
            </w:tabs>
            <w:rPr/>
          </w:pPr>
          <w:hyperlink w:anchor="__RefHeading___Toc4192459_2142443653">
            <w:r>
              <w:rPr>
                <w:webHidden/>
                <w:rStyle w:val="IndexLink"/>
                <w:rtl w:val="true"/>
              </w:rPr>
              <w:t>الثانية عشرة</w:t>
            </w:r>
            <w:r>
              <w:rPr>
                <w:rStyle w:val="IndexLink"/>
                <w:rtl w:val="true"/>
              </w:rPr>
              <w:t xml:space="preserve">: </w:t>
            </w:r>
            <w:r>
              <w:rPr>
                <w:rStyle w:val="IndexLink"/>
                <w:rtl w:val="true"/>
              </w:rPr>
              <w:t xml:space="preserve">روى السكوني عن الصادق </w:t>
            </w:r>
            <w:r>
              <w:rPr>
                <w:rStyle w:val="IndexLink"/>
                <w:rtl w:val="true"/>
              </w:rPr>
              <w:t>(</w:t>
            </w:r>
            <w:r>
              <w:rPr>
                <w:rStyle w:val="IndexLink"/>
                <w:rtl w:val="true"/>
              </w:rPr>
              <w:t>ع</w:t>
            </w:r>
            <w:r>
              <w:rPr>
                <w:rStyle w:val="IndexLink"/>
                <w:rtl w:val="true"/>
              </w:rPr>
              <w:t>)</w:t>
            </w:r>
            <w:r>
              <w:rPr>
                <w:rStyle w:val="IndexLink"/>
                <w:rtl w:val="true"/>
              </w:rPr>
              <w:t>، قال</w:t>
            </w:r>
            <w:r>
              <w:rPr>
                <w:rStyle w:val="IndexLink"/>
                <w:rtl w:val="true"/>
              </w:rPr>
              <w:t>: «</w:t>
            </w:r>
            <w:r>
              <w:rPr>
                <w:rStyle w:val="IndexLink"/>
                <w:rtl w:val="true"/>
              </w:rPr>
              <w:t xml:space="preserve">قال رسول اللّه </w:t>
            </w:r>
            <w:r>
              <w:rPr>
                <w:rStyle w:val="IndexLink"/>
                <w:rtl w:val="true"/>
              </w:rPr>
              <w:t>(</w:t>
            </w:r>
            <w:r>
              <w:rPr>
                <w:rStyle w:val="IndexLink"/>
                <w:rtl w:val="true"/>
              </w:rPr>
              <w:t>ص</w:t>
            </w:r>
            <w:r>
              <w:rPr>
                <w:rStyle w:val="IndexLink"/>
                <w:rtl w:val="true"/>
              </w:rPr>
              <w:t xml:space="preserve">): </w:t>
            </w:r>
            <w:r>
              <w:rPr>
                <w:rStyle w:val="IndexLink"/>
                <w:rtl w:val="true"/>
              </w:rPr>
              <w:t>نعم الكفن الحلّة</w:t>
            </w:r>
            <w:r>
              <w:rPr>
                <w:rStyle w:val="IndexLink"/>
                <w:rtl w:val="true"/>
              </w:rPr>
              <w:t xml:space="preserve">» </w:t>
            </w:r>
            <w:r>
              <w:rPr>
                <w:rStyle w:val="IndexLink"/>
                <w:rtl w:val="true"/>
              </w:rPr>
              <w:t>،</w:t>
            </w:r>
            <w:r>
              <w:rPr>
                <w:rStyle w:val="IndexLink"/>
                <w:rtl w:val="true"/>
              </w:rPr>
              <w:tab/>
            </w:r>
            <w:r>
              <w:rPr>
                <w:rStyle w:val="IndexLink"/>
              </w:rPr>
              <w:t>396</w:t>
            </w:r>
          </w:hyperlink>
        </w:p>
        <w:p>
          <w:pPr>
            <w:pStyle w:val="Contents6"/>
            <w:tabs>
              <w:tab w:val="clear" w:pos="7609"/>
              <w:tab w:val="right" w:pos="9026" w:leader="dot"/>
            </w:tabs>
            <w:rPr/>
          </w:pPr>
          <w:hyperlink w:anchor="__RefHeading___Toc4192461_2142443653">
            <w:r>
              <w:rPr>
                <w:webHidden/>
                <w:rStyle w:val="IndexLink"/>
                <w:rtl w:val="true"/>
              </w:rPr>
              <w:t>الثالثة عشرة</w:t>
            </w:r>
            <w:r>
              <w:rPr>
                <w:rStyle w:val="IndexLink"/>
                <w:rtl w:val="true"/>
              </w:rPr>
              <w:t xml:space="preserve">: </w:t>
            </w:r>
            <w:r>
              <w:rPr>
                <w:rStyle w:val="IndexLink"/>
                <w:rtl w:val="true"/>
              </w:rPr>
              <w:t>يستحبّ إعداد الكفن في حال الحياة،</w:t>
            </w:r>
            <w:r>
              <w:rPr>
                <w:rStyle w:val="IndexLink"/>
                <w:rtl w:val="true"/>
              </w:rPr>
              <w:tab/>
            </w:r>
            <w:r>
              <w:rPr>
                <w:rStyle w:val="IndexLink"/>
              </w:rPr>
              <w:t>396</w:t>
            </w:r>
          </w:hyperlink>
        </w:p>
        <w:p>
          <w:pPr>
            <w:pStyle w:val="Contents6"/>
            <w:tabs>
              <w:tab w:val="clear" w:pos="7609"/>
              <w:tab w:val="right" w:pos="9026" w:leader="dot"/>
            </w:tabs>
            <w:rPr/>
          </w:pPr>
          <w:hyperlink w:anchor="__RefHeading___Toc4192463_2142443653">
            <w:r>
              <w:rPr>
                <w:webHidden/>
                <w:rStyle w:val="IndexLink"/>
                <w:rtl w:val="true"/>
              </w:rPr>
              <w:t>الحكم الرابع</w:t>
            </w:r>
            <w:r>
              <w:rPr>
                <w:rStyle w:val="IndexLink"/>
                <w:rtl w:val="true"/>
              </w:rPr>
              <w:t xml:space="preserve">: </w:t>
            </w:r>
            <w:r>
              <w:rPr>
                <w:rStyle w:val="IndexLink"/>
                <w:rtl w:val="true"/>
              </w:rPr>
              <w:t>في الصلاة عليه</w:t>
            </w:r>
            <w:r>
              <w:rPr>
                <w:rStyle w:val="IndexLink"/>
                <w:rtl w:val="true"/>
              </w:rPr>
              <w:t>.</w:t>
              <w:tab/>
            </w:r>
            <w:r>
              <w:rPr>
                <w:rStyle w:val="IndexLink"/>
              </w:rPr>
              <w:t>398</w:t>
            </w:r>
          </w:hyperlink>
        </w:p>
        <w:p>
          <w:pPr>
            <w:pStyle w:val="Contents6"/>
            <w:tabs>
              <w:tab w:val="clear" w:pos="7609"/>
              <w:tab w:val="right" w:pos="9026" w:leader="dot"/>
            </w:tabs>
            <w:rPr/>
          </w:pPr>
          <w:hyperlink w:anchor="__RefHeading___Toc4192465_2142443653">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4192467_2142443653">
            <w:r>
              <w:rPr>
                <w:webHidden/>
                <w:rStyle w:val="IndexLink"/>
                <w:rtl w:val="true"/>
              </w:rPr>
              <w:t>النظر الأول</w:t>
            </w:r>
            <w:r>
              <w:rPr>
                <w:rStyle w:val="IndexLink"/>
                <w:rtl w:val="true"/>
              </w:rPr>
              <w:t xml:space="preserve">: </w:t>
            </w:r>
            <w:r>
              <w:rPr>
                <w:rStyle w:val="IndexLink"/>
                <w:rtl w:val="true"/>
              </w:rPr>
              <w:t>في الحمل</w:t>
            </w:r>
            <w:r>
              <w:rPr>
                <w:rStyle w:val="IndexLink"/>
                <w:rtl w:val="true"/>
              </w:rPr>
              <w:t>:</w:t>
              <w:tab/>
            </w:r>
            <w:r>
              <w:rPr>
                <w:rStyle w:val="IndexLink"/>
              </w:rPr>
              <w:t>398</w:t>
            </w:r>
          </w:hyperlink>
        </w:p>
        <w:p>
          <w:pPr>
            <w:pStyle w:val="Contents6"/>
            <w:tabs>
              <w:tab w:val="clear" w:pos="7609"/>
              <w:tab w:val="right" w:pos="9026" w:leader="dot"/>
            </w:tabs>
            <w:rPr/>
          </w:pPr>
          <w:hyperlink w:anchor="__RefHeading___Toc4192469_2142443653">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4192471_2142443653">
            <w:r>
              <w:rPr>
                <w:webHidden/>
                <w:rStyle w:val="IndexLink"/>
                <w:rtl w:val="true"/>
              </w:rPr>
              <w:t>و هنا مسائل</w:t>
            </w:r>
            <w:r>
              <w:rPr>
                <w:rStyle w:val="IndexLink"/>
                <w:rtl w:val="true"/>
              </w:rPr>
              <w:t>.</w:t>
              <w:tab/>
            </w:r>
            <w:r>
              <w:rPr>
                <w:rStyle w:val="IndexLink"/>
              </w:rPr>
              <w:t>405</w:t>
            </w:r>
          </w:hyperlink>
        </w:p>
        <w:p>
          <w:pPr>
            <w:pStyle w:val="Contents6"/>
            <w:tabs>
              <w:tab w:val="clear" w:pos="7609"/>
              <w:tab w:val="right" w:pos="9026" w:leader="dot"/>
            </w:tabs>
            <w:rPr/>
          </w:pPr>
          <w:hyperlink w:anchor="__RefHeading___Toc4192473_2142443653">
            <w:r>
              <w:rPr>
                <w:webHidden/>
                <w:rStyle w:val="IndexLink"/>
                <w:rtl w:val="true"/>
              </w:rPr>
              <w:t>الأولى</w:t>
            </w:r>
            <w:r>
              <w:rPr>
                <w:rStyle w:val="IndexLink"/>
                <w:rtl w:val="true"/>
              </w:rPr>
              <w:t xml:space="preserve">: </w:t>
            </w:r>
            <w:r>
              <w:rPr>
                <w:rStyle w:val="IndexLink"/>
                <w:rtl w:val="true"/>
              </w:rPr>
              <w:t>يستحب للمشيّع ان يحضر قلبه التفكر في مآله،</w:t>
            </w:r>
            <w:r>
              <w:rPr>
                <w:rStyle w:val="IndexLink"/>
                <w:rtl w:val="true"/>
              </w:rPr>
              <w:tab/>
            </w:r>
            <w:r>
              <w:rPr>
                <w:rStyle w:val="IndexLink"/>
              </w:rPr>
              <w:t>405</w:t>
            </w:r>
          </w:hyperlink>
        </w:p>
        <w:p>
          <w:pPr>
            <w:pStyle w:val="Contents6"/>
            <w:tabs>
              <w:tab w:val="clear" w:pos="7609"/>
              <w:tab w:val="right" w:pos="9026" w:leader="dot"/>
            </w:tabs>
            <w:rPr/>
          </w:pPr>
          <w:hyperlink w:anchor="__RefHeading___Toc4192475_2142443653">
            <w:r>
              <w:rPr>
                <w:webHidden/>
                <w:rStyle w:val="IndexLink"/>
                <w:rtl w:val="true"/>
              </w:rPr>
              <w:t>الثانية</w:t>
            </w:r>
            <w:r>
              <w:rPr>
                <w:rStyle w:val="IndexLink"/>
                <w:rtl w:val="true"/>
              </w:rPr>
              <w:t xml:space="preserve">: </w:t>
            </w:r>
            <w:r>
              <w:rPr>
                <w:rStyle w:val="IndexLink"/>
                <w:rtl w:val="true"/>
              </w:rPr>
              <w:t>نقل الشيخ الإجماع على كراهية الإسراع بالجنازة</w:t>
            </w:r>
            <w:r>
              <w:rPr>
                <w:rStyle w:val="IndexLink"/>
                <w:rtl w:val="true"/>
              </w:rPr>
              <w:tab/>
            </w:r>
            <w:r>
              <w:rPr>
                <w:rStyle w:val="IndexLink"/>
              </w:rPr>
              <w:t>407</w:t>
            </w:r>
          </w:hyperlink>
        </w:p>
        <w:p>
          <w:pPr>
            <w:pStyle w:val="Contents6"/>
            <w:tabs>
              <w:tab w:val="clear" w:pos="7609"/>
              <w:tab w:val="right" w:pos="9026" w:leader="dot"/>
            </w:tabs>
            <w:rPr/>
          </w:pPr>
          <w:hyperlink w:anchor="__RefHeading___Toc4192477_2142443653">
            <w:r>
              <w:rPr>
                <w:webHidden/>
                <w:rStyle w:val="IndexLink"/>
                <w:rtl w:val="true"/>
              </w:rPr>
              <w:t>الثالثة</w:t>
            </w:r>
            <w:r>
              <w:rPr>
                <w:rStyle w:val="IndexLink"/>
                <w:rtl w:val="true"/>
              </w:rPr>
              <w:t xml:space="preserve">: </w:t>
            </w:r>
            <w:r>
              <w:rPr>
                <w:rStyle w:val="IndexLink"/>
                <w:rtl w:val="true"/>
              </w:rPr>
              <w:t>يستحبّ حمل النساء في النعش، للستر</w:t>
            </w:r>
            <w:r>
              <w:rPr>
                <w:rStyle w:val="IndexLink"/>
                <w:rtl w:val="true"/>
              </w:rPr>
              <w:t>.</w:t>
              <w:tab/>
            </w:r>
            <w:r>
              <w:rPr>
                <w:rStyle w:val="IndexLink"/>
              </w:rPr>
              <w:t>407</w:t>
            </w:r>
          </w:hyperlink>
        </w:p>
        <w:p>
          <w:pPr>
            <w:pStyle w:val="Contents6"/>
            <w:tabs>
              <w:tab w:val="clear" w:pos="7609"/>
              <w:tab w:val="right" w:pos="9026" w:leader="dot"/>
            </w:tabs>
            <w:rPr/>
          </w:pPr>
          <w:hyperlink w:anchor="__RefHeading___Toc4192479_2142443653">
            <w:r>
              <w:rPr>
                <w:webHidden/>
                <w:rStyle w:val="IndexLink"/>
                <w:rtl w:val="true"/>
              </w:rPr>
              <w:t>الرابعة</w:t>
            </w:r>
            <w:r>
              <w:rPr>
                <w:rStyle w:val="IndexLink"/>
                <w:rtl w:val="true"/>
              </w:rPr>
              <w:t xml:space="preserve">: </w:t>
            </w:r>
            <w:r>
              <w:rPr>
                <w:rStyle w:val="IndexLink"/>
                <w:rtl w:val="true"/>
              </w:rPr>
              <w:t>يكره الاتباع بنار،</w:t>
            </w:r>
            <w:r>
              <w:rPr>
                <w:rStyle w:val="IndexLink"/>
                <w:rtl w:val="true"/>
              </w:rPr>
              <w:tab/>
            </w:r>
            <w:r>
              <w:rPr>
                <w:rStyle w:val="IndexLink"/>
              </w:rPr>
              <w:t>408</w:t>
            </w:r>
          </w:hyperlink>
        </w:p>
        <w:p>
          <w:pPr>
            <w:pStyle w:val="Contents6"/>
            <w:tabs>
              <w:tab w:val="clear" w:pos="7609"/>
              <w:tab w:val="right" w:pos="9026" w:leader="dot"/>
            </w:tabs>
            <w:rPr/>
          </w:pPr>
          <w:hyperlink w:anchor="__RefHeading___Toc4192481_2142443653">
            <w:r>
              <w:rPr>
                <w:webHidden/>
                <w:rStyle w:val="IndexLink"/>
                <w:rtl w:val="true"/>
              </w:rPr>
              <w:t>الخامسة</w:t>
            </w:r>
            <w:r>
              <w:rPr>
                <w:rStyle w:val="IndexLink"/>
                <w:rtl w:val="true"/>
              </w:rPr>
              <w:t xml:space="preserve">: </w:t>
            </w:r>
            <w:r>
              <w:rPr>
                <w:rStyle w:val="IndexLink"/>
                <w:rtl w:val="true"/>
              </w:rPr>
              <w:t>يكره اتباع النساء الجنازة،</w:t>
            </w:r>
            <w:r>
              <w:rPr>
                <w:rStyle w:val="IndexLink"/>
                <w:rtl w:val="true"/>
              </w:rPr>
              <w:tab/>
            </w:r>
            <w:r>
              <w:rPr>
                <w:rStyle w:val="IndexLink"/>
              </w:rPr>
              <w:t>408</w:t>
            </w:r>
          </w:hyperlink>
        </w:p>
        <w:p>
          <w:pPr>
            <w:pStyle w:val="Contents6"/>
            <w:tabs>
              <w:tab w:val="clear" w:pos="7609"/>
              <w:tab w:val="right" w:pos="9026" w:leader="dot"/>
            </w:tabs>
            <w:rPr/>
          </w:pPr>
          <w:hyperlink w:anchor="__RefHeading___Toc4192483_2142443653">
            <w:r>
              <w:rPr>
                <w:webHidden/>
                <w:rStyle w:val="IndexLink"/>
                <w:rtl w:val="true"/>
              </w:rPr>
              <w:t>السادسة</w:t>
            </w:r>
            <w:r>
              <w:rPr>
                <w:rStyle w:val="IndexLink"/>
                <w:rtl w:val="true"/>
              </w:rPr>
              <w:t xml:space="preserve">: </w:t>
            </w:r>
            <w:r>
              <w:rPr>
                <w:rStyle w:val="IndexLink"/>
                <w:rtl w:val="true"/>
              </w:rPr>
              <w:t>لا يستحبّ القيام لمن مرّت عليه الجنازة،</w:t>
            </w:r>
            <w:r>
              <w:rPr>
                <w:rStyle w:val="IndexLink"/>
                <w:rtl w:val="true"/>
              </w:rPr>
              <w:tab/>
            </w:r>
            <w:r>
              <w:rPr>
                <w:rStyle w:val="IndexLink"/>
              </w:rPr>
              <w:t>409</w:t>
            </w:r>
          </w:hyperlink>
        </w:p>
        <w:p>
          <w:pPr>
            <w:pStyle w:val="Contents6"/>
            <w:tabs>
              <w:tab w:val="clear" w:pos="7609"/>
              <w:tab w:val="right" w:pos="9026" w:leader="dot"/>
            </w:tabs>
            <w:rPr/>
          </w:pPr>
          <w:hyperlink w:anchor="__RefHeading___Toc4192485_2142443653">
            <w:r>
              <w:rPr>
                <w:webHidden/>
                <w:rStyle w:val="IndexLink"/>
                <w:rtl w:val="true"/>
              </w:rPr>
              <w:t>السابعة</w:t>
            </w:r>
            <w:r>
              <w:rPr>
                <w:rStyle w:val="IndexLink"/>
                <w:rtl w:val="true"/>
              </w:rPr>
              <w:t xml:space="preserve">: </w:t>
            </w:r>
            <w:r>
              <w:rPr>
                <w:rStyle w:val="IndexLink"/>
                <w:rtl w:val="true"/>
              </w:rPr>
              <w:t>اختلف الأصحاب في كراهة جلوس المشيّع قبل الوضع في اللّحد</w:t>
            </w:r>
            <w:r>
              <w:rPr>
                <w:rStyle w:val="IndexLink"/>
                <w:rtl w:val="true"/>
              </w:rPr>
              <w:t>:</w:t>
              <w:tab/>
            </w:r>
            <w:r>
              <w:rPr>
                <w:rStyle w:val="IndexLink"/>
              </w:rPr>
              <w:t>409</w:t>
            </w:r>
          </w:hyperlink>
        </w:p>
        <w:p>
          <w:pPr>
            <w:pStyle w:val="Contents6"/>
            <w:tabs>
              <w:tab w:val="clear" w:pos="7609"/>
              <w:tab w:val="right" w:pos="9026" w:leader="dot"/>
            </w:tabs>
            <w:rPr/>
          </w:pPr>
          <w:hyperlink w:anchor="__RefHeading___Toc4192487_2142443653">
            <w:r>
              <w:rPr>
                <w:webHidden/>
                <w:rStyle w:val="IndexLink"/>
                <w:rtl w:val="true"/>
              </w:rPr>
              <w:t>الثامنة</w:t>
            </w:r>
            <w:r>
              <w:rPr>
                <w:rStyle w:val="IndexLink"/>
                <w:rtl w:val="true"/>
              </w:rPr>
              <w:t xml:space="preserve">: </w:t>
            </w:r>
            <w:r>
              <w:rPr>
                <w:rStyle w:val="IndexLink"/>
                <w:rtl w:val="true"/>
              </w:rPr>
              <w:t>لا يمنع من الاتّباع كون المنكر مع الجنازة،</w:t>
            </w:r>
            <w:r>
              <w:rPr>
                <w:rStyle w:val="IndexLink"/>
                <w:rtl w:val="true"/>
              </w:rPr>
              <w:tab/>
            </w:r>
            <w:r>
              <w:rPr>
                <w:rStyle w:val="IndexLink"/>
              </w:rPr>
              <w:t>410</w:t>
            </w:r>
          </w:hyperlink>
        </w:p>
        <w:p>
          <w:pPr>
            <w:pStyle w:val="Contents6"/>
            <w:tabs>
              <w:tab w:val="clear" w:pos="7609"/>
              <w:tab w:val="right" w:pos="9026" w:leader="dot"/>
            </w:tabs>
            <w:rPr/>
          </w:pPr>
          <w:hyperlink w:anchor="__RefHeading___Toc4192489_2142443653">
            <w:r>
              <w:rPr>
                <w:webHidden/>
                <w:rStyle w:val="IndexLink"/>
                <w:rtl w:val="true"/>
              </w:rPr>
              <w:t>التاسعة</w:t>
            </w:r>
            <w:r>
              <w:rPr>
                <w:rStyle w:val="IndexLink"/>
                <w:rtl w:val="true"/>
              </w:rPr>
              <w:t xml:space="preserve">: </w:t>
            </w:r>
            <w:r>
              <w:rPr>
                <w:rStyle w:val="IndexLink"/>
                <w:rtl w:val="true"/>
              </w:rPr>
              <w:t>قال الشيخ و جماعة من الأصحاب</w:t>
            </w:r>
            <w:r>
              <w:rPr>
                <w:rStyle w:val="IndexLink"/>
                <w:rtl w:val="true"/>
              </w:rPr>
              <w:t xml:space="preserve">: </w:t>
            </w:r>
            <w:r>
              <w:rPr>
                <w:rStyle w:val="IndexLink"/>
                <w:rtl w:val="true"/>
              </w:rPr>
              <w:t>يكره حمل ميتين على سرير،</w:t>
            </w:r>
            <w:r>
              <w:rPr>
                <w:rStyle w:val="IndexLink"/>
                <w:rtl w:val="true"/>
              </w:rPr>
              <w:tab/>
            </w:r>
            <w:r>
              <w:rPr>
                <w:rStyle w:val="IndexLink"/>
              </w:rPr>
              <w:t>410</w:t>
            </w:r>
          </w:hyperlink>
        </w:p>
        <w:p>
          <w:pPr>
            <w:pStyle w:val="Contents6"/>
            <w:tabs>
              <w:tab w:val="clear" w:pos="7609"/>
              <w:tab w:val="right" w:pos="9026" w:leader="dot"/>
            </w:tabs>
            <w:rPr/>
          </w:pPr>
          <w:hyperlink w:anchor="__RefHeading___Toc4192491_2142443653">
            <w:r>
              <w:rPr>
                <w:webHidden/>
                <w:rStyle w:val="IndexLink"/>
                <w:rtl w:val="true"/>
              </w:rPr>
              <w:t>العاشرة</w:t>
            </w:r>
            <w:r>
              <w:rPr>
                <w:rStyle w:val="IndexLink"/>
                <w:rtl w:val="true"/>
              </w:rPr>
              <w:t xml:space="preserve">: </w:t>
            </w:r>
            <w:r>
              <w:rPr>
                <w:rStyle w:val="IndexLink"/>
                <w:rtl w:val="true"/>
              </w:rPr>
              <w:t>قال ابن الجنيد</w:t>
            </w:r>
            <w:r>
              <w:rPr>
                <w:rStyle w:val="IndexLink"/>
                <w:rtl w:val="true"/>
              </w:rPr>
              <w:t xml:space="preserve">: </w:t>
            </w:r>
            <w:r>
              <w:rPr>
                <w:rStyle w:val="IndexLink"/>
                <w:rtl w:val="true"/>
              </w:rPr>
              <w:t>من صلّى على جنازة لم يبرح حتى تدفن،</w:t>
            </w:r>
            <w:r>
              <w:rPr>
                <w:rStyle w:val="IndexLink"/>
                <w:rtl w:val="true"/>
              </w:rPr>
              <w:tab/>
            </w:r>
            <w:r>
              <w:rPr>
                <w:rStyle w:val="IndexLink"/>
              </w:rPr>
              <w:t>411</w:t>
            </w:r>
          </w:hyperlink>
        </w:p>
        <w:p>
          <w:pPr>
            <w:pStyle w:val="Contents6"/>
            <w:tabs>
              <w:tab w:val="clear" w:pos="7609"/>
              <w:tab w:val="right" w:pos="9026" w:leader="dot"/>
            </w:tabs>
            <w:rPr/>
          </w:pPr>
          <w:hyperlink w:anchor="__RefHeading___Toc4192493_2142443653">
            <w:r>
              <w:rPr>
                <w:webHidden/>
                <w:rStyle w:val="IndexLink"/>
                <w:rtl w:val="true"/>
              </w:rPr>
              <w:t>الحادية عشرة</w:t>
            </w:r>
            <w:r>
              <w:rPr>
                <w:rStyle w:val="IndexLink"/>
                <w:rtl w:val="true"/>
              </w:rPr>
              <w:t xml:space="preserve">: </w:t>
            </w:r>
            <w:r>
              <w:rPr>
                <w:rStyle w:val="IndexLink"/>
                <w:rtl w:val="true"/>
              </w:rPr>
              <w:t>يجب التغسيل، ثم الكفن، ثم الصلاة، ثم الدفن،</w:t>
            </w:r>
            <w:r>
              <w:rPr>
                <w:rStyle w:val="IndexLink"/>
                <w:rtl w:val="true"/>
              </w:rPr>
              <w:tab/>
            </w:r>
            <w:r>
              <w:rPr>
                <w:rStyle w:val="IndexLink"/>
              </w:rPr>
              <w:t>411</w:t>
            </w:r>
          </w:hyperlink>
        </w:p>
        <w:p>
          <w:pPr>
            <w:pStyle w:val="Contents6"/>
            <w:tabs>
              <w:tab w:val="clear" w:pos="7609"/>
              <w:tab w:val="right" w:pos="9026" w:leader="dot"/>
            </w:tabs>
            <w:rPr/>
          </w:pPr>
          <w:hyperlink w:anchor="__RefHeading___Toc4192495_2142443653">
            <w:r>
              <w:rPr>
                <w:webHidden/>
                <w:rStyle w:val="IndexLink"/>
                <w:rtl w:val="true"/>
              </w:rPr>
              <w:t>النظر الثاني</w:t>
            </w:r>
            <w:r>
              <w:rPr>
                <w:rStyle w:val="IndexLink"/>
                <w:rtl w:val="true"/>
              </w:rPr>
              <w:t xml:space="preserve">: </w:t>
            </w:r>
            <w:r>
              <w:rPr>
                <w:rStyle w:val="IndexLink"/>
                <w:rtl w:val="true"/>
              </w:rPr>
              <w:t>في المحل</w:t>
            </w:r>
            <w:r>
              <w:rPr>
                <w:rStyle w:val="IndexLink"/>
                <w:rtl w:val="true"/>
              </w:rPr>
              <w:t xml:space="preserve">. </w:t>
            </w:r>
            <w:r>
              <w:rPr>
                <w:rStyle w:val="IndexLink"/>
                <w:rtl w:val="true"/>
              </w:rPr>
              <w:t>و هو الميت المسلم،</w:t>
            </w:r>
            <w:r>
              <w:rPr>
                <w:rStyle w:val="IndexLink"/>
                <w:rtl w:val="true"/>
              </w:rPr>
              <w:tab/>
            </w:r>
            <w:r>
              <w:rPr>
                <w:rStyle w:val="IndexLink"/>
              </w:rPr>
              <w:t>412</w:t>
            </w:r>
          </w:hyperlink>
        </w:p>
        <w:p>
          <w:pPr>
            <w:pStyle w:val="Contents6"/>
            <w:tabs>
              <w:tab w:val="clear" w:pos="7609"/>
              <w:tab w:val="right" w:pos="9026" w:leader="dot"/>
            </w:tabs>
            <w:rPr/>
          </w:pPr>
          <w:hyperlink w:anchor="__RefHeading___Toc4192497_2142443653">
            <w:r>
              <w:rPr>
                <w:webHidden/>
                <w:rStyle w:val="IndexLink"/>
                <w:rtl w:val="true"/>
              </w:rPr>
              <w:t>اشارة</w:t>
            </w:r>
            <w:r>
              <w:rPr>
                <w:rStyle w:val="IndexLink"/>
                <w:rtl w:val="true"/>
              </w:rPr>
              <w:tab/>
            </w:r>
            <w:r>
              <w:rPr>
                <w:rStyle w:val="IndexLink"/>
              </w:rPr>
              <w:t>412</w:t>
            </w:r>
          </w:hyperlink>
        </w:p>
        <w:p>
          <w:pPr>
            <w:pStyle w:val="Contents6"/>
            <w:tabs>
              <w:tab w:val="clear" w:pos="7609"/>
              <w:tab w:val="right" w:pos="9026" w:leader="dot"/>
            </w:tabs>
            <w:rPr/>
          </w:pPr>
          <w:hyperlink w:anchor="__RefHeading___Toc4192499_2142443653">
            <w:r>
              <w:rPr>
                <w:webHidden/>
                <w:rStyle w:val="IndexLink"/>
                <w:rtl w:val="true"/>
              </w:rPr>
              <w:t>تنبيهات</w:t>
            </w:r>
            <w:r>
              <w:rPr>
                <w:rStyle w:val="IndexLink"/>
                <w:rtl w:val="true"/>
              </w:rPr>
              <w:tab/>
            </w:r>
            <w:r>
              <w:rPr>
                <w:rStyle w:val="IndexLink"/>
              </w:rPr>
              <w:t>426</w:t>
            </w:r>
          </w:hyperlink>
        </w:p>
        <w:p>
          <w:pPr>
            <w:pStyle w:val="Contents6"/>
            <w:tabs>
              <w:tab w:val="clear" w:pos="7609"/>
              <w:tab w:val="right" w:pos="9026" w:leader="dot"/>
            </w:tabs>
            <w:rPr/>
          </w:pPr>
          <w:hyperlink w:anchor="__RefHeading___Toc4192501_2142443653">
            <w:r>
              <w:rPr>
                <w:webHidden/>
                <w:rStyle w:val="IndexLink"/>
                <w:rtl w:val="true"/>
              </w:rPr>
              <w:t>الأول</w:t>
            </w:r>
            <w:r>
              <w:rPr>
                <w:rStyle w:val="IndexLink"/>
                <w:rtl w:val="true"/>
              </w:rPr>
              <w:t xml:space="preserve">: </w:t>
            </w:r>
            <w:r>
              <w:rPr>
                <w:rStyle w:val="IndexLink"/>
                <w:rtl w:val="true"/>
              </w:rPr>
              <w:t>لا فرق في تكرار الصلاة بين الولي و غيره،</w:t>
            </w:r>
            <w:r>
              <w:rPr>
                <w:rStyle w:val="IndexLink"/>
                <w:rtl w:val="true"/>
              </w:rPr>
              <w:tab/>
            </w:r>
            <w:r>
              <w:rPr>
                <w:rStyle w:val="IndexLink"/>
              </w:rPr>
              <w:t>426</w:t>
            </w:r>
          </w:hyperlink>
        </w:p>
        <w:p>
          <w:pPr>
            <w:pStyle w:val="Contents6"/>
            <w:tabs>
              <w:tab w:val="clear" w:pos="7609"/>
              <w:tab w:val="right" w:pos="9026" w:leader="dot"/>
            </w:tabs>
            <w:rPr/>
          </w:pPr>
          <w:hyperlink w:anchor="__RefHeading___Toc4192503_2142443653">
            <w:r>
              <w:rPr>
                <w:webHidden/>
                <w:rStyle w:val="IndexLink"/>
                <w:rtl w:val="true"/>
              </w:rPr>
              <w:t>الثاني</w:t>
            </w:r>
            <w:r>
              <w:rPr>
                <w:rStyle w:val="IndexLink"/>
                <w:rtl w:val="true"/>
              </w:rPr>
              <w:t xml:space="preserve">: </w:t>
            </w:r>
            <w:r>
              <w:rPr>
                <w:rStyle w:val="IndexLink"/>
                <w:rtl w:val="true"/>
              </w:rPr>
              <w:t>لو قدّرنا بتقدير ابن الجنيد فالظاهر</w:t>
            </w:r>
            <w:r>
              <w:rPr>
                <w:rStyle w:val="IndexLink"/>
                <w:rtl w:val="true"/>
              </w:rPr>
              <w:t xml:space="preserve">: </w:t>
            </w:r>
            <w:r>
              <w:rPr>
                <w:rStyle w:val="IndexLink"/>
                <w:rtl w:val="true"/>
              </w:rPr>
              <w:t>انّ البلى غير شرط،</w:t>
            </w:r>
            <w:r>
              <w:rPr>
                <w:rStyle w:val="IndexLink"/>
                <w:rtl w:val="true"/>
              </w:rPr>
              <w:tab/>
            </w:r>
            <w:r>
              <w:rPr>
                <w:rStyle w:val="IndexLink"/>
              </w:rPr>
              <w:t>426</w:t>
            </w:r>
          </w:hyperlink>
        </w:p>
        <w:p>
          <w:pPr>
            <w:pStyle w:val="Contents6"/>
            <w:tabs>
              <w:tab w:val="clear" w:pos="7609"/>
              <w:tab w:val="right" w:pos="9026" w:leader="dot"/>
            </w:tabs>
            <w:rPr/>
          </w:pPr>
          <w:hyperlink w:anchor="__RefHeading___Toc4192505_2142443653">
            <w:r>
              <w:rPr>
                <w:webHidden/>
                <w:rStyle w:val="IndexLink"/>
                <w:rtl w:val="true"/>
              </w:rPr>
              <w:t>الثالث</w:t>
            </w:r>
            <w:r>
              <w:rPr>
                <w:rStyle w:val="IndexLink"/>
                <w:rtl w:val="true"/>
              </w:rPr>
              <w:t xml:space="preserve">: </w:t>
            </w:r>
            <w:r>
              <w:rPr>
                <w:rStyle w:val="IndexLink"/>
                <w:rtl w:val="true"/>
              </w:rPr>
              <w:t>لا فرق في هذه الصلاة بين الموجود عند موته و غيره،</w:t>
            </w:r>
            <w:r>
              <w:rPr>
                <w:rStyle w:val="IndexLink"/>
                <w:rtl w:val="true"/>
              </w:rPr>
              <w:tab/>
            </w:r>
            <w:r>
              <w:rPr>
                <w:rStyle w:val="IndexLink"/>
              </w:rPr>
              <w:t>427</w:t>
            </w:r>
          </w:hyperlink>
        </w:p>
        <w:p>
          <w:pPr>
            <w:pStyle w:val="Contents6"/>
            <w:tabs>
              <w:tab w:val="clear" w:pos="7609"/>
              <w:tab w:val="right" w:pos="9026" w:leader="dot"/>
            </w:tabs>
            <w:rPr/>
          </w:pPr>
          <w:hyperlink w:anchor="__RefHeading___Toc4192507_2142443653">
            <w:r>
              <w:rPr>
                <w:webHidden/>
                <w:rStyle w:val="IndexLink"/>
                <w:rtl w:val="true"/>
              </w:rPr>
              <w:t>الرابع</w:t>
            </w:r>
            <w:r>
              <w:rPr>
                <w:rStyle w:val="IndexLink"/>
                <w:rtl w:val="true"/>
              </w:rPr>
              <w:t xml:space="preserve">: </w:t>
            </w:r>
            <w:r>
              <w:rPr>
                <w:rStyle w:val="IndexLink"/>
                <w:rtl w:val="true"/>
              </w:rPr>
              <w:t>يعتبر هنا مشاهدة القبر أو في حكمه،</w:t>
            </w:r>
            <w:r>
              <w:rPr>
                <w:rStyle w:val="IndexLink"/>
                <w:rtl w:val="true"/>
              </w:rPr>
              <w:tab/>
            </w:r>
            <w:r>
              <w:rPr>
                <w:rStyle w:val="IndexLink"/>
              </w:rPr>
              <w:t>427</w:t>
            </w:r>
          </w:hyperlink>
        </w:p>
        <w:p>
          <w:pPr>
            <w:pStyle w:val="Contents6"/>
            <w:tabs>
              <w:tab w:val="clear" w:pos="7609"/>
              <w:tab w:val="right" w:pos="9026" w:leader="dot"/>
            </w:tabs>
            <w:rPr/>
          </w:pPr>
          <w:hyperlink w:anchor="__RefHeading___Toc4192509_2142443653">
            <w:r>
              <w:rPr>
                <w:webHidden/>
                <w:rStyle w:val="IndexLink"/>
                <w:rtl w:val="true"/>
              </w:rPr>
              <w:t>الخامس</w:t>
            </w:r>
            <w:r>
              <w:rPr>
                <w:rStyle w:val="IndexLink"/>
                <w:rtl w:val="true"/>
              </w:rPr>
              <w:t xml:space="preserve">: </w:t>
            </w:r>
            <w:r>
              <w:rPr>
                <w:rStyle w:val="IndexLink"/>
                <w:rtl w:val="true"/>
              </w:rPr>
              <w:t>لا يتقدّر التباعد عن الجنازة بثلاثمائة ذراع</w:t>
            </w:r>
            <w:r>
              <w:rPr>
                <w:rStyle w:val="IndexLink"/>
                <w:rtl w:val="true"/>
              </w:rPr>
              <w:tab/>
            </w:r>
            <w:r>
              <w:rPr>
                <w:rStyle w:val="IndexLink"/>
              </w:rPr>
              <w:t>427</w:t>
            </w:r>
          </w:hyperlink>
        </w:p>
        <w:p>
          <w:pPr>
            <w:pStyle w:val="Contents6"/>
            <w:tabs>
              <w:tab w:val="clear" w:pos="7609"/>
              <w:tab w:val="right" w:pos="9026" w:leader="dot"/>
            </w:tabs>
            <w:rPr/>
          </w:pPr>
          <w:hyperlink w:anchor="__RefHeading___Toc4192511_2142443653">
            <w:r>
              <w:rPr>
                <w:webHidden/>
                <w:rStyle w:val="IndexLink"/>
                <w:rtl w:val="true"/>
              </w:rPr>
              <w:t>السادس</w:t>
            </w:r>
            <w:r>
              <w:rPr>
                <w:rStyle w:val="IndexLink"/>
                <w:rtl w:val="true"/>
              </w:rPr>
              <w:t xml:space="preserve">: </w:t>
            </w:r>
            <w:r>
              <w:rPr>
                <w:rStyle w:val="IndexLink"/>
                <w:rtl w:val="true"/>
              </w:rPr>
              <w:t>إذا كان الميت لم يصلّ عليه،</w:t>
            </w:r>
            <w:r>
              <w:rPr>
                <w:rStyle w:val="IndexLink"/>
                <w:rtl w:val="true"/>
              </w:rPr>
              <w:tab/>
            </w:r>
            <w:r>
              <w:rPr>
                <w:rStyle w:val="IndexLink"/>
              </w:rPr>
              <w:t>427</w:t>
            </w:r>
          </w:hyperlink>
        </w:p>
        <w:p>
          <w:pPr>
            <w:pStyle w:val="Contents6"/>
            <w:tabs>
              <w:tab w:val="clear" w:pos="7609"/>
              <w:tab w:val="right" w:pos="9026" w:leader="dot"/>
            </w:tabs>
            <w:rPr/>
          </w:pPr>
          <w:hyperlink w:anchor="__RefHeading___Toc4192513_2142443653">
            <w:r>
              <w:rPr>
                <w:webHidden/>
                <w:rStyle w:val="IndexLink"/>
                <w:rtl w:val="true"/>
              </w:rPr>
              <w:t>السابع</w:t>
            </w:r>
            <w:r>
              <w:rPr>
                <w:rStyle w:val="IndexLink"/>
                <w:rtl w:val="true"/>
              </w:rPr>
              <w:t xml:space="preserve">: </w:t>
            </w:r>
            <w:r>
              <w:rPr>
                <w:rStyle w:val="IndexLink"/>
                <w:rtl w:val="true"/>
              </w:rPr>
              <w:t>يصلّى على المرجوم،</w:t>
            </w:r>
            <w:r>
              <w:rPr>
                <w:rStyle w:val="IndexLink"/>
                <w:rtl w:val="true"/>
              </w:rPr>
              <w:tab/>
            </w:r>
            <w:r>
              <w:rPr>
                <w:rStyle w:val="IndexLink"/>
              </w:rPr>
              <w:t>427</w:t>
            </w:r>
          </w:hyperlink>
        </w:p>
        <w:p>
          <w:pPr>
            <w:pStyle w:val="Contents6"/>
            <w:tabs>
              <w:tab w:val="clear" w:pos="7609"/>
              <w:tab w:val="right" w:pos="9026" w:leader="dot"/>
            </w:tabs>
            <w:rPr/>
          </w:pPr>
          <w:hyperlink w:anchor="__RefHeading___Toc4192515_2142443653">
            <w:r>
              <w:rPr>
                <w:webHidden/>
                <w:rStyle w:val="IndexLink"/>
                <w:rtl w:val="true"/>
              </w:rPr>
              <w:t>الثامن</w:t>
            </w:r>
            <w:r>
              <w:rPr>
                <w:rStyle w:val="IndexLink"/>
                <w:rtl w:val="true"/>
              </w:rPr>
              <w:t xml:space="preserve">: </w:t>
            </w:r>
            <w:r>
              <w:rPr>
                <w:rStyle w:val="IndexLink"/>
                <w:rtl w:val="true"/>
              </w:rPr>
              <w:t>لا صلاة على السقط</w:t>
            </w:r>
            <w:r>
              <w:rPr>
                <w:rStyle w:val="IndexLink"/>
                <w:rtl w:val="true"/>
              </w:rPr>
              <w:tab/>
            </w:r>
            <w:r>
              <w:rPr>
                <w:rStyle w:val="IndexLink"/>
              </w:rPr>
              <w:t>428</w:t>
            </w:r>
          </w:hyperlink>
        </w:p>
        <w:p>
          <w:pPr>
            <w:pStyle w:val="Contents6"/>
            <w:tabs>
              <w:tab w:val="clear" w:pos="7609"/>
              <w:tab w:val="right" w:pos="9026" w:leader="dot"/>
            </w:tabs>
            <w:rPr/>
          </w:pPr>
          <w:hyperlink w:anchor="__RefHeading___Toc4192517_2142443653">
            <w:r>
              <w:rPr>
                <w:webHidden/>
                <w:rStyle w:val="IndexLink"/>
                <w:rtl w:val="true"/>
              </w:rPr>
              <w:t>التاسع</w:t>
            </w:r>
            <w:r>
              <w:rPr>
                <w:rStyle w:val="IndexLink"/>
                <w:rtl w:val="true"/>
              </w:rPr>
              <w:t xml:space="preserve">: </w:t>
            </w:r>
            <w:r>
              <w:rPr>
                <w:rStyle w:val="IndexLink"/>
                <w:rtl w:val="true"/>
              </w:rPr>
              <w:t>يصلّى على من غسّله الكافر، أو غسّل بالصب، أو يمّم</w:t>
            </w:r>
            <w:r>
              <w:rPr>
                <w:rStyle w:val="IndexLink"/>
                <w:rtl w:val="true"/>
              </w:rPr>
              <w:t>.</w:t>
              <w:tab/>
            </w:r>
            <w:r>
              <w:rPr>
                <w:rStyle w:val="IndexLink"/>
              </w:rPr>
              <w:t>429</w:t>
            </w:r>
          </w:hyperlink>
        </w:p>
        <w:p>
          <w:pPr>
            <w:pStyle w:val="Contents6"/>
            <w:tabs>
              <w:tab w:val="clear" w:pos="7609"/>
              <w:tab w:val="right" w:pos="9026" w:leader="dot"/>
            </w:tabs>
            <w:rPr/>
          </w:pPr>
          <w:hyperlink w:anchor="__RefHeading___Toc4192519_2142443653">
            <w:r>
              <w:rPr>
                <w:webHidden/>
                <w:rStyle w:val="IndexLink"/>
                <w:rtl w:val="true"/>
              </w:rPr>
              <w:t>النظر الثالث</w:t>
            </w:r>
            <w:r>
              <w:rPr>
                <w:rStyle w:val="IndexLink"/>
                <w:rtl w:val="true"/>
              </w:rPr>
              <w:t xml:space="preserve">: </w:t>
            </w:r>
            <w:r>
              <w:rPr>
                <w:rStyle w:val="IndexLink"/>
                <w:rtl w:val="true"/>
              </w:rPr>
              <w:t>في المصلّي،</w:t>
            </w:r>
            <w:r>
              <w:rPr>
                <w:rStyle w:val="IndexLink"/>
                <w:rtl w:val="true"/>
              </w:rPr>
              <w:tab/>
            </w:r>
            <w:r>
              <w:rPr>
                <w:rStyle w:val="IndexLink"/>
              </w:rPr>
              <w:t>430</w:t>
            </w:r>
          </w:hyperlink>
        </w:p>
        <w:p>
          <w:pPr>
            <w:pStyle w:val="Contents6"/>
            <w:tabs>
              <w:tab w:val="clear" w:pos="7609"/>
              <w:tab w:val="right" w:pos="9026" w:leader="dot"/>
            </w:tabs>
            <w:rPr/>
          </w:pPr>
          <w:hyperlink w:anchor="__RefHeading___Toc4192521_2142443653">
            <w:r>
              <w:rPr>
                <w:webHidden/>
                <w:rStyle w:val="IndexLink"/>
                <w:rtl w:val="true"/>
              </w:rPr>
              <w:t>اشارة</w:t>
            </w:r>
            <w:r>
              <w:rPr>
                <w:rStyle w:val="IndexLink"/>
                <w:rtl w:val="true"/>
              </w:rPr>
              <w:tab/>
            </w:r>
            <w:r>
              <w:rPr>
                <w:rStyle w:val="IndexLink"/>
              </w:rPr>
              <w:t>430</w:t>
            </w:r>
          </w:hyperlink>
        </w:p>
        <w:p>
          <w:pPr>
            <w:pStyle w:val="Contents6"/>
            <w:tabs>
              <w:tab w:val="clear" w:pos="7609"/>
              <w:tab w:val="right" w:pos="9026" w:leader="dot"/>
            </w:tabs>
            <w:rPr/>
          </w:pPr>
          <w:hyperlink w:anchor="__RefHeading___Toc4192523_2142443653">
            <w:r>
              <w:rPr>
                <w:webHidden/>
                <w:rStyle w:val="IndexLink"/>
                <w:rtl w:val="true"/>
              </w:rPr>
              <w:t>الأولى</w:t>
            </w:r>
            <w:r>
              <w:rPr>
                <w:rStyle w:val="IndexLink"/>
                <w:rtl w:val="true"/>
              </w:rPr>
              <w:t xml:space="preserve">: </w:t>
            </w:r>
            <w:r>
              <w:rPr>
                <w:rStyle w:val="IndexLink"/>
                <w:rtl w:val="true"/>
              </w:rPr>
              <w:t>الأولى بالإرث أولى بالصلاة،</w:t>
            </w:r>
            <w:r>
              <w:rPr>
                <w:rStyle w:val="IndexLink"/>
                <w:rtl w:val="true"/>
              </w:rPr>
              <w:tab/>
            </w:r>
            <w:r>
              <w:rPr>
                <w:rStyle w:val="IndexLink"/>
              </w:rPr>
              <w:t>430</w:t>
            </w:r>
          </w:hyperlink>
        </w:p>
        <w:p>
          <w:pPr>
            <w:pStyle w:val="Contents6"/>
            <w:tabs>
              <w:tab w:val="clear" w:pos="7609"/>
              <w:tab w:val="right" w:pos="9026" w:leader="dot"/>
            </w:tabs>
            <w:rPr/>
          </w:pPr>
          <w:hyperlink w:anchor="__RefHeading___Toc4192525_2142443653">
            <w:r>
              <w:rPr>
                <w:webHidden/>
                <w:rStyle w:val="IndexLink"/>
                <w:rtl w:val="true"/>
              </w:rPr>
              <w:t>الثانية</w:t>
            </w:r>
            <w:r>
              <w:rPr>
                <w:rStyle w:val="IndexLink"/>
                <w:rtl w:val="true"/>
              </w:rPr>
              <w:t xml:space="preserve">: </w:t>
            </w:r>
            <w:r>
              <w:rPr>
                <w:rStyle w:val="IndexLink"/>
                <w:rtl w:val="true"/>
              </w:rPr>
              <w:t>لو كان الأقرب امرأة فهي أولى،</w:t>
            </w:r>
            <w:r>
              <w:rPr>
                <w:rStyle w:val="IndexLink"/>
                <w:rtl w:val="true"/>
              </w:rPr>
              <w:tab/>
            </w:r>
            <w:r>
              <w:rPr>
                <w:rStyle w:val="IndexLink"/>
              </w:rPr>
              <w:t>431</w:t>
            </w:r>
          </w:hyperlink>
        </w:p>
        <w:p>
          <w:pPr>
            <w:pStyle w:val="Contents6"/>
            <w:tabs>
              <w:tab w:val="clear" w:pos="7609"/>
              <w:tab w:val="right" w:pos="9026" w:leader="dot"/>
            </w:tabs>
            <w:rPr/>
          </w:pPr>
          <w:hyperlink w:anchor="__RefHeading___Toc4192527_2142443653">
            <w:r>
              <w:rPr>
                <w:webHidden/>
                <w:rStyle w:val="IndexLink"/>
                <w:rtl w:val="true"/>
              </w:rPr>
              <w:t>الثالثة</w:t>
            </w:r>
            <w:r>
              <w:rPr>
                <w:rStyle w:val="IndexLink"/>
                <w:rtl w:val="true"/>
              </w:rPr>
              <w:t xml:space="preserve">: </w:t>
            </w:r>
            <w:r>
              <w:rPr>
                <w:rStyle w:val="IndexLink"/>
                <w:rtl w:val="true"/>
              </w:rPr>
              <w:t>لو تعدد الوارث فالزوج أولى،</w:t>
            </w:r>
            <w:r>
              <w:rPr>
                <w:rStyle w:val="IndexLink"/>
                <w:rtl w:val="true"/>
              </w:rPr>
              <w:tab/>
            </w:r>
            <w:r>
              <w:rPr>
                <w:rStyle w:val="IndexLink"/>
              </w:rPr>
              <w:t>432</w:t>
            </w:r>
          </w:hyperlink>
        </w:p>
        <w:p>
          <w:pPr>
            <w:pStyle w:val="Contents6"/>
            <w:tabs>
              <w:tab w:val="clear" w:pos="7609"/>
              <w:tab w:val="right" w:pos="9026" w:leader="dot"/>
            </w:tabs>
            <w:rPr/>
          </w:pPr>
          <w:hyperlink w:anchor="__RefHeading___Toc4192529_2142443653">
            <w:r>
              <w:rPr>
                <w:webHidden/>
                <w:rStyle w:val="IndexLink"/>
                <w:rtl w:val="true"/>
              </w:rPr>
              <w:t>الرابعة</w:t>
            </w:r>
            <w:r>
              <w:rPr>
                <w:rStyle w:val="IndexLink"/>
                <w:rtl w:val="true"/>
              </w:rPr>
              <w:t xml:space="preserve">: </w:t>
            </w:r>
            <w:r>
              <w:rPr>
                <w:rStyle w:val="IndexLink"/>
                <w:rtl w:val="true"/>
              </w:rPr>
              <w:t>لو لم يكن الا المولى أو قرابته، فهو أولى لإرثه</w:t>
            </w:r>
            <w:r>
              <w:rPr>
                <w:rStyle w:val="IndexLink"/>
                <w:rtl w:val="true"/>
              </w:rPr>
              <w:t>.</w:t>
              <w:tab/>
            </w:r>
            <w:r>
              <w:rPr>
                <w:rStyle w:val="IndexLink"/>
              </w:rPr>
              <w:t>433</w:t>
            </w:r>
          </w:hyperlink>
        </w:p>
        <w:p>
          <w:pPr>
            <w:pStyle w:val="Contents6"/>
            <w:tabs>
              <w:tab w:val="clear" w:pos="7609"/>
              <w:tab w:val="right" w:pos="9026" w:leader="dot"/>
            </w:tabs>
            <w:rPr/>
          </w:pPr>
          <w:hyperlink w:anchor="__RefHeading___Toc4192531_2142443653">
            <w:r>
              <w:rPr>
                <w:webHidden/>
                <w:rStyle w:val="IndexLink"/>
                <w:rtl w:val="true"/>
              </w:rPr>
              <w:t>الخامسة</w:t>
            </w:r>
            <w:r>
              <w:rPr>
                <w:rStyle w:val="IndexLink"/>
                <w:rtl w:val="true"/>
              </w:rPr>
              <w:t xml:space="preserve">: </w:t>
            </w:r>
            <w:r>
              <w:rPr>
                <w:rStyle w:val="IndexLink"/>
                <w:rtl w:val="true"/>
              </w:rPr>
              <w:t>لو تساوى الأولياء،</w:t>
            </w:r>
            <w:r>
              <w:rPr>
                <w:rStyle w:val="IndexLink"/>
                <w:rtl w:val="true"/>
              </w:rPr>
              <w:tab/>
            </w:r>
            <w:r>
              <w:rPr>
                <w:rStyle w:val="IndexLink"/>
              </w:rPr>
              <w:t>434</w:t>
            </w:r>
          </w:hyperlink>
        </w:p>
        <w:p>
          <w:pPr>
            <w:pStyle w:val="Contents6"/>
            <w:tabs>
              <w:tab w:val="clear" w:pos="7609"/>
              <w:tab w:val="right" w:pos="9026" w:leader="dot"/>
            </w:tabs>
            <w:rPr/>
          </w:pPr>
          <w:hyperlink w:anchor="__RefHeading___Toc4192533_2142443653">
            <w:r>
              <w:rPr>
                <w:webHidden/>
                <w:rStyle w:val="IndexLink"/>
                <w:rtl w:val="true"/>
              </w:rPr>
              <w:t>اشارة</w:t>
            </w:r>
            <w:r>
              <w:rPr>
                <w:rStyle w:val="IndexLink"/>
                <w:rtl w:val="true"/>
              </w:rPr>
              <w:tab/>
            </w:r>
            <w:r>
              <w:rPr>
                <w:rStyle w:val="IndexLink"/>
              </w:rPr>
              <w:t>434</w:t>
            </w:r>
          </w:hyperlink>
        </w:p>
        <w:p>
          <w:pPr>
            <w:pStyle w:val="Contents6"/>
            <w:tabs>
              <w:tab w:val="clear" w:pos="7609"/>
              <w:tab w:val="right" w:pos="9026" w:leader="dot"/>
            </w:tabs>
            <w:rPr/>
          </w:pPr>
          <w:hyperlink w:anchor="__RefHeading___Toc4192535_2142443653">
            <w:r>
              <w:rPr>
                <w:webHidden/>
                <w:rStyle w:val="IndexLink"/>
                <w:rtl w:val="true"/>
              </w:rPr>
              <w:t>فروع ستّ</w:t>
            </w:r>
            <w:r>
              <w:rPr>
                <w:rStyle w:val="IndexLink"/>
                <w:rtl w:val="true"/>
              </w:rPr>
              <w:t>:</w:t>
              <w:tab/>
            </w:r>
            <w:r>
              <w:rPr>
                <w:rStyle w:val="IndexLink"/>
              </w:rPr>
              <w:t>435</w:t>
            </w:r>
          </w:hyperlink>
        </w:p>
        <w:p>
          <w:pPr>
            <w:pStyle w:val="Contents6"/>
            <w:tabs>
              <w:tab w:val="clear" w:pos="7609"/>
              <w:tab w:val="right" w:pos="9026" w:leader="dot"/>
            </w:tabs>
            <w:rPr/>
          </w:pPr>
          <w:hyperlink w:anchor="__RefHeading___Toc4192537_2142443653">
            <w:r>
              <w:rPr>
                <w:webHidden/>
                <w:rStyle w:val="IndexLink"/>
                <w:rtl w:val="true"/>
              </w:rPr>
              <w:t>الأول</w:t>
            </w:r>
            <w:r>
              <w:rPr>
                <w:rStyle w:val="IndexLink"/>
                <w:rtl w:val="true"/>
              </w:rPr>
              <w:t xml:space="preserve">: </w:t>
            </w:r>
            <w:r>
              <w:rPr>
                <w:rStyle w:val="IndexLink"/>
                <w:rtl w:val="true"/>
              </w:rPr>
              <w:t>لو كان الذكر صغيرا و الأنثى كاملة،</w:t>
            </w:r>
            <w:r>
              <w:rPr>
                <w:rStyle w:val="IndexLink"/>
                <w:rtl w:val="true"/>
              </w:rPr>
              <w:tab/>
            </w:r>
            <w:r>
              <w:rPr>
                <w:rStyle w:val="IndexLink"/>
              </w:rPr>
              <w:t>435</w:t>
            </w:r>
          </w:hyperlink>
        </w:p>
        <w:p>
          <w:pPr>
            <w:pStyle w:val="Contents6"/>
            <w:tabs>
              <w:tab w:val="clear" w:pos="7609"/>
              <w:tab w:val="right" w:pos="9026" w:leader="dot"/>
            </w:tabs>
            <w:rPr/>
          </w:pPr>
          <w:hyperlink w:anchor="__RefHeading___Toc4192539_2142443653">
            <w:r>
              <w:rPr>
                <w:webHidden/>
                <w:rStyle w:val="IndexLink"/>
                <w:rtl w:val="true"/>
              </w:rPr>
              <w:t>الثاني</w:t>
            </w:r>
            <w:r>
              <w:rPr>
                <w:rStyle w:val="IndexLink"/>
                <w:rtl w:val="true"/>
              </w:rPr>
              <w:t xml:space="preserve">: </w:t>
            </w:r>
            <w:r>
              <w:rPr>
                <w:rStyle w:val="IndexLink"/>
                <w:rtl w:val="true"/>
              </w:rPr>
              <w:t>لم يتعد الشيخ و الجماعة الأسن،</w:t>
            </w:r>
            <w:r>
              <w:rPr>
                <w:rStyle w:val="IndexLink"/>
                <w:rtl w:val="true"/>
              </w:rPr>
              <w:tab/>
            </w:r>
            <w:r>
              <w:rPr>
                <w:rStyle w:val="IndexLink"/>
              </w:rPr>
              <w:t>435</w:t>
            </w:r>
          </w:hyperlink>
        </w:p>
        <w:p>
          <w:pPr>
            <w:pStyle w:val="Contents6"/>
            <w:tabs>
              <w:tab w:val="clear" w:pos="7609"/>
              <w:tab w:val="right" w:pos="9026" w:leader="dot"/>
            </w:tabs>
            <w:rPr/>
          </w:pPr>
          <w:hyperlink w:anchor="__RefHeading___Toc4192541_2142443653">
            <w:r>
              <w:rPr>
                <w:webHidden/>
                <w:rStyle w:val="IndexLink"/>
                <w:rtl w:val="true"/>
              </w:rPr>
              <w:t>الثالث</w:t>
            </w:r>
            <w:r>
              <w:rPr>
                <w:rStyle w:val="IndexLink"/>
                <w:rtl w:val="true"/>
              </w:rPr>
              <w:t xml:space="preserve">: </w:t>
            </w:r>
            <w:r>
              <w:rPr>
                <w:rStyle w:val="IndexLink"/>
                <w:rtl w:val="true"/>
              </w:rPr>
              <w:t>لو لم يكن الولي بصفة الإمام استناب،</w:t>
            </w:r>
            <w:r>
              <w:rPr>
                <w:rStyle w:val="IndexLink"/>
                <w:rtl w:val="true"/>
              </w:rPr>
              <w:tab/>
            </w:r>
            <w:r>
              <w:rPr>
                <w:rStyle w:val="IndexLink"/>
              </w:rPr>
              <w:t>436</w:t>
            </w:r>
          </w:hyperlink>
        </w:p>
        <w:p>
          <w:pPr>
            <w:pStyle w:val="Contents6"/>
            <w:tabs>
              <w:tab w:val="clear" w:pos="7609"/>
              <w:tab w:val="right" w:pos="9026" w:leader="dot"/>
            </w:tabs>
            <w:rPr/>
          </w:pPr>
          <w:hyperlink w:anchor="__RefHeading___Toc4192543_2142443653">
            <w:r>
              <w:rPr>
                <w:webHidden/>
                <w:rStyle w:val="IndexLink"/>
                <w:rtl w:val="true"/>
              </w:rPr>
              <w:t>الرابع</w:t>
            </w:r>
            <w:r>
              <w:rPr>
                <w:rStyle w:val="IndexLink"/>
                <w:rtl w:val="true"/>
              </w:rPr>
              <w:t xml:space="preserve">: </w:t>
            </w:r>
            <w:r>
              <w:rPr>
                <w:rStyle w:val="IndexLink"/>
                <w:rtl w:val="true"/>
              </w:rPr>
              <w:t>للوليّ الرجوع عن الاذن ما لم يشرع فيها،</w:t>
            </w:r>
            <w:r>
              <w:rPr>
                <w:rStyle w:val="IndexLink"/>
                <w:rtl w:val="true"/>
              </w:rPr>
              <w:tab/>
            </w:r>
            <w:r>
              <w:rPr>
                <w:rStyle w:val="IndexLink"/>
              </w:rPr>
              <w:t>437</w:t>
            </w:r>
          </w:hyperlink>
        </w:p>
        <w:p>
          <w:pPr>
            <w:pStyle w:val="Contents6"/>
            <w:tabs>
              <w:tab w:val="clear" w:pos="7609"/>
              <w:tab w:val="right" w:pos="9026" w:leader="dot"/>
            </w:tabs>
            <w:rPr/>
          </w:pPr>
          <w:hyperlink w:anchor="__RefHeading___Toc4192545_2142443653">
            <w:r>
              <w:rPr>
                <w:webHidden/>
                <w:rStyle w:val="IndexLink"/>
                <w:rtl w:val="true"/>
              </w:rPr>
              <w:t>الخامس</w:t>
            </w:r>
            <w:r>
              <w:rPr>
                <w:rStyle w:val="IndexLink"/>
                <w:rtl w:val="true"/>
              </w:rPr>
              <w:t xml:space="preserve">: </w:t>
            </w:r>
            <w:r>
              <w:rPr>
                <w:rStyle w:val="IndexLink"/>
                <w:rtl w:val="true"/>
              </w:rPr>
              <w:t>لو صلّيت فرادى صحت الصلاة،</w:t>
            </w:r>
            <w:r>
              <w:rPr>
                <w:rStyle w:val="IndexLink"/>
                <w:rtl w:val="true"/>
              </w:rPr>
              <w:tab/>
            </w:r>
            <w:r>
              <w:rPr>
                <w:rStyle w:val="IndexLink"/>
              </w:rPr>
              <w:t>437</w:t>
            </w:r>
          </w:hyperlink>
        </w:p>
        <w:p>
          <w:pPr>
            <w:pStyle w:val="Contents6"/>
            <w:tabs>
              <w:tab w:val="clear" w:pos="7609"/>
              <w:tab w:val="right" w:pos="9026" w:leader="dot"/>
            </w:tabs>
            <w:rPr/>
          </w:pPr>
          <w:hyperlink w:anchor="__RefHeading___Toc4192547_2142443653">
            <w:r>
              <w:rPr>
                <w:webHidden/>
                <w:rStyle w:val="IndexLink"/>
                <w:rtl w:val="true"/>
              </w:rPr>
              <w:t>السادس</w:t>
            </w:r>
            <w:r>
              <w:rPr>
                <w:rStyle w:val="IndexLink"/>
                <w:rtl w:val="true"/>
              </w:rPr>
              <w:t xml:space="preserve">: </w:t>
            </w:r>
            <w:r>
              <w:rPr>
                <w:rStyle w:val="IndexLink"/>
                <w:rtl w:val="true"/>
              </w:rPr>
              <w:t>لو اجتمع جنائز،</w:t>
            </w:r>
            <w:r>
              <w:rPr>
                <w:rStyle w:val="IndexLink"/>
                <w:rtl w:val="true"/>
              </w:rPr>
              <w:tab/>
            </w:r>
            <w:r>
              <w:rPr>
                <w:rStyle w:val="IndexLink"/>
              </w:rPr>
              <w:t>438</w:t>
            </w:r>
          </w:hyperlink>
        </w:p>
        <w:p>
          <w:pPr>
            <w:pStyle w:val="Contents6"/>
            <w:tabs>
              <w:tab w:val="clear" w:pos="7609"/>
              <w:tab w:val="right" w:pos="9026" w:leader="dot"/>
            </w:tabs>
            <w:rPr/>
          </w:pPr>
          <w:hyperlink w:anchor="__RefHeading___Toc4192549_2142443653">
            <w:r>
              <w:rPr>
                <w:webHidden/>
                <w:rStyle w:val="IndexLink"/>
                <w:rtl w:val="true"/>
              </w:rPr>
              <w:t>النظر الرابع</w:t>
            </w:r>
            <w:r>
              <w:rPr>
                <w:rStyle w:val="IndexLink"/>
                <w:rtl w:val="true"/>
              </w:rPr>
              <w:t xml:space="preserve">: </w:t>
            </w:r>
            <w:r>
              <w:rPr>
                <w:rStyle w:val="IndexLink"/>
                <w:rtl w:val="true"/>
              </w:rPr>
              <w:t>في الصلاة</w:t>
            </w:r>
            <w:r>
              <w:rPr>
                <w:rStyle w:val="IndexLink"/>
                <w:rtl w:val="true"/>
              </w:rPr>
              <w:t>.</w:t>
              <w:tab/>
            </w:r>
            <w:r>
              <w:rPr>
                <w:rStyle w:val="IndexLink"/>
              </w:rPr>
              <w:t>440</w:t>
            </w:r>
          </w:hyperlink>
        </w:p>
        <w:p>
          <w:pPr>
            <w:pStyle w:val="Contents6"/>
            <w:tabs>
              <w:tab w:val="clear" w:pos="7609"/>
              <w:tab w:val="right" w:pos="9026" w:leader="dot"/>
            </w:tabs>
            <w:rPr/>
          </w:pPr>
          <w:hyperlink w:anchor="__RefHeading___Toc4192551_2142443653">
            <w:r>
              <w:rPr>
                <w:webHidden/>
                <w:rStyle w:val="IndexLink"/>
                <w:rtl w:val="true"/>
              </w:rPr>
              <w:t>ومطالبه ثلاثة</w:t>
            </w:r>
            <w:r>
              <w:rPr>
                <w:rStyle w:val="IndexLink"/>
                <w:rtl w:val="true"/>
              </w:rPr>
              <w:tab/>
            </w:r>
            <w:r>
              <w:rPr>
                <w:rStyle w:val="IndexLink"/>
              </w:rPr>
              <w:t>440</w:t>
            </w:r>
          </w:hyperlink>
        </w:p>
        <w:p>
          <w:pPr>
            <w:pStyle w:val="Contents6"/>
            <w:tabs>
              <w:tab w:val="clear" w:pos="7609"/>
              <w:tab w:val="right" w:pos="9026" w:leader="dot"/>
            </w:tabs>
            <w:rPr/>
          </w:pPr>
          <w:hyperlink w:anchor="__RefHeading___Toc4192553_2142443653">
            <w:r>
              <w:rPr>
                <w:webHidden/>
                <w:rStyle w:val="IndexLink"/>
                <w:rtl w:val="true"/>
              </w:rPr>
              <w:t>المطلب الأول في واجبها،</w:t>
            </w:r>
            <w:r>
              <w:rPr>
                <w:rStyle w:val="IndexLink"/>
                <w:rtl w:val="true"/>
              </w:rPr>
              <w:tab/>
            </w:r>
            <w:r>
              <w:rPr>
                <w:rStyle w:val="IndexLink"/>
              </w:rPr>
              <w:t>440</w:t>
            </w:r>
          </w:hyperlink>
        </w:p>
        <w:p>
          <w:pPr>
            <w:pStyle w:val="Contents6"/>
            <w:tabs>
              <w:tab w:val="clear" w:pos="7609"/>
              <w:tab w:val="right" w:pos="9026" w:leader="dot"/>
            </w:tabs>
            <w:rPr/>
          </w:pPr>
          <w:hyperlink w:anchor="__RefHeading___Toc4192555_2142443653">
            <w:r>
              <w:rPr>
                <w:webHidden/>
                <w:rStyle w:val="IndexLink"/>
                <w:rtl w:val="true"/>
              </w:rPr>
              <w:t>اشارة</w:t>
            </w:r>
            <w:r>
              <w:rPr>
                <w:rStyle w:val="IndexLink"/>
                <w:rtl w:val="true"/>
              </w:rPr>
              <w:tab/>
            </w:r>
            <w:r>
              <w:rPr>
                <w:rStyle w:val="IndexLink"/>
              </w:rPr>
              <w:t>440</w:t>
            </w:r>
          </w:hyperlink>
        </w:p>
        <w:p>
          <w:pPr>
            <w:pStyle w:val="Contents6"/>
            <w:tabs>
              <w:tab w:val="clear" w:pos="7609"/>
              <w:tab w:val="right" w:pos="9026" w:leader="dot"/>
            </w:tabs>
            <w:rPr/>
          </w:pPr>
          <w:hyperlink w:anchor="__RefHeading___Toc4192557_2142443653">
            <w:r>
              <w:rPr>
                <w:webHidden/>
                <w:rStyle w:val="IndexLink"/>
                <w:rtl w:val="true"/>
              </w:rPr>
              <w:t>الأولى</w:t>
            </w:r>
            <w:r>
              <w:rPr>
                <w:rStyle w:val="IndexLink"/>
                <w:rtl w:val="true"/>
              </w:rPr>
              <w:t xml:space="preserve">: </w:t>
            </w:r>
            <w:r>
              <w:rPr>
                <w:rStyle w:val="IndexLink"/>
                <w:rtl w:val="true"/>
              </w:rPr>
              <w:t>تجب النيّة المشتملة على قصد الفعل على وجهه تقرّبا الى اللّه تعالى،</w:t>
            </w:r>
            <w:r>
              <w:rPr>
                <w:rStyle w:val="IndexLink"/>
                <w:rtl w:val="true"/>
              </w:rPr>
              <w:tab/>
            </w:r>
            <w:r>
              <w:rPr>
                <w:rStyle w:val="IndexLink"/>
              </w:rPr>
              <w:t>440</w:t>
            </w:r>
          </w:hyperlink>
        </w:p>
        <w:p>
          <w:pPr>
            <w:pStyle w:val="Contents6"/>
            <w:tabs>
              <w:tab w:val="clear" w:pos="7609"/>
              <w:tab w:val="right" w:pos="9026" w:leader="dot"/>
            </w:tabs>
            <w:rPr/>
          </w:pPr>
          <w:hyperlink w:anchor="__RefHeading___Toc4192559_2142443653">
            <w:r>
              <w:rPr>
                <w:webHidden/>
                <w:rStyle w:val="IndexLink"/>
                <w:rtl w:val="true"/>
              </w:rPr>
              <w:t>الثانية</w:t>
            </w:r>
            <w:r>
              <w:rPr>
                <w:rStyle w:val="IndexLink"/>
                <w:rtl w:val="true"/>
              </w:rPr>
              <w:t xml:space="preserve">: </w:t>
            </w:r>
            <w:r>
              <w:rPr>
                <w:rStyle w:val="IndexLink"/>
                <w:rtl w:val="true"/>
              </w:rPr>
              <w:t>يجب فيها القيام مع الإمكان إجماعا،</w:t>
            </w:r>
            <w:r>
              <w:rPr>
                <w:rStyle w:val="IndexLink"/>
                <w:rtl w:val="true"/>
              </w:rPr>
              <w:tab/>
            </w:r>
            <w:r>
              <w:rPr>
                <w:rStyle w:val="IndexLink"/>
              </w:rPr>
              <w:t>441</w:t>
            </w:r>
          </w:hyperlink>
        </w:p>
        <w:p>
          <w:pPr>
            <w:pStyle w:val="Contents6"/>
            <w:tabs>
              <w:tab w:val="clear" w:pos="7609"/>
              <w:tab w:val="right" w:pos="9026" w:leader="dot"/>
            </w:tabs>
            <w:rPr/>
          </w:pPr>
          <w:hyperlink w:anchor="__RefHeading___Toc4192561_2142443653">
            <w:r>
              <w:rPr>
                <w:webHidden/>
                <w:rStyle w:val="IndexLink"/>
                <w:rtl w:val="true"/>
              </w:rPr>
              <w:t>الثالثة</w:t>
            </w:r>
            <w:r>
              <w:rPr>
                <w:rStyle w:val="IndexLink"/>
                <w:rtl w:val="true"/>
              </w:rPr>
              <w:t xml:space="preserve">: </w:t>
            </w:r>
            <w:r>
              <w:rPr>
                <w:rStyle w:val="IndexLink"/>
                <w:rtl w:val="true"/>
              </w:rPr>
              <w:t>الأقرب وجوب ستر العورة مع الإمكان،</w:t>
            </w:r>
            <w:r>
              <w:rPr>
                <w:rStyle w:val="IndexLink"/>
                <w:rtl w:val="true"/>
              </w:rPr>
              <w:tab/>
            </w:r>
            <w:r>
              <w:rPr>
                <w:rStyle w:val="IndexLink"/>
              </w:rPr>
              <w:t>441</w:t>
            </w:r>
          </w:hyperlink>
        </w:p>
        <w:p>
          <w:pPr>
            <w:pStyle w:val="Contents6"/>
            <w:tabs>
              <w:tab w:val="clear" w:pos="7609"/>
              <w:tab w:val="right" w:pos="9026" w:leader="dot"/>
            </w:tabs>
            <w:rPr/>
          </w:pPr>
          <w:hyperlink w:anchor="__RefHeading___Toc4192563_2142443653">
            <w:r>
              <w:rPr>
                <w:webHidden/>
                <w:rStyle w:val="IndexLink"/>
                <w:rtl w:val="true"/>
              </w:rPr>
              <w:t>الرابعة</w:t>
            </w:r>
            <w:r>
              <w:rPr>
                <w:rStyle w:val="IndexLink"/>
                <w:rtl w:val="true"/>
              </w:rPr>
              <w:t xml:space="preserve">: </w:t>
            </w:r>
            <w:r>
              <w:rPr>
                <w:rStyle w:val="IndexLink"/>
                <w:rtl w:val="true"/>
              </w:rPr>
              <w:t>يجب فيها خمس تكبيرات،</w:t>
            </w:r>
            <w:r>
              <w:rPr>
                <w:rStyle w:val="IndexLink"/>
                <w:rtl w:val="true"/>
              </w:rPr>
              <w:tab/>
            </w:r>
            <w:r>
              <w:rPr>
                <w:rStyle w:val="IndexLink"/>
              </w:rPr>
              <w:t>442</w:t>
            </w:r>
          </w:hyperlink>
        </w:p>
        <w:p>
          <w:pPr>
            <w:pStyle w:val="Contents6"/>
            <w:tabs>
              <w:tab w:val="clear" w:pos="7609"/>
              <w:tab w:val="right" w:pos="9026" w:leader="dot"/>
            </w:tabs>
            <w:rPr/>
          </w:pPr>
          <w:hyperlink w:anchor="__RefHeading___Toc4192565_2142443653">
            <w:r>
              <w:rPr>
                <w:webHidden/>
                <w:rStyle w:val="IndexLink"/>
                <w:rtl w:val="true"/>
              </w:rPr>
              <w:t>الخامسة</w:t>
            </w:r>
            <w:r>
              <w:rPr>
                <w:rStyle w:val="IndexLink"/>
                <w:rtl w:val="true"/>
              </w:rPr>
              <w:t xml:space="preserve">: </w:t>
            </w:r>
            <w:r>
              <w:rPr>
                <w:rStyle w:val="IndexLink"/>
                <w:rtl w:val="true"/>
              </w:rPr>
              <w:t>الأقرب وجوب الأذكار الأربعة،</w:t>
            </w:r>
            <w:r>
              <w:rPr>
                <w:rStyle w:val="IndexLink"/>
                <w:rtl w:val="true"/>
              </w:rPr>
              <w:tab/>
            </w:r>
            <w:r>
              <w:rPr>
                <w:rStyle w:val="IndexLink"/>
              </w:rPr>
              <w:t>445</w:t>
            </w:r>
          </w:hyperlink>
        </w:p>
        <w:p>
          <w:pPr>
            <w:pStyle w:val="Contents6"/>
            <w:tabs>
              <w:tab w:val="clear" w:pos="7609"/>
              <w:tab w:val="right" w:pos="9026" w:leader="dot"/>
            </w:tabs>
            <w:rPr/>
          </w:pPr>
          <w:hyperlink w:anchor="__RefHeading___Toc4192567_2142443653">
            <w:r>
              <w:rPr>
                <w:webHidden/>
                <w:rStyle w:val="IndexLink"/>
                <w:rtl w:val="true"/>
              </w:rPr>
              <w:t>السادسة</w:t>
            </w:r>
            <w:r>
              <w:rPr>
                <w:rStyle w:val="IndexLink"/>
                <w:rtl w:val="true"/>
              </w:rPr>
              <w:t>:</w:t>
              <w:tab/>
            </w:r>
            <w:r>
              <w:rPr>
                <w:rStyle w:val="IndexLink"/>
              </w:rPr>
              <w:t>446</w:t>
            </w:r>
          </w:hyperlink>
        </w:p>
        <w:p>
          <w:pPr>
            <w:pStyle w:val="Contents6"/>
            <w:tabs>
              <w:tab w:val="clear" w:pos="7609"/>
              <w:tab w:val="right" w:pos="9026" w:leader="dot"/>
            </w:tabs>
            <w:rPr/>
          </w:pPr>
          <w:hyperlink w:anchor="__RefHeading___Toc4192569_2142443653">
            <w:r>
              <w:rPr>
                <w:webHidden/>
                <w:rStyle w:val="IndexLink"/>
                <w:rtl w:val="true"/>
              </w:rPr>
              <w:t>السابعة</w:t>
            </w:r>
            <w:r>
              <w:rPr>
                <w:rStyle w:val="IndexLink"/>
                <w:rtl w:val="true"/>
              </w:rPr>
              <w:t xml:space="preserve">: </w:t>
            </w:r>
            <w:r>
              <w:rPr>
                <w:rStyle w:val="IndexLink"/>
                <w:rtl w:val="true"/>
              </w:rPr>
              <w:t>هذا الدّعاء للمؤمنين،</w:t>
            </w:r>
            <w:r>
              <w:rPr>
                <w:rStyle w:val="IndexLink"/>
                <w:rtl w:val="true"/>
              </w:rPr>
              <w:tab/>
            </w:r>
            <w:r>
              <w:rPr>
                <w:rStyle w:val="IndexLink"/>
              </w:rPr>
              <w:t>449</w:t>
            </w:r>
          </w:hyperlink>
        </w:p>
        <w:p>
          <w:pPr>
            <w:pStyle w:val="Contents6"/>
            <w:tabs>
              <w:tab w:val="clear" w:pos="7609"/>
              <w:tab w:val="right" w:pos="9026" w:leader="dot"/>
            </w:tabs>
            <w:rPr/>
          </w:pPr>
          <w:hyperlink w:anchor="__RefHeading___Toc4192571_2142443653">
            <w:r>
              <w:rPr>
                <w:webHidden/>
                <w:rStyle w:val="IndexLink"/>
                <w:rtl w:val="true"/>
              </w:rPr>
              <w:t>الثامنة</w:t>
            </w:r>
            <w:r>
              <w:rPr>
                <w:rStyle w:val="IndexLink"/>
                <w:rtl w:val="true"/>
              </w:rPr>
              <w:t xml:space="preserve">: </w:t>
            </w:r>
            <w:r>
              <w:rPr>
                <w:rStyle w:val="IndexLink"/>
                <w:rtl w:val="true"/>
              </w:rPr>
              <w:t>لا تجب فيها الطهارة إجماعا منّا،</w:t>
            </w:r>
            <w:r>
              <w:rPr>
                <w:rStyle w:val="IndexLink"/>
                <w:rtl w:val="true"/>
              </w:rPr>
              <w:tab/>
            </w:r>
            <w:r>
              <w:rPr>
                <w:rStyle w:val="IndexLink"/>
              </w:rPr>
              <w:t>453</w:t>
            </w:r>
          </w:hyperlink>
        </w:p>
        <w:p>
          <w:pPr>
            <w:pStyle w:val="Contents6"/>
            <w:tabs>
              <w:tab w:val="clear" w:pos="7609"/>
              <w:tab w:val="right" w:pos="9026" w:leader="dot"/>
            </w:tabs>
            <w:rPr/>
          </w:pPr>
          <w:hyperlink w:anchor="__RefHeading___Toc4192573_2142443653">
            <w:r>
              <w:rPr>
                <w:webHidden/>
                <w:rStyle w:val="IndexLink"/>
                <w:rtl w:val="true"/>
              </w:rPr>
              <w:t>التاسعة</w:t>
            </w:r>
            <w:r>
              <w:rPr>
                <w:rStyle w:val="IndexLink"/>
                <w:rtl w:val="true"/>
              </w:rPr>
              <w:t xml:space="preserve">: </w:t>
            </w:r>
            <w:r>
              <w:rPr>
                <w:rStyle w:val="IndexLink"/>
                <w:rtl w:val="true"/>
              </w:rPr>
              <w:t>لا تجب فيها القراءة باتفاقنا،</w:t>
            </w:r>
            <w:r>
              <w:rPr>
                <w:rStyle w:val="IndexLink"/>
                <w:rtl w:val="true"/>
              </w:rPr>
              <w:tab/>
            </w:r>
            <w:r>
              <w:rPr>
                <w:rStyle w:val="IndexLink"/>
              </w:rPr>
              <w:t>454</w:t>
            </w:r>
          </w:hyperlink>
        </w:p>
        <w:p>
          <w:pPr>
            <w:pStyle w:val="Contents6"/>
            <w:tabs>
              <w:tab w:val="clear" w:pos="7609"/>
              <w:tab w:val="right" w:pos="9026" w:leader="dot"/>
            </w:tabs>
            <w:rPr/>
          </w:pPr>
          <w:hyperlink w:anchor="__RefHeading___Toc4192575_2142443653">
            <w:r>
              <w:rPr>
                <w:webHidden/>
                <w:rStyle w:val="IndexLink"/>
                <w:rtl w:val="true"/>
              </w:rPr>
              <w:t>العاشرة</w:t>
            </w:r>
            <w:r>
              <w:rPr>
                <w:rStyle w:val="IndexLink"/>
                <w:rtl w:val="true"/>
              </w:rPr>
              <w:t xml:space="preserve">: </w:t>
            </w:r>
            <w:r>
              <w:rPr>
                <w:rStyle w:val="IndexLink"/>
                <w:rtl w:val="true"/>
              </w:rPr>
              <w:t>أجمع الأصحاب على سقوط التسليم فيها،</w:t>
            </w:r>
            <w:r>
              <w:rPr>
                <w:rStyle w:val="IndexLink"/>
                <w:rtl w:val="true"/>
              </w:rPr>
              <w:tab/>
            </w:r>
            <w:r>
              <w:rPr>
                <w:rStyle w:val="IndexLink"/>
              </w:rPr>
              <w:t>455</w:t>
            </w:r>
          </w:hyperlink>
        </w:p>
        <w:p>
          <w:pPr>
            <w:pStyle w:val="Contents6"/>
            <w:tabs>
              <w:tab w:val="clear" w:pos="7609"/>
              <w:tab w:val="right" w:pos="9026" w:leader="dot"/>
            </w:tabs>
            <w:rPr/>
          </w:pPr>
          <w:hyperlink w:anchor="__RefHeading___Toc4192577_2142443653">
            <w:r>
              <w:rPr>
                <w:webHidden/>
                <w:rStyle w:val="IndexLink"/>
                <w:rtl w:val="true"/>
              </w:rPr>
              <w:t>الحادية عشرة</w:t>
            </w:r>
            <w:r>
              <w:rPr>
                <w:rStyle w:val="IndexLink"/>
                <w:rtl w:val="true"/>
              </w:rPr>
              <w:t xml:space="preserve">: </w:t>
            </w:r>
            <w:r>
              <w:rPr>
                <w:rStyle w:val="IndexLink"/>
                <w:rtl w:val="true"/>
              </w:rPr>
              <w:t>يجب فيها استقبال المصلّي،</w:t>
            </w:r>
            <w:r>
              <w:rPr>
                <w:rStyle w:val="IndexLink"/>
                <w:rtl w:val="true"/>
              </w:rPr>
              <w:tab/>
            </w:r>
            <w:r>
              <w:rPr>
                <w:rStyle w:val="IndexLink"/>
              </w:rPr>
              <w:t>457</w:t>
            </w:r>
          </w:hyperlink>
        </w:p>
        <w:p>
          <w:pPr>
            <w:pStyle w:val="Contents6"/>
            <w:tabs>
              <w:tab w:val="clear" w:pos="7609"/>
              <w:tab w:val="right" w:pos="9026" w:leader="dot"/>
            </w:tabs>
            <w:rPr/>
          </w:pPr>
          <w:hyperlink w:anchor="__RefHeading___Toc4192579_2142443653">
            <w:r>
              <w:rPr>
                <w:webHidden/>
                <w:rStyle w:val="IndexLink"/>
                <w:rtl w:val="true"/>
              </w:rPr>
              <w:t>الثانية عشرة</w:t>
            </w:r>
            <w:r>
              <w:rPr>
                <w:rStyle w:val="IndexLink"/>
                <w:rtl w:val="true"/>
              </w:rPr>
              <w:t xml:space="preserve">: </w:t>
            </w:r>
            <w:r>
              <w:rPr>
                <w:rStyle w:val="IndexLink"/>
                <w:rtl w:val="true"/>
              </w:rPr>
              <w:t>الأجود ترك ما يترك في ذات الركوع،</w:t>
            </w:r>
            <w:r>
              <w:rPr>
                <w:rStyle w:val="IndexLink"/>
                <w:rtl w:val="true"/>
              </w:rPr>
              <w:tab/>
            </w:r>
            <w:r>
              <w:rPr>
                <w:rStyle w:val="IndexLink"/>
              </w:rPr>
              <w:t>459</w:t>
            </w:r>
          </w:hyperlink>
        </w:p>
        <w:p>
          <w:pPr>
            <w:pStyle w:val="Contents6"/>
            <w:tabs>
              <w:tab w:val="clear" w:pos="7609"/>
              <w:tab w:val="right" w:pos="9026" w:leader="dot"/>
            </w:tabs>
            <w:rPr/>
          </w:pPr>
          <w:hyperlink w:anchor="__RefHeading___Toc4192581_2142443653">
            <w:r>
              <w:rPr>
                <w:webHidden/>
                <w:rStyle w:val="IndexLink"/>
                <w:rtl w:val="true"/>
              </w:rPr>
              <w:t>المطلب الثاني</w:t>
            </w:r>
            <w:r>
              <w:rPr>
                <w:rStyle w:val="IndexLink"/>
                <w:rtl w:val="true"/>
              </w:rPr>
              <w:t xml:space="preserve">: </w:t>
            </w:r>
            <w:r>
              <w:rPr>
                <w:rStyle w:val="IndexLink"/>
                <w:rtl w:val="true"/>
              </w:rPr>
              <w:t>في سننها</w:t>
            </w:r>
            <w:r>
              <w:rPr>
                <w:rStyle w:val="IndexLink"/>
                <w:rtl w:val="true"/>
              </w:rPr>
              <w:t>.</w:t>
              <w:tab/>
            </w:r>
            <w:r>
              <w:rPr>
                <w:rStyle w:val="IndexLink"/>
              </w:rPr>
              <w:t>460</w:t>
            </w:r>
          </w:hyperlink>
        </w:p>
        <w:p>
          <w:pPr>
            <w:pStyle w:val="Contents6"/>
            <w:tabs>
              <w:tab w:val="clear" w:pos="7609"/>
              <w:tab w:val="right" w:pos="9026" w:leader="dot"/>
            </w:tabs>
            <w:rPr/>
          </w:pPr>
          <w:hyperlink w:anchor="__RefHeading___Toc4192583_2142443653">
            <w:r>
              <w:rPr>
                <w:webHidden/>
                <w:rStyle w:val="IndexLink"/>
                <w:rtl w:val="true"/>
              </w:rPr>
              <w:t>اشارة</w:t>
            </w:r>
            <w:r>
              <w:rPr>
                <w:rStyle w:val="IndexLink"/>
                <w:rtl w:val="true"/>
              </w:rPr>
              <w:tab/>
            </w:r>
            <w:r>
              <w:rPr>
                <w:rStyle w:val="IndexLink"/>
              </w:rPr>
              <w:t>460</w:t>
            </w:r>
          </w:hyperlink>
        </w:p>
        <w:p>
          <w:pPr>
            <w:pStyle w:val="Contents6"/>
            <w:tabs>
              <w:tab w:val="clear" w:pos="7609"/>
              <w:tab w:val="right" w:pos="9026" w:leader="dot"/>
            </w:tabs>
            <w:rPr/>
          </w:pPr>
          <w:hyperlink w:anchor="__RefHeading___Toc4192585_2142443653">
            <w:r>
              <w:rPr>
                <w:webHidden/>
                <w:rStyle w:val="IndexLink"/>
                <w:rtl w:val="true"/>
              </w:rPr>
              <w:t>الأول</w:t>
            </w:r>
            <w:r>
              <w:rPr>
                <w:rStyle w:val="IndexLink"/>
                <w:rtl w:val="true"/>
              </w:rPr>
              <w:t xml:space="preserve">: </w:t>
            </w:r>
            <w:r>
              <w:rPr>
                <w:rStyle w:val="IndexLink"/>
                <w:rtl w:val="true"/>
              </w:rPr>
              <w:t>يستحبّ كثرة المصلّين،</w:t>
            </w:r>
            <w:r>
              <w:rPr>
                <w:rStyle w:val="IndexLink"/>
                <w:rtl w:val="true"/>
              </w:rPr>
              <w:tab/>
            </w:r>
            <w:r>
              <w:rPr>
                <w:rStyle w:val="IndexLink"/>
              </w:rPr>
              <w:t>460</w:t>
            </w:r>
          </w:hyperlink>
        </w:p>
        <w:p>
          <w:pPr>
            <w:pStyle w:val="Contents6"/>
            <w:tabs>
              <w:tab w:val="clear" w:pos="7609"/>
              <w:tab w:val="right" w:pos="9026" w:leader="dot"/>
            </w:tabs>
            <w:rPr/>
          </w:pPr>
          <w:hyperlink w:anchor="__RefHeading___Toc4192587_2142443653">
            <w:r>
              <w:rPr>
                <w:webHidden/>
                <w:rStyle w:val="IndexLink"/>
                <w:rtl w:val="true"/>
              </w:rPr>
              <w:t>الثانية</w:t>
            </w:r>
            <w:r>
              <w:rPr>
                <w:rStyle w:val="IndexLink"/>
                <w:rtl w:val="true"/>
              </w:rPr>
              <w:t xml:space="preserve">: </w:t>
            </w:r>
            <w:r>
              <w:rPr>
                <w:rStyle w:val="IndexLink"/>
                <w:rtl w:val="true"/>
              </w:rPr>
              <w:t>يستحبّ نزع الحذاء، لا الخف،</w:t>
            </w:r>
            <w:r>
              <w:rPr>
                <w:rStyle w:val="IndexLink"/>
                <w:rtl w:val="true"/>
              </w:rPr>
              <w:tab/>
            </w:r>
            <w:r>
              <w:rPr>
                <w:rStyle w:val="IndexLink"/>
              </w:rPr>
              <w:t>462</w:t>
            </w:r>
          </w:hyperlink>
        </w:p>
        <w:p>
          <w:pPr>
            <w:pStyle w:val="Contents6"/>
            <w:tabs>
              <w:tab w:val="clear" w:pos="7609"/>
              <w:tab w:val="right" w:pos="9026" w:leader="dot"/>
            </w:tabs>
            <w:rPr/>
          </w:pPr>
          <w:hyperlink w:anchor="__RefHeading___Toc4192589_2142443653">
            <w:r>
              <w:rPr>
                <w:webHidden/>
                <w:rStyle w:val="IndexLink"/>
                <w:rtl w:val="true"/>
              </w:rPr>
              <w:t>الثالثة</w:t>
            </w:r>
            <w:r>
              <w:rPr>
                <w:rStyle w:val="IndexLink"/>
                <w:rtl w:val="true"/>
              </w:rPr>
              <w:t xml:space="preserve">: </w:t>
            </w:r>
            <w:r>
              <w:rPr>
                <w:rStyle w:val="IndexLink"/>
                <w:rtl w:val="true"/>
              </w:rPr>
              <w:t>ينبغي ان يكون بين الإمام و الميت شيء يسير،</w:t>
            </w:r>
            <w:r>
              <w:rPr>
                <w:rStyle w:val="IndexLink"/>
                <w:rtl w:val="true"/>
              </w:rPr>
              <w:tab/>
            </w:r>
            <w:r>
              <w:rPr>
                <w:rStyle w:val="IndexLink"/>
              </w:rPr>
              <w:t>463</w:t>
            </w:r>
          </w:hyperlink>
        </w:p>
        <w:p>
          <w:pPr>
            <w:pStyle w:val="Contents6"/>
            <w:tabs>
              <w:tab w:val="clear" w:pos="7609"/>
              <w:tab w:val="right" w:pos="9026" w:leader="dot"/>
            </w:tabs>
            <w:rPr/>
          </w:pPr>
          <w:hyperlink w:anchor="__RefHeading___Toc4192591_2142443653">
            <w:r>
              <w:rPr>
                <w:webHidden/>
                <w:rStyle w:val="IndexLink"/>
                <w:rtl w:val="true"/>
              </w:rPr>
              <w:t>الرابعة</w:t>
            </w:r>
            <w:r>
              <w:rPr>
                <w:rStyle w:val="IndexLink"/>
                <w:rtl w:val="true"/>
              </w:rPr>
              <w:t xml:space="preserve">: </w:t>
            </w:r>
            <w:r>
              <w:rPr>
                <w:rStyle w:val="IndexLink"/>
                <w:rtl w:val="true"/>
              </w:rPr>
              <w:t>لا كراهة في فعلها في الأوقات الخمسة في أشهر الأخبار،</w:t>
            </w:r>
            <w:r>
              <w:rPr>
                <w:rStyle w:val="IndexLink"/>
                <w:rtl w:val="true"/>
              </w:rPr>
              <w:tab/>
            </w:r>
            <w:r>
              <w:rPr>
                <w:rStyle w:val="IndexLink"/>
              </w:rPr>
              <w:t>464</w:t>
            </w:r>
          </w:hyperlink>
        </w:p>
        <w:p>
          <w:pPr>
            <w:pStyle w:val="Contents6"/>
            <w:tabs>
              <w:tab w:val="clear" w:pos="7609"/>
              <w:tab w:val="right" w:pos="9026" w:leader="dot"/>
            </w:tabs>
            <w:rPr/>
          </w:pPr>
          <w:hyperlink w:anchor="__RefHeading___Toc4192593_2142443653">
            <w:r>
              <w:rPr>
                <w:webHidden/>
                <w:rStyle w:val="IndexLink"/>
                <w:rtl w:val="true"/>
              </w:rPr>
              <w:t>الخامسة</w:t>
            </w:r>
            <w:r>
              <w:rPr>
                <w:rStyle w:val="IndexLink"/>
                <w:rtl w:val="true"/>
              </w:rPr>
              <w:t xml:space="preserve">: </w:t>
            </w:r>
            <w:r>
              <w:rPr>
                <w:rStyle w:val="IndexLink"/>
                <w:rtl w:val="true"/>
              </w:rPr>
              <w:t>الأفضل وقوف الإمام عند وسط الرجل و صدر المرأة،</w:t>
            </w:r>
            <w:r>
              <w:rPr>
                <w:rStyle w:val="IndexLink"/>
                <w:rtl w:val="true"/>
              </w:rPr>
              <w:tab/>
            </w:r>
            <w:r>
              <w:rPr>
                <w:rStyle w:val="IndexLink"/>
              </w:rPr>
              <w:t>466</w:t>
            </w:r>
          </w:hyperlink>
        </w:p>
        <w:p>
          <w:pPr>
            <w:pStyle w:val="Contents6"/>
            <w:tabs>
              <w:tab w:val="clear" w:pos="7609"/>
              <w:tab w:val="right" w:pos="9026" w:leader="dot"/>
            </w:tabs>
            <w:rPr/>
          </w:pPr>
          <w:hyperlink w:anchor="__RefHeading___Toc4192595_2142443653">
            <w:r>
              <w:rPr>
                <w:webHidden/>
                <w:rStyle w:val="IndexLink"/>
                <w:rtl w:val="true"/>
              </w:rPr>
              <w:t>السادسة</w:t>
            </w:r>
            <w:r>
              <w:rPr>
                <w:rStyle w:val="IndexLink"/>
                <w:rtl w:val="true"/>
              </w:rPr>
              <w:t xml:space="preserve">: </w:t>
            </w:r>
            <w:r>
              <w:rPr>
                <w:rStyle w:val="IndexLink"/>
                <w:rtl w:val="true"/>
              </w:rPr>
              <w:t>لو تعدّدوا أجزأت الصلاة الواحدة،</w:t>
            </w:r>
            <w:r>
              <w:rPr>
                <w:rStyle w:val="IndexLink"/>
                <w:rtl w:val="true"/>
              </w:rPr>
              <w:tab/>
            </w:r>
            <w:r>
              <w:rPr>
                <w:rStyle w:val="IndexLink"/>
              </w:rPr>
              <w:t>467</w:t>
            </w:r>
          </w:hyperlink>
        </w:p>
        <w:p>
          <w:pPr>
            <w:pStyle w:val="Contents6"/>
            <w:tabs>
              <w:tab w:val="clear" w:pos="7609"/>
              <w:tab w:val="right" w:pos="9026" w:leader="dot"/>
            </w:tabs>
            <w:rPr/>
          </w:pPr>
          <w:hyperlink w:anchor="__RefHeading___Toc4192597_2142443653">
            <w:r>
              <w:rPr>
                <w:webHidden/>
                <w:rStyle w:val="IndexLink"/>
                <w:rtl w:val="true"/>
              </w:rPr>
              <w:t>السابعة</w:t>
            </w:r>
            <w:r>
              <w:rPr>
                <w:rStyle w:val="IndexLink"/>
                <w:rtl w:val="true"/>
              </w:rPr>
              <w:t xml:space="preserve">: </w:t>
            </w:r>
            <w:r>
              <w:rPr>
                <w:rStyle w:val="IndexLink"/>
                <w:rtl w:val="true"/>
              </w:rPr>
              <w:t>لو اجتمع الرجال صفّوا مدرّجا،</w:t>
            </w:r>
            <w:r>
              <w:rPr>
                <w:rStyle w:val="IndexLink"/>
                <w:rtl w:val="true"/>
              </w:rPr>
              <w:tab/>
            </w:r>
            <w:r>
              <w:rPr>
                <w:rStyle w:val="IndexLink"/>
              </w:rPr>
              <w:t>469</w:t>
            </w:r>
          </w:hyperlink>
        </w:p>
        <w:p>
          <w:pPr>
            <w:pStyle w:val="Contents6"/>
            <w:tabs>
              <w:tab w:val="clear" w:pos="7609"/>
              <w:tab w:val="right" w:pos="9026" w:leader="dot"/>
            </w:tabs>
            <w:rPr/>
          </w:pPr>
          <w:hyperlink w:anchor="__RefHeading___Toc4192599_2142443653">
            <w:r>
              <w:rPr>
                <w:webHidden/>
                <w:rStyle w:val="IndexLink"/>
                <w:rtl w:val="true"/>
              </w:rPr>
              <w:t>الثامنة</w:t>
            </w:r>
            <w:r>
              <w:rPr>
                <w:rStyle w:val="IndexLink"/>
                <w:rtl w:val="true"/>
              </w:rPr>
              <w:t xml:space="preserve">: </w:t>
            </w:r>
            <w:r>
              <w:rPr>
                <w:rStyle w:val="IndexLink"/>
                <w:rtl w:val="true"/>
              </w:rPr>
              <w:t>الإجماع على استحباب رفع اليدين في التكبير الأول</w:t>
            </w:r>
            <w:r>
              <w:rPr>
                <w:rStyle w:val="IndexLink"/>
                <w:rtl w:val="true"/>
              </w:rPr>
              <w:t>.</w:t>
              <w:tab/>
            </w:r>
            <w:r>
              <w:rPr>
                <w:rStyle w:val="IndexLink"/>
              </w:rPr>
              <w:t>470</w:t>
            </w:r>
          </w:hyperlink>
        </w:p>
        <w:p>
          <w:pPr>
            <w:pStyle w:val="Contents6"/>
            <w:tabs>
              <w:tab w:val="clear" w:pos="7609"/>
              <w:tab w:val="right" w:pos="9026" w:leader="dot"/>
            </w:tabs>
            <w:rPr/>
          </w:pPr>
          <w:hyperlink w:anchor="__RefHeading___Toc4192601_2142443653">
            <w:r>
              <w:rPr>
                <w:webHidden/>
                <w:rStyle w:val="IndexLink"/>
                <w:rtl w:val="true"/>
              </w:rPr>
              <w:t>التاسعة</w:t>
            </w:r>
            <w:r>
              <w:rPr>
                <w:rStyle w:val="IndexLink"/>
                <w:rtl w:val="true"/>
              </w:rPr>
              <w:t xml:space="preserve">: </w:t>
            </w:r>
            <w:r>
              <w:rPr>
                <w:rStyle w:val="IndexLink"/>
                <w:rtl w:val="true"/>
              </w:rPr>
              <w:t>لا يستحبّ دعاء الاستفتاح عندنا،</w:t>
            </w:r>
            <w:r>
              <w:rPr>
                <w:rStyle w:val="IndexLink"/>
                <w:rtl w:val="true"/>
              </w:rPr>
              <w:tab/>
            </w:r>
            <w:r>
              <w:rPr>
                <w:rStyle w:val="IndexLink"/>
              </w:rPr>
              <w:t>471</w:t>
            </w:r>
          </w:hyperlink>
        </w:p>
        <w:p>
          <w:pPr>
            <w:pStyle w:val="Contents6"/>
            <w:tabs>
              <w:tab w:val="clear" w:pos="7609"/>
              <w:tab w:val="right" w:pos="9026" w:leader="dot"/>
            </w:tabs>
            <w:rPr/>
          </w:pPr>
          <w:hyperlink w:anchor="__RefHeading___Toc4192603_2142443653">
            <w:r>
              <w:rPr>
                <w:webHidden/>
                <w:rStyle w:val="IndexLink"/>
                <w:rtl w:val="true"/>
              </w:rPr>
              <w:t>المطلب الثالث</w:t>
            </w:r>
            <w:r>
              <w:rPr>
                <w:rStyle w:val="IndexLink"/>
                <w:rtl w:val="true"/>
              </w:rPr>
              <w:t xml:space="preserve">: </w:t>
            </w:r>
            <w:r>
              <w:rPr>
                <w:rStyle w:val="IndexLink"/>
                <w:rtl w:val="true"/>
              </w:rPr>
              <w:t>في اللواحق</w:t>
            </w:r>
            <w:r>
              <w:rPr>
                <w:rStyle w:val="IndexLink"/>
                <w:rtl w:val="true"/>
              </w:rPr>
              <w:tab/>
            </w:r>
            <w:r>
              <w:rPr>
                <w:rStyle w:val="IndexLink"/>
              </w:rPr>
              <w:t>474</w:t>
            </w:r>
          </w:hyperlink>
        </w:p>
        <w:p>
          <w:pPr>
            <w:pStyle w:val="Contents6"/>
            <w:tabs>
              <w:tab w:val="clear" w:pos="7609"/>
              <w:tab w:val="right" w:pos="9026" w:leader="dot"/>
            </w:tabs>
            <w:rPr/>
          </w:pPr>
          <w:hyperlink w:anchor="__RefHeading___Toc4192605_2142443653">
            <w:r>
              <w:rPr>
                <w:webHidden/>
                <w:rStyle w:val="IndexLink"/>
                <w:rtl w:val="true"/>
              </w:rPr>
              <w:t>اشارة</w:t>
            </w:r>
            <w:r>
              <w:rPr>
                <w:rStyle w:val="IndexLink"/>
                <w:rtl w:val="true"/>
              </w:rPr>
              <w:tab/>
            </w:r>
            <w:r>
              <w:rPr>
                <w:rStyle w:val="IndexLink"/>
              </w:rPr>
              <w:t>474</w:t>
            </w:r>
          </w:hyperlink>
        </w:p>
        <w:p>
          <w:pPr>
            <w:pStyle w:val="Contents6"/>
            <w:tabs>
              <w:tab w:val="clear" w:pos="7609"/>
              <w:tab w:val="right" w:pos="9026" w:leader="dot"/>
            </w:tabs>
            <w:rPr/>
          </w:pPr>
          <w:hyperlink w:anchor="__RefHeading___Toc4192607_2142443653">
            <w:r>
              <w:rPr>
                <w:webHidden/>
                <w:rStyle w:val="IndexLink"/>
                <w:rtl w:val="true"/>
              </w:rPr>
              <w:t>الأولى</w:t>
            </w:r>
            <w:r>
              <w:rPr>
                <w:rStyle w:val="IndexLink"/>
                <w:rtl w:val="true"/>
              </w:rPr>
              <w:t xml:space="preserve">: </w:t>
            </w:r>
            <w:r>
              <w:rPr>
                <w:rStyle w:val="IndexLink"/>
                <w:rtl w:val="true"/>
              </w:rPr>
              <w:t>لا يتحمّل الإمام هنا عن المأموم شيئا من الأذكار،</w:t>
            </w:r>
            <w:r>
              <w:rPr>
                <w:rStyle w:val="IndexLink"/>
                <w:rtl w:val="true"/>
              </w:rPr>
              <w:tab/>
            </w:r>
            <w:r>
              <w:rPr>
                <w:rStyle w:val="IndexLink"/>
              </w:rPr>
              <w:t>474</w:t>
            </w:r>
          </w:hyperlink>
        </w:p>
        <w:p>
          <w:pPr>
            <w:pStyle w:val="Contents6"/>
            <w:tabs>
              <w:tab w:val="clear" w:pos="7609"/>
              <w:tab w:val="right" w:pos="9026" w:leader="dot"/>
            </w:tabs>
            <w:rPr/>
          </w:pPr>
          <w:hyperlink w:anchor="__RefHeading___Toc4192609_2142443653">
            <w:r>
              <w:rPr>
                <w:webHidden/>
                <w:rStyle w:val="IndexLink"/>
                <w:rtl w:val="true"/>
              </w:rPr>
              <w:t>الثانية</w:t>
            </w:r>
            <w:r>
              <w:rPr>
                <w:rStyle w:val="IndexLink"/>
                <w:rtl w:val="true"/>
              </w:rPr>
              <w:t xml:space="preserve">: </w:t>
            </w:r>
            <w:r>
              <w:rPr>
                <w:rStyle w:val="IndexLink"/>
                <w:rtl w:val="true"/>
              </w:rPr>
              <w:t>يجوز الدخول في أثنائها</w:t>
            </w:r>
            <w:r>
              <w:rPr>
                <w:rStyle w:val="IndexLink"/>
                <w:rtl w:val="true"/>
              </w:rPr>
              <w:tab/>
            </w:r>
            <w:r>
              <w:rPr>
                <w:rStyle w:val="IndexLink"/>
              </w:rPr>
              <w:t>474</w:t>
            </w:r>
          </w:hyperlink>
        </w:p>
        <w:p>
          <w:pPr>
            <w:pStyle w:val="Contents6"/>
            <w:tabs>
              <w:tab w:val="clear" w:pos="7609"/>
              <w:tab w:val="right" w:pos="9026" w:leader="dot"/>
            </w:tabs>
            <w:rPr/>
          </w:pPr>
          <w:hyperlink w:anchor="__RefHeading___Toc4192611_2142443653">
            <w:r>
              <w:rPr>
                <w:webHidden/>
                <w:rStyle w:val="IndexLink"/>
                <w:rtl w:val="true"/>
              </w:rPr>
              <w:t>الثالثة</w:t>
            </w:r>
            <w:r>
              <w:rPr>
                <w:rStyle w:val="IndexLink"/>
                <w:rtl w:val="true"/>
              </w:rPr>
              <w:t xml:space="preserve">: </w:t>
            </w:r>
            <w:r>
              <w:rPr>
                <w:rStyle w:val="IndexLink"/>
                <w:rtl w:val="true"/>
              </w:rPr>
              <w:t>لو سبق المأموم بتكبيرة فصاعدا متعمّدا أثم و أجزأ</w:t>
            </w:r>
            <w:r>
              <w:rPr>
                <w:rStyle w:val="IndexLink"/>
                <w:rtl w:val="true"/>
              </w:rPr>
              <w:t>.</w:t>
              <w:tab/>
            </w:r>
            <w:r>
              <w:rPr>
                <w:rStyle w:val="IndexLink"/>
              </w:rPr>
              <w:t>475</w:t>
            </w:r>
          </w:hyperlink>
        </w:p>
        <w:p>
          <w:pPr>
            <w:pStyle w:val="Contents6"/>
            <w:tabs>
              <w:tab w:val="clear" w:pos="7609"/>
              <w:tab w:val="right" w:pos="9026" w:leader="dot"/>
            </w:tabs>
            <w:rPr/>
          </w:pPr>
          <w:hyperlink w:anchor="__RefHeading___Toc4192613_2142443653">
            <w:r>
              <w:rPr>
                <w:webHidden/>
                <w:rStyle w:val="IndexLink"/>
                <w:rtl w:val="true"/>
              </w:rPr>
              <w:t>الرابعة</w:t>
            </w:r>
            <w:r>
              <w:rPr>
                <w:rStyle w:val="IndexLink"/>
                <w:rtl w:val="true"/>
              </w:rPr>
              <w:t xml:space="preserve">: </w:t>
            </w:r>
            <w:r>
              <w:rPr>
                <w:rStyle w:val="IndexLink"/>
                <w:rtl w:val="true"/>
              </w:rPr>
              <w:t>لو حضرت جنازة أخرى في أثناء الصلاة،</w:t>
            </w:r>
            <w:r>
              <w:rPr>
                <w:rStyle w:val="IndexLink"/>
                <w:rtl w:val="true"/>
              </w:rPr>
              <w:tab/>
            </w:r>
            <w:r>
              <w:rPr>
                <w:rStyle w:val="IndexLink"/>
              </w:rPr>
              <w:t>476</w:t>
            </w:r>
          </w:hyperlink>
        </w:p>
        <w:p>
          <w:pPr>
            <w:pStyle w:val="Contents6"/>
            <w:tabs>
              <w:tab w:val="clear" w:pos="7609"/>
              <w:tab w:val="right" w:pos="9026" w:leader="dot"/>
            </w:tabs>
            <w:rPr/>
          </w:pPr>
          <w:hyperlink w:anchor="__RefHeading___Toc4192615_2142443653">
            <w:r>
              <w:rPr>
                <w:webHidden/>
                <w:rStyle w:val="IndexLink"/>
                <w:rtl w:val="true"/>
              </w:rPr>
              <w:t>الخامسة</w:t>
            </w:r>
            <w:r>
              <w:rPr>
                <w:rStyle w:val="IndexLink"/>
                <w:rtl w:val="true"/>
              </w:rPr>
              <w:t xml:space="preserve">: </w:t>
            </w:r>
            <w:r>
              <w:rPr>
                <w:rStyle w:val="IndexLink"/>
                <w:rtl w:val="true"/>
              </w:rPr>
              <w:t>يستحبّ ملازمة الإمام مكانه</w:t>
            </w:r>
            <w:r>
              <w:rPr>
                <w:rStyle w:val="IndexLink"/>
                <w:rtl w:val="true"/>
              </w:rPr>
              <w:tab/>
            </w:r>
            <w:r>
              <w:rPr>
                <w:rStyle w:val="IndexLink"/>
              </w:rPr>
              <w:t>477</w:t>
            </w:r>
          </w:hyperlink>
        </w:p>
        <w:p>
          <w:pPr>
            <w:pStyle w:val="Contents6"/>
            <w:tabs>
              <w:tab w:val="clear" w:pos="7609"/>
              <w:tab w:val="right" w:pos="9026" w:leader="dot"/>
            </w:tabs>
            <w:rPr/>
          </w:pPr>
          <w:hyperlink w:anchor="__RefHeading___Toc4192617_2142443653">
            <w:r>
              <w:rPr>
                <w:webHidden/>
                <w:rStyle w:val="IndexLink"/>
                <w:rtl w:val="true"/>
              </w:rPr>
              <w:t>السادسة</w:t>
            </w:r>
            <w:r>
              <w:rPr>
                <w:rStyle w:val="IndexLink"/>
                <w:rtl w:val="true"/>
              </w:rPr>
              <w:t xml:space="preserve">: </w:t>
            </w:r>
            <w:r>
              <w:rPr>
                <w:rStyle w:val="IndexLink"/>
                <w:rtl w:val="true"/>
              </w:rPr>
              <w:t xml:space="preserve">تضمّن خبر أم سلمة الصلاة على الأنبياء من فعل النبي </w:t>
            </w:r>
            <w:r>
              <w:rPr>
                <w:rStyle w:val="IndexLink"/>
                <w:rtl w:val="true"/>
              </w:rPr>
              <w:t>(</w:t>
            </w:r>
            <w:r>
              <w:rPr>
                <w:rStyle w:val="IndexLink"/>
                <w:rtl w:val="true"/>
              </w:rPr>
              <w:t>صلّى اللّه عليه و آله</w:t>
            </w:r>
            <w:r>
              <w:rPr>
                <w:rStyle w:val="IndexLink"/>
                <w:rtl w:val="true"/>
              </w:rPr>
              <w:t>)</w:t>
              <w:tab/>
            </w:r>
            <w:r>
              <w:rPr>
                <w:rStyle w:val="IndexLink"/>
              </w:rPr>
              <w:t>477</w:t>
            </w:r>
          </w:hyperlink>
        </w:p>
        <w:p>
          <w:pPr>
            <w:pStyle w:val="Contents6"/>
            <w:tabs>
              <w:tab w:val="clear" w:pos="7609"/>
              <w:tab w:val="right" w:pos="9026" w:leader="dot"/>
            </w:tabs>
            <w:rPr/>
          </w:pPr>
          <w:hyperlink w:anchor="__RefHeading___Toc4192619_2142443653">
            <w:r>
              <w:rPr>
                <w:webHidden/>
                <w:rStyle w:val="IndexLink"/>
                <w:rtl w:val="true"/>
              </w:rPr>
              <w:t>السابعة</w:t>
            </w:r>
            <w:r>
              <w:rPr>
                <w:rStyle w:val="IndexLink"/>
                <w:rtl w:val="true"/>
              </w:rPr>
              <w:t xml:space="preserve">: </w:t>
            </w:r>
            <w:r>
              <w:rPr>
                <w:rStyle w:val="IndexLink"/>
                <w:rtl w:val="true"/>
              </w:rPr>
              <w:t>تجوز الصلاة على الميت ليلا و دفنه فيه،</w:t>
            </w:r>
            <w:r>
              <w:rPr>
                <w:rStyle w:val="IndexLink"/>
                <w:rtl w:val="true"/>
              </w:rPr>
              <w:tab/>
            </w:r>
            <w:r>
              <w:rPr>
                <w:rStyle w:val="IndexLink"/>
              </w:rPr>
              <w:t>477</w:t>
            </w:r>
          </w:hyperlink>
        </w:p>
        <w:p>
          <w:pPr>
            <w:pStyle w:val="Contents6"/>
            <w:tabs>
              <w:tab w:val="clear" w:pos="7609"/>
              <w:tab w:val="right" w:pos="9026" w:leader="dot"/>
            </w:tabs>
            <w:rPr/>
          </w:pPr>
          <w:hyperlink w:anchor="__RefHeading___Toc4192621_2142443653">
            <w:r>
              <w:rPr>
                <w:webHidden/>
                <w:rStyle w:val="IndexLink"/>
                <w:rtl w:val="true"/>
              </w:rPr>
              <w:t>الثامنة</w:t>
            </w:r>
            <w:r>
              <w:rPr>
                <w:rStyle w:val="IndexLink"/>
                <w:rtl w:val="true"/>
              </w:rPr>
              <w:t xml:space="preserve">: </w:t>
            </w:r>
            <w:r>
              <w:rPr>
                <w:rStyle w:val="IndexLink"/>
                <w:rtl w:val="true"/>
              </w:rPr>
              <w:t>لو زاد في التكبير متعمّدا لم تبطل،</w:t>
            </w:r>
            <w:r>
              <w:rPr>
                <w:rStyle w:val="IndexLink"/>
                <w:rtl w:val="true"/>
              </w:rPr>
              <w:tab/>
            </w:r>
            <w:r>
              <w:rPr>
                <w:rStyle w:val="IndexLink"/>
              </w:rPr>
              <w:t>478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53_219450"/>
      <w:bookmarkStart w:id="1" w:name="pg15253_219450"/>
      <w:bookmarkEnd w:id="1"/>
    </w:p>
    <w:p>
      <w:pPr>
        <w:pStyle w:val="Heading2"/>
        <w:numPr>
          <w:ilvl w:val="1"/>
          <w:numId w:val="1"/>
        </w:numPr>
        <w:rPr/>
      </w:pPr>
      <w:bookmarkStart w:id="2" w:name="pg15253_219450"/>
      <w:bookmarkStart w:id="3" w:name="__RefHeading___Toc4191591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محمدبن مکی، ق</w:t>
      </w:r>
      <w:r>
        <w:rPr>
          <w:rFonts w:ascii="IRNazanin" w:hAnsi="IRNazanin" w:eastAsia="IRNazanin"/>
          <w:color w:val="111111"/>
          <w:sz w:val="28"/>
          <w:sz w:val="28"/>
          <w:szCs w:val="28"/>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ذکري الشیعة فی احکام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الشهید الاول محمدبن جمال‌الدین مکی العاملی الجزینی؛ بحث مؤسسة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لاحیاآ التراث</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لاحیاآ التراث،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لاحیاآ التراث</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ISBN:964-319-102-8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07500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على أساس المجلد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964-319-103-6</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964-319-104-4</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964-319-105-2</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لاحیاآ التراث</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ذ</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91593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53_219458"/>
      <w:bookmarkStart w:id="8" w:name="pg15253_219458"/>
      <w:bookmarkEnd w:id="8"/>
    </w:p>
    <w:p>
      <w:pPr>
        <w:pStyle w:val="Heading2"/>
        <w:numPr>
          <w:ilvl w:val="1"/>
          <w:numId w:val="1"/>
        </w:numPr>
        <w:rPr/>
      </w:pPr>
      <w:bookmarkStart w:id="9" w:name="pg15253_219458"/>
      <w:bookmarkStart w:id="10" w:name="__RefHeading___Toc4191595_2142443653"/>
      <w:bookmarkStart w:id="11" w:name="_Toc3"/>
      <w:bookmarkEnd w:id="9"/>
      <w:bookmarkEnd w:id="10"/>
      <w:r>
        <w:rPr>
          <w:rtl w:val="true"/>
        </w:rPr>
        <w:t>مقدّمة المصنّف</w:t>
      </w:r>
      <w:r>
        <w:rPr>
          <w:rtl w:val="true"/>
        </w:rPr>
        <w:t xml:space="preserve">: </w:t>
      </w:r>
      <w:r>
        <w:rPr>
          <w:rtl w:val="true"/>
        </w:rPr>
        <w:t>ذكر منهجية الكتاب</w:t>
      </w:r>
      <w:bookmarkEnd w:id="11"/>
    </w:p>
    <w:p>
      <w:pPr>
        <w:pStyle w:val="Heading3"/>
        <w:numPr>
          <w:ilvl w:val="2"/>
          <w:numId w:val="1"/>
        </w:numPr>
        <w:rPr/>
      </w:pPr>
      <w:bookmarkStart w:id="12" w:name="__RefHeading___Toc4191597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خلقه و خير بريّته محمّد المصطفى، و على آله الغرّ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تعاقبت على المتن الفقهي الشيعي مراحل عدّة و أدوار مختلفة ساهمت مساهمة فاعلة في بلورة طابعه الذي تميّز به، و خصائصه التي تفرّد بها، حتى اتّخذ أبعاده و موازينه القائمة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للكفاح الفكري الدؤوب و الجهود العلمية الهائلة التي بذلها أعلام الطائفة و أساطينها الأفذاذ، الدور المشهود في تثبيت و تطوير و استقلالية الفقه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 هؤلاء الفطاحل الأمجاد اللمسات البارزة و الدور الأكبر فيما تحقّق له من تكاملية و حيوية، نخصّ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الطائفة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الحلّي،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الحلّي،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الشهيد الأول،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الوحيد البهبهاني،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جماعة من أهل الفن و الاختصاص حصروا هذه المراحل كلها في مرحلتين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المتون الفقهيّة المصنّفة في القرن السادس و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فقهاء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جاوز منهم فترة حضور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شيخ الطائفة و من تقدّمه،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من المتون الفقهية عموما أنّ 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لربما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الحدّ الفاصل و حلقة الوصل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أضيف مصطلح آخر في المتون الفقهية المدوّنة في القرن الثالث عشر بعنوان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متأخّري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متأخّريهم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بعد زمن 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التقسيم الثنائي يفتقد الدقّة في الضبط و التثبّت، فهو في الحقيقة أشبه بمصادرة أو غفلة عن كثير من الخطوات العظيمة و الابتكارات العملاقة و الاقتراحات البنّاءة و الآراء السديدة التي صنعت للمتن الفقهي الشيعي كيانا علميا و فكريا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إيفاء المطلب حقّه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أدوار و مراحل الفقه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المحاسبات العلمية و التاريخية و ما يقترن بهما من لوازم و عوامل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تنشطر إلى 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مرحلة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أهل الحديث</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تفوّق الفقهاء و انحسار مدّ المحدّثين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المحقّق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الوحيد البهبهاني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تفصيل و بيان كل مرحلة بحدّ ذاتها و ما تمتاز به من خصائص و مواصفات، يستدعي بسط البحث و استطالته، مع أنّنا نروم التمحور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مرحلة الشهيد قدّس سرّه، لما لذلك من صلة و ارتباط بما نحن فيه، مسلّطين الضوء بشكل خاطف على جوانب من ملامحها و اطرها، اللذين يمكن استخلاصهما من خلال استعراضنا لمختلف الظروف التي عايشها 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و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النشأة و حتى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فنحن نستلّ من تلك المراحل الثمان مرحلة الشهيد قدّس سرّه، فنخوض غمارها بنوع من التوسّع الذي يناسب المقام،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استطاع الفقه الشيعي في المرحلة الثالثة أن يشكّل بناء خاصا و يشيّد برنامجا مستقلاّ عن دور و مرحلة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الملاحظ على المتون الفقهية التي صنّفت في تلك الفترة اتّصافها بالحالة الفقهية التقليدية التي كانت سائدة حينذاك، تلك الحالة التي استلهم منها شيخ الطائفة تشييد أسلوبه و منهجيته في صياغة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قدّس سرّه و بتدوينه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خلق نوعا من التغيير و التحوّل في محتوى و مضمون المتن الفقهي الشيعي، حيث سلك فيهما مسلك الأسلوب السنّي الحاكم آن ذاك، فلا نجازف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هيكلية هذا الفقه قد اضطربت بذلك، و أضحت خليطا من نظامين متفاوتين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كان منشأ التوهم القائل بنسبة الشيخ رحمه اللّه إلى مذهب الشافعية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توغّل هذا المنهج في عمق الواقع الثقافي و الفكري الشيعي حتى ترك لمساته </w:t>
      </w:r>
    </w:p>
    <w:p>
      <w:pPr>
        <w:pStyle w:val="BookText"/>
        <w:rPr/>
      </w:pPr>
      <w:r>
        <w:rPr>
          <w:rFonts w:ascii="Amiri" w:hAnsi="Amiri" w:eastAsia="Amiri" w:cs="Amiri"/>
          <w:color w:val="111111"/>
          <w:sz w:val="28"/>
          <w:sz w:val="28"/>
          <w:szCs w:val="28"/>
          <w:rtl w:val="true"/>
          <w:lang w:bidi="ar-SA"/>
        </w:rPr>
        <w:t>البارزة على شتّى المصنّفات و التأليفات المنجزة حينذاك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يتلخّص هذا الأسلوب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يستعرض أقوال و نظريات و استدلالات فقهاء العامّة أولا ثم يطرح أقوال و نظريات و استدلالات فقهاء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الفاضل الآبي قدّس سرّه كان أول من انتفض على هذا الأسلوب و تلك المنهجية، فصنّف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ممتنعا فيه عن ذكر أقوال و نظريات و استدلالات فقهاء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 أزره و تابعه على ذلك من تلامذة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فخر المحقّقين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استعاض عن نقل آراء و أدلّة فقهاء العامة بنقل آراء و أدلة فقهاء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كلّ ذلك، لا يمكن لنا أن ننكر النضوج و الترقي اللذين أصابا الفقه الشيعي أبان مرحلة الشيخ الطوسي قدّس سرّه، فلا زالت آثاره المباركة إلى يومنا هذا مهوى أفئدة الطائفة بفقهائها و مفكّريها و أساتذتها و تلامذتها، فهو المفخرة التي ساهمت في منح المذهب عزّة و كبرياء و مرتبة و 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تفريعات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مصداق و أرفع مثل يحتذي به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يمكن تناسي دور العلاّمة الحلّي و كل من سبقه و من تلاه في تدعيم و تثبيت أركان المؤسسة الفقهية الشيعية، فلا زالت تفريعاته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في قسم المعاملات، و المستفادة من النمط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عناية و توجّه أهل الفن و الاختصاص، و التي طبّقها على المتن الشيعي بشكل رائع من حيث الأساس و القواعد و الأصول و المباني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شهيدنا الأول، شمس الدين محمّد بن مكّي العاملي، و بفضل نبوغه الذاتي و مؤهّلاته الفريدة، استطاع أن ينقّح الأصول و القواعد الأساسية للفقه الشيعي، مجسّدا ذلك على متونه بشكل عملي قلّ نظيره، و بخطواته الهائلة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حقّقها بجهوده العملاقة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من أن يحدث فيه انقلابا و تحوّلا مصيريا، مانحا إيّاه شخصيته الحقيقية و هويته المستقلّة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طرح الشهيد للتفريعات التحقيقية و الفقهية القيّمة ذات الطابع الابتكاري الحديث، و بسطه الفقه الشيعي و فتحه آفاقا جديدة له، أكسبه حلّة بهيّة و ذوقا رفيعا و مكانة شامخة، تجلّت بأنصع الصور و أروعها، فغدت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و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مصادر الفقه الشيعي و مراجعة المهمّة، التي تعكس بكلّ وضوح هيبة مدرسة أهل بيت العصمة و الطهارة بأرقى خصائصها و مميّزاتها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للمكانة التي نالها دور الشهيد و فكره الوقّاد، فقد سار على دربه و تبع نهجه فقهاء الطائفة و أساطينها، و ذلك زهاء ما يقارب القرن و النصف، و هم و إن طرحوا في آثارهم و مؤلفاتهم بعض المباني الجديدة و الآراء المبتكرة، إلاّ أنّ السمة البارزة عليها بيان أفكاره و شرح نظرياته و آرائه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أبرز هؤلاء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الخازن الحائري، زين الدين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أوائل القرن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المتوّج البحراني،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النهاية في تفسير الخمسمائة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الفاضل المقداد، المقداد بن عبد 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التنقيح الرائع و كنز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فهد، أحمد بن محمّد بن فهد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المهذّب البارع و الموجز الحاوي و المقتصد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بن شجاع القطّان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النصف الأول من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معالم الدين في فقه آل 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المفلح بن الحسن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سنة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كشف الالتباس و غاية المرام و غيرهما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هلال، علي بن محمّد بن هلال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سنة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سليمان القطيفي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سنة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إيضاح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الثاني، زين الدين بن علي بن أحمد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الروضة البهية و روض الجنان و مسالك الافهام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انتساب مرحلة من مراحل تطور متن الفقه الشيعي إلى الشهيد قدّس سرّه يعدّ بلا ريب أغلى و سام ناله جرّاء كفاحه المرير، ذلك الكفاح الذي ما ترك معه بابا من أبواب العلم و المعرفة إلاّ و طرقه و ارتوى من نميره بما يكفيه و يسدّ حاجته، فكانت سيرة عطرة و حياة مباركة غذّت شرايين الفكر و الثقافة بأبهى الآراء و أجمل المقترحات و ملأت سوح الفضيلة جلالة و فخرا، متوّجا إيّاها بدماء زاكيات سالت على ثرى المبدأ و العقيدة الحقّة، بعد أن أباحت هدرها فئة ضالّة قادها الحقد الدفين و التعصّب الأعمى إلى ارتكاب تلك الجريمة النكراء، التي لا زال جبين الإنسانية يندى لها خجلا و حياء، و لا عجب من ذلك، فإنّ له في السبط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حسنة و نموذجا رائعا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المراد و تمام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الشهيد بما خلّفه من مخزون علمي خالد و تراث فكري فذّ، شاد معهما أرسى القواعد و أمتن المباني و أعمق النظريات، إنّما كان حصيلة إحاطته الفائقة بالعقليات و النقليات، فجمع شتّى العلوم و ألوان الفنون، حتى غدى بحدّ ذاته مرحلة من مراحل الفقه الشيعي الثمان، رفدت متونه بأغنى المفاهيم و أرقى الابتكارات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المدّعى، أمّا إثباته فلنا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 كلّ مدّعى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المئونة الدليلية اللازمة مع القرائن المقبولة و الشواهد المناسبة و صيغ الطرح الملاءمة و سائر اللوازم الأخرى، التي تصونه من النقض و الردّ و تقوّي فيه جانب الإبرام و الثبوت، فكم من المدّعيات التي ألغيت أو أسقطت لافتقادها لما يمكن أن تكادح به المنافيات و تقاوم معه المعارضات</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كلّ زاوية من زوايا سيرة الشهيد العلمية و الفكرية لها اللياقة في تحقّق المدّعى و إثباته، فالأدلّة على ذلك متزاحمة، مضافا إلى ما يدعمها من مؤيّدات و قرائن </w:t>
      </w:r>
    </w:p>
    <w:p>
      <w:pPr>
        <w:pStyle w:val="BookText"/>
        <w:rPr/>
      </w:pPr>
      <w:r>
        <w:rPr>
          <w:rFonts w:ascii="Amiri" w:hAnsi="Amiri" w:eastAsia="Amiri" w:cs="Amiri"/>
          <w:color w:val="111111"/>
          <w:sz w:val="28"/>
          <w:sz w:val="28"/>
          <w:szCs w:val="28"/>
          <w:rtl w:val="true"/>
          <w:lang w:bidi="ar-SA"/>
        </w:rPr>
        <w:t>و شواهد، و لتيسير الطريق فإنّنا نستعرض حياته بشكل سريع،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نشأته، و رحلاته، و أساتذته، و تلامذته، و ما قيل فيه، و آثاره، و جملة من آرائه و مقترحاته و ابتكاراته و ملامح مدرسته و خصائصها، ثم شهادته 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حينذاك سيتجلّى ثبوت المدّعى بكل وضوح و شموخ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قدّس سرّه في جزّين إحدى قرى جبل عامل من جنوب لبنان، سنة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جبل عامل ذلك المكان الذي تخرّج منه خمس علماء الشيعة، مع أنّه لا يساوي عشر عشر بلاد الشيعة مساحة، فكانت حركة العلم و مجالس الفكر و المعرفة مزدهرة آن ذاك، فأطلّ الشهيد على الحياة الثقافية من أوسع منافذها، حتى جالس منذ نعومة أظفاره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بدافع من والده العالم الفاضل الشيخ مكّي 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علماءها، و خالط فقهاءها، و ارتاد ندواتها العلمية، و شارك في حلقات الدرس، التي كانت تعقد في المساجد و المدارس و البيوت، و كثيرا ما كان يساهم في المناقشات التي كانت تدور بين الأساتذة و الطلاّب أو الطلاّب أنفسهم، فمنذ البدء تعوّد أن يبني لنفسه آراء مختصّة به في مختلف مسائل الفقه و الأدب و غيرهما، حتى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 له بالفضل و العلم و يتوقّع له مستقبل زاهر و 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أوائل ربيعة السابع عشر، أي في حدود سنة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حيث يمكنه تلقّي العلوم و المعارف، فارتاد الحلّة و كربلاء المشرّفة و بغداد و مكّة المكرّمة و المدينة المنوّرة و الشام و القدس، و تركّز استقراره في الحلّة التي كانت آن ذاك عامرة بأساطين الفقه و علماء المعرفة، حتى أضحت قطبا حيويّا و مدرسة رائدة من مدارس الفقه الشيعي، و في ظلّ هذا الازدهار و تلك الحيوية روّى الشهيد ضمأه من أصفى منابع العلم و أنقاها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فتلمّذ على ولد العلاّمة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أجلّ مشايخه و أعظم أساتذته و أكثرهم دراسة عليه، فأولاه من العناية ما لم يولها لغيره، لما رأى فيه من النبوغ المبكر و المواصفات الفريدة، حتى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استفدت منه أكثر ممّا استفاد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قرأ على الفقيهين الكبيرين الأخوين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 الدين، السيّد عبد المطّلب بن السيّد مجد الدين بن الفوارس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ضياء الدين السيّد عبد اللّه، ابني شقيقة العلاّمة، قدّس اللّه أرواحهم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تلمّذ أيضا على تاج الدين، السيّد أبو عبد اللّه محمّد بن القاسم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كان من كبار علماء الحلّة حينذاك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دمشق، قرأ على قطب الدين، محمّد بن محمّد الرازي البويهي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الكلامي الكبير، و الفيلسوف النحرير، صاحب شرح المطالع و الشمسية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أساتذته و مشايخه من العامّة فهم كثيرون،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برهان الدين إبراهيم بن جماعة، قاضي القضاة عزّ الدين عبد العزيز بن جماعة، 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الخليل البغدادي، محمّد بن يوسف القرشي الكرماني الشافعي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ملك النحاة شهاب الدين أبو العبّاس أحمد بن الحسن الحنفي النحوي، شرف الدين محمّد بن بكتاش التستري البغدادي الشافعي، ملك القرّاء و الحفّاظ شمس الدين محمّد بن عبد اللّه البغدادي الحنبلي، فخر الدين محمّد بن الأعزّ الحنفي، شمس الدين أبو عبد الرحمن محمّد بن عبد الرحمن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 في إجازته لابن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مصنّفات العامّة و مرويّاتهم فإنّي أروي عن نحو من أربعين شيخا من علمائهم بمكّة و المدينة و دار السلام بغداد و مصر و دمشق و بيت المقدس و مقام إبراهيم الخليل عليه السلام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شرف التلمّذ عليه و الرواية عنه فهما لكثير، نخصّ بالذكر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المقداد السّيوري، ابن نجدة الكركي، ابن الخازن الحائري، ابن الضحّاك الشامي، الشقراوي الحنّاط، الكرواتي، عزّ الدين العاملي، ابن هلال الكركي، ابن زهرة الحسيني الحلبي، عزّك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الدين الحلّي، بنته العالمة أم حسن، فاطمة، الملقّبة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تأمّلنا في مدّة عمره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القصيرة 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رحلاته الى تلك البلاد و تلك، و ما خلّفه من تصانيف رائعة في شتى العلوم و الفنون، و إنظاره الدقيقة، و مقترحاته العميقة، يعلم أنّه من الذين اختارهم اللّه تعالى لتكميل عباده و عمارة بلاده، و كلّ ما قيل أو يقال في حقّه فهو دون مقامه و مرتبته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بعض الخصائص التي ميّزته رضوان اللّه تعالى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هذّب متن الفقه الشيعي من أقاويل المخالفين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فقهاء الشيعة الخمسة الذين أحاطوا بأقوال العامّة و الخاصّة، أولهم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الحلّي، ثم العلاّمة الحلّي، ثم ولده فخر المحقّقين، ثم الشهيد الأول، ثم الشهيد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رجحان كفّته في كثير من الموازنات التي كان يعقدها كبار علمائنا بينه و بين فطاحل الطائفة و عظمائها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أفقه الفقهاء باعتقاد جماعة من الفقهاء و الأساتيذ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تأليفه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أيّام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تمكّنه من أن يضيف إلى مدرسة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منهجيتها أشياء، و يطوّرها، و يحدّد المفاهيم، بما لم يستطع عليه أساتذته و شيوخه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بادر الى تشكيل و تأسيس نظام خاصّ بجباية الخمس، و توزيع العلماء في المناطق المختلفة، و شبكة الوكلاء القائمة حاليا هي ثمرة جهوده المباركة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عصارة و رمز مرحلة من مراحل تطور الفقه الشيعي بأكملها، حتى سميّت باسمه، و هذا مقام لم ينله إلاّ نوادر عظماء الطائفة و أساطينها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الكثير في نعته و الإطراء عليه، و أثنى عليه أعاظم الفريقين، نختار بعضا منه هنا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مولانا الإمام العلاّمة الأعظم، أفضل علماء العالم، سيد فضلاء بني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أستاذه فخر المحققين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مولانا الشيخ الإمام، العالم الفاضل، شمس الملّة و الحقّ و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أستاذه ابن معيّة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الشيعة و المجتهد في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 في الفقه و النحو و القراءة، صحبني مدّة مديدة فلم أسمع منه ما يخالف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الجزري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الأعظم الأعلم، إمام الأئمّة، صاحب الفضلين، مجمع المناقب و الكمالات الفاخرة، جامع علوم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أستاذه شمس الأئمّة الكرماني القرشي 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الإمام العلاّمة، الفقيه البارع الورع، الفاضل الناسك الزاهد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أستاذه عبد الصمد بن الخليل البغدادي شيخ دار الحديث ببغداد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الفقيه، و إمام المذهب، خاتمة الكلّ، مقتدى الطائفة المحقّة، و رئيس الفرقة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تلميذه ابن الخازن الحائري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 العلماء، علم الفقهاء، قدوة المحقّقين و المدقّقين، أفضل المتقدّمين و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الرئيس الفائق بتحقيقاته على جميع المتقدمين، مهذّب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خاتمة المجتهدين، محيي ما درس من سنن المرسلين، البدل، النحرير، المدقّق، الجامع بين منقبة العلم و السعادة و مرتبة العمل و الشهادة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الإمام الأعظم، محيي ما درس من سنن المرسلين، محقّق حقائق الأولين و الآخرين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محمّد تقي المجلسي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الطائفة و علاّمة وقته، صاحب التدقيق و التحقيق، من أجلاّء هذه الطائفة و ثقاتها، نقيّ الكلام، جيّد التصانيف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التفرشي صاحب نقد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عالما ماهرا، فقيها، محدّثا، مدقّقا، متبحّرا، كاملا، جامعا لفنون العقليات و النقليات، زاهدا، عابدا، ورعا، شاعرا، أديبا، منشئا، فريد دهره، عديم النظير في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علاّمة العلماء العظام، مفتي طوائف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مسائل الدين الوثيق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العارج إلى أعلى مراتب العلماء و الفقهاء المتبحّرين و أقصى منازل الشهداء السعداء المنتجبين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أسد اللّه التستري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أفقه جميع فقهاء الآفاق، و أفضل من انعقد على كمال خبرته و استاديّته اتفاق أهل الوفاق، و توحّده في حدود الفقه و قواعد الأحكام مثل تفرّد شيخنا الصدوق في نقل أحاديث أهل البيت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شيخنا المفيد و سيّدنا المرتضى في الأصول و الكلام و إلزام أهل الجدل و الألدّ من الخصام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روضات الجنّات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الشريعة و فخر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الفقهاء عند جماعة من الأساتيد، جامع فنون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أكمل اللّه تعالى عليه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النوري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رحمه اللّه بعد مولانا المحقّق على الإطلاق أفقه جميع فقهاء الآفاق</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الكنى و الألقاب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الشيعة و علم الشريعة، لم يزل فقهه مستقى علماء الإمامية في نظرياتهم، </w:t>
      </w:r>
    </w:p>
    <w:p>
      <w:pPr>
        <w:pStyle w:val="BookText"/>
        <w:rPr/>
      </w:pPr>
      <w:r>
        <w:rPr>
          <w:rFonts w:ascii="Amiri" w:hAnsi="Amiri" w:eastAsia="Amiri" w:cs="Amiri"/>
          <w:color w:val="111111"/>
          <w:sz w:val="28"/>
          <w:sz w:val="28"/>
          <w:szCs w:val="28"/>
          <w:rtl w:val="true"/>
          <w:lang w:bidi="ar-SA"/>
        </w:rPr>
        <w:t>و كتبه مرجع فقهائهم، و إنظاره العلمية مرتكز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أطيل بتنسيق عقود الثناء فأكون كناقل التمر إلى هجر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الهيّن حقّا أن يطري عليه قدّس سرّه بكل هذا الإطراء و ينعت بكل هذه النعوت الناصعة، بل ما كان أن يكون ذلك لو لا همّته العالية و سعيه الهائل و مثابرته الدؤوبة و فضائله الروحية و الأخلاقية، حيث لم يأل جهدا و لم يضيّع فرصة من أجل الوصول الى هدفه المنشود، فكان يقول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معدود من الخسران إن صرف الزمان في المباح و إن قلّ، لأنّه ينقص من الثواب و يخفض من الدرجات، و ناهيك خسرانا بأن يتعجّل ما يفنى، و يخسر زيادة نعيم سيبقى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قصّة تناظره مع ابن المتوّج البحراني معروفة، فكان الشهيد قد غلبه مرّتين في ذلك و أفحمه، فسأله ابن المتوّج عن السرّ فقال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سهرنا و أضعتم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الفترة التي عاشها رضوان اللّه تعالى عليه هي فترة توغّل و تعمّق فقه المحقّق و العلاّمة، و مع ذلك فما نراه قد تأثّر بمدرسيتهما، بل ابتعد عنهما إلى حدّ كبير، و هذا ممّا هيّأ له الأرضية الخصبة لعرض ابتكاراته البنّاءة و مناهجه الجديدة على صعيد الاستدلال و توسيع المسائل الفقهية، بتبويب الفقه و تقسيمه على نحو لم يسبقه إليه غيره، و قد تجلّى ذلك في مختلف مصنّفاته، كاللمعة، و القواعد و الفوائد، و الذكرى، و الألفية و النفلية، و غاية المراد، و الدروس، و غيرها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آثاره و مصنّفاته و تأليفاته قدّس سرّه، فسنستعرضها بنوع من التفصيل و التوسعة، حيث هي المحور الأساسي من بحثنا هذا، فمنها استنبط أغلب ما قيل فيه و في منهجيته و أسلوبه و مقترحاته و برامجه التي أعانت المتن الفقهي الشيعي على أن يقفز قفزته </w:t>
      </w:r>
    </w:p>
    <w:p>
      <w:pPr>
        <w:pStyle w:val="BookText"/>
        <w:rPr/>
      </w:pPr>
      <w:r>
        <w:rPr>
          <w:rFonts w:ascii="Amiri" w:hAnsi="Amiri" w:eastAsia="Amiri" w:cs="Amiri"/>
          <w:color w:val="111111"/>
          <w:sz w:val="28"/>
          <w:sz w:val="28"/>
          <w:szCs w:val="28"/>
          <w:rtl w:val="true"/>
          <w:lang w:bidi="ar-SA"/>
        </w:rPr>
        <w:t>المشهورة آن ذاك، و منها استطاع الشهيد أن يكوّن بفكره و معارفه مرحلة من مراحل التطور و الازدهار، و منها يتألّق دليلنا التامّ بكلّ شموخ و رقي كي يثبت المدّعى الآنف الذكر على غاية من القوّة و 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أنّ آثار الشهيد كانت و لا زالت مراجع أساسية و مصادر مهمة من مصادر الدين و المذهب، فلا يمكن الاستغناء عنها مطلقا، لا سيّما 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الى كل 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تتمتّع بسلاسة التعبير و رشاقة البيان و الخلوّ من التعقيد و الإبهام على نهج من الإيجاز و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ننوّه الى أنّنا أثناء طرحنا لمؤلّفاته قدّس سرّه سنشير الى قبسات من آرائه و ابتكاراته و مقترحاته التي أتحف الفقه الشيعي بها، و فتح من جرّائها منافذ و آفاقا جديدة لا زالت مورد المداولة و الانتفاع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اللمعة الدمشقية في فقه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لطيف و شريف، و مؤلّف منيف، مشتمل على أمّهات المسائل الشرعية، جمع فيه أبواب الفقه و لخّص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ولده المبرور أبو طالب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في سبعة أيام بالتماس من شمس الدين الآوي أحد أصحاب السلطان علي بن مؤيّد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سربداران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خراسان، الذي طلب من المصنّف رحمه اللّه التوجّه الى بلاده في مكاتبة شريفة أكثر فيها من التلطّف و التعظيم و الحثّ على ذلك، لكنّه أبى و اعتذر إليه و صنّف له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شمس الدين الآوي نسخة الأصل، و لم يتمكّن أحد من نسخها منه لضنّته بها، و إنّما نسخها بعض الطلبة و هي في يد الرسول، تعظيما لها، و سافر بها قبل المقابلة، فوقع فيها بسبب ذلك خلل، ثم أصلحه المصنّف بعد ذلك بما يناسب المقام، و ربما كان مغايرا للأصل بحسب اللفظ، و ذلك في سنة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 المصنّف رحمه اللّه أنّ مجلسه بدمشق ذلك الوقت ما كان يخلو غالبا من علماء الجمهور، لخلطته بهم و صحبته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شرعت في تصنيف هذا الكتاب كنت </w:t>
      </w:r>
    </w:p>
    <w:p>
      <w:pPr>
        <w:pStyle w:val="BookText"/>
        <w:rPr/>
      </w:pPr>
      <w:r>
        <w:rPr>
          <w:rFonts w:ascii="Amiri" w:hAnsi="Amiri" w:eastAsia="Amiri" w:cs="Amiri"/>
          <w:color w:val="111111"/>
          <w:sz w:val="28"/>
          <w:sz w:val="28"/>
          <w:szCs w:val="28"/>
          <w:rtl w:val="true"/>
          <w:lang w:bidi="ar-SA"/>
        </w:rPr>
        <w:t>أخاف أن يدخل عليّ أحد منهم فيراه، فما دخل عليّ أحد منذ شرعت في تصنيفه إلى أن فرغت منه، و كان ذلك من خفيّ الألطاف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يضعف قول الحرّ العاملي و من تبعه في أنّه ألّفه في الحبس في السنّة الأخيرة من عمره الشريف حينما كان لم يحضره من كتب الفقه غير 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ذلك فإنّ الشهيد قد اعتقل لمدّة عام ثم استشهد، بينما كان قد ذكر اللمعة في إجازته لابن الخازن عام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أي حوالي سنتين قبل استشهاده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 أنّ الشهيد الثاني قد ذكر في مقدّمة الروضة البهية ما يدلّ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ألّف اللمعة قبل استشهاده بأربع سنوات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 فهذا الكتاب من أشهر مصنّفات الشهيد و متون الشيعة الفقهية، و كتبت عليه العديد من الشروح و الحواشي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الدروس الشرعية في فقه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يشتمل على أغلب أبواب الفقه، و يعدّ من أدقّ تأليفاته و أشهرها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ابتكر فيه ترتيبا و نظما جديدين لم يسبقه فيهما أحد غيره، حيث أضاف فيه عناوين جديدة للكتب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الفقهية، مثل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الحسبة، المحارب، القسمة، المشتركات، الربا، تزاحم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نقل فيه آراء كثير من الفقهاء الذين لم تصلنا كتبهم، كابن بابويه، و العماني، و ابن الجنيد، و الجعفي،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ينقل فيه من آراء العامّة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يوفّق لإتمامه، لاستشهاده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منه من الطهارة إلى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في الفقه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يخلو من الاستدلال، جمع فيه بين سهولة العبارة و متانتها، مشتمل على كثير من الأقوال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 منه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الصلاة، الزكاة،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استشهد قدّس سرّه قبل إتمامه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رضوان اللّه تعالى عليه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الأدلّة العقلية و النقلية متطابقة على شرف العلوم، و من أهمّها معرفة شرع الحيّ القيّوم،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كافل بالمهم منه و المحتوم على طريق العترة الطاهرة أولي الفهوم، الذين نقلهم إسناد معصوم عن معصوم، و استعنت على إتمامه باللّه القادر العالم على كلّ مقدور 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المراد في شرح الإرشاد،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آثار القيّمة، حسن النظم، دقيق في تقسيم المسائل، و هو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بل شرح للموارد الصعبة و المشكلة منه، من أوله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إلى كتاب الأيمان،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يمتاز بتكامل أبوابه على خلاف سائر مصنّفاته، كالدروس و البيان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 فيه غاية جهده للعناية بالمسائل الخلافية بين فقهاء الشيعة، و خاض فيها خوضا عميقا و مسهبا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فيه مطالب من الفقهاء و أساتذته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كفخر الدين و عميد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قد ذكروها مشافهة و لم يوردوا في مصنّفاتهم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تتبّعه و متابعته للنصوص تعدّ من خصائص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فيه مطالب كثيرة من كتب و رسائل قدماء الأصحاب التي لم تصل إلينا و لم ينقلها الآخرون في مصنّفاتهم، و ذلك لأنّه قد توفّرت لديه آثار و مؤلّفات القدماء و الأولين أكثر ممّا توفّر عند المحقّق و العلاّمة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هذه الكتب و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و الروضة و الموجز لابن البرّاج، البشرى لابن طاوس، الفاخر للجعفي، الواسطة لابن حمزة، المنهج الأقصد لنجيب الدين، المفيد في التكليف للبصروي، غاية الأحكام للعلاّمة، النيّات للراوندي، النيّات للمصري، الرافع و الحاوي للجرجاني، رسالة في المضايقة لورّام، رسالة في المضايقة لأبي الحسن </w:t>
      </w:r>
    </w:p>
    <w:p>
      <w:pPr>
        <w:pStyle w:val="BookText"/>
        <w:rPr/>
      </w:pPr>
      <w:r>
        <w:rPr>
          <w:rFonts w:ascii="Amiri" w:hAnsi="Amiri" w:eastAsia="Amiri" w:cs="Amiri"/>
          <w:color w:val="111111"/>
          <w:sz w:val="28"/>
          <w:sz w:val="28"/>
          <w:szCs w:val="28"/>
          <w:rtl w:val="true"/>
          <w:lang w:bidi="ar-SA"/>
        </w:rPr>
        <w:t>الحلبي، رسالة في قضاء الفوائت ليحيى بن سعيد، رسالة في الإيراد على تعريف القواعد و الطهارة للقاشي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نقل عن الكثير من كبار العلماء دون أن يسنده الى كتاب خاصّ منهم، و من هؤلاء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الغضائري، ابن جهيم، الصهرشتي، البزنطي، ابن الفاخر، الصوري، الحمصي، أبو صالح الحلبي، الجعفي المعروف بالصابوني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فيه إلى بعض الأخطاء الواردة في أسناد روايات كتاب التهذيب و عدد من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نستلّ من آرائه التي ضمّها هذا الكتاب عددا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التبعيض في حجّية الخبر، أي لو سقطت حجّية قسم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للمعارضة أو لسبب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باقي الحديث لا يسقط عن الحجّية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تطرّقه أحيانا إلى بعض رجال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في طريقها السكوني، و هو 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بمذهبه جارحا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الى مسمع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أبان بن عثمان، و 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طريقها سهل بن زياد، و ضعّفه الشيخ في مواضع و النجاشي و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أصول الفقه، فقد احتوى الكتاب على العديد من آرائه،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فتوى مشاهير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العمل بفتوى الأصحاب، و هو الحجّة هنا و لا تعويل على الرواية، و لهذه عمل بها من طرح أخبار الآحاد بالكلّية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المعتبر إفادة الظنّ الذي اعتبره الشارع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الإجماع المنقول بخبر الواحد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التكليف يكفي فيه الظنّ الغالب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مفهوم الحصر حجّة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بالشيء يستلزم النهي عن ضدّه، و النهي مفسد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المذهب قد يعرف بخبر الواحد الضعيف لاشتماله على 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القواعد و الفوائد،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يشتمل على ضوابط كلّية أصولية و فرعية، يستنبط منها أحكام شرعية، لم يعمل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يضمّ ما يناهز الثلاثمائة و ثلاثين قاعدة، و فوائد تقارب المائة فائدة، مضافا إلى الكثير من التنبيهات و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فهو يحتوي أغلب المسائل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القواعد و الفوائد و إن طغى عليها الطابع الفقهي إلاّ أنّ بعضها أصولية و اخرى في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أسلوبه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إيراده القاعدة أو الفائدة، ثم يستعرض ما ينضوي تحتها من فروع فقهية، و ما قد يرد عليها من استثناءات 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 فيه أسلوب المقارنة بين فقه العامّة و الخاصة في أغلب الفروع الفقهية، فيعرض ما قيل من الوجوه، سواء كان القائل عامّيا أم شيعيا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بعزيز عليه قدّس سرّه، فهو من جملة فقهائنا الخمسة الذين أحاطوا بآراء و أقوال الفقهاء على مختلف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يعدّ هذا الأثر من جملة ابتكاراته رضوان اللّه تعالى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الألفية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مختصرة في فرض الصلاة، تضمّ مقدّمة و ثلاثة فصول و 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تشتمل على ألف واجب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في شرحه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المقاصد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الألفاظ الموجزة الجزيلة الآخذة بمجامع البلاغة و معاقد الفصاحة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النفلية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كبيرة تشتمل على ثلاثة آلاف نافلة تقريبا في الصلاة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مرتّبة أيضا على مقدّمة و ثلاثة فصول و خاتمة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للشهيد الثاني شرح عليها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الأول قدّس سرّه في مقدّمتها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وقفت على الحديثين المشهورين عن أهل بيت النبوّة أعظم البيوتات، أحدهما عن الإمام الصادق أبي عبد اللّه جعفر بن محمّد عليه و على آبائه و أبنائه أكمل التحيات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للصلاة أربعة آلاف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عن الإمام الرضا أبي الحسن عليّ بن موسى عليهما الصلوات المباركات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لها أربعة آلاف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وفّق اللّه سبحانه لإملاء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الواجبات، ألحقت بها بيان المستحبّات، تيمّنا بالعدد تقريبا، و إن كان المعدود لم يقع في الخلد تحقيقا، فتمّت الأربعة من نفس المقارنات، و أضيف إليها سائر المتعلّقات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حسبي في جميع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يشتمل على 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الزيارات، و هو مرتب على ثمانية فصول و 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سبعة فصول و 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فهذا المنتخب موضوع لبيان ما ينبغي أن يعمل في المشاهد المقدّسة و الأمكنة المشرّفة من الأفعال المرغّبة و الأقوال المروية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مسائل ابن نجم الدين الأطراوي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سألها منه قدّس سرّه العالم الجليل و الفقيه الكبير تلميذه السيد حسن بن أيّوب الشهير بابن نجم الدين الأطراوي، و أجابه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خمس و ستّون مسألة فقهية من أبواب 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مسائل الفاضل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 و عشرون مسألة، سألها الفاضل المقداد بن عبد اللّه السّيوري من أستاذه الشهيد، فكتب هو جواباتها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طبعت محقّقة لأول مرّة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تصدرها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البين في فوائد الشرحين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لشرحي الأخوين العالمين الفاضلين السيد عميد الدين و السيّد ضياء الدين على كتاب خالهما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الوصول الى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أضاف الشهيد إليه مطالب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الكنتوري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هذّبه و أصلحه الشيخ حسين بن عبد الصمد الحارثي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الشهيد في الجمع بين الشرحين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الفرقة على كون مذهب الصحابي ليس حجّة على غيره من الصحابة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إبداع السفر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مبسوطة تعرّض فيها إلى مسألة السفر في شهر رمضان و الآراء و الأقوال المطروحة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مذاهب العلماء في سائر الأعصار و الأمصار جوازه مع إجماعنا على كراهة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عشرون طريقا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الأربعينيّة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الكلام، ذكر فيها أربعين مسألة على ترتيب المعارف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مرتّبة على ترتيب أبواب الفقه، و هي من ضمن ما جمعه ابن طيّ من فتاوى جماعة من العلماء في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مختصر للتسبيحات الأربع</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الكلمات تشتمل على 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العدل و النبوّة و الإمامة و المعاد، فمن حصّلها حصّل الإيمان و هي الباقيات الصالحات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أورده الشيخ الكفعمي بتمامه في حاشية الفصل الثامن و العشرين من مصباحه الكبير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وصيّته لبعض إخوانه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بأربع و عشرين خصلة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مختصرة و وصية حسنة للإخوان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الأموات من الوصيّة إلى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مرتّب على ثلاثة فصول، يقرب من سبعمائة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نسبه إليه صاحب الذريعة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صغير يشتمل على أربعين حديثا في العبادات العامّة البلوى، أورد أكثرها بلا شرح أو توضيح، و اقتصر على ذكر السند تفصيلا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الداعي إلى تأليفه ما اشتهر في النقل الصحيح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أمّتي أربعين حديثا ينتفعون بها بعثه اللّه يوم القيامة فقيها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أكثر الأشياء نفعا و أهمّها العبادات الشرعية، لعموم البلوى إليها، و شدّة الحثّ عليها، فخرّجت أكثرها فيها و باقيها في مسائل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المقالة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الكلام و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في مقدّمتها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على خمسة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في ماهيته و توابعها، الفصل الثاني في متعلّقه، الفصل الثالث في غايته، الفصل الرابع في الترغيب، الفصل الخامس في الترهيب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بأنّها في الأخلاق أو رسالة حديثية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لذكره في الفصل الرابع و الخامس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روايات في الترغيب و الترهيب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قصيدة الشهفيني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الشهفيني هو أبو الحسن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عاملي،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أيّة حال، فقصيدته كانت في مدح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من جملة ديوانه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اطّلع الناظم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الشرح و رأى اعتناء الشهيد بقصيدته، أعجب بالشرح و مدح الشهيد بعشرة أبيات شكره فيها على ذلك</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العقيدة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صغيرة جدّا في الاعتقادات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 مجلّدات، كالبساتين النضرة و الحدائق الخضرة، التي فيها ما تشتهيه الأنفس و تلذّ الأعين، مشتملة على رسائل مستقلّة في الأحاديث و العلوم الأدبية و الأشعار و الأخبار المستخرجة من الأصول و الحكايات و النوادر و غيرها، خالية عن الهزليات التي توجد في أمثالها، نعم يوجد فيها بعض اللطائف و الطرائف</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الاعتبار في الحجّ و الاعتمار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حسنة مختصرة في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الرسالة في فرض الحجّ و العمرة، مجرّدة عن دليل، مبنيّة على مقدّمة و مقالتين و تكميل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أوردها العلاّمة السيّد الأمين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الجواهر</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طبعتها ضمن هذا الكتاب من الكثير من الأخطاء و التصحيفات، بالإضافة الى ما سقط من أولها و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 تلامذة الشهيد الثاني في تعداد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قواعد الأحكام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فيه مشي الحاشية المشهورة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السعيد الشيخ الشهيد، و غالب المباحث فيها بينه و بينه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الرياض في عدّ مصنّفات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حواشي القواعد الى آخر الكتاب،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الحواشي النجّارية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ذلك أنّ الحواشي النجّارية هي عين حاشية الشهيد على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نسبها صاحب الذريعة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حواشي المصنّف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مصنّف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صلاة المسافر، كما يظهر من حاشية البويهي</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ذكري الشيعة في أحكام الشريعة و هو السفر الماثل بين يدي القارئ اللبيب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فقهي استدلالي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منه الطهارة و الصلاة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قدّس سرّه قد عزم على إتمامه، بدليل قوله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هذا آخر المجلّد الأول من كتاب ذكري الشيعة، و يتلوه إن شاء اللّه تعالى في المجلّد الثاني كتاب الزكاة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في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الرابع، في واجبات الوضوء، في بحث النية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سنذكر في الحجّ و العتق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استشهاده رضوان اللّه تعالى عليه حال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 فهو فقه الشهيد الاستدلالي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ناظرا في الأغلب إلى كتب المحقّق و العلاّمة، كالمعتبر و المختلف و القواعد و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وضعه على أساس أقوى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و الروايات و من الإجماعات، و من هنا فقد كانت إجماعاته و استدلالاته موضع اهتمام الفقهاء من بعده، و مع ذلك فقد حاول التعرض للفروع الفقهية و أدلّتها بأقلّ ما يمكنه من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يمتاز بأسلوبه الجميل و ترتيبه البديع، و قد أشار إلى ذلك في مقدّمته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فهذا كتاب ذكري الشيعة في أحكام الشريعة أوردت فيه ما صدر عن سيّد المرسلين بواسطة خلفائه المعصومين، ممّا دلّ عليه الكتاب المبين و إجماع المطهّرين و الحديث المشهور و الدليل المأثور، تجديدا لمعاهد العلوم و تأكيدا لمعاقد الرسوم و تأييدا للمسائل الفقهية و تخليدا للوسائل الشرعية، تقرّبا إلى اللّه بارئ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تنتظمه مقدّمة و أقطاب أربعة، أمّا المقدّمة ففيها إشارات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الفقيه أمور 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التمسك بمذهب الإمامية لوجوه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في الكلام عصمة الإمام، و المعصوم أولى بالاتّباع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يا أَيُّهَا اَلَّذِينَ آمَنُوا اِتَّقُوا اَللّهَ وَ كُونُوا مَعَ اَلصّادِقِينَ و غير المعصوم لا يعلم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الأقطاب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رابعها السياسات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الأول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شروط ستّة في ستّة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فصول أربعة، الفصل الأول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تعدّ المباحث الأصولية القيّمة التي ذكرها في المقدمة من مميّزات هذا </w:t>
      </w:r>
    </w:p>
    <w:p>
      <w:pPr>
        <w:pStyle w:val="BookText"/>
        <w:rPr/>
      </w:pPr>
      <w:r>
        <w:rPr>
          <w:rFonts w:ascii="Amiri" w:hAnsi="Amiri" w:eastAsia="Amiri" w:cs="Amiri"/>
          <w:color w:val="111111"/>
          <w:sz w:val="28"/>
          <w:sz w:val="28"/>
          <w:szCs w:val="28"/>
          <w:rtl w:val="true"/>
          <w:lang w:bidi="ar-SA"/>
        </w:rPr>
        <w:t>الكتاب و إحدى خصائصه النفيسة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الشهيد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من كتبه، كاللمعة و الدروس و أجوبة مسائل الفاضل المقداد، بعبارات مختلفة،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حقّقناه في الذكرى، بيّناه في الذكرى، بيّنا مأخذه في الذكرى، فكتبنا في ذلك ما تيسّر في الذكرى، بسطت المسألة في الذكرى، و قد ذكرنا الروايات الدالّة على القضاء عن الميت لما فاته من الصلوات و أحكام ذلك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الألفاظ و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 منه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784</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في مقدّمة الروضة البهية في شرح اللمعة الدمشقية من أنّه فرغ منه بسنة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في سنة استشهاده، فيكون آخر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لا سيما و قد جاء التصريح في مقدّمة الدروس بأنّه ألّفه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الذكرى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أيضا مصنّفات و آثار يشكّ في نسبتها إليه أو أنّها له و لكن بعناوين آخر، نذكرها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لضيق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عجالة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الخلل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 صلاة 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الباهرة من الأصداف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في مقدار نزح ما يقع في البئر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مبادئ الأصول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القصد في معرفة الفصد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المبادئ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الإيجاز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الإجازات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المنسك الكبير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تزاحم الحقوق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مسائل 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مسائل محمّد بن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إجازاته لتلامذته، فهي كثيرة، إلاّ أنّ الموقوف على نصّه منها خمس إجازات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الإجازة لابن الخازن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الإجازة لابن نجدة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الإجازة لجماعة من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الإجازة لولده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الإجازة لولديه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الشهيد كان كاتبا و أديبا و شاعرا، فشعره مع قلّته يمتاز بجمال التعبير و دقّة التصوير و الرقّة و جودة الأداء، و قد عدّ البعض من جملة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صغير يشتمل على نحو عشرين مقطوعة و قصيدة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 حياته الشريفة و سيرته العظيمة بأفضل الموت و أحسنه، شهادة دوّنها التاريخ بأحرف من نور، فنال من المنزلة ما يغبطه عليها الصدّيقون و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4" w:name="pg15253_219505"/>
    </w:p>
    <w:p>
      <w:pPr>
        <w:pStyle w:val="BookText"/>
        <w:rPr/>
      </w:pPr>
      <w:bookmarkEnd w:id="14"/>
      <w:r>
        <w:rPr>
          <w:rFonts w:ascii="Amiri" w:hAnsi="Amiri" w:eastAsia="Amiri" w:cs="Amiri"/>
          <w:color w:val="111111"/>
          <w:sz w:val="28"/>
          <w:sz w:val="28"/>
          <w:szCs w:val="28"/>
          <w:rtl w:val="true"/>
          <w:lang w:bidi="ar-SA"/>
        </w:rPr>
        <w:t>قال الحرّ العاملي في أمل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وفاته سنة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اليوم التاسع من جمادى الاولى، قتل بالسيف، ثم صلب، ثم رجم، ثم أحرق بدمشق، في دولة بيدر و سلطنة برقوق، بفتوى القاضي برهان الدين المالكي و عباد بن جماعة الشافعي، بعد ما حبس سنة كاملة في قلعة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حبسه و قتله أنّه وشى به رجل من أعدائه و كتب محضرا يشتمل على مقالات شنيعة عند العامّة من مقالات الشيعة و غيرهم، و شهد بذلك جماعة كثيرة و كتبوا عليه شهاداتهم، و ثبت ذلك عند قاضي صيدا، ثم أتوا به إلى قاضي الشام، فحبس سنة، ثم أفتى الشافعي بتوبته و المالكي بقتله، فتوقّف عن التوبة خوفا من أن يثبت عليه الذنب، و أنكر ما نسبوه إليه للتقية،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ذلك عليك و حكم القاضي لا ينقض و الإنكار لا يفيد، فغلب رأي المالكي لكثرة المتعصّبين عليه، فقتل، ثم صلب و رجم، ثم أحرق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ذلك من بعض المشايخ و رأينا بخطّ بعضهم، و ذكر أنّه وجده بخطّ المقداد تلميذ الشهيد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تفصيلات اخرى لقضية استشهاده قدّس سرّه، تعرّض لها الكثير من أصحاب التراجم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لمحة خاطفة عن أحوال الشهيد و نشأته و رحلاته و مكانته و سيرته و مصنّفاته و خصائصه و ما قيل فيه، لو تأمّلنا فيها قصيرا لأدركنا الداعي لأن يكون قدّس سرّه صاحب مرحلة كاملة من مراحل تطوّر الفقه الشيعي</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4191599_2142443653"/>
      <w:bookmarkStart w:id="16" w:name="_Toc5"/>
      <w:bookmarkEnd w:id="15"/>
      <w:r>
        <w:rPr>
          <w:rtl w:val="true"/>
        </w:rPr>
        <w:t>النسخ المعتمدة في التحقيق</w:t>
      </w:r>
      <w:r>
        <w:rPr>
          <w:rtl w:val="true"/>
        </w:rPr>
        <w:t>:</w:t>
      </w:r>
      <w:bookmarkEnd w:id="16"/>
    </w:p>
    <w:p>
      <w:pPr>
        <w:pStyle w:val="BookText"/>
        <w:rPr/>
      </w:pPr>
      <w:r>
        <w:rPr>
          <w:rFonts w:ascii="Amiri" w:hAnsi="Amiri" w:eastAsia="Amiri" w:cs="Amiri"/>
          <w:color w:val="111111"/>
          <w:sz w:val="28"/>
          <w:sz w:val="28"/>
          <w:szCs w:val="28"/>
          <w:rtl w:val="true"/>
          <w:lang w:bidi="ar-SA"/>
        </w:rPr>
        <w:t xml:space="preserve">اعتمدنا في تحقيقنا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يلي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مصوّرة النسخة المخطوطة المحفوظة في مكتبة جامعة طهران المركزية، برقم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 xml:space="preserve">، بخطّ حسن بن محمود، من أول الكتاب إلى آخره، فرغ منها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bookmarkStart w:id="17" w:name="pg15253_219507"/>
    </w:p>
    <w:p>
      <w:pPr>
        <w:pStyle w:val="BookText"/>
        <w:rPr/>
      </w:pPr>
      <w:bookmarkEnd w:id="17"/>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تشتمل على حواشي و بلاغات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ختم و إمضاء حجّة الإسلام السيّد محمّد باقر الموسوي الشفتي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الكاتب كان تلميذ الشهيد، و كان كلّما يخرج من قلم الشهيد يستنسخه التلميذ تدريجا، حتى فرغ الشهيد في التاريخ 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فرغ التلميذ في نيف و أربعين يوما بعد تأليف الشهيد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رمزنا لها في الهامش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مصوّرة النسخة المخطوطة المحفوظة في مكتبة مدرسة سليمان خان التابعة للمكتبة الرضوية المقدّسة في مشهد، برقم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بخطّ أحمد بن علي بن حيدر، من أول الكتاب إلى آخره، فرغ من كتابتها في مدينة دامغان سنة </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 مصحّحة و مقابلة و عليها بلاغات، يلحظ عليها خطّ الشيخ البهائي و والده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رمزنا لها في الهامش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الحجرية المطبوعة بطهران سنة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و هي من أول الكتاب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 إليها في آخرها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أشرنا لها في الهامش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4191601_2142443653"/>
      <w:bookmarkStart w:id="19" w:name="_Toc6"/>
      <w:bookmarkEnd w:id="18"/>
      <w:r>
        <w:rPr>
          <w:rtl w:val="true"/>
        </w:rPr>
        <w:t>منهجيّة التحقيق</w:t>
      </w:r>
      <w:r>
        <w:rPr>
          <w:rtl w:val="true"/>
        </w:rPr>
        <w:t>:</w:t>
      </w:r>
      <w:bookmarkEnd w:id="19"/>
    </w:p>
    <w:p>
      <w:pPr>
        <w:pStyle w:val="BookText"/>
        <w:rPr/>
      </w:pPr>
      <w:r>
        <w:rPr>
          <w:rFonts w:ascii="Amiri" w:hAnsi="Amiri" w:eastAsia="Amiri" w:cs="Amiri"/>
          <w:color w:val="111111"/>
          <w:sz w:val="28"/>
          <w:sz w:val="28"/>
          <w:szCs w:val="28"/>
          <w:rtl w:val="true"/>
          <w:lang w:bidi="ar-SA"/>
        </w:rPr>
        <w:t>اتّبعت المؤسّسة في تحقيقها لهذا السفر المبارك منهجية العمل الجماعي، فانبثقت اللجان التالية لإنجازه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لجنة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مهمّتها مقابلة النسخ المخطوطة و تثبيت الاختلافات الواردة بينها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تألّفت من الأخوين 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عزّ الدين عبد الملك و صاحب ناصر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لجنة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مهمّتها تخريج الآيات القرآنية و الأحاديث الشريفة و الأقوال الفقهية و اللغوية و سائر ما يحتاج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تألّفت من أصحاب السماحة حجج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مجاهدي، الشيخ عطاء اللّه رسولي، الشيخ محمد التبريزي، السيّد حمزة 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لجنة تقويم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أهم المراحل، حيث يتمّ بها تمييز الراجح و المرجوح من الاختلافات الموجودة بين النسخ المخطوطة، و توزيع النص و تجريده من الأخطاء العلمية و النحوية و الإملائية، مع التعليق و بيان الموارد الغامضة و المبهمة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بمهمّتها سماحة العلاّمة الحجّة الشيخ محمّد الباقري و الأستاذ الفاضل عصام عبد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المراجعة النهائية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لتفادي ما قد يكون حدث من سهو أو غفلة في المراحل السابقة، و توحيد الجهود المبذولة أثناء مراحل العمل المختلفة، و إضافة ما يمكن إضافته من استدراكات و تعديلات على المتن و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بهذه المهمّة سماحة حجة الإسلام و المسلمين السيّد علي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يفوتنا أن نخصّ بالشكر سماحة العلاّمة حجّة الإسلام و المسلمين السيّد علي الميلاني لما أبداه من ملاحظات قيّمة و آراء سديدة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 المولى عزّ و جلّ حسن القبول و التوفيق لبذل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 و الصلاة و السلام على محمّد و آله العترة الميامين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bookmarkStart w:id="20" w:name="pg15253_219511"/>
    </w:p>
    <w:p>
      <w:pPr>
        <w:pStyle w:val="Heading3"/>
        <w:numPr>
          <w:ilvl w:val="2"/>
          <w:numId w:val="1"/>
        </w:numPr>
        <w:rPr/>
      </w:pPr>
      <w:bookmarkStart w:id="21" w:name="__RefHeading___Toc4191603_2142443653"/>
      <w:bookmarkStart w:id="22" w:name="_Toc7"/>
      <w:bookmarkEnd w:id="20"/>
      <w:bookmarkEnd w:id="21"/>
      <w:r>
        <w:rPr>
          <w:rtl w:val="true"/>
        </w:rPr>
        <w:t>مصادر المقدّمة</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العلماء عبر العصور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عبد اللّه الأفندي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حسن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المامقاني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الحقائق الراهنة في المائة الثامنة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الشيعة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لآقا بزرگ الطهراني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الإمام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رضا شمس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باقر 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عبد اللّه الأفندي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علي التبريزي المدرّس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محمّد الجبعي العاملي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لآقا بزرگ الطهراني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شهداء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الأميني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محمّد التنكابني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الأستار و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الكنتوري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القمّي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نور اللّه التستري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تراثنا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تصدر عن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مقابس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التستري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معادن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بر فقه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لحسين المدرّسي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مهدي الآصفي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رياض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هادي اليوسفي الغروي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غاية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رضا مختاري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القواعد و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الهادي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علي الحائري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للتفرشي</w:t>
      </w:r>
      <w:r>
        <w:rPr>
          <w:rFonts w:eastAsia="Amiri" w:cs="Amiri" w:ascii="Amiri" w:hAnsi="Amiri"/>
          <w:color w:val="111111"/>
          <w:sz w:val="28"/>
          <w:szCs w:val="28"/>
          <w:rtl w:val="true"/>
          <w:lang w:bidi="ar-SA"/>
        </w:rPr>
        <w:t xml:space="preserve">. </w:t>
      </w:r>
      <w:bookmarkStart w:id="23" w:name="pg15253_219514"/>
    </w:p>
    <w:p>
      <w:pPr>
        <w:pStyle w:val="Heading3"/>
        <w:numPr>
          <w:ilvl w:val="2"/>
          <w:numId w:val="1"/>
        </w:numPr>
        <w:rPr/>
      </w:pPr>
      <w:bookmarkStart w:id="24" w:name="__RefHeading___Toc4191605_2142443653"/>
      <w:bookmarkStart w:id="25" w:name="_Toc8"/>
      <w:bookmarkEnd w:id="23"/>
      <w:bookmarkEnd w:id="24"/>
      <w:r>
        <w:rPr>
          <w:rtl w:val="true"/>
        </w:rPr>
        <w:t>نماذج من صور النسخة الأصليّة</w:t>
      </w:r>
      <w:bookmarkEnd w:id="2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1" o:detectmouseclick="t"/>
                <v:stroke color="#3465a4" joinstyle="round" endcap="flat"/>
                <w10:wrap type="none"/>
              </v:shape>
            </w:pict>
          </mc:Fallback>
        </mc:AlternateConten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48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3"/>
                        <a:stretch/>
                      </pic:blipFill>
                      <pic:spPr>
                        <a:xfrm>
                          <a:off x="0" y="0"/>
                          <a:ext cx="3848040" cy="6985080"/>
                        </a:xfrm>
                        <a:prstGeom prst="rect">
                          <a:avLst/>
                        </a:prstGeom>
                        <a:ln w="0">
                          <a:noFill/>
                        </a:ln>
                      </pic:spPr>
                    </pic:pic>
                  </a:graphicData>
                </a:graphic>
              </wp:inline>
            </w:drawing>
          </mc:Choice>
          <mc:Fallback>
            <w:pict>
              <v:shape id="shape_0" stroked="f" o:allowincell="f" style="position:absolute;margin-left:0pt;margin-top:-550.05pt;width:302.95pt;height:549.95pt;mso-wrap-style:none;v-text-anchor:middle;mso-position-horizontal:left;mso-position-vertical:top" type="_x0000_t75">
                <v:imagedata r:id="rId44" o:detectmouseclick="t"/>
                <v:stroke color="#3465a4" joinstyle="round" endcap="flat"/>
                <w10:wrap type="none"/>
              </v:shape>
            </w:pict>
          </mc:Fallback>
        </mc:AlternateConten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7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6"/>
                        <a:stretch/>
                      </pic:blipFill>
                      <pic:spPr>
                        <a:xfrm>
                          <a:off x="0" y="0"/>
                          <a:ext cx="3670200" cy="6985080"/>
                        </a:xfrm>
                        <a:prstGeom prst="rect">
                          <a:avLst/>
                        </a:prstGeom>
                        <a:ln w="0">
                          <a:noFill/>
                        </a:ln>
                      </pic:spPr>
                    </pic:pic>
                  </a:graphicData>
                </a:graphic>
              </wp:inline>
            </w:drawing>
          </mc:Choice>
          <mc:Fallback>
            <w:pict>
              <v:shape id="shape_0" stroked="f" o:allowincell="f" style="position:absolute;margin-left:0pt;margin-top:-550.05pt;width:288.95pt;height:549.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9"/>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50" o:detectmouseclick="t"/>
                <v:stroke color="#3465a4" joinstyle="round" endcap="flat"/>
                <w10:wrap type="none"/>
              </v:shape>
            </w:pict>
          </mc:Fallback>
        </mc:AlternateContent>
      </w:r>
      <w:bookmarkStart w:id="26" w:name="pg15253_219521"/>
    </w:p>
    <w:p>
      <w:pPr>
        <w:pStyle w:val="Heading2"/>
        <w:numPr>
          <w:ilvl w:val="1"/>
          <w:numId w:val="1"/>
        </w:numPr>
        <w:rPr/>
      </w:pPr>
      <w:bookmarkStart w:id="27" w:name="__RefHeading___Toc4191607_2142443653"/>
      <w:bookmarkStart w:id="28" w:name="_Toc9"/>
      <w:bookmarkEnd w:id="26"/>
      <w:bookmarkEnd w:id="27"/>
      <w:r>
        <w:rPr>
          <w:rtl w:val="true"/>
        </w:rPr>
        <w:t>مقدمة المؤلف</w:t>
      </w:r>
      <w:r>
        <w:rPr>
          <w:rtl w:val="true"/>
        </w:rPr>
        <w:t xml:space="preserve">: </w:t>
      </w:r>
      <w:r>
        <w:rPr>
          <w:rtl w:val="true"/>
        </w:rPr>
        <w:t>و تحوي على إشارات سبع</w:t>
      </w:r>
      <w:r>
        <w:rPr>
          <w:rtl w:val="true"/>
        </w:rPr>
        <w:t>:</w:t>
      </w:r>
      <w:bookmarkEnd w:id="28"/>
    </w:p>
    <w:p>
      <w:pPr>
        <w:pStyle w:val="Heading3"/>
        <w:numPr>
          <w:ilvl w:val="2"/>
          <w:numId w:val="1"/>
        </w:numPr>
        <w:rPr/>
      </w:pPr>
      <w:bookmarkStart w:id="29" w:name="__RefHeading___Toc4191609_2142443653"/>
      <w:bookmarkStart w:id="30" w:name="_Toc10"/>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بسم اللّه الرحمن الرحيم الحمد للّه الذي شرع الإسلام، فسهّل شرائعه للواردين، و أوضح أعلامه للمرتادين، و أعزّ أركانه على المغالبين، و ذلّل سبيله للطالبين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على عظيم إحسانه، و نيّر برهانه، و أشكره على جميل إفضاله، و بيّن امتنانه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يكون لحقّه قضاء، و إلى ثوابه مقربا، و شكرا يصير لفرضه أداء، و لحسن مزيده موجبا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وحده لا شريك له، شهادة يواطئ فيها السر الإعلان، و يوافق القلب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عبده و رسوله الى الخلق، و داعية بإذنه إلى الحقّ، اختاره من شجرة الأنبياء، و مشكاة الضياء، و ذؤابة العلياء، و سرة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على أهل بيته النجباء، موضع سرّه، و لجأ أمره، و عيبة علمه، و موئل حكمه، و كهوف كتبه، و جبال دينه، صلاة لا انقطاع لأمدها، و لا إحصاء لعددها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فهذا كتاب ذكري الشيعة في أحكام الشريعة، أوردت فيه ما صدر عن سيد المرسلين بواسطة خلفائه المعصومين، ممّا دلّ عليه الكتاب المبين </w:t>
      </w:r>
      <w:bookmarkStart w:id="31" w:name="pg15253_219523"/>
    </w:p>
    <w:p>
      <w:pPr>
        <w:pStyle w:val="BookText"/>
        <w:rPr/>
      </w:pPr>
      <w:bookmarkEnd w:id="31"/>
      <w:r>
        <w:rPr>
          <w:rFonts w:ascii="Amiri" w:hAnsi="Amiri" w:eastAsia="Amiri" w:cs="Amiri"/>
          <w:color w:val="111111"/>
          <w:sz w:val="28"/>
          <w:sz w:val="28"/>
          <w:szCs w:val="28"/>
          <w:rtl w:val="true"/>
          <w:lang w:bidi="ar-SA"/>
        </w:rPr>
        <w:t>و إجماع المطهّرين، و الحديث المشهور و الدليل المأثور، تجديدا لمعاهد العلوم، و تأكيدا لمعاقد الرسوم، و تأييدا للمسائل الفقهية، و تخليدا للوسائل الشرعية، تقرّبا إلى بارئ البرية، و اللّه المسئول أن ينفع به الطالبين، و يرشد اليه الراغبين، و يجزل لنا من عطائه العميم، و فضله الجسيم، إنّه الجواد الكريم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تنتظمه مقدمة و أقطاب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ففيها إشارات سبع</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4191611_2142443653"/>
      <w:bookmarkStart w:id="33" w:name="_Toc11"/>
      <w:bookmarkEnd w:id="32"/>
      <w:r>
        <w:rPr>
          <w:rtl w:val="true"/>
        </w:rPr>
        <w:t>الإشارة الاولى</w:t>
      </w:r>
      <w:r>
        <w:rPr>
          <w:rtl w:val="true"/>
        </w:rPr>
        <w:t xml:space="preserve">: </w:t>
      </w:r>
      <w:r>
        <w:rPr>
          <w:rtl w:val="true"/>
        </w:rPr>
        <w:t>تعريف بعض المصطلحات</w:t>
      </w:r>
      <w:bookmarkEnd w:id="33"/>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أو جودة الذهن من حيث استعداده لاكتساب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بالأحكام الشرعية العملية عن أدلّتها التفصيلية لتحصيل السعادة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يعلم موضوعه، و هو ما عليه دليله،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المكلّف من حيث هو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مبادئه،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منه دليله،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 الأصول، و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مسائله،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الدليل،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مطالبه المثبتة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اقتضاه الخطاب وجودا أو 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مانعين من النقيض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تخييرا،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 الحرمة، و الندب، و الكراهة، 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رسومها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السببية و الشرطية و الصحة و الفساد يرجع إلى الاقتضاء و التخيير إن جعلت أحكاما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استفيد من الشرع إما بالنقل عن حكم الأصل، أو بالتقرير عليه، فيدخل في ذلك ما علم بالدليل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بالعمل من الفروع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المختصّة بكل حكم على حدته، و يقابلها الإجمالية، كقول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أفتى به المفتي، و كل ما أفتى به فهو حكم اللّه في حقي</w:t>
      </w:r>
      <w:r>
        <w:rPr>
          <w:rFonts w:eastAsia="Amiri" w:cs="Amiri" w:ascii="Amiri" w:hAnsi="Amiri"/>
          <w:color w:val="111111"/>
          <w:sz w:val="28"/>
          <w:szCs w:val="28"/>
          <w:rtl w:val="true"/>
          <w:lang w:bidi="ar-SA"/>
        </w:rPr>
        <w:t xml:space="preserve">. </w:t>
      </w:r>
      <w:bookmarkStart w:id="34" w:name="pg15253_219525"/>
    </w:p>
    <w:p>
      <w:pPr>
        <w:pStyle w:val="BookText"/>
        <w:rPr/>
      </w:pPr>
      <w:bookmarkEnd w:id="34"/>
      <w:r>
        <w:rPr>
          <w:rFonts w:ascii="Amiri" w:hAnsi="Amiri" w:eastAsia="Amiri" w:cs="Amiri"/>
          <w:color w:val="111111"/>
          <w:sz w:val="28"/>
          <w:sz w:val="28"/>
          <w:szCs w:val="28"/>
          <w:rtl w:val="true"/>
          <w:lang w:bidi="ar-SA"/>
        </w:rPr>
        <w:t xml:space="preserve">و لا حاجة الى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التعريف، لخروجها بالأدلة من حيث إنّ الضروري يقابل الاستدلالي، أو أنّ العلم بها وحدها لا يكون فقها، لا من حيث كونها ضرورية بل من حيث إنّ الكل لا يصدق على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فسّر العلم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الجازم عن موجبه، خرج سؤال الظنون لدخولها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بتجزؤ الاجتهاد، لم تكن لام الاحكام للاستغراق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يدخل المقلد، لعدم استدلاله على الأعيان</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4191613_2142443653"/>
      <w:bookmarkStart w:id="36" w:name="_Toc12"/>
      <w:bookmarkEnd w:id="35"/>
      <w:r>
        <w:rPr>
          <w:rtl w:val="true"/>
        </w:rPr>
        <w:t>الإشارة الثانية وجوب التفقه و كونه كفائي</w:t>
      </w:r>
      <w:bookmarkEnd w:id="36"/>
    </w:p>
    <w:p>
      <w:pPr>
        <w:pStyle w:val="BookText"/>
        <w:rPr/>
      </w:pPr>
      <w:r>
        <w:rPr>
          <w:rFonts w:ascii="Amiri" w:hAnsi="Amiri" w:eastAsia="Amiri" w:cs="Amiri"/>
          <w:color w:val="111111"/>
          <w:sz w:val="28"/>
          <w:sz w:val="28"/>
          <w:szCs w:val="28"/>
          <w:rtl w:val="true"/>
          <w:lang w:bidi="ar-SA"/>
        </w:rPr>
        <w:t>يجب التفقّه، لتوقّف معرفة التكليف الواجب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يرد الندب و المكروه و المباح على عموم وجوب التفقّه، لأنّ امتياز الواجب و الحرام انما يتحقّق بمعرفة كل الأحكام، إذ التكليف باعتقادها على ما هي عليه، و هو موقوف على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وجوبه كفاية، لقوله تعالى فَلَوْ لا نَفَرَ مِنْ كُلِّ فِرْقَةٍ مِنْهُمْ طائِفَةٌ لِيَتَفَقَّهُوا فِي اَلدِّينِ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للزوم الحرج المنفي بالقرآن العزيز</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أكثر الإمامية، و خالف فيه بعض قدمائهم</w:t>
      </w:r>
      <w:r>
        <w:rPr>
          <w:rStyle w:val="FootnoteAnchor"/>
          <w:rtl w:val="true"/>
        </w:rPr>
        <w:footnoteReference w:id="19"/>
      </w:r>
      <w:r>
        <w:rPr>
          <w:rFonts w:ascii="IRNazanin" w:hAnsi="IRNazanin" w:eastAsia="IRNazanin"/>
          <w:color w:val="111111"/>
          <w:sz w:val="28"/>
          <w:sz w:val="28"/>
          <w:szCs w:val="28"/>
          <w:rtl w:val="true"/>
          <w:lang w:bidi="fa-IR"/>
        </w:rPr>
        <w:t>و فقهاء حلب</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فأوجبوا على العوام الاستدلال، و اكتفوا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بمعرفة الإجماع الحاصل من مناقشة العلماء عند الحاجة إلى الوقائع، أو النصوص الظاهرة، أو أن الأصل في المنافع الإباحة و في المضار الحرمة، مع فقد نص قاطع في متنه و دلالته و النصوص محصورة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السلف و الخلف على الاستفتاء من غير نكير و لا تعرض لدليل بوجه من الوجوه، و ما ذكروه لا يخرج عن التقليد عند التحقيق، و خصوصا </w:t>
      </w:r>
      <w:bookmarkStart w:id="37" w:name="pg15253_219526"/>
    </w:p>
    <w:p>
      <w:pPr>
        <w:pStyle w:val="BookText"/>
        <w:rPr/>
      </w:pPr>
      <w:bookmarkEnd w:id="37"/>
      <w:r>
        <w:rPr>
          <w:rFonts w:ascii="Amiri" w:hAnsi="Amiri" w:eastAsia="Amiri" w:cs="Amiri"/>
          <w:color w:val="111111"/>
          <w:sz w:val="28"/>
          <w:sz w:val="28"/>
          <w:szCs w:val="28"/>
          <w:rtl w:val="true"/>
          <w:lang w:bidi="ar-SA"/>
        </w:rPr>
        <w:t>عند من اعتبر حجية خبر الواحد، فان في البحث عنه عرضا عريضا</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4191615_2142443653"/>
      <w:bookmarkStart w:id="39" w:name="_Toc13"/>
      <w:bookmarkEnd w:id="38"/>
      <w:r>
        <w:rPr>
          <w:rtl w:val="true"/>
        </w:rPr>
        <w:t>الإشارة الثالثة الشرائط المعتبر تحقّقها في الفقيه، و هي ثلاثة عشر شرطا</w:t>
      </w:r>
      <w:bookmarkEnd w:id="39"/>
    </w:p>
    <w:p>
      <w:pPr>
        <w:pStyle w:val="BookText"/>
        <w:rPr/>
      </w:pPr>
      <w:r>
        <w:rPr>
          <w:rFonts w:ascii="Amiri" w:hAnsi="Amiri" w:eastAsia="Amiri" w:cs="Amiri"/>
          <w:color w:val="111111"/>
          <w:sz w:val="28"/>
          <w:sz w:val="28"/>
          <w:szCs w:val="28"/>
          <w:rtl w:val="true"/>
          <w:lang w:bidi="ar-SA"/>
        </w:rPr>
        <w:t xml:space="preserve">يعتبر في الفقيه أمور ثلاثة عشر، قد نبّه عليها في مقبول عمر بن حنظلة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الى من كان منكم قد روى حديثنا، و نظر في حلالنا و حرامنا، و عرف أحكامنا، فارضوا به حكما فاني قد جعلته عليكم حاكما، فإذا حكم بحكمنا و لم يقبله منه، فإنما بحكم اللّه استخف، و علينا ردّ، و هو رادّ على اللّه</w:t>
      </w:r>
      <w:r>
        <w:rPr>
          <w:rStyle w:val="FootnoteAnchor"/>
          <w:rtl w:val="true"/>
        </w:rPr>
        <w:footnoteReference w:id="21"/>
      </w:r>
      <w:r>
        <w:rPr>
          <w:rFonts w:ascii="Amiri" w:hAnsi="Amiri" w:eastAsia="Amiri" w:cs="Amiri"/>
          <w:color w:val="111111"/>
          <w:sz w:val="28"/>
          <w:sz w:val="28"/>
          <w:szCs w:val="28"/>
          <w:rtl w:val="true"/>
          <w:lang w:bidi="ar-SA"/>
        </w:rPr>
        <w:t>، و هو على حدّ الشرك باللّه، فإذا اختلفا فالحكم ما حكم به أعدلهما و أفقههما و أصدقهما في الحديث و أورعهما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غير المؤمن يجب التثبّت عند خبره، و هو ينافي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بالسنّة، و يكفي منهما ما يحتاج إليه و لو بمراجعة أصل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بالإجماع و الخلاف لئلاّ يفتي بما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باللغة و النحو و الصرف و كيفيّة الاستدلال، و على ذلك دلّ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عرف أحكامنا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معرفتها بدون ذلك محال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بالناسخ و المنسوخ، و المحكم و المتشابه، و الظاهر و المؤوّل، و نحوها مما يتوقّف عليه فهم المعنى و العمل بموجبه، كالمجمل و المبين و العام و الخاص</w:t>
      </w:r>
      <w:r>
        <w:rPr>
          <w:rFonts w:eastAsia="Amiri" w:cs="Amiri" w:ascii="Amiri" w:hAnsi="Amiri"/>
          <w:color w:val="111111"/>
          <w:sz w:val="28"/>
          <w:szCs w:val="28"/>
          <w:rtl w:val="true"/>
          <w:lang w:bidi="ar-SA"/>
        </w:rPr>
        <w:t xml:space="preserve">. </w:t>
      </w:r>
      <w:bookmarkStart w:id="40" w:name="pg15253_219528"/>
    </w:p>
    <w:p>
      <w:pPr>
        <w:pStyle w:val="BookText"/>
        <w:rPr/>
      </w:pPr>
      <w:bookmarkEnd w:id="40"/>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بالجرح و التعديل، و يكفي الاعتماد على شهادة الأولين به كما اشتمل عليه كتب الرجال، إذ يتعذّر ضبط الجميع مع تطاول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 و من لا يحضره الفقيه و التهذيب بلاغ واف و بيان شاف</w:t>
      </w:r>
      <w:r>
        <w:rPr>
          <w:rStyle w:val="FootnoteAnchor"/>
          <w:rtl w:val="true"/>
        </w:rPr>
        <w:footnoteReference w:id="23"/>
      </w:r>
      <w:r>
        <w:rPr>
          <w:rFonts w:ascii="Amiri" w:hAnsi="Amiri" w:eastAsia="Amiri" w:cs="Amiri"/>
          <w:color w:val="111111"/>
          <w:sz w:val="28"/>
          <w:sz w:val="28"/>
          <w:szCs w:val="28"/>
          <w:rtl w:val="true"/>
          <w:lang w:bidi="ar-SA"/>
        </w:rPr>
        <w:t>، و الى ذلك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حديثنا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بمقتضى اللفظ لغة و عرفا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من المخاطب إرادة المقتضى إن تجرّد عن القرينة، و ارادة ما دلّت عليه القرينة ان وجدت ليثق بخطابه، و هو موقوف على ثبوت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حافظا،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أغلب عليه من النسيان، لتعذّر درك الأحكام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جواز تجزّئ الاجتهاد، لأنّ الغرض الاطلاع على مأخذ الحكم و ما يعتبر فيه و هو حاصل، و يندر و يبعد تعلّق غيره به فلا يلتفت اليه، لقيام هذا التجويز في المجتهد المطلق، و عليه نبّه في مشهور أبي خديجة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أنظروا الى رجل منكم يعلم شيئا من قضايانا، فاجعلوه بينكم فانّي قد جعلته قاضيا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4191617_2142443653"/>
      <w:bookmarkStart w:id="42" w:name="_Toc14"/>
      <w:bookmarkEnd w:id="41"/>
      <w:r>
        <w:rPr>
          <w:rtl w:val="true"/>
        </w:rPr>
        <w:t>الإشارة الرابعة وجوب اجتهاد العامّي لتحصيل المفتي</w:t>
      </w:r>
      <w:bookmarkEnd w:id="4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اجتهاد العامي و من قصر عن الاستدلال في تحصيل المفتي بإذعان العلماء له و اشتهار فتياه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تعدّد وجب اتباع الأعلم الأورع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الثقة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تقابل الأعلم و الأورع، 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الأعلم، لأنّ القدر الذي فيه من الورع يحجزه عن الاقتحام على ما لا يعلم، فيبقى ترجيح العلم</w:t>
      </w:r>
      <w:r>
        <w:rPr>
          <w:rStyle w:val="FootnoteAnchor"/>
          <w:rtl w:val="true"/>
        </w:rPr>
        <w:footnoteReference w:id="26"/>
      </w:r>
      <w:r>
        <w:rPr>
          <w:rFonts w:ascii="IRNazanin" w:hAnsi="IRNazanin" w:eastAsia="IRNazanin"/>
          <w:color w:val="111111"/>
          <w:sz w:val="28"/>
          <w:sz w:val="28"/>
          <w:szCs w:val="28"/>
          <w:rtl w:val="true"/>
          <w:lang w:bidi="fa-IR"/>
        </w:rPr>
        <w:t>سالما عن المعارض</w:t>
      </w:r>
      <w:r>
        <w:rPr>
          <w:rFonts w:eastAsia="IRNazanin" w:cs="IRNazanin"/>
          <w:color w:val="111111"/>
          <w:sz w:val="28"/>
          <w:szCs w:val="28"/>
          <w:rtl w:val="true"/>
          <w:lang w:bidi="fa-IR"/>
        </w:rPr>
        <w:t xml:space="preserve">. </w:t>
      </w:r>
      <w:bookmarkStart w:id="43" w:name="pg15253_219530"/>
    </w:p>
    <w:p>
      <w:pPr>
        <w:pStyle w:val="BookText"/>
        <w:rPr/>
      </w:pPr>
      <w:bookmarkEnd w:id="43"/>
      <w:r>
        <w:rPr>
          <w:rFonts w:ascii="Amiri" w:hAnsi="Amiri" w:eastAsia="Amiri" w:cs="Amiri"/>
          <w:color w:val="111111"/>
          <w:sz w:val="28"/>
          <w:sz w:val="28"/>
          <w:szCs w:val="28"/>
          <w:rtl w:val="true"/>
          <w:lang w:bidi="ar-SA"/>
        </w:rPr>
        <w:t>و إن استويا في العلم و الورع، 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لفقد المرجّح، و ان بعد وقوعه حتى منعه بعض الأصوليين، لامتناع اجتماع أمارتي الحرمة و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اتّبع عالما في حكم فله اتباع الآخر في غيره، و ليس له اتّباعه في نقيضه،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بجوازه مع تساويهما في واقعة اخرى</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4191619_2142443653"/>
      <w:bookmarkStart w:id="45" w:name="_Toc15"/>
      <w:bookmarkEnd w:id="44"/>
      <w:r>
        <w:rPr>
          <w:rtl w:val="true"/>
        </w:rPr>
        <w:t>الإشارة الخامسة عدم اشتراط مشافهة المفتي في العمل</w:t>
      </w:r>
      <w:bookmarkEnd w:id="45"/>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مشافهة المفتي في العمل بقوله، بل يجوز بالرواية عنه ما دام حيا، للإجماع على جواز رجوع الحائض إلى الزوج العامي إذا روى عن المفتي، و للعسر اللازم بالتزام السماع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يوجد في بعض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الإفتاء للعامي بقول المفتي، محمول على تصرّفه في الحكم تصرّف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العمل بالرواية عن الميت؟ ظاهر العلماء المنع منه، محتجّين بأنّه لا قول له، و لهذا انعقد الإجماع مع خلافه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جوّزه بعضهم، لإطباق الناس على النقل عن العلماء الماضين، و لوضع الكتب من المجتهدين، و لأن كثيرا من الأزمنة أو الأمكنة تخلو عن المجتهدين و عن التوصّل إليهم، فلو لم تقبل تلك الرواية لزم العسر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النقل و التصنيف يعرّفان طريق الاجتهاد من تصرفهم في الحوادث و الإجماع و الخلاف لا التقليد، و بمنع جواز الخلو عن المجتهد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بالكتابة مع أمن التزوير، للإجماع على العمل بكتب النبي و الأئمة عليهم الصلاة و السلام في أزمنتهم، و لأنّ المعتبر ظنّ الإفتاء و هو حاصل بذلك</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4191621_2142443653"/>
      <w:bookmarkStart w:id="47" w:name="_Toc16"/>
      <w:bookmarkEnd w:id="46"/>
      <w:r>
        <w:rPr>
          <w:rtl w:val="true"/>
        </w:rPr>
        <w:t>الإشارة السادسة بسط الكلام في الأدلة الشرعية الأربعة</w:t>
      </w:r>
      <w:bookmarkEnd w:id="47"/>
    </w:p>
    <w:p>
      <w:pPr>
        <w:pStyle w:val="Heading4"/>
        <w:numPr>
          <w:ilvl w:val="3"/>
          <w:numId w:val="1"/>
        </w:numPr>
        <w:rPr/>
      </w:pPr>
      <w:bookmarkStart w:id="48" w:name="__RefHeading___Toc4191623_2142443653"/>
      <w:bookmarkStart w:id="49" w:name="_Toc17"/>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الإشارة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وجيز في الأصول يبعث الهمّة على طلبه من مظانّه، و هي أربعة</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4191625_2142443653"/>
      <w:bookmarkStart w:id="51" w:name="_Toc18"/>
      <w:bookmarkEnd w:id="50"/>
      <w:r>
        <w:rPr>
          <w:rtl w:val="true"/>
        </w:rPr>
        <w:t>أحدها</w:t>
      </w:r>
      <w:r>
        <w:rPr>
          <w:rtl w:val="true"/>
        </w:rPr>
        <w:t xml:space="preserve">: </w:t>
      </w:r>
      <w:r>
        <w:rPr>
          <w:rtl w:val="true"/>
        </w:rPr>
        <w:t>الكتاب،</w:t>
      </w:r>
      <w:bookmarkEnd w:id="5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المنزل لمصالح الخلق، و الإعجاز بسورة </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ينقسم لفظه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المستعمل فيما وضع له في اصطلاح التخاطب، كالسماء و الدابة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مجاز،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المستعمل فيما لم يوضع له في اصطلاح التخاطب للعلاقة، مثل جِداراً يُرِيدُ أَنْ يَنْقَضَّ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مضمر،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الدليل على إرادته و تقديره في الكلام،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اَلْقَرْيَةَ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مشترك،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لحقيقتين فصاعدا وضعا أولا من حيث هو كذلك كالقرء، 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 بالنسبة إلى كل واحد من معنييه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منفرد،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منقول،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في غير موضوعه لا لعلاقة مع الأغلبية، 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الدال على طلب</w:t>
      </w:r>
      <w:r>
        <w:rPr>
          <w:rStyle w:val="FootnoteAnchor"/>
          <w:rtl w:val="true"/>
        </w:rPr>
        <w:footnoteReference w:id="29"/>
      </w:r>
      <w:r>
        <w:rPr>
          <w:rFonts w:ascii="IRNazanin" w:hAnsi="IRNazanin" w:eastAsia="IRNazanin"/>
          <w:color w:val="111111"/>
          <w:sz w:val="28"/>
          <w:sz w:val="28"/>
          <w:szCs w:val="28"/>
          <w:rtl w:val="true"/>
          <w:lang w:bidi="fa-IR"/>
        </w:rPr>
        <w:t>الفعل مع الاستعلاء،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أَقِيمُوا اَلصَّلاةَ </w:t>
      </w:r>
      <w:r>
        <w:rPr>
          <w:rStyle w:val="FootnoteAnchor"/>
          <w:rtl w:val="true"/>
        </w:rPr>
        <w:footnoteReference w:id="30"/>
      </w:r>
      <w:r>
        <w:rPr>
          <w:rFonts w:ascii="Amiri" w:hAnsi="Amiri" w:eastAsia="Amiri" w:cs="Amiri"/>
          <w:color w:val="111111"/>
          <w:sz w:val="28"/>
          <w:sz w:val="28"/>
          <w:szCs w:val="28"/>
          <w:rtl w:val="true"/>
          <w:lang w:bidi="ar-SA"/>
        </w:rPr>
        <w:t xml:space="preserve">، فَكاتِبُوهُمْ </w:t>
      </w:r>
      <w:r>
        <w:rPr>
          <w:rStyle w:val="FootnoteAnchor"/>
          <w:rtl w:val="true"/>
        </w:rPr>
        <w:footnoteReference w:id="31"/>
      </w:r>
      <w:r>
        <w:rPr>
          <w:rFonts w:ascii="Amiri" w:hAnsi="Amiri" w:eastAsia="Amiri" w:cs="Amiri"/>
          <w:color w:val="111111"/>
          <w:sz w:val="28"/>
          <w:sz w:val="28"/>
          <w:szCs w:val="28"/>
          <w:rtl w:val="true"/>
          <w:lang w:bidi="ar-SA"/>
        </w:rPr>
        <w:t xml:space="preserve">، وَ اِسْتَشْهِدُوا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نهي،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الدال على طلب الكفّ مع الاستعلاء، مثل وَ لا تَقْرَبُوا اَلزِّنى </w:t>
      </w:r>
      <w:r>
        <w:rPr>
          <w:rStyle w:val="FootnoteAnchor"/>
          <w:rtl w:val="true"/>
        </w:rPr>
        <w:footnoteReference w:id="33"/>
      </w:r>
      <w:r>
        <w:rPr>
          <w:rFonts w:ascii="Amiri" w:hAnsi="Amiri" w:eastAsia="Amiri" w:cs="Amiri"/>
          <w:color w:val="111111"/>
          <w:sz w:val="28"/>
          <w:sz w:val="28"/>
          <w:szCs w:val="28"/>
          <w:rtl w:val="true"/>
          <w:lang w:bidi="ar-SA"/>
        </w:rPr>
        <w:t xml:space="preserve">، وَ لا تَمْشِ فِي اَلْأَرْضِ مَرَحاً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مطلق،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الدال على الماهية لا بقيد، 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فَتَحْرِيرُ رَقَبَةٍ مِنْ قَبْلِ أَنْ يَتَمَاسّا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مقيّد، و هو مقابله، مثل وَ مَنْ قَتَلَ مُؤْمِناً خَطَأً فَتَحْرِيرُ رَقَبَةٍ مُؤْمِنَةٍ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المستغرق لجميع ما يصلح له بوضع واحد،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فَاقْتُلُوا اَلْمُشْرِكِينَ حَيْثُ وَجَدْتُمُوهُمْ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خاصّ، و هو مقابله، مثل يا أَيُّهَا اَلْمُزَّمِّلُ قُمِ اَللَّيْلَ إِلاّ قَلِيلاً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مبيّن،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المستغنى عن البيان، مثل فَآمِنُوا بِاللّهِ وَ رَسُولِهِ </w:t>
      </w:r>
      <w:r>
        <w:rPr>
          <w:rStyle w:val="FootnoteAnchor"/>
          <w:rtl w:val="true"/>
        </w:rPr>
        <w:footnoteReference w:id="39"/>
      </w:r>
      <w:r>
        <w:rPr>
          <w:rFonts w:ascii="Amiri" w:hAnsi="Amiri" w:eastAsia="Amiri" w:cs="Amiri"/>
          <w:color w:val="111111"/>
          <w:sz w:val="28"/>
          <w:sz w:val="28"/>
          <w:szCs w:val="28"/>
          <w:rtl w:val="true"/>
          <w:lang w:bidi="ar-SA"/>
        </w:rPr>
        <w:t>، و ما لحقه البيان،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ناسخ،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 حكما شرعيا بخطاب شرعي متراخ عنه على وجه لولاه لكان ثابتا، مثل يَتَرَبَّصْنَ بِأَنْفُسِهِنَّ أَرْبَعَةَ أَشْهُرٍ وَ عَشْراً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منسوخ، مثل مَتاعاً إِلَى اَلْحَوْلِ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دلالة اللفظ على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خالية عن الاحتمال و هو النصّ،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أَنَّهُ لا إِلهَ إِلاَّ اَللّهُ </w:t>
      </w:r>
      <w:r>
        <w:rPr>
          <w:rStyle w:val="FootnoteAnchor"/>
          <w:rtl w:val="true"/>
        </w:rPr>
        <w:footnoteReference w:id="42"/>
      </w:r>
      <w:r>
        <w:rPr>
          <w:rFonts w:ascii="Amiri" w:hAnsi="Amiri" w:eastAsia="Amiri" w:cs="Amiri"/>
          <w:color w:val="111111"/>
          <w:sz w:val="28"/>
          <w:sz w:val="28"/>
          <w:szCs w:val="28"/>
          <w:rtl w:val="true"/>
          <w:lang w:bidi="ar-SA"/>
        </w:rPr>
        <w:t>، و يقابله المجمل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الاحتمال الراجح على المنطوق و هو المأوّل، مثل وَ يَبْقى وَجْهُ رَبِّكَ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احتمال مرجوح و هو الظاهر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أنواعه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الراجح بحسب الحقيقة الشرعية كدلالة الحجّ على المناسك المخصوصة، و الراجح بحسب الحقيقة العرفية كدلالة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52" w:name="pg15253_219536"/>
    </w:p>
    <w:p>
      <w:pPr>
        <w:pStyle w:val="BookText"/>
        <w:rPr/>
      </w:pPr>
      <w:bookmarkEnd w:id="52"/>
      <w:r>
        <w:rPr>
          <w:rFonts w:ascii="Amiri" w:hAnsi="Amiri" w:eastAsia="Amiri" w:cs="Amiri"/>
          <w:color w:val="111111"/>
          <w:sz w:val="28"/>
          <w:sz w:val="28"/>
          <w:szCs w:val="28"/>
          <w:rtl w:val="true"/>
          <w:lang w:bidi="ar-SA"/>
        </w:rPr>
        <w:t>أَوْ جاءَ أَحَدٌ مِنْكُمْ مِنَ اَلْغائِطِ</w:t>
      </w:r>
      <w:r>
        <w:rPr>
          <w:rStyle w:val="FootnoteAnchor"/>
          <w:rtl w:val="true"/>
        </w:rPr>
        <w:footnoteReference w:id="44"/>
      </w:r>
      <w:r>
        <w:rPr>
          <w:rFonts w:ascii="Amiri" w:hAnsi="Amiri" w:eastAsia="Amiri" w:cs="Amiri"/>
          <w:color w:val="111111"/>
          <w:sz w:val="28"/>
          <w:sz w:val="28"/>
          <w:szCs w:val="28"/>
          <w:rtl w:val="true"/>
          <w:lang w:bidi="ar-SA"/>
        </w:rPr>
        <w:t>على الحدث، و المطلق و العام بالنسبة إلى مدلولهما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يتّفق اجتماع النصّ و المجمل باعتبارين، مثل وَ اَلْمُطَلَّقاتُ يَتَرَبَّصْنَ بِأَنْفُسِهِنَّ ثَلاثَةَ قُرُوءٍ </w:t>
      </w:r>
      <w:r>
        <w:rPr>
          <w:rStyle w:val="FootnoteAnchor"/>
          <w:rtl w:val="true"/>
        </w:rPr>
        <w:footnoteReference w:id="45"/>
      </w:r>
      <w:r>
        <w:rPr>
          <w:rFonts w:ascii="Amiri" w:hAnsi="Amiri" w:eastAsia="Amiri" w:cs="Amiri"/>
          <w:color w:val="111111"/>
          <w:sz w:val="28"/>
          <w:sz w:val="28"/>
          <w:szCs w:val="28"/>
          <w:rtl w:val="true"/>
          <w:lang w:bidi="ar-SA"/>
        </w:rPr>
        <w:t>، فإنّه نصّ في دلالته على الاعتداد، و مجمل بالنسبة إلى قدر العدّة و تعيين المعتدّة</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4191627_2142443653"/>
      <w:bookmarkStart w:id="54" w:name="_Toc19"/>
      <w:bookmarkEnd w:id="53"/>
      <w:r>
        <w:rPr>
          <w:rtl w:val="true"/>
        </w:rPr>
        <w:t>الأصل الثاني</w:t>
      </w:r>
      <w:r>
        <w:rPr>
          <w:rtl w:val="true"/>
        </w:rPr>
        <w:t xml:space="preserve">: </w:t>
      </w:r>
      <w:r>
        <w:rPr>
          <w:rtl w:val="true"/>
        </w:rPr>
        <w:t>السنّة،</w:t>
      </w:r>
      <w:bookmarkEnd w:id="54"/>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النبي أو الإمام المحكية عنه، فالنبي بالأصالة و الإمام بالنيابة، و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 فعل، و 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فأقسامه المذكورة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الفعل إذا علم وجهه، أو وقع بيانا، فيتبع المبيّن في وجوبه و ندبه و إباحته، سواء كان البيان مستفادا من الصريح،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أو من القرينة كقطع يد السارق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الفعل أن لا يعلم أنّه من خواصه عليه الصلاة و السلام، كتجاوز الأربع في النكاح، و الوصال في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لم يعلم وجهه، فالوقف بين الواجب و الندب إن علم قصد القربة فيه، و إلاّ فللقدر المشترك بينهما و بين الإباحة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التقرير يفيد الجواز، لامتناع التقرير على المنكر إن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فلا حجة فيه،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نجامع و نكسل فلا نغتسل</w:t>
      </w:r>
      <w:r>
        <w:rPr>
          <w:rStyle w:val="FootnoteAnchor"/>
          <w:rtl w:val="true"/>
        </w:rPr>
        <w:footnoteReference w:id="48"/>
      </w:r>
      <w:r>
        <w:rPr>
          <w:rFonts w:ascii="Amiri" w:hAnsi="Amiri" w:eastAsia="Amiri" w:cs="Amiri"/>
          <w:color w:val="111111"/>
          <w:sz w:val="28"/>
          <w:sz w:val="28"/>
          <w:szCs w:val="28"/>
          <w:rtl w:val="true"/>
          <w:lang w:bidi="ar-SA"/>
        </w:rPr>
        <w:t xml:space="preserve">، إذ مثله قد يخفى، </w:t>
      </w:r>
    </w:p>
    <w:p>
      <w:pPr>
        <w:pStyle w:val="BookText"/>
        <w:rPr/>
      </w:pPr>
      <w:r>
        <w:rPr>
          <w:rFonts w:ascii="Amiri" w:hAnsi="Amiri" w:eastAsia="Amiri" w:cs="Amiri"/>
          <w:color w:val="111111"/>
          <w:sz w:val="28"/>
          <w:sz w:val="28"/>
          <w:szCs w:val="28"/>
          <w:rtl w:val="true"/>
          <w:lang w:bidi="ar-SA"/>
        </w:rPr>
        <w:t xml:space="preserve">و 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المتكلم وحده، أو هو مع جماعة قد يخفى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متواتر،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رواته الى حيث يحصل العلم بقولهم، كخبر 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آحاد، و هو بخلافه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المشهور،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زادت رواته عن ثلاثة، 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 و قد يطلق على ما اشتهر العمل به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اتّصلت روايته الى المعصوم بعدل إمامي، و يسمّى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المتّصل و المعنعن، و إن كان كل منهما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الصحيح على سليم الطريق من الطعن و ان اعتراه إرسال أو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الممدوح من غير نصّ على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من نصّ على توثيقه مع فساد عقيدته، 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يراد بالقوي مرويّ الإمامي غير المذموم و لا الممدوح، أو مروي المشهور في التقدم عن</w:t>
      </w:r>
      <w:r>
        <w:rPr>
          <w:rStyle w:val="FootnoteAnchor"/>
          <w:rtl w:val="true"/>
        </w:rPr>
        <w:footnoteReference w:id="49"/>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الضعيف يقابله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قابل الضعيف الصحيح و الحسن و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 الضعيف بالنسبة إلى زيادة القدح و نقصانه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المقبول،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تلقوه بالقبول و العمل بالمضمون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المعصوم من لم يدركه بغير واسطة، أو بواسطة نسيها أو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منقطعا و مقطوعا بإسقاط واحد، و معضلا بإسقاط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مصاحب المعصوم، و قد يطلق عليه الأثر ان كان الراوي صحابيا للنبي صلّى اللّه عليه و آله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الشاذّ و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المشهور، و يطلق على مرويّ الثقة إذا خالف</w:t>
      </w:r>
      <w:r>
        <w:rPr>
          <w:rFonts w:eastAsia="Amiri" w:cs="Amiri" w:ascii="Amiri" w:hAnsi="Amiri"/>
          <w:color w:val="111111"/>
          <w:sz w:val="28"/>
          <w:szCs w:val="28"/>
          <w:rtl w:val="true"/>
          <w:lang w:bidi="ar-SA"/>
        </w:rPr>
        <w:t xml:space="preserve">». </w:t>
      </w:r>
      <w:bookmarkStart w:id="55" w:name="pg15253_219540"/>
    </w:p>
    <w:p>
      <w:pPr>
        <w:pStyle w:val="BookText"/>
        <w:rPr/>
      </w:pPr>
      <w:bookmarkEnd w:id="55"/>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المتواتر قطعي القبول، لوجوب العمل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الواحد مقبول بشروطه المشهورة، و شرط اعتضاده بقطعي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كفحوى الكتاب، أو المتواتر، أو عمومهما، أو دليل العقل، أو كان مقبولا، حتى عدّه الشيخ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المخبر</w:t>
      </w:r>
      <w:r>
        <w:rPr>
          <w:rStyle w:val="FootnoteAnchor"/>
          <w:rtl w:val="true"/>
        </w:rPr>
        <w:footnoteReference w:id="50"/>
      </w:r>
      <w:r>
        <w:rPr>
          <w:rFonts w:ascii="Amiri" w:hAnsi="Amiri" w:eastAsia="Amiri" w:cs="Amiri"/>
          <w:color w:val="111111"/>
          <w:sz w:val="28"/>
          <w:sz w:val="28"/>
          <w:szCs w:val="28"/>
          <w:rtl w:val="true"/>
          <w:lang w:bidi="ar-SA"/>
        </w:rPr>
        <w:t>، أو كان مرسله معلوم التحرّز عن الرواية عن مجروح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قبلت الأصحاب مراسيل ابن أبي عمير، و صفوان ابن يحيى، و أحمد بن أبي نصر البزنطي</w:t>
      </w:r>
      <w:r>
        <w:rPr>
          <w:rStyle w:val="FootnoteAnchor"/>
          <w:rtl w:val="true"/>
        </w:rPr>
        <w:footnoteReference w:id="51"/>
      </w:r>
      <w:r>
        <w:rPr>
          <w:rFonts w:ascii="Amiri" w:hAnsi="Amiri" w:eastAsia="Amiri" w:cs="Amiri"/>
          <w:color w:val="111111"/>
          <w:sz w:val="28"/>
          <w:sz w:val="28"/>
          <w:szCs w:val="28"/>
          <w:rtl w:val="true"/>
          <w:lang w:bidi="ar-SA"/>
        </w:rPr>
        <w:t>لأنّهم لا يرسلون إلاّ عن ثقة، أو عمل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أنكره جلّ الأصحاب</w:t>
      </w:r>
      <w:r>
        <w:rPr>
          <w:rStyle w:val="FootnoteAnchor"/>
          <w:rtl w:val="true"/>
        </w:rPr>
        <w:footnoteReference w:id="52"/>
      </w:r>
      <w:r>
        <w:rPr>
          <w:rFonts w:ascii="Amiri" w:hAnsi="Amiri" w:eastAsia="Amiri" w:cs="Amiri"/>
          <w:color w:val="111111"/>
          <w:sz w:val="28"/>
          <w:sz w:val="28"/>
          <w:szCs w:val="28"/>
          <w:rtl w:val="true"/>
          <w:lang w:bidi="ar-SA"/>
        </w:rPr>
        <w:t>كأنّهم يرون أنّ ما بأيديهم متواتر أو مجمع على مضمونه و ان كان في حيّز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الخبر لمخالفة مضمونه القاطع من الكتاب و السنّة و الإجماع لامتناع ترجيح الظنّ على العلم، أو باعراض الأكثر عنه، أو معارضة أقوى إسنادا أو متنا، أو مرجّحا لوجوه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يأوّل ما يمكن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كفانا السلف رحمهم اللّه مئونة نقد الأحاديث و بيان هذه الوجوه، فاقتصرنا على المقصود منها بإيراد طرف من الحديث، أو الإشارة إليه ايجازا، و اللّه الموفق</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4191629_2142443653"/>
      <w:bookmarkStart w:id="57" w:name="_Toc20"/>
      <w:bookmarkEnd w:id="56"/>
      <w:r>
        <w:rPr>
          <w:rtl w:val="true"/>
        </w:rPr>
        <w:t>الأصل الثالث</w:t>
      </w:r>
      <w:r>
        <w:rPr>
          <w:rtl w:val="true"/>
        </w:rPr>
        <w:t xml:space="preserve">: </w:t>
      </w:r>
      <w:r>
        <w:rPr>
          <w:rtl w:val="true"/>
        </w:rPr>
        <w:t>الإجماع،</w:t>
      </w:r>
      <w:bookmarkEnd w:id="57"/>
    </w:p>
    <w:p>
      <w:pPr>
        <w:pStyle w:val="Heading5"/>
        <w:numPr>
          <w:ilvl w:val="4"/>
          <w:numId w:val="1"/>
        </w:numPr>
        <w:rPr/>
      </w:pPr>
      <w:bookmarkStart w:id="58" w:name="__RefHeading___Toc4191631_2142443653"/>
      <w:bookmarkStart w:id="59" w:name="_Toc21"/>
      <w:bookmarkEnd w:id="58"/>
      <w:r>
        <w:rPr>
          <w:rtl w:val="true"/>
        </w:rPr>
        <w:t>اشارة</w:t>
      </w:r>
      <w:bookmarkEnd w:id="5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علماء الطائفة على أمر في عصر، و جدواه</w:t>
      </w:r>
      <w:r>
        <w:rPr>
          <w:rStyle w:val="FootnoteAnchor"/>
          <w:rtl w:val="true"/>
        </w:rPr>
        <w:footnoteReference w:id="53"/>
      </w:r>
      <w:r>
        <w:rPr>
          <w:rFonts w:ascii="Amiri" w:hAnsi="Amiri" w:eastAsia="Amiri" w:cs="Amiri"/>
          <w:color w:val="111111"/>
          <w:sz w:val="28"/>
          <w:sz w:val="28"/>
          <w:szCs w:val="28"/>
          <w:rtl w:val="true"/>
          <w:lang w:bidi="ar-SA"/>
        </w:rPr>
        <w:t xml:space="preserve">لا مع تعيين المعصوم فإنه يعلم به دخوله، و الطريق إلى معرفة دخوله أن يعلم إطباق الإماميّة على مسألة معينة، أو قول جماعة فيهم من لا يعلم نسبه بخلاف قول من يعلم نسبه، فلو انتفى العلم بالنسب في الشطرين فالأولى </w:t>
      </w:r>
      <w:bookmarkStart w:id="60" w:name="pg15253_219542"/>
    </w:p>
    <w:p>
      <w:pPr>
        <w:pStyle w:val="BookText"/>
        <w:rPr/>
      </w:pPr>
      <w:bookmarkEnd w:id="60"/>
      <w:r>
        <w:rPr>
          <w:rFonts w:ascii="Amiri" w:hAnsi="Amiri" w:eastAsia="Amiri" w:cs="Amiri"/>
          <w:color w:val="111111"/>
          <w:sz w:val="28"/>
          <w:sz w:val="28"/>
          <w:szCs w:val="28"/>
          <w:rtl w:val="true"/>
          <w:lang w:bidi="ar-SA"/>
        </w:rPr>
        <w:t>التخيير كالخبرين المتعارضين، و لوجوب التبيين على الإمام لو كان أحدهما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الى دليل العقل</w:t>
      </w:r>
      <w:r>
        <w:rPr>
          <w:rStyle w:val="FootnoteAnchor"/>
          <w:rtl w:val="true"/>
        </w:rPr>
        <w:footnoteReference w:id="54"/>
      </w:r>
      <w:r>
        <w:rPr>
          <w:rFonts w:ascii="Amiri" w:hAnsi="Amiri" w:eastAsia="Amiri" w:cs="Amiri"/>
          <w:color w:val="111111"/>
          <w:sz w:val="28"/>
          <w:sz w:val="28"/>
          <w:szCs w:val="28"/>
          <w:rtl w:val="true"/>
          <w:lang w:bidi="ar-SA"/>
        </w:rPr>
        <w:t>لأنّ غيبة الإمام لخوفه تمنع من تبيينه الحق، و اللوم فيه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في كل واحد من علماء الأمة المجهولي النسب أن يكون هو الإمام، فلم خصّصتم بالإمامية؟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البرهان العقلي و النقلي على تضليل من خالف أصول الطائفة امتنع كون الإمام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يظهر تلك الأحوال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يقطع بكونه متدينا بذلك، و مع التجويز للتقية نلتزم باعتبار قوله في الإمامية فلعلّه الإمام، و استبعاد انحصار علماء الإمامية يستلزم أولوية استبعاد حصر غيرهم، و الجواب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أن أعصار الأئمة الطاهرين تحقّق فيها ذلك بالقطع في أكثر خصوصيات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كالمسح على الرجلين، و ترك الماء الجديد و الكتف، و التأمين، و بطلان العول و العصبة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يتواتر الخبر بقول معصوم بعينه، و من ثم ضعف الشك في الثلاثة الأول بل اضمحل</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4191633_2142443653"/>
      <w:bookmarkStart w:id="62" w:name="_Toc22"/>
      <w:bookmarkEnd w:id="61"/>
      <w:r>
        <w:rPr>
          <w:rtl w:val="true"/>
        </w:rPr>
        <w:t>فروع</w:t>
      </w:r>
      <w:r>
        <w:rPr>
          <w:rtl w:val="true"/>
        </w:rPr>
        <w:t>:</w:t>
      </w:r>
      <w:bookmarkEnd w:id="62"/>
    </w:p>
    <w:p>
      <w:pPr>
        <w:pStyle w:val="Heading6"/>
        <w:numPr>
          <w:ilvl w:val="5"/>
          <w:numId w:val="1"/>
        </w:numPr>
        <w:rPr/>
      </w:pPr>
      <w:bookmarkStart w:id="63" w:name="__RefHeading___Toc4191635_2142443653"/>
      <w:bookmarkStart w:id="64" w:name="_Toc23"/>
      <w:bookmarkEnd w:id="63"/>
      <w:r>
        <w:rPr>
          <w:rtl w:val="true"/>
        </w:rPr>
        <w:t>الأول</w:t>
      </w:r>
      <w:r>
        <w:rPr>
          <w:rtl w:val="true"/>
        </w:rPr>
        <w:t xml:space="preserve">: </w:t>
      </w:r>
      <w:r>
        <w:rPr>
          <w:rtl w:val="true"/>
        </w:rPr>
        <w:t>الإجماع السكوتي</w:t>
      </w:r>
      <w:bookmarkEnd w:id="64"/>
    </w:p>
    <w:p>
      <w:pPr>
        <w:pStyle w:val="BookText"/>
        <w:rPr/>
      </w:pPr>
      <w:r>
        <w:rPr>
          <w:rFonts w:ascii="Amiri" w:hAnsi="Amiri" w:eastAsia="Amiri" w:cs="Amiri"/>
          <w:color w:val="111111"/>
          <w:sz w:val="28"/>
          <w:sz w:val="28"/>
          <w:szCs w:val="28"/>
          <w:rtl w:val="true"/>
          <w:lang w:bidi="ar-SA"/>
        </w:rPr>
        <w:t>ليس إجماعا و لا حجّة، لاحتماله غير الرضا</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4191637_2142443653"/>
      <w:bookmarkStart w:id="66" w:name="_Toc24"/>
      <w:bookmarkEnd w:id="65"/>
      <w:r>
        <w:rPr>
          <w:rtl w:val="true"/>
        </w:rPr>
        <w:t>الثاني</w:t>
      </w:r>
      <w:r>
        <w:rPr>
          <w:rtl w:val="true"/>
        </w:rPr>
        <w:t xml:space="preserve">: </w:t>
      </w:r>
      <w:r>
        <w:rPr>
          <w:rtl w:val="true"/>
        </w:rPr>
        <w:t>يثبت الإجماع بخبر الواحد</w:t>
      </w:r>
      <w:bookmarkEnd w:id="6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لم يعلم خلافه، لأنّه أمارة قوية كروايته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اشتمل كتاب الخلاف، و الانتصار، و السرائر، و الغنية، على أكثر هذا الباب، مع ظهور المخالف في بعضها حتى من الناقل نفسه</w:t>
      </w:r>
      <w:r>
        <w:rPr>
          <w:rFonts w:eastAsia="Amiri" w:cs="Amiri" w:ascii="Amiri" w:hAnsi="Amiri"/>
          <w:color w:val="111111"/>
          <w:sz w:val="28"/>
          <w:szCs w:val="28"/>
          <w:rtl w:val="true"/>
          <w:lang w:bidi="ar-SA"/>
        </w:rPr>
        <w:t xml:space="preserve">. </w:t>
      </w:r>
      <w:bookmarkStart w:id="67" w:name="pg15253_219544"/>
    </w:p>
    <w:p>
      <w:pPr>
        <w:pStyle w:val="BookText"/>
        <w:rPr/>
      </w:pPr>
      <w:bookmarkEnd w:id="67"/>
      <w:r>
        <w:rPr>
          <w:rFonts w:ascii="Amiri" w:hAnsi="Amiri" w:eastAsia="Amiri" w:cs="Amiri"/>
          <w:color w:val="111111"/>
          <w:sz w:val="28"/>
          <w:sz w:val="28"/>
          <w:szCs w:val="28"/>
          <w:rtl w:val="true"/>
          <w:lang w:bidi="ar-SA"/>
        </w:rPr>
        <w:t>و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بعدم اعتبار المخالف المعلوم المعين، كما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تسميتهم لما اشتهر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بعدم ظفره حين ادعى الإجماع بالمخالف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بتأويل الخلاف على وجه يمكن مجامعته لدعوى الإجماع و ان بعد، كجعل الحكم من باب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إجماعهم على روايته، بمعنى تدوينه في كتبهم منسوبا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4191639_2142443653"/>
      <w:bookmarkStart w:id="69" w:name="_Toc25"/>
      <w:bookmarkEnd w:id="68"/>
      <w:r>
        <w:rPr>
          <w:rtl w:val="true"/>
        </w:rPr>
        <w:t>الثالث</w:t>
      </w:r>
      <w:r>
        <w:rPr>
          <w:rtl w:val="true"/>
        </w:rPr>
        <w:t xml:space="preserve">: </w:t>
      </w:r>
      <w:r>
        <w:rPr>
          <w:rtl w:val="true"/>
        </w:rPr>
        <w:t>يمنع احداث ثالث إذا استلزم رفع الإجماع،</w:t>
      </w:r>
      <w:bookmarkEnd w:id="69"/>
    </w:p>
    <w:p>
      <w:pPr>
        <w:pStyle w:val="BookText"/>
        <w:rPr/>
      </w:pPr>
      <w:r>
        <w:rPr>
          <w:rFonts w:ascii="Amiri" w:hAnsi="Amiri" w:eastAsia="Amiri" w:cs="Amiri"/>
          <w:color w:val="111111"/>
          <w:sz w:val="28"/>
          <w:sz w:val="28"/>
          <w:szCs w:val="28"/>
          <w:rtl w:val="true"/>
          <w:lang w:bidi="ar-SA"/>
        </w:rPr>
        <w:t>أو مخالفة المعصوم، و الا جاز، لامتناع مخالفه القطعي</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4191641_2142443653"/>
      <w:bookmarkStart w:id="71" w:name="_Toc26"/>
      <w:bookmarkEnd w:id="70"/>
      <w:r>
        <w:rPr>
          <w:rtl w:val="true"/>
        </w:rPr>
        <w:t>الرابع</w:t>
      </w:r>
      <w:r>
        <w:rPr>
          <w:rtl w:val="true"/>
        </w:rPr>
        <w:t xml:space="preserve">: </w:t>
      </w:r>
      <w:r>
        <w:rPr>
          <w:rtl w:val="true"/>
        </w:rPr>
        <w:t>إذا أفتى جماعة من الأصحاب، و لم يعلم لهم مخالف،</w:t>
      </w:r>
      <w:bookmarkEnd w:id="71"/>
    </w:p>
    <w:p>
      <w:pPr>
        <w:pStyle w:val="BookText"/>
        <w:rPr/>
      </w:pPr>
      <w:r>
        <w:rPr>
          <w:rFonts w:ascii="Amiri" w:hAnsi="Amiri" w:eastAsia="Amiri" w:cs="Amiri"/>
          <w:color w:val="111111"/>
          <w:sz w:val="28"/>
          <w:sz w:val="28"/>
          <w:szCs w:val="28"/>
          <w:rtl w:val="true"/>
          <w:lang w:bidi="ar-SA"/>
        </w:rPr>
        <w:t>فليس إجماعا قطعا و خصوصا مع علم العين، للجزم بعدم دخول الإمام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علم العين لا يعلم أن الباقي موافقون، و لا يكفي عدم علم خلافهم، فإن الإجماع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الوفاق لا عدم علم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هو حجة مع عدم متمسك ظاهر من حجة نقلية أو عقلية؟ الظاهر ذلك، لأن عدالتهم تمنع من الاقتحام على الإفتاء بغير علم، و لا يلزم من عدم الظفر بالدليل عدم الدليل، خصوصا و قد تطرق الدروس الى كثير من الأحاديث، لمعارضة الدول المخالفة، و مباينة الفرق المنافية، و عدم تطرق الباقين الى الردّ له، مع ان الظاهر وقوفهم عليه و انّهم لا يقرّون ما يعلمون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سكوتهم لعدم الظفر بمستند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قول أولئك سليما عن المعارض، و لا فرق بين كثرة القائل بذلك أو قلته مع عدم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الأصحاب يتمسكون بما يجدونه في شرائع الشيخ أبي الحسن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إعواز النصوص، لحسن ظنهم به، و ان فتواه كروايته، و بالجملة تنزل فتاويهم منزلة 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ندور هذا الفرض، إذ الغالب وجود دليل دال على ذلك القول عند التأمّل</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4191643_2142443653"/>
      <w:bookmarkStart w:id="73" w:name="_Toc27"/>
      <w:bookmarkEnd w:id="72"/>
      <w:r>
        <w:rPr>
          <w:rtl w:val="true"/>
        </w:rPr>
        <w:t>الخامس</w:t>
      </w:r>
      <w:r>
        <w:rPr>
          <w:rtl w:val="true"/>
        </w:rPr>
        <w:t xml:space="preserve">: </w:t>
      </w:r>
      <w:r>
        <w:rPr>
          <w:rtl w:val="true"/>
        </w:rPr>
        <w:t>ألحق بعضهم المشهور بالمجمع عليه،</w:t>
      </w:r>
      <w:bookmarkEnd w:id="7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أراد في الإجماع فهو </w:t>
      </w:r>
      <w:bookmarkStart w:id="74" w:name="pg15253_219546"/>
    </w:p>
    <w:p>
      <w:pPr>
        <w:pStyle w:val="BookText"/>
        <w:rPr/>
      </w:pPr>
      <w:bookmarkEnd w:id="74"/>
      <w:r>
        <w:rPr>
          <w:rFonts w:ascii="Amiri" w:hAnsi="Amiri" w:eastAsia="Amiri" w:cs="Amiri"/>
          <w:color w:val="111111"/>
          <w:sz w:val="28"/>
          <w:sz w:val="28"/>
          <w:szCs w:val="28"/>
          <w:rtl w:val="true"/>
          <w:lang w:bidi="ar-SA"/>
        </w:rPr>
        <w:t xml:space="preserve">ممنوع، و ان أراد في الحجة فقريب لمثل ما قلناه، و لقوة الظن في جانب الشهرة، سواء كان اشتهارا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يكثر تدوينها أو راووها</w:t>
      </w:r>
      <w:r>
        <w:rPr>
          <w:rStyle w:val="FootnoteAnchor"/>
          <w:rtl w:val="true"/>
        </w:rPr>
        <w:footnoteReference w:id="55"/>
      </w:r>
      <w:r>
        <w:rPr>
          <w:rFonts w:ascii="Amiri" w:hAnsi="Amiri" w:eastAsia="Amiri" w:cs="Amiri"/>
          <w:color w:val="111111"/>
          <w:sz w:val="28"/>
          <w:sz w:val="28"/>
          <w:szCs w:val="28"/>
          <w:rtl w:val="true"/>
          <w:lang w:bidi="ar-SA"/>
        </w:rPr>
        <w:t xml:space="preserve">بلفظ واحد، أو ألفاظ متغايرة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تعارضا، فالترجيح للفتوى إذا علم اطلاعهم على الرواية، لأن عدولهم عنها ليس الا لوجود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عارض الشهرة المستندة إلى حديث ضعيف حديث قوي،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الشهرة، لأن نسبة القول الى الإمام قد تعلم و ان ضعف طريقه، كما تعلم مذاهب الفرق بأخبار أهلها و ان لم يبلغوا التواتر، و من ثم قبل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الموثقين مع فساد مذاهبهم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4191645_2142443653"/>
      <w:bookmarkStart w:id="76" w:name="_Toc28"/>
      <w:bookmarkEnd w:id="75"/>
      <w:r>
        <w:rPr>
          <w:rtl w:val="true"/>
        </w:rPr>
        <w:t>الأصل الرابع</w:t>
      </w:r>
      <w:r>
        <w:rPr>
          <w:rtl w:val="true"/>
        </w:rPr>
        <w:t xml:space="preserve">: </w:t>
      </w:r>
      <w:r>
        <w:rPr>
          <w:rtl w:val="true"/>
        </w:rPr>
        <w:t>دليل العقل،</w:t>
      </w:r>
      <w:bookmarkEnd w:id="76"/>
    </w:p>
    <w:p>
      <w:pPr>
        <w:pStyle w:val="Heading5"/>
        <w:numPr>
          <w:ilvl w:val="4"/>
          <w:numId w:val="1"/>
        </w:numPr>
        <w:rPr/>
      </w:pPr>
      <w:bookmarkStart w:id="77" w:name="__RefHeading___Toc4191647_2142443653"/>
      <w:bookmarkStart w:id="78" w:name="_Toc29"/>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و هو قسمان</w:t>
      </w:r>
      <w:r>
        <w:rPr>
          <w:rFonts w:eastAsia="IRNazanin" w:cs="IRNazanin"/>
          <w:color w:val="111111"/>
          <w:sz w:val="28"/>
          <w:szCs w:val="28"/>
          <w:rtl w:val="true"/>
          <w:lang w:bidi="fa-IR"/>
        </w:rPr>
        <w:t>:</w:t>
      </w:r>
    </w:p>
    <w:p>
      <w:pPr>
        <w:pStyle w:val="Heading5"/>
        <w:numPr>
          <w:ilvl w:val="4"/>
          <w:numId w:val="1"/>
        </w:numPr>
        <w:rPr/>
      </w:pPr>
      <w:bookmarkStart w:id="79" w:name="__RefHeading___Toc4191649_2142443653"/>
      <w:bookmarkStart w:id="80" w:name="_Toc30"/>
      <w:bookmarkEnd w:id="79"/>
      <w:r>
        <w:rPr>
          <w:rtl w:val="true"/>
        </w:rPr>
        <w:t>القسم الأوّل</w:t>
      </w:r>
      <w:r>
        <w:rPr>
          <w:rtl w:val="true"/>
        </w:rPr>
        <w:t xml:space="preserve">: </w:t>
      </w:r>
      <w:r>
        <w:rPr>
          <w:rtl w:val="true"/>
        </w:rPr>
        <w:t>قسم لا يتوقّف على الخطاب،</w:t>
      </w:r>
      <w:bookmarkEnd w:id="80"/>
    </w:p>
    <w:p>
      <w:pPr>
        <w:pStyle w:val="Heading6"/>
        <w:numPr>
          <w:ilvl w:val="5"/>
          <w:numId w:val="1"/>
        </w:numPr>
        <w:rPr/>
      </w:pPr>
      <w:bookmarkStart w:id="81" w:name="__RefHeading___Toc4191651_2142443653"/>
      <w:bookmarkStart w:id="82" w:name="_Toc31"/>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و هو خمسة</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4191653_2142443653"/>
      <w:bookmarkStart w:id="84" w:name="_Toc32"/>
      <w:bookmarkEnd w:id="83"/>
      <w:r>
        <w:rPr>
          <w:rtl w:val="true"/>
        </w:rPr>
        <w:t>الأول</w:t>
      </w:r>
      <w:r>
        <w:rPr>
          <w:rtl w:val="true"/>
        </w:rPr>
        <w:t xml:space="preserve">: </w:t>
      </w:r>
      <w:r>
        <w:rPr>
          <w:rtl w:val="true"/>
        </w:rPr>
        <w:t>ما يستفاد من قضية العقل</w:t>
      </w:r>
      <w:bookmarkEnd w:id="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كوجوب قضاء الدين، و رد الوديعة، و حرمة الظلم، و استحباب الإحسان، و كراهية منع اقتباس النار، و إباحة تناول المنافع الخالية عن المضار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علم ذلك بالضرورة أو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كالصدق النافع و الضار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ورود السمع في هذه مؤكد</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4191655_2142443653"/>
      <w:bookmarkStart w:id="86" w:name="_Toc33"/>
      <w:bookmarkEnd w:id="85"/>
      <w:r>
        <w:rPr>
          <w:rtl w:val="true"/>
        </w:rPr>
        <w:t>الثاني</w:t>
      </w:r>
      <w:r>
        <w:rPr>
          <w:rtl w:val="true"/>
        </w:rPr>
        <w:t xml:space="preserve">: </w:t>
      </w:r>
      <w:r>
        <w:rPr>
          <w:rtl w:val="true"/>
        </w:rPr>
        <w:t>التمسّك بأصل البراءة عند عدم دليل،</w:t>
      </w:r>
      <w:bookmarkEnd w:id="86"/>
    </w:p>
    <w:p>
      <w:pPr>
        <w:pStyle w:val="BookText"/>
        <w:rPr/>
      </w:pPr>
      <w:r>
        <w:rPr>
          <w:rFonts w:ascii="Amiri" w:hAnsi="Amiri" w:eastAsia="Amiri" w:cs="Amiri"/>
          <w:color w:val="111111"/>
          <w:sz w:val="28"/>
          <w:sz w:val="28"/>
          <w:szCs w:val="28"/>
          <w:rtl w:val="true"/>
          <w:lang w:bidi="ar-SA"/>
        </w:rPr>
        <w:t xml:space="preserve">و هو عام الورود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كنفي الغسلة الثالثة في الوضوء، و الضربة الزائدة في التيمم، و نفي وجوب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نبّه عليه في الحديث بقولهم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 حرام فهو لك حلال، حتى تعرف الحرام بعينه فتدعه</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و شبه هذا</w:t>
      </w:r>
      <w:r>
        <w:rPr>
          <w:rFonts w:eastAsia="IRNazanin" w:cs="IRNazanin"/>
          <w:color w:val="111111"/>
          <w:sz w:val="28"/>
          <w:szCs w:val="28"/>
          <w:rtl w:val="true"/>
          <w:lang w:bidi="fa-IR"/>
        </w:rPr>
        <w:t>.</w:t>
      </w:r>
    </w:p>
    <w:p>
      <w:pPr>
        <w:pStyle w:val="Heading6"/>
        <w:numPr>
          <w:ilvl w:val="5"/>
          <w:numId w:val="1"/>
        </w:numPr>
        <w:rPr/>
      </w:pPr>
      <w:bookmarkStart w:id="87" w:name="__RefHeading___Toc4191657_2142443653"/>
      <w:bookmarkStart w:id="88" w:name="_Toc34"/>
      <w:bookmarkEnd w:id="87"/>
      <w:r>
        <w:rPr>
          <w:rtl w:val="true"/>
        </w:rPr>
        <w:t>الثالث</w:t>
      </w:r>
      <w:r>
        <w:rPr>
          <w:rtl w:val="true"/>
        </w:rPr>
        <w:t xml:space="preserve">: </w:t>
      </w:r>
      <w:r>
        <w:rPr>
          <w:rtl w:val="true"/>
        </w:rPr>
        <w:t>لا دليل على كذا فينتفي،</w:t>
      </w:r>
      <w:bookmarkEnd w:id="8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كثيرا ما يستعمله الأصحاب، و هو تام </w:t>
      </w:r>
      <w:bookmarkStart w:id="89" w:name="pg15253_219548"/>
    </w:p>
    <w:p>
      <w:pPr>
        <w:pStyle w:val="BookText"/>
        <w:rPr/>
      </w:pPr>
      <w:bookmarkEnd w:id="89"/>
      <w:r>
        <w:rPr>
          <w:rFonts w:ascii="Amiri" w:hAnsi="Amiri" w:eastAsia="Amiri" w:cs="Amiri"/>
          <w:color w:val="111111"/>
          <w:sz w:val="28"/>
          <w:sz w:val="28"/>
          <w:szCs w:val="28"/>
          <w:rtl w:val="true"/>
          <w:lang w:bidi="ar-SA"/>
        </w:rPr>
        <w:t>عند التتبع التام، و مرجعه إلى أصل البراءة</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4191659_2142443653"/>
      <w:bookmarkStart w:id="91" w:name="_Toc35"/>
      <w:bookmarkEnd w:id="90"/>
      <w:r>
        <w:rPr>
          <w:rtl w:val="true"/>
        </w:rPr>
        <w:t>الرابع</w:t>
      </w:r>
      <w:r>
        <w:rPr>
          <w:rtl w:val="true"/>
        </w:rPr>
        <w:t xml:space="preserve">: </w:t>
      </w:r>
      <w:r>
        <w:rPr>
          <w:rtl w:val="true"/>
        </w:rPr>
        <w:t>الأخذ بالأقل عند فقد دليل على الأكثر</w:t>
      </w:r>
      <w:bookmarkEnd w:id="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كدية الذمي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فيبقى الباقي على الأصل و هو راجع إليها</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4191661_2142443653"/>
      <w:bookmarkStart w:id="93" w:name="_Toc36"/>
      <w:bookmarkEnd w:id="92"/>
      <w:r>
        <w:rPr>
          <w:rtl w:val="true"/>
        </w:rPr>
        <w:t>الخامس</w:t>
      </w:r>
      <w:r>
        <w:rPr>
          <w:rtl w:val="true"/>
        </w:rPr>
        <w:t xml:space="preserve">: </w:t>
      </w:r>
      <w:r>
        <w:rPr>
          <w:rtl w:val="true"/>
        </w:rPr>
        <w:t>أصالة بقاء ما كان</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حال الشرع و حال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الخلاف، كصحة صلاة المتيمم يجد الماء في الأثناء،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طهارة معلومة و الأصل عدم طارئ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صحيحة قبل الوجدان فكذا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الأصحاب في حجيته، و هو مقرر في الأصول</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4191663_2142443653"/>
      <w:bookmarkStart w:id="95" w:name="_Toc37"/>
      <w:bookmarkEnd w:id="94"/>
      <w:r>
        <w:rPr>
          <w:rtl w:val="true"/>
        </w:rPr>
        <w:t>القسم الثاني</w:t>
      </w:r>
      <w:r>
        <w:rPr>
          <w:rtl w:val="true"/>
        </w:rPr>
        <w:t xml:space="preserve">: </w:t>
      </w:r>
      <w:r>
        <w:rPr>
          <w:rtl w:val="true"/>
        </w:rPr>
        <w:t>ما يتوقّف العقل فيه على الخطاب،</w:t>
      </w:r>
      <w:bookmarkEnd w:id="95"/>
    </w:p>
    <w:p>
      <w:pPr>
        <w:pStyle w:val="Heading6"/>
        <w:numPr>
          <w:ilvl w:val="5"/>
          <w:numId w:val="1"/>
        </w:numPr>
        <w:rPr/>
      </w:pPr>
      <w:bookmarkStart w:id="96" w:name="__RefHeading___Toc4191665_2142443653"/>
      <w:bookmarkStart w:id="97" w:name="_Toc38"/>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و هو ستة</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4191667_2142443653"/>
      <w:bookmarkStart w:id="99" w:name="_Toc39"/>
      <w:bookmarkEnd w:id="98"/>
      <w:r>
        <w:rPr>
          <w:rtl w:val="true"/>
        </w:rPr>
        <w:t>أوّلها</w:t>
      </w:r>
      <w:r>
        <w:rPr>
          <w:rtl w:val="true"/>
        </w:rPr>
        <w:t xml:space="preserve">: </w:t>
      </w:r>
      <w:r>
        <w:rPr>
          <w:rtl w:val="true"/>
        </w:rPr>
        <w:t>مقدمة الواجب المطلق،</w:t>
      </w:r>
      <w:bookmarkEnd w:id="99"/>
    </w:p>
    <w:p>
      <w:pPr>
        <w:pStyle w:val="BookText"/>
        <w:rPr/>
      </w:pPr>
      <w:r>
        <w:rPr>
          <w:rFonts w:ascii="Amiri" w:hAnsi="Amiri" w:eastAsia="Amiri" w:cs="Amiri"/>
          <w:color w:val="111111"/>
          <w:sz w:val="28"/>
          <w:sz w:val="28"/>
          <w:szCs w:val="28"/>
          <w:rtl w:val="true"/>
          <w:lang w:bidi="ar-SA"/>
        </w:rPr>
        <w:t>شرطا كانت كالطهارة في الصلاة، أو وصلة، كفعل الصلوات الثلاث عند اشتباه الفائتة، و غسل جزء من الرأس في الوجه، و ستر أقل الزائد على العورة، و الصلاة الى أربع جهات، و ترك الآنية المحصورة عند تيقّن نجاسة واحدة منها</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4191669_2142443653"/>
      <w:bookmarkStart w:id="101" w:name="_Toc40"/>
      <w:bookmarkEnd w:id="100"/>
      <w:r>
        <w:rPr>
          <w:rtl w:val="true"/>
        </w:rPr>
        <w:t>و ثانيها</w:t>
      </w:r>
      <w:r>
        <w:rPr>
          <w:rtl w:val="true"/>
        </w:rPr>
        <w:t xml:space="preserve">: </w:t>
      </w:r>
      <w:r>
        <w:rPr>
          <w:rtl w:val="true"/>
        </w:rPr>
        <w:t>استلزام الأمر بالشيء النهي عن ضده،</w:t>
      </w:r>
      <w:bookmarkEnd w:id="101"/>
    </w:p>
    <w:p>
      <w:pPr>
        <w:pStyle w:val="BookText"/>
        <w:rPr/>
      </w:pPr>
      <w:r>
        <w:rPr>
          <w:rFonts w:ascii="Amiri" w:hAnsi="Amiri" w:eastAsia="Amiri" w:cs="Amiri"/>
          <w:color w:val="111111"/>
          <w:sz w:val="28"/>
          <w:sz w:val="28"/>
          <w:szCs w:val="28"/>
          <w:rtl w:val="true"/>
          <w:lang w:bidi="ar-SA"/>
        </w:rPr>
        <w:t>كما يستدل على بطلان الواجب الموسّع عند منافاة حق آدمي</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4191671_2142443653"/>
      <w:bookmarkStart w:id="103" w:name="_Toc41"/>
      <w:bookmarkEnd w:id="102"/>
      <w:r>
        <w:rPr>
          <w:rtl w:val="true"/>
        </w:rPr>
        <w:t>و ثالثها</w:t>
      </w:r>
      <w:r>
        <w:rPr>
          <w:rtl w:val="true"/>
        </w:rPr>
        <w:t xml:space="preserve">: </w:t>
      </w:r>
      <w:r>
        <w:rPr>
          <w:rtl w:val="true"/>
        </w:rPr>
        <w:t>فحوى الخطاب،</w:t>
      </w:r>
      <w:bookmarkEnd w:id="103"/>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المسكوت عنه أولى بالحكم، كالضرب مع التأفيف</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4191673_2142443653"/>
      <w:bookmarkStart w:id="105" w:name="_Toc42"/>
      <w:bookmarkEnd w:id="104"/>
      <w:r>
        <w:rPr>
          <w:rtl w:val="true"/>
        </w:rPr>
        <w:t>و رابعها</w:t>
      </w:r>
      <w:r>
        <w:rPr>
          <w:rtl w:val="true"/>
        </w:rPr>
        <w:t xml:space="preserve">: </w:t>
      </w:r>
      <w:r>
        <w:rPr>
          <w:rtl w:val="true"/>
        </w:rPr>
        <w:t>لحن الخطاب،</w:t>
      </w:r>
      <w:bookmarkEnd w:id="105"/>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استفيد من المعنى ضرورة، مثل قوله تعالى أَنِ اِضْرِبْ بِعَصاكَ اَلْبَحْرَ فَانْفَلَقَ </w:t>
      </w:r>
      <w:r>
        <w:rPr>
          <w:rStyle w:val="FootnoteAnchor"/>
          <w:rtl w:val="true"/>
        </w:rPr>
        <w:footnoteReference w:id="5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فانفلق</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4191675_2142443653"/>
      <w:bookmarkStart w:id="107" w:name="_Toc43"/>
      <w:bookmarkEnd w:id="106"/>
      <w:r>
        <w:rPr>
          <w:rtl w:val="true"/>
        </w:rPr>
        <w:t>و خامسها</w:t>
      </w:r>
      <w:r>
        <w:rPr>
          <w:rtl w:val="true"/>
        </w:rPr>
        <w:t xml:space="preserve">: </w:t>
      </w:r>
      <w:r>
        <w:rPr>
          <w:rtl w:val="true"/>
        </w:rPr>
        <w:t>دليل الخطاب،</w:t>
      </w:r>
      <w:bookmarkEnd w:id="107"/>
    </w:p>
    <w:p>
      <w:pPr>
        <w:pStyle w:val="BookText"/>
        <w:rPr/>
      </w:pPr>
      <w:r>
        <w:rPr>
          <w:rFonts w:ascii="Amiri" w:hAnsi="Amiri" w:eastAsia="Amiri" w:cs="Amiri"/>
          <w:color w:val="111111"/>
          <w:sz w:val="28"/>
          <w:sz w:val="28"/>
          <w:szCs w:val="28"/>
          <w:rtl w:val="true"/>
          <w:lang w:bidi="ar-SA"/>
        </w:rPr>
        <w:t>و هو المسمى بالمفهوم، و أقسامه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الوصفي و الشرطي، و هما حجّتان عند بعض الأصحاب، و لا بأس به و خصوصا الشرطي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العددي، و له تفصيل معروف بحسب الزيادة و النقصان</w:t>
      </w:r>
      <w:r>
        <w:rPr>
          <w:rFonts w:eastAsia="Amiri" w:cs="Amiri" w:ascii="Amiri" w:hAnsi="Amiri"/>
          <w:color w:val="111111"/>
          <w:sz w:val="28"/>
          <w:szCs w:val="28"/>
          <w:rtl w:val="true"/>
          <w:lang w:bidi="ar-SA"/>
        </w:rPr>
        <w:t xml:space="preserve">. </w:t>
      </w:r>
      <w:bookmarkStart w:id="108" w:name="pg15253_219550"/>
    </w:p>
    <w:p>
      <w:pPr>
        <w:pStyle w:val="BookText"/>
        <w:rPr/>
      </w:pPr>
      <w:bookmarkEnd w:id="108"/>
      <w:r>
        <w:rPr>
          <w:rFonts w:ascii="Amiri" w:hAnsi="Amiri" w:eastAsia="Amiri" w:cs="Amiri"/>
          <w:color w:val="111111"/>
          <w:sz w:val="28"/>
          <w:sz w:val="28"/>
          <w:szCs w:val="28"/>
          <w:rtl w:val="true"/>
          <w:lang w:bidi="ar-SA"/>
        </w:rPr>
        <w:t xml:space="preserve">و الغائي، مثل أَتِمُّوا اَلصِّيامَ إِلَى اَللَّيْلِ </w:t>
      </w:r>
      <w:r>
        <w:rPr>
          <w:rStyle w:val="FootnoteAnchor"/>
          <w:rtl w:val="true"/>
        </w:rPr>
        <w:footnoteReference w:id="59"/>
      </w:r>
      <w:r>
        <w:rPr>
          <w:rFonts w:ascii="Amiri" w:hAnsi="Amiri" w:eastAsia="Amiri" w:cs="Amiri"/>
          <w:color w:val="111111"/>
          <w:sz w:val="28"/>
          <w:sz w:val="28"/>
          <w:szCs w:val="28"/>
          <w:rtl w:val="true"/>
          <w:lang w:bidi="ar-SA"/>
        </w:rPr>
        <w:t>و هو راجع الى الوصفي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الحصر، و 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اللقبي فليس حجّة، لانتفاء الدلالات الثلاث، و استفادة وجوب التعزير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لست بزان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قرينة الحال لا من المقال</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4191677_2142443653"/>
      <w:bookmarkStart w:id="110" w:name="_Toc44"/>
      <w:bookmarkEnd w:id="109"/>
      <w:r>
        <w:rPr>
          <w:rtl w:val="true"/>
        </w:rPr>
        <w:t>و سادسها</w:t>
      </w:r>
      <w:r>
        <w:rPr>
          <w:rtl w:val="true"/>
        </w:rPr>
        <w:t xml:space="preserve">: </w:t>
      </w:r>
      <w:r>
        <w:rPr>
          <w:rtl w:val="true"/>
        </w:rPr>
        <w:t>ما قيل</w:t>
      </w:r>
      <w:r>
        <w:rPr>
          <w:rtl w:val="true"/>
        </w:rPr>
        <w:t xml:space="preserve">: </w:t>
      </w:r>
      <w:r>
        <w:rPr>
          <w:rtl w:val="true"/>
        </w:rPr>
        <w:t>ان الأصل في المنافع الإباحة و في المضار الحرمة،</w:t>
      </w:r>
      <w:bookmarkEnd w:id="110"/>
    </w:p>
    <w:p>
      <w:pPr>
        <w:pStyle w:val="BookText"/>
        <w:rPr/>
      </w:pPr>
      <w:r>
        <w:rPr>
          <w:rFonts w:ascii="Amiri" w:hAnsi="Amiri" w:eastAsia="Amiri" w:cs="Amiri"/>
          <w:color w:val="111111"/>
          <w:sz w:val="28"/>
          <w:sz w:val="28"/>
          <w:szCs w:val="28"/>
          <w:rtl w:val="true"/>
          <w:lang w:bidi="ar-SA"/>
        </w:rPr>
        <w:t>و تحقيقه في الأصول</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4191679_2142443653"/>
      <w:bookmarkStart w:id="112" w:name="_Toc45"/>
      <w:bookmarkEnd w:id="111"/>
      <w:r>
        <w:rPr>
          <w:rtl w:val="true"/>
        </w:rPr>
        <w:t>الإشارة السابعة</w:t>
      </w:r>
      <w:r>
        <w:rPr>
          <w:rtl w:val="true"/>
        </w:rPr>
        <w:t xml:space="preserve">: </w:t>
      </w:r>
      <w:r>
        <w:rPr>
          <w:rtl w:val="true"/>
        </w:rPr>
        <w:t>يجب التمسّك بمذهب الإمامية لوجوه تسعة</w:t>
      </w:r>
      <w:r>
        <w:rPr>
          <w:rtl w:val="true"/>
        </w:rPr>
        <w:t>:</w:t>
      </w:r>
      <w:bookmarkEnd w:id="112"/>
    </w:p>
    <w:p>
      <w:pPr>
        <w:pStyle w:val="Heading4"/>
        <w:numPr>
          <w:ilvl w:val="3"/>
          <w:numId w:val="1"/>
        </w:numPr>
        <w:rPr/>
      </w:pPr>
      <w:bookmarkStart w:id="113" w:name="__RefHeading___Toc4191681_2142443653"/>
      <w:bookmarkStart w:id="114" w:name="_Toc46"/>
      <w:bookmarkEnd w:id="113"/>
      <w:r>
        <w:rPr>
          <w:rtl w:val="true"/>
        </w:rPr>
        <w:t>الأول</w:t>
      </w:r>
      <w:r>
        <w:rPr>
          <w:rtl w:val="true"/>
        </w:rPr>
        <w:t xml:space="preserve">: </w:t>
      </w:r>
      <w:r>
        <w:rPr>
          <w:rtl w:val="true"/>
        </w:rPr>
        <w:t>قد تقرّر في الكلام عصمة الإمام،</w:t>
      </w:r>
      <w:bookmarkEnd w:id="114"/>
    </w:p>
    <w:p>
      <w:pPr>
        <w:pStyle w:val="BookText"/>
        <w:rPr/>
      </w:pPr>
      <w:r>
        <w:rPr>
          <w:rFonts w:ascii="IRNazanin" w:hAnsi="IRNazanin" w:eastAsia="IRNazanin"/>
          <w:color w:val="111111"/>
          <w:sz w:val="28"/>
          <w:sz w:val="28"/>
          <w:szCs w:val="28"/>
          <w:rtl w:val="true"/>
          <w:lang w:bidi="fa-IR"/>
        </w:rPr>
        <w:t>و المعصوم أولى بالاتباع</w:t>
      </w:r>
      <w:r>
        <w:rPr>
          <w:rFonts w:eastAsia="IRNazanin" w:cs="IRNazanin"/>
          <w:color w:val="111111"/>
          <w:sz w:val="28"/>
          <w:szCs w:val="28"/>
          <w:rtl w:val="true"/>
          <w:lang w:bidi="fa-IR"/>
        </w:rPr>
        <w:t>.</w:t>
      </w:r>
    </w:p>
    <w:p>
      <w:pPr>
        <w:pStyle w:val="Heading4"/>
        <w:numPr>
          <w:ilvl w:val="3"/>
          <w:numId w:val="1"/>
        </w:numPr>
        <w:rPr/>
      </w:pPr>
      <w:bookmarkStart w:id="115" w:name="__RefHeading___Toc4191683_2142443653"/>
      <w:bookmarkStart w:id="116" w:name="_Toc47"/>
      <w:bookmarkEnd w:id="115"/>
      <w:r>
        <w:rPr>
          <w:rtl w:val="true"/>
        </w:rPr>
        <w:t>الثاني</w:t>
      </w:r>
      <w:r>
        <w:rPr>
          <w:rtl w:val="true"/>
        </w:rPr>
        <w:t xml:space="preserve">: </w:t>
      </w:r>
      <w:r>
        <w:rPr>
          <w:rtl w:val="true"/>
        </w:rPr>
        <w:t>قوله تعالى يا أَيُّهَا اَلَّذِينَ آمَنُوا اِتَّقُوا اَللّهَ وَ كُونُوا مَعَ اَلصّادِقِينَ</w:t>
      </w:r>
      <w:bookmarkEnd w:id="11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يا أَيُّهَا اَلَّذِينَ آمَنُوا اِتَّقُوا اَللّهَ وَ كُونُوا مَعَ اَلصّادِقِينَ </w:t>
      </w:r>
      <w:r>
        <w:rPr>
          <w:rStyle w:val="FootnoteAnchor"/>
          <w:rtl w:val="true"/>
        </w:rPr>
        <w:footnoteReference w:id="60"/>
      </w:r>
      <w:r>
        <w:rPr>
          <w:rFonts w:ascii="Amiri" w:hAnsi="Amiri" w:eastAsia="Amiri" w:cs="Amiri"/>
          <w:color w:val="111111"/>
          <w:sz w:val="28"/>
          <w:sz w:val="28"/>
          <w:szCs w:val="28"/>
          <w:rtl w:val="true"/>
          <w:lang w:bidi="ar-SA"/>
        </w:rPr>
        <w:t>و غير المعصوم لا يعلم صدقه، فلا يجب الكون معه</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4191685_2142443653"/>
      <w:bookmarkStart w:id="118" w:name="_Toc48"/>
      <w:bookmarkEnd w:id="117"/>
      <w:r>
        <w:rPr>
          <w:rtl w:val="true"/>
        </w:rPr>
        <w:t>الثالث آية التطهير</w:t>
      </w:r>
      <w:bookmarkEnd w:id="118"/>
    </w:p>
    <w:p>
      <w:pPr>
        <w:pStyle w:val="BookText"/>
        <w:rPr/>
      </w:pPr>
      <w:r>
        <w:rPr>
          <w:rFonts w:ascii="Amiri" w:hAnsi="Amiri" w:eastAsia="Amiri" w:cs="Amiri"/>
          <w:color w:val="111111"/>
          <w:sz w:val="28"/>
          <w:sz w:val="28"/>
          <w:szCs w:val="28"/>
          <w:rtl w:val="true"/>
          <w:lang w:bidi="ar-SA"/>
        </w:rPr>
        <w:t xml:space="preserve">قوله تعالى إِنَّما يُرِيدُ اَللّهُ لِيُذْهِبَ عَنْكُمُ اَلرِّجْسَ أَهْلَ اَلْبَيْتِ وَ يُطَهِّرَكُمْ تَطْهِيراً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المؤكدات و اللطائف ما يعلم من علمي المعاني و البيان، و ذهاب الرجس و وقوع التطهير يستلزم عدم العصيان و المخالفة لأوامر اللّه و 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موردها في النبي صلّى اللّه عليه و آله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و الحسن و الحسين، اما عند الإمامية و سائر الشيعة فظاهر إذ يروون ذلك بالتواتر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العامة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مسلم في الصحيح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آله ذات غداة، و عليه مرط مرحل</w:t>
      </w:r>
      <w:r>
        <w:rPr>
          <w:rStyle w:val="FootnoteAnchor"/>
          <w:rtl w:val="true"/>
        </w:rPr>
        <w:footnoteReference w:id="62"/>
      </w:r>
      <w:r>
        <w:rPr>
          <w:rFonts w:ascii="Amiri" w:hAnsi="Amiri" w:eastAsia="Amiri" w:cs="Amiri"/>
          <w:color w:val="111111"/>
          <w:sz w:val="28"/>
          <w:sz w:val="28"/>
          <w:szCs w:val="28"/>
          <w:rtl w:val="true"/>
          <w:lang w:bidi="ar-SA"/>
        </w:rPr>
        <w:t xml:space="preserve">من شعر، فجاء الحسن بن علي فادخله فيه، </w:t>
      </w:r>
    </w:p>
    <w:p>
      <w:pPr>
        <w:pStyle w:val="BookText"/>
        <w:rPr/>
      </w:pPr>
      <w:r>
        <w:rPr>
          <w:rFonts w:ascii="Amiri" w:hAnsi="Amiri" w:eastAsia="Amiri" w:cs="Amiri"/>
          <w:color w:val="111111"/>
          <w:sz w:val="28"/>
          <w:sz w:val="28"/>
          <w:szCs w:val="28"/>
          <w:rtl w:val="true"/>
          <w:lang w:bidi="ar-SA"/>
        </w:rPr>
        <w:t xml:space="preserve">ثم جاء الحسين فادخله فيه، ثم جاءت فاطمة فأدخلها فيه، ثم جاء علي فادخله فيه، ثم قال إِنَّما يُرِيدُ اَللّهُ لِيُذْهِبَ عَنْكُمُ اَلرِّجْسَ أَهْلَ اَلْبَيْتِ وَ يُطَهِّرَكُمْ تَطْهِيراً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في قوله تعالى إِنَّما يُرِيدُ اَللّهُ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رسول اللّه، و علي، و فاطمة، و الحسن، و الحسين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أحمد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يمر بباب فاطمة ستة أشهر إذا خرج الى الفجر،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يا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يُرِيدُ اَللّهُ لِيُذْهِبَ عَنْكُمُ اَلرِّجْسَ أَهْلَ اَلْبَيْتِ وَ يُطَهِّرَكُمْ تَطْهِيراً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على شرط مسلم و لم يخرجه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الترمذي في الجامع عن عمر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على رسول اللّه صلّى اللّه عليه و آله إِنَّما يُرِيدُ اَللّهُ الآية في بيت أم سلمة، فدعا النبي صلّى اللّه عليه و آله فاطمة و حسنا و حسينا فجلّلهم بكساء، و علي خلف ظهره</w:t>
      </w:r>
      <w:r>
        <w:rPr>
          <w:rStyle w:val="FootnoteAnchor"/>
          <w:rtl w:val="true"/>
        </w:rPr>
        <w:footnoteReference w:id="6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معهم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مكانك، و أنت إلى خير</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الترمذي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جلّل على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9" w:name="pg15253_219554"/>
    </w:p>
    <w:p>
      <w:pPr>
        <w:pStyle w:val="BookText"/>
        <w:rPr/>
      </w:pPr>
      <w:bookmarkEnd w:id="119"/>
      <w:r>
        <w:rPr>
          <w:rFonts w:ascii="Amiri" w:hAnsi="Amiri" w:eastAsia="Amiri" w:cs="Amiri"/>
          <w:color w:val="111111"/>
          <w:sz w:val="28"/>
          <w:sz w:val="28"/>
          <w:szCs w:val="28"/>
          <w:rtl w:val="true"/>
          <w:lang w:bidi="ar-SA"/>
        </w:rPr>
        <w:t>الحسن و الحسين و علي و فاطمة كساء،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 حامتي، 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معناه الحاكم في المستدرك، انّها نزلت في بيت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البخاري و لم يخرجه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الآية و عجزها في النساء فتكون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يأباه الضمير و هذا النقل الصحيح، و الخروج من حكم الى آخر في القرآن كثير جدا</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4191687_2142443653"/>
      <w:bookmarkStart w:id="121" w:name="_Toc49"/>
      <w:bookmarkEnd w:id="120"/>
      <w:r>
        <w:rPr>
          <w:rtl w:val="true"/>
        </w:rPr>
        <w:t>الرابع آية المباهلة</w:t>
      </w:r>
      <w:bookmarkEnd w:id="121"/>
    </w:p>
    <w:p>
      <w:pPr>
        <w:pStyle w:val="BookText"/>
        <w:rPr/>
      </w:pPr>
      <w:r>
        <w:rPr>
          <w:rFonts w:ascii="Amiri" w:hAnsi="Amiri" w:eastAsia="Amiri" w:cs="Amiri"/>
          <w:color w:val="111111"/>
          <w:sz w:val="28"/>
          <w:sz w:val="28"/>
          <w:szCs w:val="28"/>
          <w:rtl w:val="true"/>
          <w:lang w:bidi="ar-SA"/>
        </w:rPr>
        <w:t xml:space="preserve">قوله تعالى فَقُلْ تَعالَوْا نَدْعُ أَبْناءَنا وَ أَبْناءَكُمْ وَ نِساءَنا وَ نِساءَكُمْ وَ أَنْفُسَنا وَ أَنْفُسَكُمْ </w:t>
      </w:r>
      <w:r>
        <w:rPr>
          <w:rStyle w:val="FootnoteAnchor"/>
          <w:rtl w:val="true"/>
        </w:rPr>
        <w:footnoteReference w:id="71"/>
      </w:r>
      <w:r>
        <w:rPr>
          <w:rFonts w:ascii="Amiri" w:hAnsi="Amiri" w:eastAsia="Amiri" w:cs="Amiri"/>
          <w:color w:val="111111"/>
          <w:sz w:val="28"/>
          <w:sz w:val="28"/>
          <w:szCs w:val="28"/>
          <w:rtl w:val="true"/>
          <w:lang w:bidi="ar-SA"/>
        </w:rPr>
        <w:t>نزلت فيهم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مسلم في صحيحه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سعدا أن يسبّ عليا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من شتمه إلاّ ما نزل،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نزلت هذه الآية فَقُلْ تَعالَوْا نَدْعُ أَبْناءَنا وَ أَبْناءَكُمْ وَ نِساءَنا وَ نِساءَكُمْ وَ أَنْفُسَنا وَ أَنْفُسَكُمْ دعا رسول اللّه صلّى اللّه عليه و آله عليا و فاطمة و الحسن و الحسين،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دلالة على انه لا مساوي لهم في الفضل، و على أنّهم أهل بيته، و لا يجوز ترك الفاضل و اتباع المفضول</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4191689_2142443653"/>
      <w:bookmarkStart w:id="123" w:name="_Toc50"/>
      <w:bookmarkEnd w:id="122"/>
      <w:r>
        <w:rPr>
          <w:rtl w:val="true"/>
        </w:rPr>
        <w:t>الخامس</w:t>
      </w:r>
      <w:r>
        <w:rPr>
          <w:rtl w:val="true"/>
        </w:rPr>
        <w:t xml:space="preserve">: </w:t>
      </w:r>
      <w:r>
        <w:rPr>
          <w:rtl w:val="true"/>
        </w:rPr>
        <w:t>روى الحاكم في المستدرك</w:t>
      </w:r>
      <w:bookmarkEnd w:id="12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حكم بصحته على شرط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اني</w:t>
      </w:r>
      <w:bookmarkStart w:id="124" w:name="pg15253_219556"/>
    </w:p>
    <w:p>
      <w:pPr>
        <w:pStyle w:val="BookText"/>
        <w:rPr/>
      </w:pPr>
      <w:bookmarkEnd w:id="124"/>
      <w:r>
        <w:rPr>
          <w:rFonts w:ascii="Amiri" w:hAnsi="Amiri" w:eastAsia="Amiri" w:cs="Amiri"/>
          <w:color w:val="111111"/>
          <w:sz w:val="28"/>
          <w:sz w:val="28"/>
          <w:szCs w:val="28"/>
          <w:rtl w:val="true"/>
          <w:lang w:bidi="ar-SA"/>
        </w:rPr>
        <w:t>سألت اللّه لكم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يثبّت قائمكم، و أن يهدي ضالكم، و ان يعلّم جاهلكم</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و هو آخذ بباب الكعبة،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عرفني فقد عرفني، و من انكرني فأنا أبو ذر، سمعت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مثل أهل بيتي فيكم مثل سفينة نوح، من ركبها نجا، و من تخلّف عنها هلك</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دلالة الخبرين على المطلوب ظاهرة البيان</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4191691_2142443653"/>
      <w:bookmarkStart w:id="126" w:name="_Toc51"/>
      <w:bookmarkEnd w:id="125"/>
      <w:r>
        <w:rPr>
          <w:rtl w:val="true"/>
        </w:rPr>
        <w:t>السادس</w:t>
      </w:r>
      <w:r>
        <w:rPr>
          <w:rtl w:val="true"/>
        </w:rPr>
        <w:t xml:space="preserve">: </w:t>
      </w:r>
      <w:r>
        <w:rPr>
          <w:rtl w:val="true"/>
        </w:rPr>
        <w:t>ان النبي صلّى اللّه عليه و آله قرنهم بالكتاب العزيز</w:t>
      </w:r>
      <w:bookmarkEnd w:id="126"/>
    </w:p>
    <w:p>
      <w:pPr>
        <w:pStyle w:val="BookText"/>
        <w:rPr/>
      </w:pPr>
      <w:r>
        <w:rPr>
          <w:rFonts w:ascii="Amiri" w:hAnsi="Amiri" w:eastAsia="Amiri" w:cs="Amiri"/>
          <w:color w:val="111111"/>
          <w:sz w:val="28"/>
          <w:sz w:val="28"/>
          <w:szCs w:val="28"/>
          <w:rtl w:val="true"/>
          <w:lang w:bidi="ar-SA"/>
        </w:rPr>
        <w:t>الذي يجب اتباعه، فيجب اتباعهم قضية للعطف و للتصريح به أيضا، و ذلك مشهور نقله الشيعة 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مسلم في صحيحه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صلّى اللّه عليه و آله خطيبا،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يوشك أن يأتيني رسول ربي فأجيبه، فاني تارك فيكم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 كتاب اللّه فيه الهدى و النور، فتمسّكوا بكتاب اللّه عزّ و جلّ و خذوا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 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 بيتي أذكّركم اللّه عزّ و جلّ في أهل بيتي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غيره من العامة</w:t>
      </w:r>
      <w:r>
        <w:rPr>
          <w:rStyle w:val="FootnoteAnchor"/>
          <w:rtl w:val="true"/>
        </w:rPr>
        <w:footnoteReference w:id="76"/>
      </w:r>
      <w:r>
        <w:rPr>
          <w:rFonts w:ascii="Amiri" w:hAnsi="Amiri" w:eastAsia="Amiri" w:cs="Amiri"/>
          <w:color w:val="111111"/>
          <w:sz w:val="28"/>
          <w:sz w:val="28"/>
          <w:szCs w:val="28"/>
          <w:rtl w:val="true"/>
          <w:lang w:bidi="ar-SA"/>
        </w:rPr>
        <w:t xml:space="preserve">بعبارات شتى، تشترك في وجوب التمسّك </w:t>
      </w:r>
      <w:bookmarkStart w:id="127" w:name="pg15253_219558"/>
    </w:p>
    <w:p>
      <w:pPr>
        <w:pStyle w:val="BookText"/>
        <w:rPr/>
      </w:pPr>
      <w:bookmarkEnd w:id="127"/>
      <w:r>
        <w:rPr>
          <w:rFonts w:ascii="Amiri" w:hAnsi="Amiri" w:eastAsia="Amiri" w:cs="Amiri"/>
          <w:color w:val="111111"/>
          <w:sz w:val="28"/>
          <w:sz w:val="28"/>
          <w:szCs w:val="28"/>
          <w:rtl w:val="true"/>
          <w:lang w:bidi="ar-SA"/>
        </w:rPr>
        <w:t>بالكتاب و أهل البيت عليهم السلام</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4191693_2142443653"/>
      <w:bookmarkStart w:id="129" w:name="_Toc52"/>
      <w:bookmarkEnd w:id="128"/>
      <w:r>
        <w:rPr>
          <w:rtl w:val="true"/>
        </w:rPr>
        <w:t>السابع</w:t>
      </w:r>
      <w:r>
        <w:rPr>
          <w:rtl w:val="true"/>
        </w:rPr>
        <w:t xml:space="preserve">: </w:t>
      </w:r>
      <w:r>
        <w:rPr>
          <w:rtl w:val="true"/>
        </w:rPr>
        <w:t>روى الحاكم في المستدرك</w:t>
      </w:r>
      <w:bookmarkEnd w:id="129"/>
    </w:p>
    <w:p>
      <w:pPr>
        <w:pStyle w:val="BookText"/>
        <w:rPr/>
      </w:pPr>
      <w:r>
        <w:rPr>
          <w:rFonts w:ascii="Amiri" w:hAnsi="Amiri" w:eastAsia="Amiri" w:cs="Amiri"/>
          <w:color w:val="111111"/>
          <w:sz w:val="28"/>
          <w:sz w:val="28"/>
          <w:szCs w:val="28"/>
          <w:rtl w:val="true"/>
          <w:lang w:bidi="ar-SA"/>
        </w:rPr>
        <w:t>على الصحيحين عن عبد الرحمن بن عوف،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 من قبل أن تشاب الأحاديث بالأباطيل،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الشجرة، و فاطمة فرعها، و علي لقاحها، و الحسن و الحسين ثمرتها، و شيعتنا ورقها، و أصل الشجرة في جنة عدن، و سائر ذلك في الجنة</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في التلازم بينهم و بين النبي صلّى اللّه عليه و آله و بين الشيعة</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4191695_2142443653"/>
      <w:bookmarkStart w:id="131" w:name="_Toc53"/>
      <w:bookmarkEnd w:id="130"/>
      <w:r>
        <w:rPr>
          <w:rtl w:val="true"/>
        </w:rPr>
        <w:t>الثامن</w:t>
      </w:r>
      <w:r>
        <w:rPr>
          <w:rtl w:val="true"/>
        </w:rPr>
        <w:t xml:space="preserve">: </w:t>
      </w:r>
      <w:r>
        <w:rPr>
          <w:rtl w:val="true"/>
        </w:rPr>
        <w:t>ما روته الإمامية في ذلك،</w:t>
      </w:r>
      <w:bookmarkEnd w:id="131"/>
    </w:p>
    <w:p>
      <w:pPr>
        <w:pStyle w:val="BookText"/>
        <w:rPr/>
      </w:pPr>
      <w:r>
        <w:rPr>
          <w:rFonts w:ascii="Amiri" w:hAnsi="Amiri" w:eastAsia="Amiri" w:cs="Amiri"/>
          <w:color w:val="111111"/>
          <w:sz w:val="28"/>
          <w:sz w:val="28"/>
          <w:szCs w:val="28"/>
          <w:rtl w:val="true"/>
          <w:lang w:bidi="ar-SA"/>
        </w:rPr>
        <w:t>و هو يملأ الصحف و يبلغ التواتر، فمنه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روى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خلف من أمتي عدل من أهل بيتي، ينفي عن هذا الدين تحريف الغالين، و انتحال المبطلين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كمثل نجوم السماء، فهم أمان لأهل الأرض كما أنّ النجوم أمان لأهل السماء</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فيكم، و الهداية منكم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أهل بيتي اثني عشر نقيبا، نجباء، محدثين، مفهّمين، في آخرهم القائم بالحق</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4191697_2142443653"/>
      <w:bookmarkStart w:id="133" w:name="_Toc54"/>
      <w:bookmarkEnd w:id="132"/>
      <w:r>
        <w:rPr>
          <w:rtl w:val="true"/>
        </w:rPr>
        <w:t>التاسع</w:t>
      </w:r>
      <w:r>
        <w:rPr>
          <w:rtl w:val="true"/>
        </w:rPr>
        <w:t xml:space="preserve">: </w:t>
      </w:r>
      <w:r>
        <w:rPr>
          <w:rtl w:val="true"/>
        </w:rPr>
        <w:t>اتّفاق الأمة على طهارتهم،</w:t>
      </w:r>
      <w:bookmarkEnd w:id="13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شرف أصولهم، و ظهور عدالتهم، مع تواتر الشيعة إليهم و النقل عنهم مما لا سبيل إلى إنكاره، حتى ان أبا عبد اللّه </w:t>
      </w:r>
    </w:p>
    <w:p>
      <w:pPr>
        <w:pStyle w:val="BookText"/>
        <w:rPr/>
      </w:pPr>
      <w:r>
        <w:rPr>
          <w:rFonts w:ascii="Amiri" w:hAnsi="Amiri" w:eastAsia="Amiri" w:cs="Amiri"/>
          <w:color w:val="111111"/>
          <w:sz w:val="28"/>
          <w:sz w:val="28"/>
          <w:szCs w:val="28"/>
          <w:rtl w:val="true"/>
          <w:lang w:bidi="ar-SA"/>
        </w:rPr>
        <w:t xml:space="preserve">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من أجوبة مسائله أربعمائة مصنّف لأربعمائة مصنّف، و دوّن من رجاله المعروفين أربعة آلاف رجل من أهل العراق و الحجاز و خراسان و الشام، و كذلك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باقي الأئمة معروفون مشهورون، أولوا مصنّفات مشتهرة و مباحث متكثّرة، قد ذكر كثيرا منهم العامة في رجالهم، و نسبوا بعضهم الى التمسّك بأهل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اشتهار النقل و النقلة عنهم عليهم السلام يزيد أضعافا كثيرة عن النقلة عن كل واحد من رؤساء العامة، فالإنصاف يقتضي الجزم بنسبة ما نقل عنهم إليهم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عدالتهم، و ثبوت هذا النقل عنهم مع بطلانه مما يأباه العقل و يبطله الاعتبار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شاع عنهم من إنكار ما عليه العامة من القياس و الاستحسان، و نسبة ذلك إلى الضلال و القول في الدين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رام إنكار ذلك فكمن رام إنكار المتواتر من سنة النبي صلّى اللّه عليه و آله، أو معجزاته و سيرته و سيرة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رام معرفة رجالهم و الوقوف على مصنّفاتهم، فليطالع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الحافظ ابن عقدة، و فهرست النجاشي و ابن الغضائري و الشيخ أبي جعفر الطوسي، و كتاب الرجال لأبي عمرو الكشيّ، و كتب الصدوق أبي جعفر بن بابويه القمي، و كتاب الكافي لأبي جعفر الكليني فإنه وحده يزيد على ما في الصحاح الستة للعامة متونا و أسانيد، و كتاب مدينة العلم و من لا يحضره الفقيه قريب من ذلك، و كتابا التهذيب و الاستبصار نحو ذلك، و غيرها ممّا يطول تعداده، بالأسانيد الصحيحة المتصلة المنتقدة و الحسان و القويّة، و الجرح و التعديل و الثناء الجميل، فالإنكار بعد ذلك مكابرة محضة، و تعصّب صرف</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وقع الاختلاف العظيم بين فقهاء الإمامية إذا كان نقلهم عن المعصومين و فتواهم عن المطهرين؟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المسائل المنصوصة، أو مما فرّعه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السبب في الثاني اختلاف الأنظار و مبادئها، كما هو بين سائر علماء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الأول، فسببه اختلاف الروايات</w:t>
      </w:r>
      <w:r>
        <w:rPr>
          <w:rStyle w:val="FootnoteAnchor"/>
          <w:rtl w:val="true"/>
        </w:rPr>
        <w:footnoteReference w:id="82"/>
      </w:r>
      <w:r>
        <w:rPr>
          <w:rFonts w:ascii="Amiri" w:hAnsi="Amiri" w:eastAsia="Amiri" w:cs="Amiri"/>
          <w:color w:val="111111"/>
          <w:sz w:val="28"/>
          <w:sz w:val="28"/>
          <w:szCs w:val="28"/>
          <w:rtl w:val="true"/>
          <w:lang w:bidi="ar-SA"/>
        </w:rPr>
        <w:t>ظاهرا، و قلّما يوجد فيها التناقض بجميع شروطه، و قد كانت الأئمة في زمن تقية و استتار من مخالفيهم، فكثيرا ما يجيبون السائل على وفق معتقده، أو معتقد بعض الحاضرين، أو بعض من عساه يصل اليه من المناوئين، أو يكون عاما مقصورا على سببه، أو قضية في واقعة مختصّة بها، أو اشتباها على بعض النقلة عنهم، أو عن الوسائط بيننا و بينهم كما وقع في الإخبار عن النبي صلّى اللّه عليه و آله، مع أنّ زمان معظم الأئمة كان أطول من الزمان الذي انتشر فيه الإسلام و وقع فيه النقل عن النبي صلّى اللّه عليه و آله، و كان الرّواة عنهم أكثر عددا، فهم بالاختلاف أولى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تلخّص جميع الاختلاف و انحصر في أقوال متأخري فقهاء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تزعم العامة أنّ مذاهب المسلمين انحصرت في عدد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أوردنا في هذا الكتاب ذكرهم، و أعرضنا عمن تقدم منهم، لدخول قوله فيهم، و ليس الغرض منه انتشار المذهب و تبدّد الأقوال، بل تصحيح ما ينهض عليه الاستدلال، و اللّه المستعان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34" w:name="pg15253_219564"/>
    </w:p>
    <w:p>
      <w:pPr>
        <w:pStyle w:val="Heading2"/>
        <w:numPr>
          <w:ilvl w:val="1"/>
          <w:numId w:val="1"/>
        </w:numPr>
        <w:rPr/>
      </w:pPr>
      <w:bookmarkStart w:id="135" w:name="__RefHeading___Toc4191699_2142443653"/>
      <w:bookmarkStart w:id="136" w:name="_Toc55"/>
      <w:bookmarkEnd w:id="134"/>
      <w:bookmarkEnd w:id="135"/>
      <w:r>
        <w:rPr>
          <w:rtl w:val="true"/>
        </w:rPr>
        <w:t>الأقطاب الأربعة</w:t>
      </w:r>
      <w:bookmarkEnd w:id="136"/>
    </w:p>
    <w:p>
      <w:pPr>
        <w:pStyle w:val="Heading3"/>
        <w:numPr>
          <w:ilvl w:val="2"/>
          <w:numId w:val="1"/>
        </w:numPr>
        <w:rPr/>
      </w:pPr>
      <w:bookmarkStart w:id="137" w:name="__RefHeading___Toc4191701_2142443653"/>
      <w:bookmarkStart w:id="138" w:name="_Toc56"/>
      <w:bookmarkEnd w:id="137"/>
      <w:r>
        <w:rPr>
          <w:rtl w:val="true"/>
        </w:rPr>
        <w:t>اشارة</w:t>
      </w:r>
      <w:bookmarkEnd w:id="13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العبادات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الإيقاعات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السياسات القطب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كتاب الصلاة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أمّا الأقطاب فأربعة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 شبهه مشروط بالقربة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للجهاد و نحوه غايتان، فمن حيث الامتثال المقتضي للثواب عبادة، و من حيث الإعزاز و كف الضرار لا يشترط فيه التقرّب، و ما اشتمل عليه باقي الأقطاب من مسمى العبادة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الكفارات و النذور فمن قبيل العبادات، و دخولها في غيرها تغليبا أو تبعا للأسباب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مشروطة باثنين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لترتّب 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الإيقاعات،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يترتّب أثرها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على 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بمعنى 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يتوقف على قربة و لا صيغة غالبا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إمّا أن يشترط فيه القربة أو لا، و الأول العبادات،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ذو صيغة أو لا، و الثاني السياسات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وحدانيّة أو لا، و الأول الإيقاعات و الثاني العقود</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5253_219572"/>
      <w:bookmarkStart w:id="140" w:name="pg15253_219572"/>
      <w:bookmarkEnd w:id="140"/>
    </w:p>
    <w:p>
      <w:pPr>
        <w:pStyle w:val="Heading3"/>
        <w:numPr>
          <w:ilvl w:val="2"/>
          <w:numId w:val="1"/>
        </w:numPr>
        <w:rPr/>
      </w:pPr>
      <w:bookmarkStart w:id="141" w:name="pg15253_219572"/>
      <w:bookmarkStart w:id="142" w:name="__RefHeading___Toc4191703_2142443653"/>
      <w:bookmarkStart w:id="143" w:name="_Toc57"/>
      <w:bookmarkEnd w:id="141"/>
      <w:bookmarkEnd w:id="142"/>
      <w:r>
        <w:rPr>
          <w:rtl w:val="true"/>
        </w:rPr>
        <w:t>القطب الأول في العبادات</w:t>
      </w:r>
      <w:r>
        <w:rPr>
          <w:rtl w:val="true"/>
        </w:rPr>
        <w:t>:</w:t>
      </w:r>
      <w:bookmarkEnd w:id="143"/>
    </w:p>
    <w:p>
      <w:pPr>
        <w:pStyle w:val="Heading4"/>
        <w:numPr>
          <w:ilvl w:val="3"/>
          <w:numId w:val="1"/>
        </w:numPr>
        <w:rPr/>
      </w:pPr>
      <w:bookmarkStart w:id="144" w:name="__RefHeading___Toc4191705_2142443653"/>
      <w:bookmarkStart w:id="145" w:name="_Toc58"/>
      <w:bookmarkEnd w:id="144"/>
      <w:r>
        <w:rPr>
          <w:rtl w:val="true"/>
        </w:rPr>
        <w:t>كتاب الصلاة</w:t>
      </w:r>
      <w:r>
        <w:rPr>
          <w:rtl w:val="true"/>
        </w:rPr>
        <w:t>:</w:t>
      </w:r>
      <w:bookmarkEnd w:id="145"/>
    </w:p>
    <w:p>
      <w:pPr>
        <w:pStyle w:val="Heading5"/>
        <w:numPr>
          <w:ilvl w:val="4"/>
          <w:numId w:val="1"/>
        </w:numPr>
        <w:rPr/>
      </w:pPr>
      <w:bookmarkStart w:id="146" w:name="__RefHeading___Toc4191707_2142443653"/>
      <w:bookmarkStart w:id="147" w:name="_Toc59"/>
      <w:bookmarkEnd w:id="146"/>
      <w:r>
        <w:rPr>
          <w:rtl w:val="true"/>
        </w:rPr>
        <w:t>تعريف الصلاة لغة و شرعا</w:t>
      </w:r>
      <w:bookmarkEnd w:id="147"/>
    </w:p>
    <w:p>
      <w:pPr>
        <w:pStyle w:val="BookText"/>
        <w:rPr/>
      </w:pPr>
      <w:r>
        <w:rPr>
          <w:rFonts w:ascii="Amiri" w:hAnsi="Amiri" w:eastAsia="Amiri" w:cs="Amiri"/>
          <w:color w:val="111111"/>
          <w:sz w:val="28"/>
          <w:sz w:val="28"/>
          <w:szCs w:val="28"/>
          <w:rtl w:val="true"/>
          <w:lang w:bidi="ar-SA"/>
        </w:rPr>
        <w:t>و 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وَ صَلِّ عَلَيْهِمْ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صلّت عليكم الملائكة</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أكل عند الصائم صلّت عليه الملائكة</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الشاعر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على دنها و ارتسم</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فان لجنب المرء مضطجعا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عليك مثل الذي صليت فاغتمضي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أهل اللغة أوردوا الصلاة بمعناها الشرعي جاعليه أصلا، و جعلوها فعلة من صلّى،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صلويه، لأن المصلي يفعل ذلك، أو من صليت العود،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ليّنته، لأن المصلي يليّن قلبه و أعضاءه لخشوعه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مفتتحة بالتكبير، مشترطة بالقبلة للقربة، فتدخل الجنازة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مخصوصة، و أذكار معلومة الشرائط، مخصوصة في أوقات </w:t>
      </w:r>
    </w:p>
    <w:p>
      <w:pPr>
        <w:pStyle w:val="BookText"/>
        <w:rPr/>
      </w:pPr>
      <w:r>
        <w:rPr>
          <w:rFonts w:ascii="Amiri" w:hAnsi="Amiri" w:eastAsia="Amiri" w:cs="Amiri"/>
          <w:color w:val="111111"/>
          <w:sz w:val="28"/>
          <w:sz w:val="28"/>
          <w:szCs w:val="28"/>
          <w:rtl w:val="true"/>
          <w:lang w:bidi="ar-SA"/>
        </w:rPr>
        <w:t>مقدّرة تقربا 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وجوب ما يجب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أَقِيمُوا اَلصَّلاةَ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إِنَّ اَلصَّلاةَ كانَتْ عَلَى اَلْمُؤْمِنِينَ كِتاباً مَوْقُوتاً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ان لا إله إلاّ اللّه، و اقام الصلاة، و إيتاء الزكاة، و حج البيت، و صوم شهر رمضان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الإجماع منعقد على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اليومية، و الجمعة، و بعض الملتزمة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إجماعنا على الباقي، و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من قوله تعالى فَسُبْحانَ اَللّهِ حِينَ تُمْسُونَ وَ حِينَ تُصْبِحُونَ </w:t>
      </w:r>
      <w:r>
        <w:rPr>
          <w:rStyle w:val="FootnoteAnchor"/>
          <w:rtl w:val="true"/>
        </w:rPr>
        <w:footnoteReference w:id="91"/>
      </w:r>
      <w:r>
        <w:rPr>
          <w:rFonts w:ascii="Amiri" w:hAnsi="Amiri" w:eastAsia="Amiri" w:cs="Amiri"/>
          <w:color w:val="111111"/>
          <w:sz w:val="28"/>
          <w:sz w:val="28"/>
          <w:szCs w:val="28"/>
          <w:rtl w:val="true"/>
          <w:lang w:bidi="ar-SA"/>
        </w:rPr>
        <w:t xml:space="preserve">، وَ سَبِّحْ بِحَمْدِ رَبِّكَ قَبْلَ طُلُوعِ اَلشَّمْسِ وَ قَبْلَ اَلْغُرُوبِ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السبحة غالبة في النفل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ستدركون أقواما يصلّون لغير وقتها، فصلوا في بيوتكم، ثمّ صلّوا معهم و اجعلوها سبحة</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زالت الشمس لا يمنعك الاّ سبحتك</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الصلاة إمّا واجبة، أو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اليومية، و الجمعة، و العيدين، و الآية، و الطوافية، و الجنازة، و الملتزمة بسبب من المكلّف</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فضلها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عمود الدين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و هو من مفهوم الحصر، و بيانه في قوله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أول ما ينظر فيه من عمل ابن آدم، فان صحّت نظر في عمله، و ان لم تصح لم ينظر في بقيّة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عنه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شبهها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بالنهر الجاري على باب، من يغتسل منه في اليوم و الليلة خمس مرات، فكما لا يبقى على المغتسل درن لم يبق على المصلي ذنب</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أفضل من الدنيا و ما فيها، و صلاة فريضة أفضل من ألف حجّة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15253_219580"/>
      <w:bookmarkStart w:id="149" w:name="pg15253_219580"/>
      <w:bookmarkEnd w:id="149"/>
    </w:p>
    <w:p>
      <w:pPr>
        <w:pStyle w:val="Heading5"/>
        <w:numPr>
          <w:ilvl w:val="4"/>
          <w:numId w:val="1"/>
        </w:numPr>
        <w:rPr/>
      </w:pPr>
      <w:bookmarkStart w:id="150" w:name="pg15253_219580"/>
      <w:bookmarkStart w:id="151" w:name="__RefHeading___Toc4191709_2142443653"/>
      <w:bookmarkStart w:id="152" w:name="_Toc60"/>
      <w:bookmarkEnd w:id="150"/>
      <w:bookmarkEnd w:id="151"/>
      <w:r>
        <w:rPr>
          <w:rtl w:val="true"/>
        </w:rPr>
        <w:t>و شروط الصلاة ستة في ستة أبواب</w:t>
      </w:r>
      <w:r>
        <w:rPr>
          <w:rtl w:val="true"/>
        </w:rPr>
        <w:t>:</w:t>
      </w:r>
      <w:bookmarkEnd w:id="152"/>
    </w:p>
    <w:p>
      <w:pPr>
        <w:pStyle w:val="Heading6"/>
        <w:numPr>
          <w:ilvl w:val="5"/>
          <w:numId w:val="1"/>
        </w:numPr>
        <w:rPr/>
      </w:pPr>
      <w:bookmarkStart w:id="153" w:name="__RefHeading___Toc4191711_2142443653"/>
      <w:bookmarkStart w:id="154" w:name="_Toc61"/>
      <w:bookmarkEnd w:id="153"/>
      <w:r>
        <w:rPr>
          <w:rtl w:val="true"/>
        </w:rPr>
        <w:t>الباب الأول</w:t>
      </w:r>
      <w:r>
        <w:rPr>
          <w:rtl w:val="true"/>
        </w:rPr>
        <w:t xml:space="preserve">: </w:t>
      </w:r>
      <w:r>
        <w:rPr>
          <w:rtl w:val="true"/>
        </w:rPr>
        <w:t>الطهارة</w:t>
      </w:r>
      <w:r>
        <w:rPr>
          <w:rtl w:val="true"/>
        </w:rPr>
        <w:t>:</w:t>
      </w:r>
      <w:bookmarkEnd w:id="154"/>
    </w:p>
    <w:p>
      <w:pPr>
        <w:pStyle w:val="Heading6"/>
        <w:numPr>
          <w:ilvl w:val="5"/>
          <w:numId w:val="1"/>
        </w:numPr>
        <w:rPr/>
      </w:pPr>
      <w:bookmarkStart w:id="155" w:name="__RefHeading___Toc4191713_2142443653"/>
      <w:bookmarkStart w:id="156" w:name="_Toc62"/>
      <w:bookmarkEnd w:id="155"/>
      <w:r>
        <w:rPr>
          <w:rtl w:val="true"/>
        </w:rPr>
        <w:t>تعريف الطهارة لغة و شرعا</w:t>
      </w:r>
      <w:bookmarkEnd w:id="156"/>
    </w:p>
    <w:p>
      <w:pPr>
        <w:pStyle w:val="BookText"/>
        <w:rPr/>
      </w:pPr>
      <w:r>
        <w:rPr>
          <w:rFonts w:ascii="Amiri" w:hAnsi="Amiri" w:eastAsia="Amiri" w:cs="Amiri"/>
          <w:color w:val="111111"/>
          <w:sz w:val="28"/>
          <w:sz w:val="28"/>
          <w:szCs w:val="28"/>
          <w:rtl w:val="true"/>
          <w:lang w:bidi="ar-SA"/>
        </w:rPr>
        <w:t>و 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 من الأدناس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الماء، أو الصعيد لإباحة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تطلق على الاستعمال للقربة و ازالة الخبث مجازا، و الثلج و الوحل داخلان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المستعمل،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المستعمل،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المستعمل له و منه،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الفاعلية كالإحداث، و الغائية كالعبادة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الاستعمال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فهاهنا فصول أربعة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5253_219583"/>
      <w:bookmarkStart w:id="158" w:name="pg15253_219583"/>
      <w:bookmarkEnd w:id="158"/>
    </w:p>
    <w:p>
      <w:pPr>
        <w:pStyle w:val="Heading6"/>
        <w:numPr>
          <w:ilvl w:val="5"/>
          <w:numId w:val="1"/>
        </w:numPr>
        <w:rPr/>
      </w:pPr>
      <w:bookmarkStart w:id="159" w:name="pg15253_219583"/>
      <w:bookmarkStart w:id="160" w:name="__RefHeading___Toc4191715_2142443653"/>
      <w:bookmarkStart w:id="161" w:name="_Toc63"/>
      <w:bookmarkEnd w:id="159"/>
      <w:bookmarkEnd w:id="160"/>
      <w:r>
        <w:rPr>
          <w:rtl w:val="true"/>
        </w:rPr>
        <w:t>الفصل الأول</w:t>
      </w:r>
      <w:r>
        <w:rPr>
          <w:rtl w:val="true"/>
        </w:rPr>
        <w:t xml:space="preserve">: </w:t>
      </w:r>
      <w:r>
        <w:rPr>
          <w:rtl w:val="true"/>
        </w:rPr>
        <w:t>في المستعمل الاختياري</w:t>
      </w:r>
      <w:r>
        <w:rPr>
          <w:rtl w:val="true"/>
        </w:rPr>
        <w:t>:</w:t>
      </w:r>
      <w:bookmarkEnd w:id="161"/>
    </w:p>
    <w:p>
      <w:pPr>
        <w:pStyle w:val="Heading6"/>
        <w:numPr>
          <w:ilvl w:val="5"/>
          <w:numId w:val="1"/>
        </w:numPr>
        <w:rPr/>
      </w:pPr>
      <w:bookmarkStart w:id="162" w:name="__RefHeading___Toc4191717_2142443653"/>
      <w:bookmarkStart w:id="163" w:name="_Toc64"/>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وَ أَنْزَلْنا مِنَ اَلسَّماءِ ماءً طَهُوراً </w:t>
      </w:r>
      <w:r>
        <w:rPr>
          <w:rStyle w:val="FootnoteAnchor"/>
          <w:rtl w:val="true"/>
        </w:rPr>
        <w:footnoteReference w:id="99"/>
      </w:r>
      <w:r>
        <w:rPr>
          <w:rFonts w:ascii="Amiri" w:hAnsi="Amiri" w:eastAsia="Amiri" w:cs="Amiri"/>
          <w:color w:val="111111"/>
          <w:sz w:val="28"/>
          <w:sz w:val="28"/>
          <w:szCs w:val="28"/>
          <w:rtl w:val="true"/>
          <w:lang w:bidi="ar-SA"/>
        </w:rPr>
        <w:t xml:space="preserve">و الطهور هو المطهّر، لقوله تعالى وَ يُنَزِّلُ عَلَيْكُمْ مِنَ اَلسَّماءِ ماءً لِيُطَهِّرَكُمْ بِهِ </w:t>
      </w:r>
      <w:r>
        <w:rPr>
          <w:rStyle w:val="FootnoteAnchor"/>
          <w:rtl w:val="true"/>
        </w:rPr>
        <w:footnoteReference w:id="100"/>
      </w:r>
      <w:r>
        <w:rPr>
          <w:rFonts w:ascii="Amiri" w:hAnsi="Amiri" w:eastAsia="Amiri" w:cs="Amiri"/>
          <w:color w:val="111111"/>
          <w:sz w:val="28"/>
          <w:sz w:val="28"/>
          <w:szCs w:val="28"/>
          <w:rtl w:val="true"/>
          <w:lang w:bidi="ar-SA"/>
        </w:rPr>
        <w:t>و ذلك هو المطلق،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المستغني عن قيد، الممتنع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اختصاصه بإزالة الحدث و الخبث من بين المائعات إمّا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لعلّة معقولة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الاقتصار عليه، أو لاختصاصه بمزيد رقة و طيب، و سرعة اتصال و انفصال، بخلاف غيره فإنه لا ينفك من أضدادها، حتى أنّ ماء الورد لا يخلو من لزوجة، و أجزاء منه تطهر عند طول مكثه ما دام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يعرض له أمور ثمانية</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4191719_2142443653"/>
      <w:bookmarkStart w:id="165" w:name="_Toc65"/>
      <w:bookmarkEnd w:id="164"/>
      <w:r>
        <w:rPr>
          <w:rtl w:val="true"/>
        </w:rPr>
        <w:t>العارض الأول</w:t>
      </w:r>
      <w:r>
        <w:rPr>
          <w:rtl w:val="true"/>
        </w:rPr>
        <w:t xml:space="preserve">: </w:t>
      </w:r>
      <w:r>
        <w:rPr>
          <w:rtl w:val="true"/>
        </w:rPr>
        <w:t>زوال الاسم بحيث يلزم الإضافة،</w:t>
      </w:r>
      <w:bookmarkEnd w:id="165"/>
    </w:p>
    <w:p>
      <w:pPr>
        <w:pStyle w:val="BookText"/>
        <w:rPr/>
      </w:pPr>
      <w:r>
        <w:rPr>
          <w:rFonts w:ascii="Amiri" w:hAnsi="Amiri" w:eastAsia="Amiri" w:cs="Amiri"/>
          <w:color w:val="111111"/>
          <w:sz w:val="28"/>
          <w:sz w:val="28"/>
          <w:szCs w:val="28"/>
          <w:rtl w:val="true"/>
          <w:lang w:bidi="ar-SA"/>
        </w:rPr>
        <w:t>كماء الدقيق و 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يحنث الحالف على الماء بشربه، فيخرج عن الطهورية، فالمعتصر أولى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لا يقع عليه اسم الماء، كالصبغ و المرقة و الحبر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لا يطهر المضاف، لقوله تعالى فَلَمْ تَجِدُوا ماءً فَتَيَمَّمُوا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الماء أو الصعيد</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و هو للحصر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الصدوق أبي جعفر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الوضوء و غسل الجنابة بماء الورد</w:t>
      </w:r>
      <w:r>
        <w:rPr>
          <w:rStyle w:val="FootnoteAnchor"/>
          <w:rtl w:val="true"/>
        </w:rPr>
        <w:footnoteReference w:id="103"/>
      </w:r>
      <w:r>
        <w:rPr>
          <w:rFonts w:ascii="Amiri" w:hAnsi="Amiri" w:eastAsia="Amiri" w:cs="Amiri"/>
          <w:color w:val="111111"/>
          <w:sz w:val="28"/>
          <w:sz w:val="28"/>
          <w:szCs w:val="28"/>
          <w:rtl w:val="true"/>
          <w:lang w:bidi="ar-SA"/>
        </w:rPr>
        <w:t xml:space="preserve">لرواية محمد بن عيسى عن يونس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الإجماع و تأخره، و معارضة الأقوى، و نقل الصدوق ان </w:t>
      </w:r>
    </w:p>
    <w:p>
      <w:pPr>
        <w:pStyle w:val="BookText"/>
        <w:rPr/>
      </w:pPr>
      <w:r>
        <w:rPr>
          <w:rFonts w:ascii="Amiri" w:hAnsi="Amiri" w:eastAsia="Amiri" w:cs="Amiri"/>
          <w:color w:val="111111"/>
          <w:sz w:val="28"/>
          <w:sz w:val="28"/>
          <w:szCs w:val="28"/>
          <w:rtl w:val="true"/>
          <w:lang w:bidi="ar-SA"/>
        </w:rPr>
        <w:t>محمد بن الوليد لا يعتمد على حديث محمد بن عيسى عن يونس، و استثنى الصدوق ما انفرد به أيضا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شاذة، أجمعنا على ترك العمل بظاهرها، و حملها على التحسين و التنظيف، أو على مطلق مجاور الورد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الحسن 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الضرورة، و طرد الحكم في المضاف و الاستعمال</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المحقق نجم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الناس جميعا انه لا يجوز الوضوء بغير ماء الورد من المائعات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برفعه الخبث، لإطلاق وَ ثِيابَكَ فَطَهِّرْ ، 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المستيقظ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يغمس يده في الإناء حتى يغسلها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يغسل الثوب من المني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المضاف يصدق عليه التطهير و الغسل</w:t>
      </w:r>
      <w:r>
        <w:rPr>
          <w:rStyle w:val="FootnoteAnchor"/>
          <w:rtl w:val="true"/>
        </w:rPr>
        <w:footnoteReference w:id="109"/>
      </w:r>
      <w:r>
        <w:rPr>
          <w:rFonts w:ascii="Amiri" w:hAnsi="Amiri" w:eastAsia="Amiri" w:cs="Amiri"/>
          <w:color w:val="111111"/>
          <w:sz w:val="28"/>
          <w:sz w:val="28"/>
          <w:szCs w:val="28"/>
          <w:rtl w:val="true"/>
          <w:lang w:bidi="ar-SA"/>
        </w:rPr>
        <w:t>، يدفعه ما ذكر، و معارضته بتخصيص الغسله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بالماء في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وجد الماء غسله</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و المطلق يحمل على المقيد، و لأن الغسل حقيقة شرعية في استعمال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يستعمل النبيذ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عبد اللّه بن المغيرة بجوازه عن النبي عند عدم الماء</w:t>
      </w:r>
      <w:r>
        <w:rPr>
          <w:rStyle w:val="FootnoteAnchor"/>
          <w:rtl w:val="true"/>
        </w:rPr>
        <w:footnoteReference w:id="111"/>
      </w:r>
      <w:r>
        <w:rPr>
          <w:rFonts w:ascii="Amiri" w:hAnsi="Amiri" w:eastAsia="Amiri" w:cs="Amiri"/>
          <w:color w:val="111111"/>
          <w:sz w:val="28"/>
          <w:sz w:val="28"/>
          <w:szCs w:val="28"/>
          <w:rtl w:val="true"/>
          <w:lang w:bidi="ar-SA"/>
        </w:rPr>
        <w:t xml:space="preserve">مرسلة، مخالفة للوفاق، مأوّلة بتمرات يسيرة لا تغيّر الماء، كما تضمّنته رواية الكليني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أفتى به الصدوق مقيدا بعدم تغيّر لون الماء</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بالتراب أو الملح فأضيف إليهما لم يقدح، لبقاء الاسم، و عدم الإضافة، و للأمر بتعفير الإناء بالتراب، و جواز الطهارة بماء البحر على ما يأتي، و لا فرق بين الملح الجبلي و المائي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تغيّر بورق الشجر مع بقاء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خالط الماء غير سالب الاسم، جاز استعمال الجميع، للاستهلاك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بالقصد في الخلط بل بالاسم، لأن الحكم تابع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مزج بموافقة في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كمنقطع الرائحة من ماء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للأكثر عند الشيخ، فان تساويا جاز الاستعمال</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القاضي ابن البراج يمنعه، أخذا بالأصل و الاحتياط</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الشيخ الفاضل 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المخالفة، كالحكومة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الحرّ</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يعتبر الوسط في المخالفة، فلا يعتبر في الطعم حدة الخلّ، و لا في الرائحة ذكاء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اعتبار صفات الماء في العذوبة و الرقة و الصفاء و أضدادها، و لا فرق هنا بين قلة الماء و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مزج بالمستعمل في الأكبر، انتظم عند الشيخ اعتبار الكمية</w:t>
      </w:r>
      <w:r>
        <w:rPr>
          <w:rStyle w:val="FootnoteAnchor"/>
          <w:rtl w:val="true"/>
        </w:rPr>
        <w:footnoteReference w:id="117"/>
      </w:r>
      <w:r>
        <w:rPr>
          <w:rFonts w:ascii="Amiri" w:hAnsi="Amiri" w:eastAsia="Amiri" w:cs="Amiri"/>
          <w:color w:val="111111"/>
          <w:sz w:val="28"/>
          <w:sz w:val="28"/>
          <w:szCs w:val="28"/>
          <w:rtl w:val="true"/>
          <w:lang w:bidi="ar-SA"/>
        </w:rPr>
        <w:t>و ان كان بالكر يبنى على أنّ بلوغه كرا لا يرد الطهورية، و يمكن فيه تقدير المخالفة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جوز استعمال المخلوط غير الغالب وجب تعيينا أو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لصدق اسم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 تحصيل شرط الواجب المشروط</w:t>
      </w:r>
      <w:r>
        <w:rPr>
          <w:rStyle w:val="FootnoteAnchor"/>
          <w:rtl w:val="true"/>
        </w:rPr>
        <w:footnoteReference w:id="118"/>
      </w:r>
      <w:r>
        <w:rPr>
          <w:rFonts w:ascii="Amiri" w:hAnsi="Amiri" w:eastAsia="Amiri" w:cs="Amiri"/>
          <w:color w:val="111111"/>
          <w:sz w:val="28"/>
          <w:sz w:val="28"/>
          <w:szCs w:val="28"/>
          <w:rtl w:val="true"/>
          <w:lang w:bidi="ar-SA"/>
        </w:rPr>
        <w:t>و فيه منع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ينجس المضاف بالملاقاة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النبي صلّى اللّه عليه و آله في الفأرة تموت في السمن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مائعا فلا تقربوه</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فيحرم استعماله،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اَلرُّجْزَ فَاهْجُرْ</w:t>
      </w:r>
      <w:r>
        <w:rPr>
          <w:rStyle w:val="FootnoteAnchor"/>
          <w:rtl w:val="true"/>
        </w:rPr>
        <w:footnoteReference w:id="120"/>
      </w:r>
      <w:r>
        <w:rPr>
          <w:rFonts w:ascii="Amiri" w:hAnsi="Amiri" w:eastAsia="Amiri" w:cs="Amiri"/>
          <w:color w:val="111111"/>
          <w:sz w:val="28"/>
          <w:sz w:val="28"/>
          <w:szCs w:val="28"/>
          <w:rtl w:val="true"/>
          <w:lang w:bidi="ar-SA"/>
        </w:rPr>
        <w:t>إلاّ لضرورة، للحرج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طهّره في المبسوط بأغلبية كثير المطلق عليه و زوال أوصافه</w:t>
      </w:r>
      <w:r>
        <w:rPr>
          <w:rStyle w:val="FootnoteAnchor"/>
          <w:rtl w:val="true"/>
        </w:rPr>
        <w:footnoteReference w:id="121"/>
      </w:r>
      <w:r>
        <w:rPr>
          <w:rFonts w:ascii="Amiri" w:hAnsi="Amiri" w:eastAsia="Amiri" w:cs="Amiri"/>
          <w:color w:val="111111"/>
          <w:sz w:val="28"/>
          <w:sz w:val="28"/>
          <w:szCs w:val="28"/>
          <w:rtl w:val="true"/>
          <w:lang w:bidi="ar-SA"/>
        </w:rPr>
        <w:t>لتزول التسمية التي هي متعلّق النجاسة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الفاضل 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بزوال الاسم و ان بقي الوصف، لأنّه تغيّر بجسم طاهر في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لمجرد الاتصال و ان بقي الاسم، لأنّه لا سبيل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66" w:name="pg15253_219587"/>
    </w:p>
    <w:p>
      <w:pPr>
        <w:pStyle w:val="BookText"/>
        <w:rPr/>
      </w:pPr>
      <w:bookmarkEnd w:id="166"/>
      <w:r>
        <w:rPr>
          <w:rFonts w:ascii="Amiri" w:hAnsi="Amiri" w:eastAsia="Amiri" w:cs="Amiri"/>
          <w:color w:val="111111"/>
          <w:sz w:val="28"/>
          <w:sz w:val="28"/>
          <w:szCs w:val="28"/>
          <w:rtl w:val="true"/>
          <w:lang w:bidi="ar-SA"/>
        </w:rPr>
        <w:t>إلى نجاسة الكثير بغير تغيّر بالنجاسة و قد حصل</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الخمر و مشتدّ العصير فبالخلّية، و يختص العصير بذهاب الثلثين، للخبر</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 في النبيذة المساواة، لثبوت تسميته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بنجاسة عصير التمر بالاشتداد، فالأشبه أنه كالعنب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غليان القدر فغير مطهر و ان كانت النجاسة دما في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مع قلّة الدم، للخبر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صحّحه بعض الأصحاب</w:t>
      </w:r>
      <w:r>
        <w:rPr>
          <w:rStyle w:val="FootnoteAnchor"/>
          <w:rtl w:val="true"/>
        </w:rPr>
        <w:footnoteReference w:id="126"/>
      </w:r>
      <w:r>
        <w:rPr>
          <w:rFonts w:ascii="Amiri" w:hAnsi="Amiri" w:eastAsia="Amiri" w:cs="Amiri"/>
          <w:color w:val="111111"/>
          <w:sz w:val="28"/>
          <w:sz w:val="28"/>
          <w:szCs w:val="28"/>
          <w:rtl w:val="true"/>
          <w:lang w:bidi="ar-SA"/>
        </w:rPr>
        <w:t xml:space="preserve">، و طعن فيه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بجهالة بعض رواته</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بالمقبولية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نسبه ابن إدريس إلى الشذوذ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مخالفة الأصل من طهارة غير العصير بالغليان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مصادرة، و الخبر معلّل بان النار تأكل الدم، ففيه إيماء إلى مساواة العصير في الطهارة بالغليان، و لجريان مجرى دم اللحم الذي لا يكاد ينفك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الحمل على دم طاهر بعيد</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4191721_2142443653"/>
      <w:bookmarkStart w:id="168" w:name="_Toc66"/>
      <w:bookmarkEnd w:id="167"/>
      <w:r>
        <w:rPr>
          <w:rtl w:val="true"/>
        </w:rPr>
        <w:t>العارض الثاني</w:t>
      </w:r>
      <w:r>
        <w:rPr>
          <w:rtl w:val="true"/>
        </w:rPr>
        <w:t xml:space="preserve">: </w:t>
      </w:r>
      <w:r>
        <w:rPr>
          <w:rtl w:val="true"/>
        </w:rPr>
        <w:t>زوال أحد أوصافه مع بقاء اسمه،</w:t>
      </w:r>
      <w:bookmarkEnd w:id="168"/>
    </w:p>
    <w:p>
      <w:pPr>
        <w:pStyle w:val="Heading6"/>
        <w:numPr>
          <w:ilvl w:val="5"/>
          <w:numId w:val="1"/>
        </w:numPr>
        <w:rPr/>
      </w:pPr>
      <w:bookmarkStart w:id="169" w:name="__RefHeading___Toc4191723_2142443653"/>
      <w:bookmarkStart w:id="170" w:name="_Toc67"/>
      <w:bookmarkEnd w:id="169"/>
      <w:r>
        <w:rPr>
          <w:rtl w:val="true"/>
        </w:rPr>
        <w:t>اشارة</w:t>
      </w:r>
      <w:bookmarkEnd w:id="17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بطاهر لم ينجس في المشهور، لإطلاق اسم الماء عليه، و لعدم انفكاك السقاء أول استعماله من التغير، و لم ينقل عن الصحابة الاحتراز منه، و لم يستدل في الخلاف عليه بالإجماع</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كذا لو تغير بنفسه، و ان كره الطهارة به اختيارا، لرواية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 به</w:t>
      </w:r>
      <w:r>
        <w:rPr>
          <w:rStyle w:val="FootnoteAnchor"/>
          <w:rtl w:val="true"/>
        </w:rPr>
        <w:footnoteReference w:id="130"/>
      </w:r>
      <w:r>
        <w:rPr>
          <w:rFonts w:ascii="Amiri" w:hAnsi="Amiri" w:eastAsia="Amiri" w:cs="Amiri"/>
          <w:color w:val="111111"/>
          <w:sz w:val="28"/>
          <w:sz w:val="28"/>
          <w:szCs w:val="28"/>
          <w:rtl w:val="true"/>
          <w:lang w:bidi="ar-SA"/>
        </w:rPr>
        <w:t>و الغسل أولى لقوته، و ازالة الخبث أحرى، لأنّ العينية أشدّ من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بنجس، فان كان بمجرد مرور الرائحة من غير ملاقاة لم ينجس،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بملاقاته نجس مطلقا،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الماء طهورا، لا ينجسه الاّ ما غير طعمه أو ريحه</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تغير الماء و تغير الطعم، فلا تتوضأ منه و لا تشرب</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النتن الغالب على الماء، فلا يتوضأ و لا يشرب</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الجعفي و ابنا بابويه لم يصرحوا بالأوصاف الثلاثة، بل اعتبروا أغلبية النجاسة للماء</w:t>
      </w:r>
      <w:r>
        <w:rPr>
          <w:rStyle w:val="FootnoteAnchor"/>
          <w:rtl w:val="true"/>
        </w:rPr>
        <w:footnoteReference w:id="135"/>
      </w:r>
      <w:r>
        <w:rPr>
          <w:rFonts w:ascii="Amiri" w:hAnsi="Amiri" w:eastAsia="Amiri" w:cs="Amiri"/>
          <w:color w:val="111111"/>
          <w:sz w:val="28"/>
          <w:sz w:val="28"/>
          <w:szCs w:val="28"/>
          <w:rtl w:val="true"/>
          <w:lang w:bidi="ar-SA"/>
        </w:rPr>
        <w:t>و هو موافقة في المعنى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توافق الماء و النجاسة في الصفات، فظاهر المذهب بقاء الطهارة، لعدم التغيّر، و العلاّمة على أصله السابق</w:t>
      </w:r>
      <w:r>
        <w:rPr>
          <w:rStyle w:val="FootnoteAnchor"/>
          <w:rtl w:val="true"/>
        </w:rPr>
        <w:footnoteReference w:id="136"/>
      </w:r>
      <w:r>
        <w:rPr>
          <w:rFonts w:ascii="Amiri" w:hAnsi="Amiri" w:eastAsia="Amiri" w:cs="Amiri"/>
          <w:color w:val="111111"/>
          <w:sz w:val="28"/>
          <w:sz w:val="28"/>
          <w:szCs w:val="28"/>
          <w:rtl w:val="true"/>
          <w:lang w:bidi="ar-SA"/>
        </w:rPr>
        <w:t>و حينئذ ينبغي فرض مخالف أشد أخذا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شك في استناد التغير إلى النجاسة بنى على الأصل، و لو ظنّه فالطهارة أقوى،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تعلم أنّه قذر</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و حمل العلم على شامل الظن مجاز و لا عبرة بغير الصفات الثلاثة، لدلالة الاستثناء على الحصر، فماء البحر طهور،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الطهور ماؤه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الثلج طهور، فان تعذر الغسل به و أمكن الدلك وجب، و أجزأ إن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الشيخان على الدهن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نازع ابن إدريس بناء على فهم المسح منه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المرتضى و سلار أوجبا التيمم بنداوته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الضرورة يتيمم</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يحتمل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يراد التيمم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الشيخين، فيقدّم على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لاقته نجاسة فكالجامد، لعدم السريان، و كذا الجمد، و يطهران بالكثير مع زوال العين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المسخن بالنار جائز، و هو مروي عن تقرير النبي</w:t>
      </w:r>
      <w:r>
        <w:rPr>
          <w:rStyle w:val="FootnoteAnchor"/>
          <w:rtl w:val="true"/>
        </w:rPr>
        <w:footnoteReference w:id="143"/>
      </w:r>
      <w:r>
        <w:rPr>
          <w:rFonts w:ascii="IRNazanin" w:hAnsi="IRNazanin" w:eastAsia="IRNazanin"/>
          <w:color w:val="111111"/>
          <w:sz w:val="28"/>
          <w:sz w:val="28"/>
          <w:szCs w:val="28"/>
          <w:rtl w:val="true"/>
          <w:lang w:bidi="fa-IR"/>
        </w:rPr>
        <w:t>و فعله، و فعل الصادق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اشتدت السخونة بحيث تفضي إلى عسر الإسباغ فالأولى الكراهية، لفوات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في غسل الميت، لنهي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45"/>
      </w:r>
      <w:r>
        <w:rPr>
          <w:rFonts w:ascii="Amiri" w:hAnsi="Amiri" w:eastAsia="Amiri" w:cs="Amiri"/>
          <w:color w:val="111111"/>
          <w:sz w:val="28"/>
          <w:sz w:val="28"/>
          <w:szCs w:val="28"/>
          <w:rtl w:val="true"/>
          <w:lang w:bidi="ar-SA"/>
        </w:rPr>
        <w:t>إلاّ لضرورة الغاسل بالبرد للحرج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الشمس في الآنية مكروه في الطهارة و العجين، للخبر</w:t>
      </w:r>
      <w:r>
        <w:rPr>
          <w:rStyle w:val="FootnoteAnchor"/>
          <w:rtl w:val="true"/>
        </w:rPr>
        <w:footnoteReference w:id="146"/>
      </w:r>
      <w:r>
        <w:rPr>
          <w:rFonts w:ascii="Amiri" w:hAnsi="Amiri" w:eastAsia="Amiri" w:cs="Amiri"/>
          <w:color w:val="111111"/>
          <w:sz w:val="28"/>
          <w:sz w:val="28"/>
          <w:szCs w:val="28"/>
          <w:rtl w:val="true"/>
          <w:lang w:bidi="ar-SA"/>
        </w:rPr>
        <w:t>و لا فرق في الآنية، و البلدان، و القصد و بقاء السخونة و عدمهما</w:t>
      </w:r>
      <w:r>
        <w:rPr>
          <w:rStyle w:val="FootnoteAnchor"/>
          <w:rtl w:val="true"/>
        </w:rPr>
        <w:footnoteReference w:id="147"/>
      </w:r>
      <w:r>
        <w:rPr>
          <w:rFonts w:ascii="IRNazanin" w:hAnsi="IRNazanin" w:eastAsia="IRNazanin"/>
          <w:color w:val="111111"/>
          <w:sz w:val="28"/>
          <w:sz w:val="28"/>
          <w:szCs w:val="28"/>
          <w:rtl w:val="true"/>
          <w:lang w:bidi="fa-IR"/>
        </w:rPr>
        <w:t>للعموم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الكبريتي كذلك، و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استعماله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يكره التداوي به قطعا،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من فوح جهنم</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طهر الجاري بالتدافع، و الكثير بتموّجه ان بقي كرا فصاعدا غير متغير، و الا فبإلقاء كرّ عليه متصل فكر حتى يزول 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عولج بغير الماء ثم به طهر، و لو وقعا معا أمكن ذلك، لزوال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قدّر بقاء الكر الطاهر متميزا، و زال التغير بتقويته بالناقص عن الكر،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تحقق للجريات بالاستقلال في الأنهار العظيمة إجماعا، و لا في المعتدلة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للاتصال المقتضي للوحدة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منجس الجرية المارة على النجاسة في الجهات الأربع نجاسة جدول طوله فراسخ بغير تغير، و هو ظاهر البطلان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يكفي زوال التغير من نفسه، أو بتموّجه نجسا، أو بملاقاة جسم طاهر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71" w:name="pg15253_219591"/>
    </w:p>
    <w:p>
      <w:pPr>
        <w:pStyle w:val="BookText"/>
        <w:rPr/>
      </w:pPr>
      <w:bookmarkEnd w:id="171"/>
      <w:r>
        <w:rPr>
          <w:rFonts w:ascii="Amiri" w:hAnsi="Amiri" w:eastAsia="Amiri" w:cs="Amiri"/>
          <w:color w:val="111111"/>
          <w:sz w:val="28"/>
          <w:sz w:val="28"/>
          <w:szCs w:val="28"/>
          <w:rtl w:val="true"/>
          <w:lang w:bidi="ar-SA"/>
        </w:rPr>
        <w:t>ساتر، أو مزيل للاستصحاب، و لأنه كما لا ينجس إلاّ بوارد لا يطهر الا بوارد، و هو 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من قال بطهارة المتمّم طهره بذلك، و قد صرح به بعض الأصحاب</w:t>
      </w:r>
      <w:r>
        <w:rPr>
          <w:rStyle w:val="FootnoteAnchor"/>
          <w:rtl w:val="true"/>
        </w:rPr>
        <w:footnoteReference w:id="150"/>
      </w:r>
      <w:r>
        <w:rPr>
          <w:rFonts w:ascii="Amiri" w:hAnsi="Amiri" w:eastAsia="Amiri" w:cs="Amiri"/>
          <w:color w:val="111111"/>
          <w:sz w:val="28"/>
          <w:sz w:val="28"/>
          <w:szCs w:val="28"/>
          <w:rtl w:val="true"/>
          <w:lang w:bidi="ar-SA"/>
        </w:rPr>
        <w:t>، لأصالة الطهارة في الماء و الحكم بالنجاسة للتغير، فإذا زال سبب النجاسة عمل الأصل عمله</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4191725_2142443653"/>
      <w:bookmarkStart w:id="173" w:name="_Toc68"/>
      <w:bookmarkEnd w:id="172"/>
      <w:r>
        <w:rPr>
          <w:rtl w:val="true"/>
        </w:rPr>
        <w:t>مسائل</w:t>
      </w:r>
      <w:r>
        <w:rPr>
          <w:rtl w:val="true"/>
        </w:rPr>
        <w:t>:</w:t>
      </w:r>
      <w:bookmarkEnd w:id="173"/>
    </w:p>
    <w:p>
      <w:pPr>
        <w:pStyle w:val="Heading6"/>
        <w:numPr>
          <w:ilvl w:val="5"/>
          <w:numId w:val="1"/>
        </w:numPr>
        <w:rPr/>
      </w:pPr>
      <w:bookmarkStart w:id="174" w:name="__RefHeading___Toc4191727_2142443653"/>
      <w:bookmarkStart w:id="175" w:name="_Toc69"/>
      <w:bookmarkEnd w:id="174"/>
      <w:r>
        <w:rPr>
          <w:rtl w:val="true"/>
        </w:rPr>
        <w:t>الاولى</w:t>
      </w:r>
      <w:r>
        <w:rPr>
          <w:rtl w:val="true"/>
        </w:rPr>
        <w:t xml:space="preserve">: </w:t>
      </w:r>
      <w:r>
        <w:rPr>
          <w:rtl w:val="true"/>
        </w:rPr>
        <w:t>لا ينجس الجاري بالملاقاة إجماعا،</w:t>
      </w:r>
      <w:bookmarkEnd w:id="175"/>
    </w:p>
    <w:p>
      <w:pPr>
        <w:pStyle w:val="BookText"/>
        <w:rPr/>
      </w:pPr>
      <w:r>
        <w:rPr>
          <w:rFonts w:ascii="Amiri" w:hAnsi="Amiri" w:eastAsia="Amiri" w:cs="Amiri"/>
          <w:color w:val="111111"/>
          <w:sz w:val="28"/>
          <w:sz w:val="28"/>
          <w:szCs w:val="28"/>
          <w:rtl w:val="true"/>
          <w:lang w:bidi="ar-SA"/>
        </w:rPr>
        <w:t xml:space="preserve">و لا يعتبر فيه الكرية 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على مخالف ممن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استقرار النجاسة، و لنص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رفع البأس عن بول الرجل في الجاري</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العلاّمة اعتبره، لعموم اعتبار الكرية</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يتم في غير النابع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الغيث نازلا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بطهارة الممتزج بالغيث و البول،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اصابه من الماء أكثر منه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طينه، لقول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طين المطر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يصيب الثوب ثلاثة أيام إلاّ أن تعلم نجاسته، و ان أصابه بعد ثلاثة فاغسله، و إن كان الطريق نظيفا لم تغسله</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و يمكن حمل طين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ماء الحمام بالمادة، لنص الباقر</w:t>
      </w:r>
      <w:r>
        <w:rPr>
          <w:rStyle w:val="FootnoteAnchor"/>
          <w:rtl w:val="true"/>
        </w:rPr>
        <w:footnoteReference w:id="155"/>
      </w:r>
      <w:r>
        <w:rPr>
          <w:rFonts w:ascii="IRNazanin" w:hAnsi="IRNazanin" w:eastAsia="IRNazanin"/>
          <w:color w:val="111111"/>
          <w:sz w:val="28"/>
          <w:sz w:val="28"/>
          <w:szCs w:val="28"/>
          <w:rtl w:val="true"/>
          <w:lang w:bidi="fa-IR"/>
        </w:rPr>
        <w:t>و الصادق</w:t>
      </w:r>
      <w:r>
        <w:rPr>
          <w:rStyle w:val="FootnoteAnchor"/>
          <w:rtl w:val="true"/>
        </w:rPr>
        <w:footnoteReference w:id="156"/>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كثرتها حملا للمطلق على المقيد</w:t>
      </w:r>
      <w:r>
        <w:rPr>
          <w:rFonts w:eastAsia="Amiri" w:cs="Amiri" w:ascii="Amiri" w:hAnsi="Amiri"/>
          <w:color w:val="111111"/>
          <w:sz w:val="28"/>
          <w:szCs w:val="28"/>
          <w:rtl w:val="true"/>
          <w:lang w:bidi="ar-SA"/>
        </w:rPr>
        <w:t xml:space="preserve">. </w:t>
      </w:r>
      <w:bookmarkStart w:id="176" w:name="pg15253_219592"/>
    </w:p>
    <w:p>
      <w:pPr>
        <w:pStyle w:val="BookText"/>
        <w:rPr/>
      </w:pPr>
      <w:bookmarkEnd w:id="176"/>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لإطلاق الخبر و العسر</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شك في الكرية استصحب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اشتراط الكرية في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يتساوى الحمام و غيره، لحصول الكرية الدافعة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العدم،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الحمام بالحكم، لعموم البلوى، و انفراده بالنص</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4191729_2142443653"/>
      <w:bookmarkStart w:id="178" w:name="_Toc70"/>
      <w:bookmarkEnd w:id="177"/>
      <w:r>
        <w:rPr>
          <w:rtl w:val="true"/>
        </w:rPr>
        <w:t>الثانية</w:t>
      </w:r>
      <w:r>
        <w:rPr>
          <w:rtl w:val="true"/>
        </w:rPr>
        <w:t xml:space="preserve">: </w:t>
      </w:r>
      <w:r>
        <w:rPr>
          <w:rtl w:val="true"/>
        </w:rPr>
        <w:t>لا ينجس الكثير بالملاقاة،</w:t>
      </w:r>
      <w:bookmarkEnd w:id="178"/>
    </w:p>
    <w:p>
      <w:pPr>
        <w:pStyle w:val="BookText"/>
        <w:rPr/>
      </w:pPr>
      <w:r>
        <w:rPr>
          <w:rFonts w:ascii="Amiri" w:hAnsi="Amiri" w:eastAsia="Amiri" w:cs="Amiri"/>
          <w:color w:val="111111"/>
          <w:sz w:val="28"/>
          <w:sz w:val="28"/>
          <w:szCs w:val="28"/>
          <w:rtl w:val="true"/>
          <w:lang w:bidi="ar-SA"/>
        </w:rPr>
        <w:t>وفاقا لقول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كرا لم يحمل خبثا</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قلتين</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يستعمل بأسره، و لا يجب إبقاء قدر النجاسة، لاستهلاكها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قائمة بلا تغير، لم يجب التباعد بمقدار القلّتين، لعدم انفعال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اغترف منه فنقص عن الكر، فالمأخوذ طاهر لا ظاهر الإناء، و تجنّبه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الزيادة على الكر، راجع الى الخلاف في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تكسيره اثنين و أربعين شبرا و سبعة أثمان شبرا بمستوي الخلقة،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ثلاثة أشبار و نصفا في مثله ثلاثة أشبار و نصف في عمقه</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للضرب، و لأنه يلزمه ذلك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القميّون أسقطوا النصف</w:t>
      </w:r>
      <w:r>
        <w:rPr>
          <w:rStyle w:val="FootnoteAnchor"/>
          <w:rtl w:val="true"/>
        </w:rPr>
        <w:footnoteReference w:id="162"/>
      </w:r>
      <w:r>
        <w:rPr>
          <w:rFonts w:ascii="Amiri" w:hAnsi="Amiri" w:eastAsia="Amiri" w:cs="Amiri"/>
          <w:color w:val="111111"/>
          <w:sz w:val="28"/>
          <w:sz w:val="28"/>
          <w:szCs w:val="28"/>
          <w:rtl w:val="true"/>
          <w:lang w:bidi="ar-SA"/>
        </w:rPr>
        <w:t xml:space="preserve">، لصحيحة إسماعيل بن جابر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ترجّح الأولى بالشهرة و الاحتياط</w:t>
      </w:r>
      <w:r>
        <w:rPr>
          <w:rFonts w:eastAsia="Amiri" w:cs="Amiri" w:ascii="Amiri" w:hAnsi="Amiri"/>
          <w:color w:val="111111"/>
          <w:sz w:val="28"/>
          <w:szCs w:val="28"/>
          <w:rtl w:val="true"/>
          <w:lang w:bidi="ar-SA"/>
        </w:rPr>
        <w:t xml:space="preserve">. </w:t>
      </w:r>
      <w:bookmarkStart w:id="179" w:name="pg15253_219593"/>
    </w:p>
    <w:p>
      <w:pPr>
        <w:pStyle w:val="BookText"/>
        <w:rPr/>
      </w:pPr>
      <w:bookmarkEnd w:id="179"/>
      <w:r>
        <w:rPr>
          <w:rFonts w:ascii="Amiri" w:hAnsi="Amiri" w:eastAsia="Amiri" w:cs="Amiri"/>
          <w:color w:val="111111"/>
          <w:sz w:val="28"/>
          <w:sz w:val="28"/>
          <w:szCs w:val="28"/>
          <w:rtl w:val="true"/>
          <w:lang w:bidi="ar-SA"/>
        </w:rPr>
        <w:t xml:space="preserve">أو ألف و مائتا رطل، لمرسلة ابن أبي عمير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التفسير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لمقاربة الأشبار، أو لأن المرسل عراقي، أو لصحيحة محمد ابن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ستمائة رطل</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بالحمل على رطل مكة، و هو رطلان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للاحتياط، أو لأن الغالب كونهم عليهم السلام ببلدهم، و هو مائة درهم و خمسة و تسعون درهما، و العراقي ثلثاه، للخبر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العلامة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وزن الماء و عدم مناسبة المساحة للأشبار، و مال الى دفع النجاسة بكل ما روي، و كأنه يحمل الزائد على الندبيّة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الجنيد اعتبر القلّتين أو نحو مائة شبر</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الراوندي نفى التكسير</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وجه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يتحرك جنباه بطرح حجر وسطه، و هو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لا يكفي التقريب لأصل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شك في البلوغ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علمه و شكّ في سبق النجاسة، فالأصل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ماء الحوض و الإناء كغيره،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المفيد و أتباعه جعلوها كالقليل مطلقا</w:t>
      </w:r>
      <w:r>
        <w:rPr>
          <w:rStyle w:val="FootnoteAnchor"/>
          <w:rtl w:val="true"/>
        </w:rPr>
        <w:footnoteReference w:id="169"/>
      </w:r>
      <w:r>
        <w:rPr>
          <w:rFonts w:ascii="Amiri" w:hAnsi="Amiri" w:eastAsia="Amiri" w:cs="Amiri"/>
          <w:color w:val="111111"/>
          <w:sz w:val="28"/>
          <w:sz w:val="28"/>
          <w:szCs w:val="28"/>
          <w:rtl w:val="true"/>
          <w:lang w:bidi="ar-SA"/>
        </w:rPr>
        <w:t>، للنهي عن استعمالها مع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بالغالب</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4191731_2142443653"/>
      <w:bookmarkStart w:id="181" w:name="_Toc71"/>
      <w:bookmarkEnd w:id="180"/>
      <w:r>
        <w:rPr>
          <w:rtl w:val="true"/>
        </w:rPr>
        <w:t>الثالثة</w:t>
      </w:r>
      <w:r>
        <w:rPr>
          <w:rtl w:val="true"/>
        </w:rPr>
        <w:t xml:space="preserve">: </w:t>
      </w:r>
      <w:r>
        <w:rPr>
          <w:rtl w:val="true"/>
        </w:rPr>
        <w:t>ينجس قليل الواقف بالملاقاة في الأشهر،</w:t>
      </w:r>
      <w:bookmarkEnd w:id="181"/>
    </w:p>
    <w:p>
      <w:pPr>
        <w:pStyle w:val="BookText"/>
        <w:rPr/>
      </w:pPr>
      <w:r>
        <w:rPr>
          <w:rFonts w:ascii="Amiri" w:hAnsi="Amiri" w:eastAsia="Amiri" w:cs="Amiri"/>
          <w:color w:val="111111"/>
          <w:sz w:val="28"/>
          <w:sz w:val="28"/>
          <w:szCs w:val="28"/>
          <w:rtl w:val="true"/>
          <w:lang w:bidi="ar-SA"/>
        </w:rPr>
        <w:t>لمفهوم الشرط في الحديثين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سؤر الكلب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رجس نجس لا تتوضأ </w:t>
      </w:r>
    </w:p>
    <w:p>
      <w:pPr>
        <w:pStyle w:val="BookText"/>
        <w:rPr/>
      </w:pPr>
      <w:r>
        <w:rPr>
          <w:rFonts w:ascii="IRNazanin" w:hAnsi="IRNazanin" w:eastAsia="IRNazanin"/>
          <w:color w:val="111111"/>
          <w:sz w:val="28"/>
          <w:sz w:val="28"/>
          <w:szCs w:val="28"/>
          <w:rtl w:val="true"/>
          <w:lang w:bidi="fa-IR"/>
        </w:rPr>
        <w:t>بفضله</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لتعليل غسل اليدين من النوم باحتمال النجاسة</w:t>
      </w:r>
      <w:r>
        <w:rPr>
          <w:rStyle w:val="FootnoteAnchor"/>
          <w:rtl w:val="true"/>
        </w:rPr>
        <w:footnoteReference w:id="171"/>
      </w:r>
      <w:r>
        <w:rPr>
          <w:rFonts w:ascii="Amiri" w:hAnsi="Amiri" w:eastAsia="Amiri" w:cs="Amiri"/>
          <w:color w:val="111111"/>
          <w:sz w:val="28"/>
          <w:sz w:val="28"/>
          <w:szCs w:val="28"/>
          <w:rtl w:val="true"/>
          <w:lang w:bidi="ar-SA"/>
        </w:rPr>
        <w:t>و لو لا نجاسة القليل لم يفد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حجّة الشيخ أبي علي 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التغير بعموم الحديث</w:t>
      </w:r>
      <w:r>
        <w:rPr>
          <w:rStyle w:val="FootnoteAnchor"/>
          <w:rtl w:val="true"/>
        </w:rPr>
        <w:footnoteReference w:id="172"/>
      </w:r>
      <w:r>
        <w:rPr>
          <w:rFonts w:ascii="Amiri" w:hAnsi="Amiri" w:eastAsia="Amiri" w:cs="Amiri"/>
          <w:color w:val="111111"/>
          <w:sz w:val="28"/>
          <w:sz w:val="28"/>
          <w:szCs w:val="28"/>
          <w:rtl w:val="true"/>
          <w:lang w:bidi="ar-SA"/>
        </w:rPr>
        <w:t>معارض بتقديم الخاص و ان جهل التاريخ، و قد رواه قوم في بئر بضاعة</w:t>
      </w:r>
      <w:r>
        <w:rPr>
          <w:rStyle w:val="FootnoteAnchor"/>
          <w:rtl w:val="true"/>
        </w:rPr>
        <w:footnoteReference w:id="173"/>
      </w:r>
      <w:r>
        <w:rPr>
          <w:rFonts w:ascii="Amiri" w:hAnsi="Amiri" w:eastAsia="Amiri" w:cs="Amiri"/>
          <w:color w:val="111111"/>
          <w:sz w:val="28"/>
          <w:sz w:val="28"/>
          <w:szCs w:val="28"/>
          <w:rtl w:val="true"/>
          <w:lang w:bidi="ar-SA"/>
        </w:rPr>
        <w:t>و كان ماؤها كثيرا، و في هذا التأويل طهارة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بخصوص نحو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القربة و الجرة من الماء تسقط فيها فأرة فتموت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غلبت رائحته على طعم الماء أو لونه فأرقه، و ان لم يغلب فاشرب منه و توضّأ</w:t>
      </w:r>
      <w:r>
        <w:rPr>
          <w:rStyle w:val="FootnoteAnchor"/>
          <w:rtl w:val="true"/>
        </w:rPr>
        <w:footnoteReference w:id="174"/>
      </w:r>
      <w:r>
        <w:rPr>
          <w:rFonts w:ascii="IRNazanin" w:hAnsi="IRNazanin" w:eastAsia="IRNazanin"/>
          <w:color w:val="111111"/>
          <w:sz w:val="28"/>
          <w:sz w:val="28"/>
          <w:szCs w:val="28"/>
          <w:rtl w:val="true"/>
          <w:lang w:bidi="fa-IR"/>
        </w:rPr>
        <w:t>معارض بأشهر منه و أصح إسنادا</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أوله الشيخ بالكر و ارادة الجنس من القربة و الجرة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استثنى الأصحاب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ماء الاستنجاء، إجماعا، للحرج، و حكم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نجاسة الثوب الملاقي له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اشترط فيه عدم الملاقاة لنجاسة من خارج، لوجود المانع، و لا فرق بين المخرجين للشمول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الاستنجاء تصريح بالطهارة، انما هو بالعفو</w:t>
      </w:r>
      <w:r>
        <w:rPr>
          <w:rStyle w:val="FootnoteAnchor"/>
          <w:rtl w:val="true"/>
        </w:rPr>
        <w:footnoteReference w:id="178"/>
      </w:r>
      <w:r>
        <w:rPr>
          <w:rFonts w:ascii="Amiri" w:hAnsi="Amiri" w:eastAsia="Amiri" w:cs="Amiri"/>
          <w:color w:val="111111"/>
          <w:sz w:val="28"/>
          <w:sz w:val="28"/>
          <w:szCs w:val="28"/>
          <w:rtl w:val="true"/>
          <w:lang w:bidi="ar-SA"/>
        </w:rPr>
        <w:t>و تظهر الفائدة في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أقرب، لتيقّن البراءة بغيره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يلحق به غسالة الخارج من السبيلين غير البول و الغائط، للبقاء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العفو بين المتعدي و غيره،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زاد وزنه اجتنب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 الذي لا يستبين، لقول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ألحق في المبسوط كل ما لا يستبين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فيهما، للاحتياط، و لمعارضته لكلام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الرواية دم الأنف، فيمكن العموم في الدم، لعدم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إخراج الدماء الثلاثة، لغلظ نجاستها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الثوب و البدن، لوجوب الاحتراز عن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طارت الذبابة عن النجاسة الى الثوب أو الماء، فعند الشيخ عفو، و اختاره الشيخ المحقق نجم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لعسر الاحتراز، و لعدم الجزم ببقائها لجفافها بالهواء، و هو يتم في الثوب دون الماء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ماء الغسل من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المبسوط، ثم حكم بالعفو عنه للمشقة</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لما طهر المحل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الاولى نجس</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المحقّق و الفاضل نجّساه مطلقا</w:t>
      </w:r>
      <w:r>
        <w:rPr>
          <w:rStyle w:val="FootnoteAnchor"/>
          <w:rtl w:val="true"/>
        </w:rPr>
        <w:footnoteReference w:id="184"/>
      </w:r>
      <w:r>
        <w:rPr>
          <w:rFonts w:ascii="Amiri" w:hAnsi="Amiri" w:eastAsia="Amiri" w:cs="Amiri"/>
          <w:color w:val="111111"/>
          <w:sz w:val="28"/>
          <w:sz w:val="28"/>
          <w:szCs w:val="28"/>
          <w:rtl w:val="true"/>
          <w:lang w:bidi="ar-SA"/>
        </w:rPr>
        <w:t xml:space="preserve">،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الماء الذي يغسل به الثوب، أو يغتسل به من الجنابة، لا يجوز أن يتوضّأ منه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أعم من الدعوى، و عطف الجنابة عليه مشعر بأنّه غير طهور لا أنه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لخبر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أصابه قطرة من طشت فيه وضوء،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بول، أو قذر، فيغسل ما أصابه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مقطوع، و يمكن حمله على التغير أو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بعد حكمه بعدم وجوب غسل الثوب من غسالة الولوغ</w:t>
      </w:r>
      <w:r>
        <w:rPr>
          <w:rStyle w:val="FootnoteAnchor"/>
          <w:rtl w:val="true"/>
        </w:rPr>
        <w:footnoteReference w:id="187"/>
      </w:r>
      <w:r>
        <w:rPr>
          <w:rFonts w:ascii="Amiri" w:hAnsi="Amiri" w:eastAsia="Amiri" w:cs="Amiri"/>
          <w:color w:val="111111"/>
          <w:sz w:val="28"/>
          <w:sz w:val="28"/>
          <w:szCs w:val="28"/>
          <w:rtl w:val="true"/>
          <w:lang w:bidi="ar-SA"/>
        </w:rPr>
        <w:t>حكم بعدم جواز الوضوء</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احتاط ابن البرّاج بإزالة غسالة الولوغ</w:t>
      </w:r>
      <w:r>
        <w:rPr>
          <w:rStyle w:val="FootnoteAnchor"/>
          <w:rtl w:val="true"/>
        </w:rPr>
        <w:footnoteReference w:id="189"/>
      </w:r>
      <w:r>
        <w:rPr>
          <w:rFonts w:ascii="Amiri" w:hAnsi="Amiri" w:eastAsia="Amiri" w:cs="Amiri"/>
          <w:color w:val="111111"/>
          <w:sz w:val="28"/>
          <w:sz w:val="28"/>
          <w:szCs w:val="28"/>
          <w:rtl w:val="true"/>
          <w:lang w:bidi="ar-SA"/>
        </w:rPr>
        <w:t>كقول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حمزة و البصروي سويا بين رافع الأكبر و مزيل النجاسة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رفع الحدث به إجماعا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خلوّ أكثر كلام القدماء عن الحكم في الغسالة، مع عموم البلوى بها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اعترف المرتضى بعدم النص على الفرق بين ورود الماء على النجاسة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عكسه، و قوّاه فحكم بعدم نجاسة الماء الوارد و إلاّ لما طهر المحل</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يلزمه أن لا ينجس بخروجه بطريق الأولى، و فهم الفاضلان منه ذلك</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ابن إدريس</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الحجّة بنجاسة غسالة الحمام، لنص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منها</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أعمّ من المدّعى، مع معارضته بقوله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غسالة الحمام تصيب الثوب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قاله ابن بابويه و الشيخ و كثير من الأصحاب عدم جواز استعمالها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يبق دليل سوى الاحتياط، و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ماء الغسلة كمغسولها قبلها، و على الأول كمغسولها بعدها أو كمغسولها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طهر القليل بمطهر الكثير ممازجا، فلو وصل بكرّ مماسة لم يطهر، للتميز المقتضي لاختصاص كل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الملاقاة بعد الاتصال و لو بساقية، لم ينجس القليل مع مساواة السطحين، أو علوّ الكثير كماء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نبع الكثير من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فامتزج طهّره، لصيرورتهما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كان ترشّحا لم يطهر، لعدم الكثرة الفعلية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طهارته بالإتمام بطاهر أو نجس ثلاثة أقوال، يفرق في الثالث بين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النجسين و بين الطاهر و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 لم يحمل خبثا</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و بظواهر الآي، و الأخبار المقتضية لطهورية الماء، و لأن البلوغ يستهلك النجاسة فيستوي ملاقاتها قبل الكرية و بعدها، و لطهارة الكثير فيه نجاسة و لولاه لنجس، لإمكان سبقها على كثرته، و ربّما احتج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الحديث عاميّ، و لم يعمل به غير ابن حيّ‌</w:t>
      </w:r>
      <w:r>
        <w:rPr>
          <w:rStyle w:val="FootnoteAnchor"/>
          <w:rtl w:val="true"/>
        </w:rPr>
        <w:footnoteReference w:id="199"/>
      </w:r>
      <w:r>
        <w:rPr>
          <w:rFonts w:ascii="IRNazanin" w:hAnsi="IRNazanin" w:eastAsia="IRNazanin"/>
          <w:color w:val="111111"/>
          <w:sz w:val="28"/>
          <w:sz w:val="28"/>
          <w:szCs w:val="28"/>
          <w:rtl w:val="true"/>
          <w:lang w:bidi="fa-IR"/>
        </w:rPr>
        <w:t>و الأصحاب رووه مرسلا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رويناه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و هو صريح في نجاسة طارئة مع احتمال الحديث الأول 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الظواهر تحمل على الطاهر، لأنّه المتبادر إليه الفهم، فلم قلتم بطهارة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الاستهلاك قياس باطل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 الماء بعد البلوغ، و ضعفه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إمكان السبق لا يعارض أصل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إجماع، لخلاف ابن الجنيد و الشيخ في الخلاف</w:t>
      </w:r>
      <w:r>
        <w:rPr>
          <w:rStyle w:val="FootnoteAnchor"/>
          <w:rtl w:val="true"/>
        </w:rPr>
        <w:footnoteReference w:id="202"/>
      </w:r>
      <w:r>
        <w:rPr>
          <w:rFonts w:ascii="Amiri" w:hAnsi="Amiri" w:eastAsia="Amiri" w:cs="Amiri"/>
          <w:color w:val="111111"/>
          <w:sz w:val="28"/>
          <w:sz w:val="28"/>
          <w:szCs w:val="28"/>
          <w:rtl w:val="true"/>
          <w:lang w:bidi="ar-SA"/>
        </w:rPr>
        <w:t>مع نقله الخلاف عن الأصحاب في المبسوط</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بطهوريّة المستعمل يبلغ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التنزل</w:t>
      </w:r>
      <w:r>
        <w:rPr>
          <w:rStyle w:val="FootnoteAnchor"/>
          <w:rtl w:val="true"/>
        </w:rPr>
        <w:footnoteReference w:id="204"/>
      </w:r>
      <w:r>
        <w:rPr>
          <w:rFonts w:ascii="Amiri" w:hAnsi="Amiri" w:eastAsia="Amiri" w:cs="Amiri"/>
          <w:color w:val="111111"/>
          <w:sz w:val="28"/>
          <w:sz w:val="28"/>
          <w:szCs w:val="28"/>
          <w:rtl w:val="true"/>
          <w:lang w:bidi="ar-SA"/>
        </w:rPr>
        <w:t>، لبنائه على ما سبق من تردده، و بناه في الخلاف على ذلك أيضا</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استصحاب حكم النجاسة سليما عن المعارض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82" w:name="pg15253_219599"/>
    </w:p>
    <w:p>
      <w:pPr>
        <w:pStyle w:val="BookText"/>
        <w:rPr/>
      </w:pPr>
      <w:bookmarkEnd w:id="182"/>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غمس الكوز بمائه النجس في الكثير الطاهر طهر مع الامتزاج، و لا تكفي المماسّة، و لا اعتبار بسعة الرأس و ضيقه، و لا يشترط أكثرية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المكث ليتحقق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بالطهارة بالإتمام كرا، لو تمّم هذا الكوز، طهر الجميع</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4191733_2142443653"/>
      <w:bookmarkStart w:id="184" w:name="_Toc72"/>
      <w:bookmarkEnd w:id="183"/>
      <w:r>
        <w:rPr>
          <w:rtl w:val="true"/>
        </w:rPr>
        <w:t>العارض الثالث</w:t>
      </w:r>
      <w:r>
        <w:rPr>
          <w:rtl w:val="true"/>
        </w:rPr>
        <w:t xml:space="preserve">: </w:t>
      </w:r>
      <w:r>
        <w:rPr>
          <w:rtl w:val="true"/>
        </w:rPr>
        <w:t>كونه ماء بئر</w:t>
      </w:r>
      <w:r>
        <w:rPr>
          <w:rtl w:val="true"/>
        </w:rPr>
        <w:t>.</w:t>
      </w:r>
      <w:bookmarkEnd w:id="184"/>
    </w:p>
    <w:p>
      <w:pPr>
        <w:pStyle w:val="Heading6"/>
        <w:numPr>
          <w:ilvl w:val="5"/>
          <w:numId w:val="1"/>
        </w:numPr>
        <w:rPr/>
      </w:pPr>
      <w:bookmarkStart w:id="185" w:name="__RefHeading___Toc4191735_2142443653"/>
      <w:bookmarkStart w:id="186" w:name="_Toc73"/>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 xml:space="preserve">و المشهور نجاسته مطلقا، للنقل الشائع بوجوب النزح من الخاص و العام و التعبّد بعيد، و لقول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ذلك يطهرها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يطهرها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لجواز تيمم الجنب خوف إفسادها عملا 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يتغير لا تعاد الطهارة و ان كان لا يجوز استعماله إلاّ بعد تطهيره</w:t>
      </w:r>
      <w:r>
        <w:rPr>
          <w:rStyle w:val="FootnoteAnchor"/>
          <w:rtl w:val="true"/>
        </w:rPr>
        <w:footnoteReference w:id="209"/>
      </w:r>
      <w:r>
        <w:rPr>
          <w:rFonts w:ascii="Amiri" w:hAnsi="Amiri" w:eastAsia="Amiri" w:cs="Amiri"/>
          <w:color w:val="111111"/>
          <w:sz w:val="28"/>
          <w:sz w:val="28"/>
          <w:szCs w:val="28"/>
          <w:rtl w:val="true"/>
          <w:lang w:bidi="ar-SA"/>
        </w:rPr>
        <w:t xml:space="preserve">،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الثوب، و لا تعاد الصلاة مما وقع في البئر، الا أن ينتن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لمكاتبة ابن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ينتن</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 المشافهة على المكاتبة، و الطعن في سند الأولى، و التأويل بفساد معطّل، و بالحمل على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فيها ذراعان في الأبعاد الثلاثة فلا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حكم بالنزح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البصروي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الكرية في دفع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طهرها متغيرة بنزح الأكثر من زواله و المقدر،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تغير الماء فخذه حتى يذهب الريح</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و للمكاتبة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رتب زوال التغير على العجز عن نزح الجميع</w:t>
      </w:r>
      <w:r>
        <w:rPr>
          <w:rStyle w:val="FootnoteAnchor"/>
          <w:rtl w:val="true"/>
        </w:rPr>
        <w:footnoteReference w:id="214"/>
      </w:r>
      <w:r>
        <w:rPr>
          <w:rFonts w:ascii="Amiri" w:hAnsi="Amiri" w:eastAsia="Amiri" w:cs="Amiri"/>
          <w:color w:val="111111"/>
          <w:sz w:val="28"/>
          <w:sz w:val="28"/>
          <w:szCs w:val="28"/>
          <w:rtl w:val="true"/>
          <w:lang w:bidi="ar-SA"/>
        </w:rPr>
        <w:t xml:space="preserve">،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أنتن نزحت</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الصدوقان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لما ذكر، فالتراوح</w:t>
      </w:r>
      <w:r>
        <w:rPr>
          <w:rStyle w:val="FootnoteAnchor"/>
          <w:rtl w:val="true"/>
        </w:rPr>
        <w:footnoteReference w:id="216"/>
      </w:r>
      <w:r>
        <w:rPr>
          <w:rFonts w:ascii="Amiri" w:hAnsi="Amiri" w:eastAsia="Amiri" w:cs="Amiri"/>
          <w:color w:val="111111"/>
          <w:sz w:val="28"/>
          <w:sz w:val="28"/>
          <w:szCs w:val="28"/>
          <w:rtl w:val="true"/>
          <w:lang w:bidi="ar-SA"/>
        </w:rPr>
        <w:t xml:space="preserve">،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غلب فلتنزف يوما الى الليل، يقام عليها قوم يتراوحون اثنين اثنين</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النزح انه كتدافع الجاري، و من ثم اختلفت الرواية بالأقل و الأوسط و الأكثر بحسب قوة النجاسة و ضعفها، و سعة المجاري و ضيقها، فليعمل بالمشهور غير المختلف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أقلّه، و يستحب أوسطه، و يتأكد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الشاذ يسقط بالمشهور، و ضعيف السند بالقوي</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87" w:name="pg15253_219601"/>
    </w:p>
    <w:p>
      <w:pPr>
        <w:pStyle w:val="Heading6"/>
        <w:numPr>
          <w:ilvl w:val="5"/>
          <w:numId w:val="1"/>
        </w:numPr>
        <w:rPr/>
      </w:pPr>
      <w:bookmarkStart w:id="188" w:name="__RefHeading___Toc4191737_2142443653"/>
      <w:bookmarkStart w:id="189" w:name="_Toc74"/>
      <w:bookmarkEnd w:id="187"/>
      <w:bookmarkEnd w:id="188"/>
      <w:r>
        <w:rPr>
          <w:rtl w:val="true"/>
        </w:rPr>
        <w:t>فروع</w:t>
      </w:r>
      <w:r>
        <w:rPr>
          <w:rtl w:val="true"/>
        </w:rPr>
        <w:t>:</w:t>
      </w:r>
      <w:bookmarkEnd w:id="189"/>
    </w:p>
    <w:p>
      <w:pPr>
        <w:pStyle w:val="Heading6"/>
        <w:numPr>
          <w:ilvl w:val="5"/>
          <w:numId w:val="1"/>
        </w:numPr>
        <w:rPr/>
      </w:pPr>
      <w:bookmarkStart w:id="190" w:name="__RefHeading___Toc4191739_2142443653"/>
      <w:bookmarkStart w:id="191" w:name="_Toc75"/>
      <w:bookmarkEnd w:id="190"/>
      <w:r>
        <w:rPr>
          <w:rtl w:val="true"/>
        </w:rPr>
        <w:t>الأول</w:t>
      </w:r>
      <w:r>
        <w:rPr>
          <w:rtl w:val="true"/>
        </w:rPr>
        <w:t xml:space="preserve">: </w:t>
      </w:r>
      <w:r>
        <w:rPr>
          <w:rtl w:val="true"/>
        </w:rPr>
        <w:t>لو زال تغيرها بنفسها أو بعلاج لم تطهر،</w:t>
      </w:r>
      <w:bookmarkEnd w:id="191"/>
    </w:p>
    <w:p>
      <w:pPr>
        <w:pStyle w:val="BookText"/>
        <w:rPr/>
      </w:pP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نزحها أو يكفي المزيل التقديري؟ الأقوى الأول، لعدم أولويّة البعض، و لتوقّف اليقين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امتزاجها بالجاري مطهّر، لأنّه أقوى من جريان النزح باعتبار دخول مائها في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منعه في المعتبر، لأن الحكم متعلّق بالنزح و لم يحصل</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اتصل بالكثير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وردا من فوق عليها، فالأقوى انه 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الاتحاد في المسمى</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4191741_2142443653"/>
      <w:bookmarkStart w:id="193" w:name="_Toc76"/>
      <w:bookmarkEnd w:id="192"/>
      <w:r>
        <w:rPr>
          <w:rtl w:val="true"/>
        </w:rPr>
        <w:t>الثاني</w:t>
      </w:r>
      <w:r>
        <w:rPr>
          <w:rtl w:val="true"/>
        </w:rPr>
        <w:t xml:space="preserve">: </w:t>
      </w:r>
      <w:r>
        <w:rPr>
          <w:rtl w:val="true"/>
        </w:rPr>
        <w:t>لو أجريت، فالظاهر انها بحكم الجاري</w:t>
      </w:r>
      <w:bookmarkEnd w:id="193"/>
    </w:p>
    <w:p>
      <w:pPr>
        <w:pStyle w:val="BookText"/>
        <w:rPr/>
      </w:pPr>
      <w:r>
        <w:rPr>
          <w:rFonts w:ascii="Amiri" w:hAnsi="Amiri" w:eastAsia="Amiri" w:cs="Amiri"/>
          <w:color w:val="111111"/>
          <w:sz w:val="28"/>
          <w:sz w:val="28"/>
          <w:szCs w:val="28"/>
          <w:rtl w:val="true"/>
          <w:lang w:bidi="ar-SA"/>
        </w:rPr>
        <w:t>لا تنجس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نجست ثم أجريت، ففي الحكم بطهارتها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طهارة الجميع، لأنه ماء جار تدافع و زال تغيره، و لخروجه عن مسمى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بقاؤه على النجاسة، لأن المطهر 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طهارة ما بقي بعد جريان قدر المنزوح، إذ لا يقصر ذلك عن الإخراج بالنزح</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4191743_2142443653"/>
      <w:bookmarkStart w:id="195" w:name="_Toc77"/>
      <w:bookmarkEnd w:id="194"/>
      <w:r>
        <w:rPr>
          <w:rtl w:val="true"/>
        </w:rPr>
        <w:t>الثالث</w:t>
      </w:r>
      <w:r>
        <w:rPr>
          <w:rtl w:val="true"/>
        </w:rPr>
        <w:t xml:space="preserve">: </w:t>
      </w:r>
      <w:r>
        <w:rPr>
          <w:rtl w:val="true"/>
        </w:rPr>
        <w:t>الآبار المتواصلة ان جرت فكالجاري،</w:t>
      </w:r>
      <w:bookmarkEnd w:id="195"/>
    </w:p>
    <w:p>
      <w:pPr>
        <w:pStyle w:val="BookText"/>
        <w:rPr/>
      </w:pPr>
      <w:r>
        <w:rPr>
          <w:rFonts w:ascii="Amiri" w:hAnsi="Amiri" w:eastAsia="Amiri" w:cs="Amiri"/>
          <w:color w:val="111111"/>
          <w:sz w:val="28"/>
          <w:sz w:val="28"/>
          <w:szCs w:val="28"/>
          <w:rtl w:val="true"/>
          <w:lang w:bidi="ar-SA"/>
        </w:rPr>
        <w:t>و الا فالحكم باق، لأنها كبئر واحدة</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4191745_2142443653"/>
      <w:bookmarkStart w:id="197" w:name="_Toc78"/>
      <w:bookmarkEnd w:id="196"/>
      <w:r>
        <w:rPr>
          <w:rtl w:val="true"/>
        </w:rPr>
        <w:t>الرابع</w:t>
      </w:r>
      <w:r>
        <w:rPr>
          <w:rtl w:val="true"/>
        </w:rPr>
        <w:t xml:space="preserve">: </w:t>
      </w:r>
      <w:r>
        <w:rPr>
          <w:rtl w:val="true"/>
        </w:rPr>
        <w:t>لا ريب في عدم اعتبار الدلو</w:t>
      </w:r>
      <w:bookmarkEnd w:id="197"/>
    </w:p>
    <w:p>
      <w:pPr>
        <w:pStyle w:val="BookText"/>
        <w:rPr/>
      </w:pPr>
      <w:r>
        <w:rPr>
          <w:rFonts w:ascii="Amiri" w:hAnsi="Amiri" w:eastAsia="Amiri" w:cs="Amiri"/>
          <w:color w:val="111111"/>
          <w:sz w:val="28"/>
          <w:sz w:val="28"/>
          <w:szCs w:val="28"/>
          <w:rtl w:val="true"/>
          <w:lang w:bidi="ar-SA"/>
        </w:rPr>
        <w:t>في النزح المزيل للتغيّر حيث لا مقدّر، أو كان إذا لم نعتبره، لحصول الغرض بالنزح المزيل للتغير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يعتبر الدلو في المعدود؟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لصورة النص، و عمل الأمّة</w:t>
      </w:r>
      <w:r>
        <w:rPr>
          <w:rFonts w:eastAsia="Amiri" w:cs="Amiri" w:ascii="Amiri" w:hAnsi="Amiri"/>
          <w:color w:val="111111"/>
          <w:sz w:val="28"/>
          <w:szCs w:val="28"/>
          <w:rtl w:val="true"/>
          <w:lang w:bidi="ar-SA"/>
        </w:rPr>
        <w:t xml:space="preserve">. </w:t>
      </w:r>
      <w:bookmarkStart w:id="198" w:name="pg15253_219602"/>
    </w:p>
    <w:p>
      <w:pPr>
        <w:pStyle w:val="BookText"/>
        <w:rPr/>
      </w:pPr>
      <w:bookmarkEnd w:id="198"/>
      <w:r>
        <w:rPr>
          <w:rFonts w:ascii="Amiri" w:hAnsi="Amiri" w:eastAsia="Amiri" w:cs="Amiri"/>
          <w:color w:val="111111"/>
          <w:sz w:val="28"/>
          <w:sz w:val="28"/>
          <w:szCs w:val="28"/>
          <w:rtl w:val="true"/>
          <w:lang w:bidi="ar-SA"/>
        </w:rPr>
        <w:t>و لا، لأن الغرض إخراج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أقرب، فحينئذ يعتبر بحساب دلو العادة</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4191747_2142443653"/>
      <w:bookmarkStart w:id="200" w:name="_Toc79"/>
      <w:bookmarkEnd w:id="199"/>
      <w:r>
        <w:rPr>
          <w:rtl w:val="true"/>
        </w:rPr>
        <w:t>الخامس</w:t>
      </w:r>
      <w:r>
        <w:rPr>
          <w:rtl w:val="true"/>
        </w:rPr>
        <w:t xml:space="preserve">: </w:t>
      </w:r>
      <w:r>
        <w:rPr>
          <w:rtl w:val="true"/>
        </w:rPr>
        <w:t>لا يعتبر في النازح الإسلام، و لا البلوغ، و لا الذكورية</w:t>
      </w:r>
      <w:bookmarkEnd w:id="200"/>
    </w:p>
    <w:p>
      <w:pPr>
        <w:pStyle w:val="BookText"/>
        <w:rPr/>
      </w:pPr>
      <w:r>
        <w:rPr>
          <w:rFonts w:ascii="Amiri" w:hAnsi="Amiri" w:eastAsia="Amiri" w:cs="Amiri"/>
          <w:color w:val="111111"/>
          <w:sz w:val="28"/>
          <w:sz w:val="28"/>
          <w:szCs w:val="28"/>
          <w:rtl w:val="true"/>
          <w:lang w:bidi="ar-SA"/>
        </w:rPr>
        <w:t xml:space="preserve">إلا في التراوح،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مال في المعتبر الى جواز النساء و الصبيان لشمول القوم</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الإنسانية فتكفي القرب، و لا في النزح النية، لأنه ترك النجاسة</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4191749_2142443653"/>
      <w:bookmarkStart w:id="202" w:name="_Toc80"/>
      <w:bookmarkEnd w:id="201"/>
      <w:r>
        <w:rPr>
          <w:rtl w:val="true"/>
        </w:rPr>
        <w:t>السادس</w:t>
      </w:r>
      <w:r>
        <w:rPr>
          <w:rtl w:val="true"/>
        </w:rPr>
        <w:t xml:space="preserve">: </w:t>
      </w:r>
      <w:r>
        <w:rPr>
          <w:rtl w:val="true"/>
        </w:rPr>
        <w:t>عبارة الأصحاب مختلفة في يوم التراوح</w:t>
      </w:r>
      <w:r>
        <w:rPr>
          <w:rtl w:val="true"/>
        </w:rPr>
        <w:t>:</w:t>
      </w:r>
      <w:bookmarkEnd w:id="202"/>
    </w:p>
    <w:p>
      <w:pPr>
        <w:pStyle w:val="BookText"/>
        <w:rPr/>
      </w:pPr>
      <w:r>
        <w:rPr>
          <w:rFonts w:ascii="Amiri" w:hAnsi="Amiri" w:eastAsia="Amiri" w:cs="Amiri"/>
          <w:color w:val="111111"/>
          <w:sz w:val="28"/>
          <w:sz w:val="28"/>
          <w:szCs w:val="28"/>
          <w:rtl w:val="true"/>
          <w:lang w:bidi="ar-SA"/>
        </w:rPr>
        <w:t>فالمفيد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النهار الى آخره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الصدوقان و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الغدوة إلى الليل</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الغدوة إلى العشاء</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انهم أرادوا به يوم الصوم فليكن من طلوع الفجر الى غروب الشمس، لأنه المفهوم من اليوم مع تحديده بالليل</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4191751_2142443653"/>
      <w:bookmarkStart w:id="204" w:name="_Toc81"/>
      <w:bookmarkEnd w:id="203"/>
      <w:r>
        <w:rPr>
          <w:rtl w:val="true"/>
        </w:rPr>
        <w:t>السابع</w:t>
      </w:r>
      <w:r>
        <w:rPr>
          <w:rtl w:val="true"/>
        </w:rPr>
        <w:t xml:space="preserve">: </w:t>
      </w:r>
      <w:r>
        <w:rPr>
          <w:rtl w:val="true"/>
        </w:rPr>
        <w:t>لا يجزئ الليل في التراوح</w:t>
      </w:r>
      <w:bookmarkEnd w:id="204"/>
    </w:p>
    <w:p>
      <w:pPr>
        <w:pStyle w:val="BookText"/>
        <w:rPr/>
      </w:pPr>
      <w:r>
        <w:rPr>
          <w:rFonts w:ascii="Amiri" w:hAnsi="Amiri" w:eastAsia="Amiri" w:cs="Amiri"/>
          <w:color w:val="111111"/>
          <w:sz w:val="28"/>
          <w:sz w:val="28"/>
          <w:szCs w:val="28"/>
          <w:rtl w:val="true"/>
          <w:lang w:bidi="ar-SA"/>
        </w:rPr>
        <w:t>لما يعتري فيه من الفتور عن العمل، و كذا مع مشاركته للنهار و تلفيق قدر يوم منهما</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4191753_2142443653"/>
      <w:bookmarkStart w:id="206" w:name="_Toc82"/>
      <w:bookmarkEnd w:id="205"/>
      <w:r>
        <w:rPr>
          <w:rtl w:val="true"/>
        </w:rPr>
        <w:t>الثامن</w:t>
      </w:r>
      <w:r>
        <w:rPr>
          <w:rtl w:val="true"/>
        </w:rPr>
        <w:t xml:space="preserve">: </w:t>
      </w:r>
      <w:r>
        <w:rPr>
          <w:rtl w:val="true"/>
        </w:rPr>
        <w:t>يجزئ مسمى اليوم و ان قصر،</w:t>
      </w:r>
      <w:bookmarkEnd w:id="206"/>
    </w:p>
    <w:p>
      <w:pPr>
        <w:pStyle w:val="BookText"/>
        <w:rPr/>
      </w:pPr>
      <w:r>
        <w:rPr>
          <w:rFonts w:ascii="Amiri" w:hAnsi="Amiri" w:eastAsia="Amiri" w:cs="Amiri"/>
          <w:color w:val="111111"/>
          <w:sz w:val="28"/>
          <w:sz w:val="28"/>
          <w:szCs w:val="28"/>
          <w:rtl w:val="true"/>
          <w:lang w:bidi="ar-SA"/>
        </w:rPr>
        <w:t>و لا يجب تحري الأطول، و الأولى استحبابه حيث لا ضرر، لما فيه من المبالغة في التطهير</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4191755_2142443653"/>
      <w:bookmarkStart w:id="208" w:name="_Toc83"/>
      <w:bookmarkEnd w:id="207"/>
      <w:r>
        <w:rPr>
          <w:rtl w:val="true"/>
        </w:rPr>
        <w:t>التاسع</w:t>
      </w:r>
      <w:r>
        <w:rPr>
          <w:rtl w:val="true"/>
        </w:rPr>
        <w:t xml:space="preserve">: </w:t>
      </w:r>
      <w:r>
        <w:rPr>
          <w:rtl w:val="true"/>
        </w:rPr>
        <w:t>يجوز لهم الصلاة جماعة،</w:t>
      </w:r>
      <w:bookmarkEnd w:id="208"/>
    </w:p>
    <w:p>
      <w:pPr>
        <w:pStyle w:val="BookText"/>
        <w:rPr/>
      </w:pPr>
      <w:r>
        <w:rPr>
          <w:rFonts w:ascii="Amiri" w:hAnsi="Amiri" w:eastAsia="Amiri" w:cs="Amiri"/>
          <w:color w:val="111111"/>
          <w:sz w:val="28"/>
          <w:sz w:val="28"/>
          <w:szCs w:val="28"/>
          <w:rtl w:val="true"/>
          <w:lang w:bidi="ar-SA"/>
        </w:rPr>
        <w:t>و الاجتماع في الأكل، لأنّهما مستثنيان عرفا</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4191757_2142443653"/>
      <w:bookmarkStart w:id="210" w:name="_Toc84"/>
      <w:bookmarkEnd w:id="209"/>
      <w:r>
        <w:rPr>
          <w:rtl w:val="true"/>
        </w:rPr>
        <w:t>العاشر</w:t>
      </w:r>
      <w:r>
        <w:rPr>
          <w:rtl w:val="true"/>
        </w:rPr>
        <w:t xml:space="preserve">: </w:t>
      </w:r>
      <w:r>
        <w:rPr>
          <w:rtl w:val="true"/>
        </w:rPr>
        <w:t>الظاهر إجزاء ما فوق الأربعة،</w:t>
      </w:r>
      <w:bookmarkEnd w:id="210"/>
    </w:p>
    <w:p>
      <w:pPr>
        <w:pStyle w:val="BookText"/>
        <w:rPr/>
      </w:pPr>
      <w:r>
        <w:rPr>
          <w:rFonts w:ascii="Amiri" w:hAnsi="Amiri" w:eastAsia="Amiri" w:cs="Amiri"/>
          <w:color w:val="111111"/>
          <w:sz w:val="28"/>
          <w:sz w:val="28"/>
          <w:szCs w:val="28"/>
          <w:rtl w:val="true"/>
          <w:lang w:bidi="ar-SA"/>
        </w:rPr>
        <w:t>لأنّه من باب مفهوم الموافقة، ما لم يتصوّر بطء بالكثرة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الاثنان الدائبان، فالأولى المنع، للمخالفة</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4191759_2142443653"/>
      <w:bookmarkStart w:id="212" w:name="_Toc85"/>
      <w:bookmarkEnd w:id="211"/>
      <w:r>
        <w:rPr>
          <w:rtl w:val="true"/>
        </w:rPr>
        <w:t>الحادي عشر</w:t>
      </w:r>
      <w:r>
        <w:rPr>
          <w:rtl w:val="true"/>
        </w:rPr>
        <w:t xml:space="preserve">: </w:t>
      </w:r>
      <w:r>
        <w:rPr>
          <w:rtl w:val="true"/>
        </w:rPr>
        <w:t>الأولى وجوب جزءين من الليل</w:t>
      </w:r>
      <w:bookmarkEnd w:id="21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و آخرا، ليتحقّق حفظ النهار، لأنّه من باب ما لا يتمّ الواجب إلاّ به</w:t>
      </w:r>
      <w:r>
        <w:rPr>
          <w:rFonts w:eastAsia="Amiri" w:cs="Amiri" w:ascii="Amiri" w:hAnsi="Amiri"/>
          <w:color w:val="111111"/>
          <w:sz w:val="28"/>
          <w:szCs w:val="28"/>
          <w:rtl w:val="true"/>
          <w:lang w:bidi="ar-SA"/>
        </w:rPr>
        <w:t xml:space="preserve">. </w:t>
      </w:r>
      <w:bookmarkStart w:id="213" w:name="pg15253_219603"/>
    </w:p>
    <w:p>
      <w:pPr>
        <w:pStyle w:val="Heading6"/>
        <w:numPr>
          <w:ilvl w:val="5"/>
          <w:numId w:val="1"/>
        </w:numPr>
        <w:rPr/>
      </w:pPr>
      <w:bookmarkStart w:id="214" w:name="__RefHeading___Toc4191761_2142443653"/>
      <w:bookmarkStart w:id="215" w:name="_Toc86"/>
      <w:bookmarkEnd w:id="213"/>
      <w:bookmarkEnd w:id="214"/>
      <w:r>
        <w:rPr>
          <w:rtl w:val="true"/>
        </w:rPr>
        <w:t>الثاني عشر</w:t>
      </w:r>
      <w:r>
        <w:rPr>
          <w:rtl w:val="true"/>
        </w:rPr>
        <w:t xml:space="preserve">: </w:t>
      </w:r>
      <w:r>
        <w:rPr>
          <w:rtl w:val="true"/>
        </w:rPr>
        <w:t>لو وقع في الأثناء موجب نزح الجميع</w:t>
      </w:r>
      <w:bookmarkEnd w:id="215"/>
    </w:p>
    <w:p>
      <w:pPr>
        <w:pStyle w:val="BookText"/>
        <w:rPr/>
      </w:pPr>
      <w:r>
        <w:rPr>
          <w:rFonts w:ascii="Amiri" w:hAnsi="Amiri" w:eastAsia="Amiri" w:cs="Amiri"/>
          <w:color w:val="111111"/>
          <w:sz w:val="28"/>
          <w:sz w:val="28"/>
          <w:szCs w:val="28"/>
          <w:rtl w:val="true"/>
          <w:lang w:bidi="ar-SA"/>
        </w:rPr>
        <w:t>وجب الاستئناف، و مع التعذّر فتراوح مستأنف، و لو وقع ذو مقدّر فالتداخل يمكن، فحينئذ يعمل بالأكثر، لصدق النزح</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4191763_2142443653"/>
      <w:bookmarkStart w:id="217" w:name="_Toc87"/>
      <w:bookmarkEnd w:id="216"/>
      <w:r>
        <w:rPr>
          <w:rtl w:val="true"/>
        </w:rPr>
        <w:t>الثالث عشر</w:t>
      </w:r>
      <w:r>
        <w:rPr>
          <w:rtl w:val="true"/>
        </w:rPr>
        <w:t xml:space="preserve">: </w:t>
      </w:r>
      <w:r>
        <w:rPr>
          <w:rtl w:val="true"/>
        </w:rPr>
        <w:t>اختلاف أنواع النجاسة يوجب التضاعف،</w:t>
      </w:r>
      <w:bookmarkEnd w:id="217"/>
    </w:p>
    <w:p>
      <w:pPr>
        <w:pStyle w:val="BookText"/>
        <w:rPr/>
      </w:pPr>
      <w:r>
        <w:rPr>
          <w:rFonts w:ascii="Amiri" w:hAnsi="Amiri" w:eastAsia="Amiri" w:cs="Amiri"/>
          <w:color w:val="111111"/>
          <w:sz w:val="28"/>
          <w:sz w:val="28"/>
          <w:szCs w:val="28"/>
          <w:rtl w:val="true"/>
          <w:lang w:bidi="ar-SA"/>
        </w:rPr>
        <w:t>عملا بالمقتضي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التماثل الأقرب ذلك،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الاختلاف بالكمية كالدم، فإن خرج من القلّة إلى الكثرة فمنزوح الأكثر، و إن زاد في الكثرة فلا زيادة في القدر، لشمول الاسم</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4191765_2142443653"/>
      <w:bookmarkStart w:id="219" w:name="_Toc88"/>
      <w:bookmarkEnd w:id="218"/>
      <w:r>
        <w:rPr>
          <w:rtl w:val="true"/>
        </w:rPr>
        <w:t>الرابع عشر</w:t>
      </w:r>
      <w:r>
        <w:rPr>
          <w:rtl w:val="true"/>
        </w:rPr>
        <w:t xml:space="preserve">: </w:t>
      </w:r>
      <w:r>
        <w:rPr>
          <w:rtl w:val="true"/>
        </w:rPr>
        <w:t>أبعاض المقدّر كالمقدّر،</w:t>
      </w:r>
      <w:bookmarkEnd w:id="219"/>
    </w:p>
    <w:p>
      <w:pPr>
        <w:pStyle w:val="BookText"/>
        <w:rPr/>
      </w:pPr>
      <w:r>
        <w:rPr>
          <w:rFonts w:ascii="Amiri" w:hAnsi="Amiri" w:eastAsia="Amiri" w:cs="Amiri"/>
          <w:color w:val="111111"/>
          <w:sz w:val="28"/>
          <w:sz w:val="28"/>
          <w:szCs w:val="28"/>
          <w:rtl w:val="true"/>
          <w:lang w:bidi="ar-SA"/>
        </w:rPr>
        <w:t>لتيقّن البراءة، فلو توزّع المقدّر لم يتضاعف، لعدم الخروج عن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وجد جزءان، و شكّ في كونهما من واحد أو اثنين، فالأجود التضاعف استظهارا</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4191767_2142443653"/>
      <w:bookmarkStart w:id="221" w:name="_Toc89"/>
      <w:bookmarkEnd w:id="220"/>
      <w:r>
        <w:rPr>
          <w:rtl w:val="true"/>
        </w:rPr>
        <w:t>الخامس عشر</w:t>
      </w:r>
      <w:r>
        <w:rPr>
          <w:rtl w:val="true"/>
        </w:rPr>
        <w:t xml:space="preserve">: </w:t>
      </w:r>
      <w:r>
        <w:rPr>
          <w:rtl w:val="true"/>
        </w:rPr>
        <w:t>الحيوان الحامل</w:t>
      </w:r>
      <w:bookmarkEnd w:id="221"/>
    </w:p>
    <w:p>
      <w:pPr>
        <w:pStyle w:val="BookText"/>
        <w:rPr/>
      </w:pPr>
      <w:r>
        <w:rPr>
          <w:rFonts w:ascii="Amiri" w:hAnsi="Amiri" w:eastAsia="Amiri" w:cs="Amiri"/>
          <w:color w:val="111111"/>
          <w:sz w:val="28"/>
          <w:sz w:val="28"/>
          <w:szCs w:val="28"/>
          <w:rtl w:val="true"/>
          <w:lang w:bidi="ar-SA"/>
        </w:rPr>
        <w:t>إذا مات و ذو الرجيع</w:t>
      </w:r>
      <w:r>
        <w:rPr>
          <w:rStyle w:val="FootnoteAnchor"/>
          <w:rtl w:val="true"/>
        </w:rPr>
        <w:footnoteReference w:id="224"/>
      </w:r>
      <w:r>
        <w:rPr>
          <w:rFonts w:ascii="Amiri" w:hAnsi="Amiri" w:eastAsia="Amiri" w:cs="Amiri"/>
          <w:color w:val="111111"/>
          <w:sz w:val="28"/>
          <w:sz w:val="28"/>
          <w:szCs w:val="28"/>
          <w:rtl w:val="true"/>
          <w:lang w:bidi="ar-SA"/>
        </w:rPr>
        <w:t>النجس كغيرهما، 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لانضمام المخرج المانع من الدخول، أو لإطلاق</w:t>
      </w:r>
      <w:r>
        <w:rPr>
          <w:rStyle w:val="FootnoteAnchor"/>
          <w:rtl w:val="true"/>
        </w:rPr>
        <w:footnoteReference w:id="225"/>
      </w:r>
      <w:r>
        <w:rPr>
          <w:rFonts w:ascii="Amiri" w:hAnsi="Amiri" w:eastAsia="Amiri" w:cs="Amiri"/>
          <w:color w:val="111111"/>
          <w:sz w:val="28"/>
          <w:sz w:val="28"/>
          <w:szCs w:val="28"/>
          <w:rtl w:val="true"/>
          <w:lang w:bidi="ar-SA"/>
        </w:rPr>
        <w:t>قدر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انفتح المخرج أو غيره تضاعف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غير المأكول حيّا، فلا نزح في غير نجس العين، لبعد ملاقاة الماء جوفه لانضمام المخرج</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4191769_2142443653"/>
      <w:bookmarkStart w:id="223" w:name="_Toc90"/>
      <w:bookmarkEnd w:id="222"/>
      <w:r>
        <w:rPr>
          <w:rtl w:val="true"/>
        </w:rPr>
        <w:t>السادس عشر</w:t>
      </w:r>
      <w:r>
        <w:rPr>
          <w:rtl w:val="true"/>
        </w:rPr>
        <w:t xml:space="preserve">: </w:t>
      </w:r>
      <w:r>
        <w:rPr>
          <w:rtl w:val="true"/>
        </w:rPr>
        <w:t>المتساقط من الدلو عفو،</w:t>
      </w:r>
      <w:bookmarkEnd w:id="223"/>
    </w:p>
    <w:p>
      <w:pPr>
        <w:pStyle w:val="BookText"/>
        <w:rPr/>
      </w:pPr>
      <w:r>
        <w:rPr>
          <w:rFonts w:ascii="Amiri" w:hAnsi="Amiri" w:eastAsia="Amiri" w:cs="Amiri"/>
          <w:color w:val="111111"/>
          <w:sz w:val="28"/>
          <w:sz w:val="28"/>
          <w:szCs w:val="28"/>
          <w:rtl w:val="true"/>
          <w:lang w:bidi="ar-SA"/>
        </w:rPr>
        <w:t xml:space="preserve">و لو انصبّ أزيد من المعتاد كمّل، و لو انصبّ بأسره أعيد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الأخير، للأصل</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4191771_2142443653"/>
      <w:bookmarkStart w:id="225" w:name="_Toc91"/>
      <w:bookmarkEnd w:id="224"/>
      <w:r>
        <w:rPr>
          <w:rtl w:val="true"/>
        </w:rPr>
        <w:t>السابع عشر</w:t>
      </w:r>
      <w:r>
        <w:rPr>
          <w:rtl w:val="true"/>
        </w:rPr>
        <w:t xml:space="preserve">: </w:t>
      </w:r>
      <w:r>
        <w:rPr>
          <w:rtl w:val="true"/>
        </w:rPr>
        <w:t>الظاهر طهارة المباشر و الدلو و الرشا،</w:t>
      </w:r>
      <w:bookmarkEnd w:id="22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لعدم أمر الشارع بالغسل، و لأنّ استحباب النزح مشروع، و من المعلوم عدم اشتراط غسل الدلو قبله، و أجمعوا على طهارة الحمأة</w:t>
      </w:r>
      <w:r>
        <w:rPr>
          <w:rStyle w:val="FootnoteAnchor"/>
          <w:rtl w:val="true"/>
        </w:rPr>
        <w:footnoteReference w:id="226"/>
      </w:r>
      <w:r>
        <w:rPr>
          <w:rFonts w:ascii="IRNazanin" w:hAnsi="IRNazanin" w:eastAsia="IRNazanin"/>
          <w:color w:val="111111"/>
          <w:sz w:val="28"/>
          <w:sz w:val="28"/>
          <w:szCs w:val="28"/>
          <w:rtl w:val="true"/>
          <w:lang w:bidi="fa-IR"/>
        </w:rPr>
        <w:t>و الجدران</w:t>
      </w:r>
      <w:r>
        <w:rPr>
          <w:rFonts w:eastAsia="IRNazanin" w:cs="IRNazanin"/>
          <w:color w:val="111111"/>
          <w:sz w:val="28"/>
          <w:szCs w:val="28"/>
          <w:rtl w:val="true"/>
          <w:lang w:bidi="fa-IR"/>
        </w:rPr>
        <w:t xml:space="preserve">. </w:t>
      </w:r>
      <w:bookmarkStart w:id="226" w:name="pg15253_219604"/>
    </w:p>
    <w:p>
      <w:pPr>
        <w:pStyle w:val="Heading6"/>
        <w:numPr>
          <w:ilvl w:val="5"/>
          <w:numId w:val="1"/>
        </w:numPr>
        <w:rPr/>
      </w:pPr>
      <w:bookmarkStart w:id="227" w:name="__RefHeading___Toc4191773_2142443653"/>
      <w:bookmarkStart w:id="228" w:name="_Toc92"/>
      <w:bookmarkEnd w:id="226"/>
      <w:bookmarkEnd w:id="227"/>
      <w:r>
        <w:rPr>
          <w:rtl w:val="true"/>
        </w:rPr>
        <w:t>الثامن عشر</w:t>
      </w:r>
      <w:r>
        <w:rPr>
          <w:rtl w:val="true"/>
        </w:rPr>
        <w:t xml:space="preserve">: </w:t>
      </w:r>
      <w:r>
        <w:rPr>
          <w:rtl w:val="true"/>
        </w:rPr>
        <w:t>يسقط النزح بغور الماء،</w:t>
      </w:r>
      <w:bookmarkEnd w:id="228"/>
    </w:p>
    <w:p>
      <w:pPr>
        <w:pStyle w:val="BookText"/>
        <w:rPr/>
      </w:pPr>
      <w:r>
        <w:rPr>
          <w:rFonts w:ascii="Amiri" w:hAnsi="Amiri" w:eastAsia="Amiri" w:cs="Amiri"/>
          <w:color w:val="111111"/>
          <w:sz w:val="28"/>
          <w:sz w:val="28"/>
          <w:szCs w:val="28"/>
          <w:rtl w:val="true"/>
          <w:lang w:bidi="ar-SA"/>
        </w:rPr>
        <w:t>سواء كان نزحا مستوعبا أو لا، فلو عاد لم يجب، للعفو عن الحمأة، و عدم معرفة كون العائد هو الغائر</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4191775_2142443653"/>
      <w:bookmarkStart w:id="230" w:name="_Toc93"/>
      <w:bookmarkEnd w:id="229"/>
      <w:r>
        <w:rPr>
          <w:rtl w:val="true"/>
        </w:rPr>
        <w:t>ثم أقسام غير المتغيّر أربعة عشر</w:t>
      </w:r>
      <w:r>
        <w:rPr>
          <w:rtl w:val="true"/>
        </w:rPr>
        <w:t>:</w:t>
      </w:r>
      <w:bookmarkEnd w:id="230"/>
    </w:p>
    <w:p>
      <w:pPr>
        <w:pStyle w:val="Heading6"/>
        <w:numPr>
          <w:ilvl w:val="5"/>
          <w:numId w:val="1"/>
        </w:numPr>
        <w:rPr/>
      </w:pPr>
      <w:bookmarkStart w:id="231" w:name="__RefHeading___Toc4191777_2142443653"/>
      <w:bookmarkStart w:id="232" w:name="_Toc94"/>
      <w:bookmarkEnd w:id="231"/>
      <w:r>
        <w:rPr>
          <w:rtl w:val="true"/>
        </w:rPr>
        <w:t>الأول</w:t>
      </w:r>
      <w:r>
        <w:rPr>
          <w:rtl w:val="true"/>
        </w:rPr>
        <w:t xml:space="preserve">: </w:t>
      </w:r>
      <w:r>
        <w:rPr>
          <w:rtl w:val="true"/>
        </w:rPr>
        <w:t>ما لا مقدّر له،</w:t>
      </w:r>
      <w:bookmarkEnd w:id="232"/>
    </w:p>
    <w:p>
      <w:pPr>
        <w:pStyle w:val="BookText"/>
        <w:rPr/>
      </w:pPr>
      <w:r>
        <w:rPr>
          <w:rFonts w:ascii="Amiri" w:hAnsi="Amiri" w:eastAsia="Amiri" w:cs="Amiri"/>
          <w:color w:val="111111"/>
          <w:sz w:val="28"/>
          <w:sz w:val="28"/>
          <w:szCs w:val="28"/>
          <w:rtl w:val="true"/>
          <w:lang w:bidi="ar-SA"/>
        </w:rPr>
        <w:t>فالكلّ عند قوم</w:t>
      </w:r>
      <w:r>
        <w:rPr>
          <w:rStyle w:val="FootnoteAnchor"/>
          <w:rtl w:val="true"/>
        </w:rPr>
        <w:footnoteReference w:id="227"/>
      </w:r>
      <w:r>
        <w:rPr>
          <w:rFonts w:ascii="Amiri" w:hAnsi="Amiri" w:eastAsia="Amiri" w:cs="Amiri"/>
          <w:color w:val="111111"/>
          <w:sz w:val="28"/>
          <w:sz w:val="28"/>
          <w:szCs w:val="28"/>
          <w:rtl w:val="true"/>
          <w:lang w:bidi="ar-SA"/>
        </w:rPr>
        <w:t>، لعدم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أربعون</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 و ثلاثون، لحديث كردويه</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لا نزح هنا، إعمالا لروايتي طهارة البئر فيه، و حمل الباقيات على مواردها،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يتمّ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النزح تعبّد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3" w:name="__RefHeading___Toc4191779_2142443653"/>
      <w:bookmarkStart w:id="234" w:name="_Toc95"/>
      <w:bookmarkEnd w:id="233"/>
      <w:r>
        <w:rPr>
          <w:rtl w:val="true"/>
        </w:rPr>
        <w:t>الثاني</w:t>
      </w:r>
      <w:r>
        <w:rPr>
          <w:rtl w:val="true"/>
        </w:rPr>
        <w:t xml:space="preserve">: </w:t>
      </w:r>
      <w:r>
        <w:rPr>
          <w:rtl w:val="true"/>
        </w:rPr>
        <w:t>ما ينزح له كلّ الماء،</w:t>
      </w:r>
      <w:bookmarkEnd w:id="234"/>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البعير، في المشهور الصحيح السند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w:t>
      </w:r>
      <w:r>
        <w:rPr>
          <w:rStyle w:val="FootnoteAnchor"/>
          <w:rtl w:val="true"/>
        </w:rPr>
        <w:footnoteReference w:id="232"/>
      </w:r>
      <w:r>
        <w:rPr>
          <w:rFonts w:ascii="Amiri" w:hAnsi="Amiri" w:eastAsia="Amiri" w:cs="Amiri"/>
          <w:color w:val="111111"/>
          <w:sz w:val="28"/>
          <w:sz w:val="28"/>
          <w:szCs w:val="28"/>
          <w:rtl w:val="true"/>
          <w:lang w:bidi="ar-SA"/>
        </w:rPr>
        <w:t>، و الراوي عمرو بن سعيد فطحي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صبّ الخمر،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و كذا في قليله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القطرة عشرون دلوا</w:t>
      </w:r>
      <w:r>
        <w:rPr>
          <w:rStyle w:val="FootnoteAnchor"/>
          <w:rtl w:val="true"/>
        </w:rPr>
        <w:footnoteReference w:id="234"/>
      </w:r>
      <w:r>
        <w:rPr>
          <w:rFonts w:ascii="Amiri" w:hAnsi="Amiri" w:eastAsia="Amiri" w:cs="Amiri"/>
          <w:color w:val="111111"/>
          <w:sz w:val="28"/>
          <w:sz w:val="28"/>
          <w:szCs w:val="28"/>
          <w:rtl w:val="true"/>
          <w:lang w:bidi="ar-SA"/>
        </w:rPr>
        <w:t xml:space="preserve">، لرواية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كردويه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لقطرة النبيذ المسكر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دلوا</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المعتبر رام الفرق بين الصبّ و القطرة للتأثّر به أكثر بشيوعه في الماء</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رجّح الكلّ بكثرة الأخبار</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المسكر المائع بالأصالة، لقول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خمر</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عاقبته الخمر فهو خمر</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الفقّاع،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خمر مجهول</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الدماء الثلاثة، لغلظ نجاستها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على مساواتها باقي الدماء</w:t>
      </w:r>
      <w:r>
        <w:rPr>
          <w:rStyle w:val="FootnoteAnchor"/>
          <w:rtl w:val="true"/>
        </w:rPr>
        <w:footnoteReference w:id="242"/>
      </w:r>
      <w:r>
        <w:rPr>
          <w:rFonts w:ascii="Amiri" w:hAnsi="Amiri" w:eastAsia="Amiri" w:cs="Amiri"/>
          <w:color w:val="111111"/>
          <w:sz w:val="28"/>
          <w:sz w:val="28"/>
          <w:szCs w:val="28"/>
          <w:rtl w:val="true"/>
          <w:lang w:bidi="ar-SA"/>
        </w:rPr>
        <w:t>و رجّحه في المعتبر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الثور،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نصّ فيه، قاله الشيخ أبو علي في شرح نهاية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القطع بالطهارة يتوقف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 ابن البرّاج عرق الجنب من حرام، و الإبل الجلاّلة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ألحق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و روث غير المأكول، إلاّ بول الرجل و الصبي</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ألحق البصروي خروج الكلب و الخنزير حيّين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35" w:name="pg15253_219606"/>
    </w:p>
    <w:p>
      <w:pPr>
        <w:pStyle w:val="BookText"/>
        <w:rPr/>
      </w:pPr>
      <w:bookmarkEnd w:id="235"/>
      <w:r>
        <w:rPr>
          <w:rFonts w:ascii="Amiri" w:hAnsi="Amiri" w:eastAsia="Amiri" w:cs="Amiri"/>
          <w:color w:val="111111"/>
          <w:sz w:val="28"/>
          <w:sz w:val="28"/>
          <w:szCs w:val="28"/>
          <w:rtl w:val="true"/>
          <w:lang w:bidi="ar-SA"/>
        </w:rPr>
        <w:t>و ألحق بعضهم الفيل</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6" w:name="__RefHeading___Toc4191781_2142443653"/>
      <w:bookmarkStart w:id="237" w:name="_Toc96"/>
      <w:bookmarkEnd w:id="236"/>
      <w:r>
        <w:rPr>
          <w:rtl w:val="true"/>
        </w:rPr>
        <w:t>الثالث</w:t>
      </w:r>
      <w:r>
        <w:rPr>
          <w:rtl w:val="true"/>
        </w:rPr>
        <w:t xml:space="preserve">: </w:t>
      </w:r>
      <w:r>
        <w:rPr>
          <w:rtl w:val="true"/>
        </w:rPr>
        <w:t>كرّ، للحمار و البغل</w:t>
      </w:r>
      <w:bookmarkEnd w:id="2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ليس في بعض الروايات البغل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الفرس و البقرة و شبههما، للشهرة، 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مما لا نصّ فيه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8" w:name="__RefHeading___Toc4191783_2142443653"/>
      <w:bookmarkStart w:id="239" w:name="_Toc97"/>
      <w:bookmarkEnd w:id="238"/>
      <w:r>
        <w:rPr>
          <w:rtl w:val="true"/>
        </w:rPr>
        <w:t>الرابع</w:t>
      </w:r>
      <w:r>
        <w:rPr>
          <w:rtl w:val="true"/>
        </w:rPr>
        <w:t xml:space="preserve">: </w:t>
      </w:r>
      <w:r>
        <w:rPr>
          <w:rtl w:val="true"/>
        </w:rPr>
        <w:t xml:space="preserve">سبعون دلوا </w:t>
      </w:r>
      <w:r>
        <w:rPr>
          <w:rtl w:val="true"/>
        </w:rPr>
        <w:t>-</w:t>
      </w:r>
      <w:bookmarkEnd w:id="239"/>
    </w:p>
    <w:p>
      <w:pPr>
        <w:pStyle w:val="BookText"/>
        <w:rPr/>
      </w:pPr>
      <w:r>
        <w:rPr>
          <w:rFonts w:ascii="Amiri" w:hAnsi="Amiri" w:eastAsia="Amiri" w:cs="Amiri"/>
          <w:color w:val="111111"/>
          <w:sz w:val="28"/>
          <w:sz w:val="28"/>
          <w:szCs w:val="28"/>
          <w:rtl w:val="true"/>
          <w:lang w:bidi="ar-SA"/>
        </w:rPr>
        <w:t>و المراد بها حيث نذكر ما كانت عادية، و قيل هجرية</w:t>
      </w:r>
      <w:r>
        <w:rPr>
          <w:rStyle w:val="FootnoteAnchor"/>
          <w:rtl w:val="true"/>
        </w:rPr>
        <w:footnoteReference w:id="249"/>
      </w:r>
      <w:r>
        <w:rPr>
          <w:rFonts w:ascii="Amiri" w:hAnsi="Amiri" w:eastAsia="Amiri" w:cs="Amiri"/>
          <w:color w:val="111111"/>
          <w:sz w:val="28"/>
          <w:sz w:val="28"/>
          <w:szCs w:val="28"/>
          <w:rtl w:val="true"/>
          <w:lang w:bidi="ar-SA"/>
        </w:rPr>
        <w:t xml:space="preserve">ثلاثون رطلا، و قال الجعفي أربعون رطلا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لموت الإنسان، للخبر المقبول بين الأصحاب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علي و ابن إدريس أوجبا لموت الكافر الجميع</w:t>
      </w:r>
      <w:r>
        <w:rPr>
          <w:rStyle w:val="FootnoteAnchor"/>
          <w:rtl w:val="true"/>
        </w:rPr>
        <w:footnoteReference w:id="251"/>
      </w:r>
      <w:r>
        <w:rPr>
          <w:rFonts w:ascii="Amiri" w:hAnsi="Amiri" w:eastAsia="Amiri" w:cs="Amiri"/>
          <w:color w:val="111111"/>
          <w:sz w:val="28"/>
          <w:sz w:val="28"/>
          <w:szCs w:val="28"/>
          <w:rtl w:val="true"/>
          <w:lang w:bidi="ar-SA"/>
        </w:rPr>
        <w:t>بناء على وجوبه بملاقاته حيّا، إذ لا نص فيه، و حال الموت أشدّ نجاسة، و فيهما منع</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4191785_2142443653"/>
      <w:bookmarkStart w:id="241" w:name="_Toc98"/>
      <w:bookmarkEnd w:id="240"/>
      <w:r>
        <w:rPr>
          <w:rtl w:val="true"/>
        </w:rPr>
        <w:t>الخامس</w:t>
      </w:r>
      <w:r>
        <w:rPr>
          <w:rtl w:val="true"/>
        </w:rPr>
        <w:t xml:space="preserve">: </w:t>
      </w:r>
      <w:r>
        <w:rPr>
          <w:rtl w:val="true"/>
        </w:rPr>
        <w:t>خمسون، للعذرة الذائبة،</w:t>
      </w:r>
      <w:bookmarkEnd w:id="241"/>
    </w:p>
    <w:p>
      <w:pPr>
        <w:pStyle w:val="BookText"/>
        <w:rPr/>
      </w:pPr>
      <w:r>
        <w:rPr>
          <w:rFonts w:ascii="Amiri" w:hAnsi="Amiri" w:eastAsia="Amiri" w:cs="Amiri"/>
          <w:color w:val="111111"/>
          <w:sz w:val="28"/>
          <w:sz w:val="28"/>
          <w:szCs w:val="28"/>
          <w:rtl w:val="true"/>
          <w:lang w:bidi="ar-SA"/>
        </w:rPr>
        <w:t>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أو خمسون</w:t>
      </w:r>
      <w:r>
        <w:rPr>
          <w:rStyle w:val="FootnoteAnchor"/>
          <w:rtl w:val="true"/>
        </w:rPr>
        <w:footnoteReference w:id="252"/>
      </w:r>
      <w:r>
        <w:rPr>
          <w:rFonts w:ascii="Amiri" w:hAnsi="Amiri" w:eastAsia="Amiri" w:cs="Amiri"/>
          <w:color w:val="111111"/>
          <w:sz w:val="28"/>
          <w:sz w:val="28"/>
          <w:szCs w:val="28"/>
          <w:rtl w:val="true"/>
          <w:lang w:bidi="ar-SA"/>
        </w:rPr>
        <w:t>، و الأكثر طريق الى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 الدم، 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الكاظم عليه السلام في شاة مذبوحة تقع و أوداجها تشخب دما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الثلاثين إلى الأربعين</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Heading6"/>
        <w:numPr>
          <w:ilvl w:val="5"/>
          <w:numId w:val="1"/>
        </w:numPr>
        <w:rPr/>
      </w:pPr>
      <w:bookmarkStart w:id="242" w:name="__RefHeading___Toc4191787_2142443653"/>
      <w:bookmarkStart w:id="243" w:name="_Toc99"/>
      <w:bookmarkEnd w:id="242"/>
      <w:r>
        <w:rPr>
          <w:rtl w:val="true"/>
        </w:rPr>
        <w:t>السادس</w:t>
      </w:r>
      <w:r>
        <w:rPr>
          <w:rtl w:val="true"/>
        </w:rPr>
        <w:t xml:space="preserve">: </w:t>
      </w:r>
      <w:r>
        <w:rPr>
          <w:rtl w:val="true"/>
        </w:rPr>
        <w:t>أربعون، لبول الرجل</w:t>
      </w:r>
      <w:bookmarkEnd w:id="24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علي بن أبي حمزة عن</w:t>
      </w:r>
      <w:bookmarkStart w:id="244" w:name="pg15253_219607"/>
    </w:p>
    <w:p>
      <w:pPr>
        <w:pStyle w:val="BookText"/>
        <w:rPr/>
      </w:pPr>
      <w:bookmarkEnd w:id="244"/>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موت الكلب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 أو ثلاثون أو أربعون</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فأخذ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الصحيحة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بالخمس في الكلب و السنّور</w:t>
      </w:r>
      <w:r>
        <w:rPr>
          <w:rStyle w:val="FootnoteAnchor"/>
          <w:rtl w:val="true"/>
        </w:rPr>
        <w:footnoteReference w:id="256"/>
      </w:r>
      <w:r>
        <w:rPr>
          <w:rFonts w:ascii="Amiri" w:hAnsi="Amiri" w:eastAsia="Amiri" w:cs="Amiri"/>
          <w:color w:val="111111"/>
          <w:sz w:val="28"/>
          <w:sz w:val="28"/>
          <w:szCs w:val="28"/>
          <w:rtl w:val="true"/>
          <w:lang w:bidi="ar-SA"/>
        </w:rPr>
        <w:t>نادرة لا تعارض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الثعلب و الأرنب و الشاة، للشبه المذكور و الاحتياط</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4191789_2142443653"/>
      <w:bookmarkStart w:id="246" w:name="_Toc100"/>
      <w:bookmarkEnd w:id="245"/>
      <w:r>
        <w:rPr>
          <w:rtl w:val="true"/>
        </w:rPr>
        <w:t>السابع</w:t>
      </w:r>
      <w:r>
        <w:rPr>
          <w:rtl w:val="true"/>
        </w:rPr>
        <w:t xml:space="preserve">: </w:t>
      </w:r>
      <w:r>
        <w:rPr>
          <w:rtl w:val="true"/>
        </w:rPr>
        <w:t>ثلاثون لماء المطر و فيه</w:t>
      </w:r>
      <w:r>
        <w:rPr>
          <w:rtl w:val="true"/>
        </w:rPr>
        <w:t xml:space="preserve">: </w:t>
      </w:r>
      <w:r>
        <w:rPr>
          <w:rtl w:val="true"/>
        </w:rPr>
        <w:t>البول،</w:t>
      </w:r>
      <w:bookmarkEnd w:id="246"/>
    </w:p>
    <w:p>
      <w:pPr>
        <w:pStyle w:val="BookText"/>
        <w:rPr/>
      </w:pPr>
      <w:r>
        <w:rPr>
          <w:rFonts w:ascii="Amiri" w:hAnsi="Amiri" w:eastAsia="Amiri" w:cs="Amiri"/>
          <w:color w:val="111111"/>
          <w:sz w:val="28"/>
          <w:sz w:val="28"/>
          <w:szCs w:val="28"/>
          <w:rtl w:val="true"/>
          <w:lang w:bidi="ar-SA"/>
        </w:rPr>
        <w:t xml:space="preserve">و العذرة، و أبوال الدواب و أرواثها، و خرء الكلاب، لرواية كردويه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7" w:name="__RefHeading___Toc4191791_2142443653"/>
      <w:bookmarkStart w:id="248" w:name="_Toc101"/>
      <w:bookmarkEnd w:id="247"/>
      <w:r>
        <w:rPr>
          <w:rtl w:val="true"/>
        </w:rPr>
        <w:t>الثامن</w:t>
      </w:r>
      <w:r>
        <w:rPr>
          <w:rtl w:val="true"/>
        </w:rPr>
        <w:t xml:space="preserve">: </w:t>
      </w:r>
      <w:r>
        <w:rPr>
          <w:rtl w:val="true"/>
        </w:rPr>
        <w:t>عشرون لما مرّ من قطرة الخمر و النبيذ</w:t>
      </w:r>
      <w:r>
        <w:rPr>
          <w:rtl w:val="true"/>
        </w:rPr>
        <w:t>.</w:t>
      </w:r>
      <w:bookmarkEnd w:id="248"/>
    </w:p>
    <w:p>
      <w:pPr>
        <w:pStyle w:val="BookText"/>
        <w:rPr/>
      </w:pPr>
      <w:r>
        <w:rPr>
          <w:rFonts w:ascii="Amiri" w:hAnsi="Amiri" w:eastAsia="Amiri" w:cs="Amiri"/>
          <w:color w:val="111111"/>
          <w:sz w:val="28"/>
          <w:sz w:val="28"/>
          <w:szCs w:val="28"/>
          <w:rtl w:val="true"/>
          <w:lang w:bidi="ar-SA"/>
        </w:rPr>
        <w:t>و للدم عند المرتضى من دلو الى عشرين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و الخمر، و الميت، و لحم الخنزير، ينزح منه عشرون دلوا</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9" w:name="__RefHeading___Toc4191793_2142443653"/>
      <w:bookmarkStart w:id="250" w:name="_Toc102"/>
      <w:bookmarkEnd w:id="249"/>
      <w:r>
        <w:rPr>
          <w:rtl w:val="true"/>
        </w:rPr>
        <w:t>التاسع</w:t>
      </w:r>
      <w:r>
        <w:rPr>
          <w:rtl w:val="true"/>
        </w:rPr>
        <w:t xml:space="preserve">: </w:t>
      </w:r>
      <w:r>
        <w:rPr>
          <w:rtl w:val="true"/>
        </w:rPr>
        <w:t>عشر ليابس العذرة،</w:t>
      </w:r>
      <w:bookmarkEnd w:id="250"/>
    </w:p>
    <w:p>
      <w:pPr>
        <w:pStyle w:val="BookText"/>
        <w:rPr/>
      </w:pPr>
      <w:r>
        <w:rPr>
          <w:rFonts w:ascii="Amiri" w:hAnsi="Amiri" w:eastAsia="Amiri" w:cs="Amiri"/>
          <w:color w:val="111111"/>
          <w:sz w:val="28"/>
          <w:sz w:val="28"/>
          <w:szCs w:val="28"/>
          <w:rtl w:val="true"/>
          <w:lang w:bidi="ar-SA"/>
        </w:rPr>
        <w:t xml:space="preserve">لرواية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قليل الدم عند جماعة</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دلاء في قطرات الدم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251" w:name="pg15253_219608"/>
    </w:p>
    <w:p>
      <w:pPr>
        <w:pStyle w:val="BookText"/>
        <w:rPr/>
      </w:pPr>
      <w:bookmarkEnd w:id="251"/>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 الدجاجة و الحمامة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دلاء يسيرة</w:t>
      </w:r>
      <w:r>
        <w:rPr>
          <w:rStyle w:val="FootnoteAnchor"/>
          <w:rtl w:val="true"/>
        </w:rPr>
        <w:footnoteReference w:id="263"/>
      </w:r>
      <w:r>
        <w:rPr>
          <w:rFonts w:ascii="Amiri" w:hAnsi="Amiri" w:eastAsia="Amiri" w:cs="Amiri"/>
          <w:color w:val="111111"/>
          <w:sz w:val="28"/>
          <w:sz w:val="28"/>
          <w:szCs w:val="28"/>
          <w:rtl w:val="true"/>
          <w:lang w:bidi="ar-SA"/>
        </w:rPr>
        <w:t>، و فسّرت بعشر، لأنّه أكثر عدد يضاف الى الجمع</w:t>
      </w:r>
      <w:r>
        <w:rPr>
          <w:rStyle w:val="FootnoteAnchor"/>
          <w:rtl w:val="true"/>
        </w:rPr>
        <w:footnoteReference w:id="264"/>
      </w:r>
      <w:r>
        <w:rPr>
          <w:rFonts w:ascii="Amiri" w:hAnsi="Amiri" w:eastAsia="Amiri" w:cs="Amiri"/>
          <w:color w:val="111111"/>
          <w:sz w:val="28"/>
          <w:sz w:val="28"/>
          <w:szCs w:val="28"/>
          <w:rtl w:val="true"/>
          <w:lang w:bidi="ar-SA"/>
        </w:rPr>
        <w:t>،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جمع الكثرة عشر</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4191795_2142443653"/>
      <w:bookmarkStart w:id="253" w:name="_Toc103"/>
      <w:bookmarkEnd w:id="252"/>
      <w:r>
        <w:rPr>
          <w:rtl w:val="true"/>
        </w:rPr>
        <w:t>العاشر</w:t>
      </w:r>
      <w:r>
        <w:rPr>
          <w:rtl w:val="true"/>
        </w:rPr>
        <w:t xml:space="preserve">: </w:t>
      </w:r>
      <w:r>
        <w:rPr>
          <w:rtl w:val="true"/>
        </w:rPr>
        <w:t>تسع أو عشر،</w:t>
      </w:r>
      <w:bookmarkEnd w:id="253"/>
    </w:p>
    <w:p>
      <w:pPr>
        <w:pStyle w:val="BookText"/>
        <w:rPr/>
      </w:pPr>
      <w:r>
        <w:rPr>
          <w:rFonts w:ascii="Amiri" w:hAnsi="Amiri" w:eastAsia="Amiri" w:cs="Amiri"/>
          <w:color w:val="111111"/>
          <w:sz w:val="28"/>
          <w:sz w:val="28"/>
          <w:szCs w:val="28"/>
          <w:rtl w:val="true"/>
          <w:lang w:bidi="ar-SA"/>
        </w:rPr>
        <w:t>للشاة عند الصدوق</w:t>
      </w:r>
      <w:r>
        <w:rPr>
          <w:rStyle w:val="FootnoteAnchor"/>
          <w:rtl w:val="true"/>
        </w:rPr>
        <w:footnoteReference w:id="265"/>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4" w:name="__RefHeading___Toc4191797_2142443653"/>
      <w:bookmarkStart w:id="255" w:name="_Toc104"/>
      <w:bookmarkEnd w:id="254"/>
      <w:r>
        <w:rPr>
          <w:rtl w:val="true"/>
        </w:rPr>
        <w:t>الحادي عشر</w:t>
      </w:r>
      <w:r>
        <w:rPr>
          <w:rtl w:val="true"/>
        </w:rPr>
        <w:t xml:space="preserve">: </w:t>
      </w:r>
      <w:r>
        <w:rPr>
          <w:rtl w:val="true"/>
        </w:rPr>
        <w:t>سبع لموت الطير</w:t>
      </w:r>
      <w:bookmarkEnd w:id="2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علي بن أبي حمزة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فسّر بالحمامة و النعامة و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لاغتسال الجنب، و الروايات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و النزول، و الدخول، و الاغتسال</w:t>
      </w:r>
      <w:r>
        <w:rPr>
          <w:rStyle w:val="FootnoteAnchor"/>
          <w:rtl w:val="true"/>
        </w:rPr>
        <w:footnoteReference w:id="267"/>
      </w:r>
      <w:r>
        <w:rPr>
          <w:rFonts w:ascii="IRNazanin" w:hAnsi="IRNazanin" w:eastAsia="IRNazanin"/>
          <w:color w:val="111111"/>
          <w:sz w:val="28"/>
          <w:sz w:val="28"/>
          <w:szCs w:val="28"/>
          <w:rtl w:val="true"/>
          <w:lang w:bidi="fa-IR"/>
        </w:rPr>
        <w:t>منها، فلا وجه لاشتراط الارتماس</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الموجبون للسبع هنا هم المانعون من رفع الحدث بالماء المستعمل، إلاّ سلاّر فإنّه قال بالنزح لا بالمنع، و المرتضى و أبو الصلاح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بالرفع، و لم يذكرا النزح</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لخروج الكلب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256" w:name="pg15253_219609"/>
    </w:p>
    <w:p>
      <w:pPr>
        <w:pStyle w:val="BookText"/>
        <w:rPr/>
      </w:pPr>
      <w:bookmarkEnd w:id="256"/>
      <w:r>
        <w:rPr>
          <w:rFonts w:ascii="Amiri" w:hAnsi="Amiri" w:eastAsia="Amiri" w:cs="Amiri"/>
          <w:color w:val="111111"/>
          <w:sz w:val="28"/>
          <w:sz w:val="28"/>
          <w:szCs w:val="28"/>
          <w:rtl w:val="true"/>
          <w:lang w:bidi="ar-SA"/>
        </w:rPr>
        <w:t>و أوجب ابن إدريس فيه أربعين، تسوية بينه و بين الميت</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للفأرة مع التفسّخ،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و ألحق المفيد به الانتفاخ</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ثلاث</w:t>
      </w:r>
      <w:r>
        <w:rPr>
          <w:rStyle w:val="FootnoteAnchor"/>
          <w:rtl w:val="true"/>
        </w:rPr>
        <w:footnoteReference w:id="274"/>
      </w:r>
      <w:r>
        <w:rPr>
          <w:rFonts w:ascii="Amiri" w:hAnsi="Amiri" w:eastAsia="Amiri" w:cs="Amiri"/>
          <w:color w:val="111111"/>
          <w:sz w:val="28"/>
          <w:sz w:val="28"/>
          <w:szCs w:val="28"/>
          <w:rtl w:val="true"/>
          <w:lang w:bidi="ar-SA"/>
        </w:rPr>
        <w:t>و هي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w:t>
      </w:r>
      <w:r>
        <w:rPr>
          <w:rStyle w:val="FootnoteAnchor"/>
          <w:rtl w:val="true"/>
        </w:rPr>
        <w:footnoteReference w:id="275"/>
      </w:r>
      <w:r>
        <w:rPr>
          <w:rFonts w:ascii="Amiri" w:hAnsi="Amiri" w:eastAsia="Amiri" w:cs="Amiri"/>
          <w:color w:val="111111"/>
          <w:sz w:val="28"/>
          <w:sz w:val="28"/>
          <w:szCs w:val="28"/>
          <w:rtl w:val="true"/>
          <w:lang w:bidi="ar-SA"/>
        </w:rPr>
        <w:t xml:space="preserve">على الإطلاق،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تتفسخ خمس</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ففي السبع تمام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لبول الصبي غير الرضيع،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للسنّور عند الصدوق</w:t>
      </w:r>
      <w:r>
        <w:rPr>
          <w:rStyle w:val="FootnoteAnchor"/>
          <w:rtl w:val="true"/>
        </w:rPr>
        <w:footnoteReference w:id="278"/>
      </w:r>
      <w:r>
        <w:rPr>
          <w:rFonts w:ascii="Amiri" w:hAnsi="Amiri" w:eastAsia="Amiri" w:cs="Amiri"/>
          <w:color w:val="111111"/>
          <w:sz w:val="28"/>
          <w:sz w:val="28"/>
          <w:szCs w:val="28"/>
          <w:rtl w:val="true"/>
          <w:lang w:bidi="ar-SA"/>
        </w:rPr>
        <w:t xml:space="preserve">و هو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سام أبرص،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7" w:name="__RefHeading___Toc4191799_2142443653"/>
      <w:bookmarkStart w:id="258" w:name="_Toc105"/>
      <w:bookmarkEnd w:id="257"/>
      <w:r>
        <w:rPr>
          <w:rtl w:val="true"/>
        </w:rPr>
        <w:t>الثاني عشر</w:t>
      </w:r>
      <w:r>
        <w:rPr>
          <w:rtl w:val="true"/>
        </w:rPr>
        <w:t xml:space="preserve">: </w:t>
      </w:r>
      <w:r>
        <w:rPr>
          <w:rtl w:val="true"/>
        </w:rPr>
        <w:t>خمس لذرق الدجاج</w:t>
      </w:r>
      <w:r>
        <w:rPr>
          <w:rtl w:val="true"/>
        </w:rPr>
        <w:t>.</w:t>
      </w:r>
      <w:bookmarkEnd w:id="258"/>
    </w:p>
    <w:p>
      <w:pPr>
        <w:pStyle w:val="BookText"/>
        <w:rPr/>
      </w:pPr>
      <w:r>
        <w:rPr>
          <w:rFonts w:ascii="Amiri" w:hAnsi="Amiri" w:eastAsia="Amiri" w:cs="Amiri"/>
          <w:color w:val="111111"/>
          <w:sz w:val="28"/>
          <w:sz w:val="28"/>
          <w:szCs w:val="28"/>
          <w:rtl w:val="true"/>
          <w:lang w:bidi="ar-SA"/>
        </w:rPr>
        <w:t xml:space="preserve">و خصّه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كالمفيد</w:t>
      </w:r>
      <w:r>
        <w:rPr>
          <w:rStyle w:val="FootnoteAnchor"/>
          <w:rtl w:val="true"/>
        </w:rPr>
        <w:footnoteReference w:id="281"/>
      </w:r>
      <w:r>
        <w:rPr>
          <w:rFonts w:ascii="Amiri" w:hAnsi="Amiri" w:eastAsia="Amiri" w:cs="Amiri"/>
          <w:color w:val="111111"/>
          <w:sz w:val="28"/>
          <w:sz w:val="28"/>
          <w:szCs w:val="28"/>
          <w:rtl w:val="true"/>
          <w:lang w:bidi="ar-SA"/>
        </w:rPr>
        <w:t>و سلاّر</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بالجلاّل، و لم نقف على المستند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احتمل فيه في المعتبر مساواة العذرة في الرطوبة و الجمود، و نزح الثلاثين، لحديث كردويه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259" w:name="pg15253_219610"/>
    </w:p>
    <w:p>
      <w:pPr>
        <w:pStyle w:val="Heading6"/>
        <w:numPr>
          <w:ilvl w:val="5"/>
          <w:numId w:val="1"/>
        </w:numPr>
        <w:rPr/>
      </w:pPr>
      <w:bookmarkStart w:id="260" w:name="__RefHeading___Toc4191801_2142443653"/>
      <w:bookmarkStart w:id="261" w:name="_Toc106"/>
      <w:bookmarkEnd w:id="259"/>
      <w:bookmarkEnd w:id="260"/>
      <w:r>
        <w:rPr>
          <w:rtl w:val="true"/>
        </w:rPr>
        <w:t>الثالث عشر</w:t>
      </w:r>
      <w:r>
        <w:rPr>
          <w:rtl w:val="true"/>
        </w:rPr>
        <w:t xml:space="preserve">: </w:t>
      </w:r>
      <w:r>
        <w:rPr>
          <w:rtl w:val="true"/>
        </w:rPr>
        <w:t>ثلاث للفأرة</w:t>
      </w:r>
      <w:bookmarkEnd w:id="261"/>
    </w:p>
    <w:p>
      <w:pPr>
        <w:pStyle w:val="BookText"/>
        <w:rPr/>
      </w:pPr>
      <w:r>
        <w:rPr>
          <w:rFonts w:ascii="Amiri" w:hAnsi="Amiri" w:eastAsia="Amiri" w:cs="Amiri"/>
          <w:color w:val="111111"/>
          <w:sz w:val="28"/>
          <w:sz w:val="28"/>
          <w:szCs w:val="28"/>
          <w:rtl w:val="true"/>
          <w:lang w:bidi="ar-SA"/>
        </w:rPr>
        <w:t>مع عدم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إحالة على الفأرة و الدجاجة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روي فيها دلوان أو ثلاث</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مأخذ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المعتبر يرى وجوب النزح فيها، معلّلا بأنّ لها نفسا سائلة، أومأ إلى الثلاث،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لموت الحيوان الصغير دلاء، و أقلّ محتملاته الثلاث</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للوزغة عند الصدوق</w:t>
      </w:r>
      <w:r>
        <w:rPr>
          <w:rStyle w:val="FootnoteAnchor"/>
          <w:rtl w:val="true"/>
        </w:rPr>
        <w:footnoteReference w:id="286"/>
      </w:r>
      <w:r>
        <w:rPr>
          <w:rFonts w:ascii="Amiri" w:hAnsi="Amiri" w:eastAsia="Amiri" w:cs="Amiri"/>
          <w:color w:val="111111"/>
          <w:sz w:val="28"/>
          <w:sz w:val="28"/>
          <w:szCs w:val="28"/>
          <w:rtl w:val="true"/>
          <w:lang w:bidi="ar-SA"/>
        </w:rPr>
        <w:t>و الشيخين</w:t>
      </w:r>
      <w:r>
        <w:rPr>
          <w:rStyle w:val="FootnoteAnchor"/>
          <w:rtl w:val="true"/>
        </w:rPr>
        <w:footnoteReference w:id="287"/>
      </w:r>
      <w:r>
        <w:rPr>
          <w:rFonts w:ascii="IRNazanin" w:hAnsi="IRNazanin" w:eastAsia="IRNazanin"/>
          <w:color w:val="111111"/>
          <w:sz w:val="28"/>
          <w:sz w:val="28"/>
          <w:szCs w:val="28"/>
          <w:rtl w:val="true"/>
          <w:lang w:bidi="fa-IR"/>
        </w:rPr>
        <w:t>و أتباعهما</w:t>
      </w:r>
      <w:r>
        <w:rPr>
          <w:rStyle w:val="FootnoteAnchor"/>
          <w:rtl w:val="true"/>
        </w:rPr>
        <w:footnoteReference w:id="288"/>
      </w:r>
      <w:r>
        <w:rPr>
          <w:rFonts w:ascii="Amiri" w:hAnsi="Amiri" w:eastAsia="Amiri" w:cs="Amiri"/>
          <w:color w:val="111111"/>
          <w:sz w:val="28"/>
          <w:sz w:val="28"/>
          <w:szCs w:val="28"/>
          <w:rtl w:val="true"/>
          <w:lang w:bidi="ar-SA"/>
        </w:rPr>
        <w:t xml:space="preserve">،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للعقرب عند الشيخ</w:t>
      </w:r>
      <w:r>
        <w:rPr>
          <w:rStyle w:val="FootnoteAnchor"/>
          <w:rtl w:val="true"/>
        </w:rPr>
        <w:footnoteReference w:id="290"/>
      </w:r>
      <w:r>
        <w:rPr>
          <w:rFonts w:ascii="IRNazanin" w:hAnsi="IRNazanin" w:eastAsia="IRNazanin"/>
          <w:color w:val="111111"/>
          <w:sz w:val="28"/>
          <w:sz w:val="28"/>
          <w:szCs w:val="28"/>
          <w:rtl w:val="true"/>
          <w:lang w:bidi="fa-IR"/>
        </w:rPr>
        <w:t>و أتباعه</w:t>
      </w:r>
      <w:r>
        <w:rPr>
          <w:rStyle w:val="FootnoteAnchor"/>
          <w:rtl w:val="true"/>
        </w:rPr>
        <w:footnoteReference w:id="291"/>
      </w:r>
      <w:r>
        <w:rPr>
          <w:rFonts w:ascii="Amiri" w:hAnsi="Amiri" w:eastAsia="Amiri" w:cs="Amiri"/>
          <w:color w:val="111111"/>
          <w:sz w:val="28"/>
          <w:sz w:val="28"/>
          <w:szCs w:val="28"/>
          <w:rtl w:val="true"/>
          <w:lang w:bidi="ar-SA"/>
        </w:rPr>
        <w:t>و لا نصّ صريحا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فيهما بالاستحباب، لعدم النجاسة، و جواز أن يكون لضرر السم</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4191803_2142443653"/>
      <w:bookmarkStart w:id="263" w:name="_Toc107"/>
      <w:bookmarkEnd w:id="262"/>
      <w:r>
        <w:rPr>
          <w:rtl w:val="true"/>
        </w:rPr>
        <w:t>الرابع عشر</w:t>
      </w:r>
      <w:r>
        <w:rPr>
          <w:rtl w:val="true"/>
        </w:rPr>
        <w:t xml:space="preserve">: </w:t>
      </w:r>
      <w:r>
        <w:rPr>
          <w:rtl w:val="true"/>
        </w:rPr>
        <w:t>دلو واحد لبول الرضيع،</w:t>
      </w:r>
      <w:bookmarkEnd w:id="263"/>
    </w:p>
    <w:p>
      <w:pPr>
        <w:pStyle w:val="BookText"/>
        <w:rPr/>
      </w:pPr>
      <w:r>
        <w:rPr>
          <w:rFonts w:ascii="Amiri" w:hAnsi="Amiri" w:eastAsia="Amiri" w:cs="Amiri"/>
          <w:color w:val="111111"/>
          <w:sz w:val="28"/>
          <w:sz w:val="28"/>
          <w:szCs w:val="28"/>
          <w:rtl w:val="true"/>
          <w:lang w:bidi="ar-SA"/>
        </w:rPr>
        <w:t xml:space="preserve">و الذي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بول الفطيم دلو</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يحكم بنجاسة البئر عند وجود المنجس و ان تغيّرت بالجيفة، لأصالة عدم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الفأرة المتفسخة في إناء استعمله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لعلّها سقطت تلك الساعة</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التقدير بثلاثة أيام</w:t>
      </w:r>
      <w:r>
        <w:rPr>
          <w:rStyle w:val="FootnoteAnchor"/>
          <w:rtl w:val="true"/>
        </w:rPr>
        <w:footnoteReference w:id="295"/>
      </w:r>
      <w:r>
        <w:rPr>
          <w:rFonts w:ascii="Amiri" w:hAnsi="Amiri" w:eastAsia="Amiri" w:cs="Amiri"/>
          <w:color w:val="111111"/>
          <w:sz w:val="28"/>
          <w:sz w:val="28"/>
          <w:szCs w:val="28"/>
          <w:rtl w:val="true"/>
          <w:lang w:bidi="ar-SA"/>
        </w:rPr>
        <w:t>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بنجاستها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قاربت البالوعة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تغيّرت كتغيّر البالوعة أمكن النجاسة، لظهور سبب النجاسة، و غيره نادر، و الطهارة أقوى، لعدم القطع و الماء معلوم الطهارة، و هذا من باب عدم النجاسة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أبي بصير في بئر و بالوعة بينهما نحو من ذراعين،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توضئوا منها، فإن للبالوعة مجاري تصب في البحر</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إيماء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يوجد فيه دليل على التقدير بصريحه، فعلى هذا حديث كردويه</w:t>
      </w:r>
      <w:r>
        <w:rPr>
          <w:rStyle w:val="FootnoteAnchor"/>
          <w:rtl w:val="true"/>
        </w:rPr>
        <w:footnoteReference w:id="297"/>
      </w:r>
      <w:r>
        <w:rPr>
          <w:rFonts w:ascii="Amiri" w:hAnsi="Amiri" w:eastAsia="Amiri" w:cs="Amiri"/>
          <w:color w:val="111111"/>
          <w:sz w:val="28"/>
          <w:sz w:val="28"/>
          <w:szCs w:val="28"/>
          <w:rtl w:val="true"/>
          <w:lang w:bidi="ar-SA"/>
        </w:rPr>
        <w:t>لا يكون نصّا على محتملاته، مع احتمال لإلحاق الفحوى بالصريح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شامل للأنثى لغة، و كذا للصغير و الجلاّل، و كذا باقي الحيوان إلاّ الثّور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دخول العصير بعد الاشتداد في حكم الخمر، لشبهه به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قلنا بنجاسته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نزح للميت الطاهر، و يجب للنّجس و إن يمّم، أو غسّله كافر، أو سبق غسله ثم مات بغير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العذرة فضلة الآدمي، لأنّهم كانوا يلقونها في العذرات،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أطلقها الشيخ في التهذيب على غيره</w:t>
      </w:r>
      <w:r>
        <w:rPr>
          <w:rStyle w:val="FootnoteAnchor"/>
          <w:rtl w:val="true"/>
        </w:rPr>
        <w:footnoteReference w:id="298"/>
      </w:r>
      <w:r>
        <w:rPr>
          <w:rFonts w:ascii="Amiri" w:hAnsi="Amiri" w:eastAsia="Amiri" w:cs="Amiri"/>
          <w:color w:val="111111"/>
          <w:sz w:val="28"/>
          <w:sz w:val="28"/>
          <w:szCs w:val="28"/>
          <w:rtl w:val="true"/>
          <w:lang w:bidi="ar-SA"/>
        </w:rPr>
        <w:t>ففي فضلة غيره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فضلة المسلم و الكافر هنا، مع احتماله لزيادة النجاسة بمجاورته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 في كثرة الدم و قلّته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الراوندي أنّه بحسب البئر في الغزارة و النزارة، و هو محتمل، لظهور التأثير في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بول المرأة بالرجل، خلافا لابن إدريس</w:t>
      </w:r>
      <w:r>
        <w:rPr>
          <w:rStyle w:val="FootnoteAnchor"/>
          <w:rtl w:val="true"/>
        </w:rPr>
        <w:footnoteReference w:id="299"/>
      </w:r>
      <w:r>
        <w:rPr>
          <w:rFonts w:ascii="Amiri" w:hAnsi="Amiri" w:eastAsia="Amiri" w:cs="Amiri"/>
          <w:color w:val="111111"/>
          <w:sz w:val="28"/>
          <w:sz w:val="28"/>
          <w:szCs w:val="28"/>
          <w:rtl w:val="true"/>
          <w:lang w:bidi="ar-SA"/>
        </w:rPr>
        <w:t>، و نقله الراوندي، اقتصارا على النص، و لفظ الإنسان غير موجود في الرواية، فهو من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بول الخنثى على الأقرب، للشك في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الماء طاهر في الأصحّ، لعدم فهمه من لفظ الكلب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مات في البئر،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لحديث الشبه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ماء المطر اجتماع ما ذكر، فيتعلّق الحكم ببعضه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انضمّ إليه نجاسة أخرى أمكن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كانت مبخرة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إلحاق دم نجس العين بالدّماء الثلاثة، فيجب الجميع،</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للمساواة في الغلظ، و هو شكّ في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جعلنا النزح لاغتسال الجنب لإعادة الطهورية،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إلحاق الحائض و النفساء و المستحاضة به</w:t>
      </w:r>
      <w:r>
        <w:rPr>
          <w:rStyle w:val="FootnoteAnchor"/>
          <w:rtl w:val="true"/>
        </w:rPr>
        <w:footnoteReference w:id="303"/>
      </w:r>
      <w:r>
        <w:rPr>
          <w:rFonts w:ascii="Amiri" w:hAnsi="Amiri" w:eastAsia="Amiri" w:cs="Amiri"/>
          <w:color w:val="111111"/>
          <w:sz w:val="28"/>
          <w:sz w:val="28"/>
          <w:szCs w:val="28"/>
          <w:rtl w:val="true"/>
          <w:lang w:bidi="ar-SA"/>
        </w:rPr>
        <w:t>، للاشتراك في المانع، و إن جعلناه تعبّدا لم تلحق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الجنب الكافر خارج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لبعده عن الاغتسال مع زيادة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نزل ماء الغسل إليها أمكن المساواة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للمساواة في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القطرات فمعفو عنها قطعا، كالعفو عن الإناء الذي يغتسل منه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يطهر؟ نصّ الشيخ على عدمه</w:t>
      </w:r>
      <w:r>
        <w:rPr>
          <w:rStyle w:val="FootnoteAnchor"/>
          <w:rtl w:val="true"/>
        </w:rPr>
        <w:footnoteReference w:id="304"/>
      </w:r>
      <w:r>
        <w:rPr>
          <w:rFonts w:ascii="Amiri" w:hAnsi="Amiri" w:eastAsia="Amiri" w:cs="Amiri"/>
          <w:color w:val="111111"/>
          <w:sz w:val="28"/>
          <w:sz w:val="28"/>
          <w:szCs w:val="28"/>
          <w:rtl w:val="true"/>
          <w:lang w:bidi="ar-SA"/>
        </w:rPr>
        <w:t>، للنهي في العبادة، و تخيّل التناقض إن جعلنا النزح للاستعمال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شمول السنور</w:t>
      </w:r>
      <w:r>
        <w:rPr>
          <w:rStyle w:val="FootnoteAnchor"/>
          <w:rtl w:val="true"/>
        </w:rPr>
        <w:footnoteReference w:id="305"/>
      </w:r>
      <w:r>
        <w:rPr>
          <w:rFonts w:ascii="Amiri" w:hAnsi="Amiri" w:eastAsia="Amiri" w:cs="Amiri"/>
          <w:color w:val="111111"/>
          <w:sz w:val="28"/>
          <w:sz w:val="28"/>
          <w:szCs w:val="28"/>
          <w:rtl w:val="true"/>
          <w:lang w:bidi="ar-SA"/>
        </w:rPr>
        <w:t>للوحشي، و خصوصا مع اعتبار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يغتذي باللبن في الحولين أو يغلب عليه، فلو غلب غيره فليس برضيع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قدّره ابن إدريس بالحولين و إن أكل</w:t>
      </w:r>
      <w:r>
        <w:rPr>
          <w:rStyle w:val="FootnoteAnchor"/>
          <w:rtl w:val="true"/>
        </w:rPr>
        <w:footnoteReference w:id="306"/>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صغار الطيور بالعصفور، لعدم النص، خلافا للشيخ نظام الدين الصهرشتي شارح النهاية</w:t>
      </w:r>
      <w:r>
        <w:rPr>
          <w:rStyle w:val="FootnoteAnchor"/>
          <w:rtl w:val="true"/>
        </w:rPr>
        <w:footnoteReference w:id="307"/>
      </w:r>
      <w:r>
        <w:rPr>
          <w:rFonts w:ascii="Amiri" w:hAnsi="Amiri" w:eastAsia="Amiri" w:cs="Amiri"/>
          <w:color w:val="111111"/>
          <w:sz w:val="28"/>
          <w:sz w:val="28"/>
          <w:szCs w:val="28"/>
          <w:rtl w:val="true"/>
          <w:lang w:bidi="ar-SA"/>
        </w:rPr>
        <w:t>بل الأولى لحاقها بكبارها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الخفّاش داخل فيه، لشمول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 الشيخ قطب الدين الراوندي في طهارته، لأنه مسخ، ضعيف</w:t>
      </w:r>
      <w:r>
        <w:rPr>
          <w:rStyle w:val="FootnoteAnchor"/>
          <w:rtl w:val="true"/>
        </w:rPr>
        <w:footnoteReference w:id="308"/>
      </w:r>
      <w:r>
        <w:rPr>
          <w:rFonts w:ascii="Amiri" w:hAnsi="Amiri" w:eastAsia="Amiri" w:cs="Amiri"/>
          <w:color w:val="111111"/>
          <w:sz w:val="28"/>
          <w:sz w:val="28"/>
          <w:szCs w:val="28"/>
          <w:rtl w:val="true"/>
          <w:lang w:bidi="ar-SA"/>
        </w:rPr>
        <w:t>، لمنع مقدمتي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64" w:name="pg15253_219614"/>
    </w:p>
    <w:p>
      <w:pPr>
        <w:pStyle w:val="BookText"/>
        <w:rPr/>
      </w:pPr>
      <w:bookmarkEnd w:id="264"/>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تمعط الشعر</w:t>
      </w:r>
      <w:r>
        <w:rPr>
          <w:rStyle w:val="FootnoteAnchor"/>
          <w:rtl w:val="true"/>
        </w:rPr>
        <w:footnoteReference w:id="309"/>
      </w:r>
      <w:r>
        <w:rPr>
          <w:rFonts w:ascii="Amiri" w:hAnsi="Amiri" w:eastAsia="Amiri" w:cs="Amiri"/>
          <w:color w:val="111111"/>
          <w:sz w:val="28"/>
          <w:sz w:val="28"/>
          <w:szCs w:val="28"/>
          <w:rtl w:val="true"/>
          <w:lang w:bidi="ar-SA"/>
        </w:rPr>
        <w:t>في الماء، نزح حتى يظن خروجه إن كان شعر نجس العين، فإن استمرّ الخروج استوعب، فان تعذر لم يكف التراوح ما دام الشعر، لقيام النجاسة، و النزح بعد خروجها أو استحالتها، و كذا لو تفتّت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شعر طاهر العين، أمكن اللحاق، لمجاورته النجس مع الرطوبة، و عدمه، لطهارته في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في هذه المسألة على فتيا لمن سبق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العلاء بن سيّابة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ميّت في بئر تعذّر إخراجه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يعطّل و يجعل قبرا،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 ميتا كحرمته حيا</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5" w:name="__RefHeading___Toc4191805_2142443653"/>
      <w:bookmarkStart w:id="266" w:name="_Toc108"/>
      <w:bookmarkEnd w:id="265"/>
      <w:r>
        <w:rPr>
          <w:rtl w:val="true"/>
        </w:rPr>
        <w:t>تتمّة</w:t>
      </w:r>
      <w:r>
        <w:rPr>
          <w:rtl w:val="true"/>
        </w:rPr>
        <w:t>:</w:t>
      </w:r>
      <w:bookmarkEnd w:id="266"/>
    </w:p>
    <w:p>
      <w:pPr>
        <w:pStyle w:val="BookText"/>
        <w:rPr/>
      </w:pPr>
      <w:r>
        <w:rPr>
          <w:rFonts w:ascii="Amiri" w:hAnsi="Amiri" w:eastAsia="Amiri" w:cs="Amiri"/>
          <w:color w:val="111111"/>
          <w:sz w:val="28"/>
          <w:sz w:val="28"/>
          <w:szCs w:val="28"/>
          <w:rtl w:val="true"/>
          <w:lang w:bidi="ar-SA"/>
        </w:rPr>
        <w:t>يستحب تباعد البئر عن البالوعة خمس أذرع مع أحد الأمرين</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فوقيّة البئر، أو الصلابة و الجبليّة، و إلاّ فسبع، جمعا بين الروايتين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مجرى العيون كلّها مع الشمال، فإن استويا في مهبّ الشمال فسبع، و إن كان الكنيف فوقها فاثنا عشر</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و عليها ابن الجنيد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يكره من قرب و لا بعد ما لم يتغيّر الماء</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267" w:name="pg15253_219615"/>
    </w:p>
    <w:p>
      <w:pPr>
        <w:pStyle w:val="Heading6"/>
        <w:numPr>
          <w:ilvl w:val="5"/>
          <w:numId w:val="1"/>
        </w:numPr>
        <w:rPr/>
      </w:pPr>
      <w:bookmarkStart w:id="268" w:name="__RefHeading___Toc4191807_2142443653"/>
      <w:bookmarkStart w:id="269" w:name="_Toc109"/>
      <w:bookmarkEnd w:id="267"/>
      <w:bookmarkEnd w:id="268"/>
      <w:r>
        <w:rPr>
          <w:rtl w:val="true"/>
        </w:rPr>
        <w:t>العارض الرابع</w:t>
      </w:r>
      <w:r>
        <w:rPr>
          <w:rtl w:val="true"/>
        </w:rPr>
        <w:t xml:space="preserve">: </w:t>
      </w:r>
      <w:r>
        <w:rPr>
          <w:rtl w:val="true"/>
        </w:rPr>
        <w:t>استعمال الماء،</w:t>
      </w:r>
      <w:bookmarkEnd w:id="269"/>
    </w:p>
    <w:p>
      <w:pPr>
        <w:pStyle w:val="Heading6"/>
        <w:numPr>
          <w:ilvl w:val="5"/>
          <w:numId w:val="1"/>
        </w:numPr>
        <w:rPr/>
      </w:pPr>
      <w:bookmarkStart w:id="270" w:name="__RefHeading___Toc4191809_2142443653"/>
      <w:bookmarkStart w:id="271" w:name="_Toc110"/>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و هو في أمكنة ثلاثة</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4191811_2142443653"/>
      <w:bookmarkStart w:id="273" w:name="_Toc111"/>
      <w:bookmarkEnd w:id="272"/>
      <w:r>
        <w:rPr>
          <w:rtl w:val="true"/>
        </w:rPr>
        <w:t>أحدها</w:t>
      </w:r>
      <w:r>
        <w:rPr>
          <w:rtl w:val="true"/>
        </w:rPr>
        <w:t xml:space="preserve">: </w:t>
      </w:r>
      <w:r>
        <w:rPr>
          <w:rtl w:val="true"/>
        </w:rPr>
        <w:t>استعماله في رفع الخبث،</w:t>
      </w:r>
      <w:bookmarkEnd w:id="273"/>
    </w:p>
    <w:p>
      <w:pPr>
        <w:pStyle w:val="BookText"/>
        <w:rPr/>
      </w:pPr>
      <w:r>
        <w:rPr>
          <w:rFonts w:ascii="IRNazanin" w:hAnsi="IRNazanin" w:eastAsia="IRNazanin"/>
          <w:color w:val="111111"/>
          <w:sz w:val="28"/>
          <w:sz w:val="28"/>
          <w:szCs w:val="28"/>
          <w:rtl w:val="true"/>
          <w:lang w:bidi="fa-IR"/>
        </w:rPr>
        <w:t>و قد مرّ استطرادا</w:t>
      </w:r>
      <w:r>
        <w:rPr>
          <w:rFonts w:eastAsia="IRNazanin" w:cs="IRNazanin"/>
          <w:color w:val="111111"/>
          <w:sz w:val="28"/>
          <w:szCs w:val="28"/>
          <w:rtl w:val="true"/>
          <w:lang w:bidi="fa-IR"/>
        </w:rPr>
        <w:t>.</w:t>
      </w:r>
    </w:p>
    <w:p>
      <w:pPr>
        <w:pStyle w:val="Heading6"/>
        <w:numPr>
          <w:ilvl w:val="5"/>
          <w:numId w:val="1"/>
        </w:numPr>
        <w:rPr/>
      </w:pPr>
      <w:bookmarkStart w:id="274" w:name="__RefHeading___Toc4191813_2142443653"/>
      <w:bookmarkStart w:id="275" w:name="_Toc112"/>
      <w:bookmarkEnd w:id="274"/>
      <w:r>
        <w:rPr>
          <w:rtl w:val="true"/>
        </w:rPr>
        <w:t>الثاني</w:t>
      </w:r>
      <w:r>
        <w:rPr>
          <w:rtl w:val="true"/>
        </w:rPr>
        <w:t xml:space="preserve">: </w:t>
      </w:r>
      <w:r>
        <w:rPr>
          <w:rtl w:val="true"/>
        </w:rPr>
        <w:t>استعماله في الوضوء،</w:t>
      </w:r>
      <w:bookmarkEnd w:id="275"/>
    </w:p>
    <w:p>
      <w:pPr>
        <w:pStyle w:val="BookText"/>
        <w:rPr/>
      </w:pPr>
      <w:r>
        <w:rPr>
          <w:rFonts w:ascii="Amiri" w:hAnsi="Amiri" w:eastAsia="Amiri" w:cs="Amiri"/>
          <w:color w:val="111111"/>
          <w:sz w:val="28"/>
          <w:sz w:val="28"/>
          <w:szCs w:val="28"/>
          <w:rtl w:val="true"/>
          <w:lang w:bidi="ar-SA"/>
        </w:rPr>
        <w:t>و هو طهور إجماعا، و لمسح النبيّ صلّى اللّه عليه و آله بما بقي في يده</w:t>
      </w:r>
      <w:r>
        <w:rPr>
          <w:rStyle w:val="FootnoteAnchor"/>
          <w:rtl w:val="true"/>
        </w:rPr>
        <w:footnoteReference w:id="316"/>
      </w:r>
      <w:r>
        <w:rPr>
          <w:rFonts w:ascii="IRNazanin" w:hAnsi="IRNazanin" w:eastAsia="IRNazanin"/>
          <w:color w:val="111111"/>
          <w:sz w:val="28"/>
          <w:sz w:val="28"/>
          <w:szCs w:val="28"/>
          <w:rtl w:val="true"/>
          <w:lang w:bidi="fa-IR"/>
        </w:rPr>
        <w:t>و لتوضّؤ الناس من فضل وضوئه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يتوضّأ</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أولى بالجواز المستعمل في نقل الغسل</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4191815_2142443653"/>
      <w:bookmarkStart w:id="277" w:name="_Toc113"/>
      <w:bookmarkEnd w:id="276"/>
      <w:r>
        <w:rPr>
          <w:rtl w:val="true"/>
        </w:rPr>
        <w:t>الثالث</w:t>
      </w:r>
      <w:r>
        <w:rPr>
          <w:rtl w:val="true"/>
        </w:rPr>
        <w:t xml:space="preserve">: </w:t>
      </w:r>
      <w:r>
        <w:rPr>
          <w:rtl w:val="true"/>
        </w:rPr>
        <w:t>المستعمل في رفع الأكبر،</w:t>
      </w:r>
      <w:bookmarkEnd w:id="277"/>
    </w:p>
    <w:p>
      <w:pPr>
        <w:pStyle w:val="BookText"/>
        <w:rPr/>
      </w:pPr>
      <w:r>
        <w:rPr>
          <w:rFonts w:ascii="Amiri" w:hAnsi="Amiri" w:eastAsia="Amiri" w:cs="Amiri"/>
          <w:color w:val="111111"/>
          <w:sz w:val="28"/>
          <w:sz w:val="28"/>
          <w:szCs w:val="28"/>
          <w:rtl w:val="true"/>
          <w:lang w:bidi="ar-SA"/>
        </w:rPr>
        <w:t>و هو طاهر إجماعا، و مطهّر في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للعموم، و لأنّ الطهور ما يتكرّر منه الطهارة كالضروب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 به</w:t>
      </w:r>
      <w:r>
        <w:rPr>
          <w:rStyle w:val="FootnoteAnchor"/>
          <w:rtl w:val="true"/>
        </w:rPr>
        <w:footnoteReference w:id="319"/>
      </w:r>
      <w:r>
        <w:rPr>
          <w:rFonts w:ascii="Amiri" w:hAnsi="Amiri" w:eastAsia="Amiri" w:cs="Amiri"/>
          <w:color w:val="111111"/>
          <w:sz w:val="28"/>
          <w:sz w:val="28"/>
          <w:szCs w:val="28"/>
          <w:rtl w:val="true"/>
          <w:lang w:bidi="ar-SA"/>
        </w:rPr>
        <w:t>للتنزيه، أو لنجاسة المحل، و كذا الرواية عن الصادق و الكاظم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بنضح الجنب أربعة أكفّ من جوانبه الأربع</w:t>
      </w:r>
      <w:r>
        <w:rPr>
          <w:rStyle w:val="FootnoteAnchor"/>
          <w:rtl w:val="true"/>
        </w:rPr>
        <w:footnoteReference w:id="320"/>
      </w:r>
      <w:r>
        <w:rPr>
          <w:rFonts w:ascii="Amiri" w:hAnsi="Amiri" w:eastAsia="Amiri" w:cs="Amiri"/>
          <w:color w:val="111111"/>
          <w:sz w:val="28"/>
          <w:sz w:val="28"/>
          <w:szCs w:val="28"/>
          <w:rtl w:val="true"/>
          <w:lang w:bidi="ar-SA"/>
        </w:rPr>
        <w:t>و لهذا ورد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عليه أن يغتسل و يرجع الماء فيه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ليكفيه ترديده</w:t>
      </w:r>
      <w:r>
        <w:rPr>
          <w:rStyle w:val="FootnoteAnchor"/>
          <w:rtl w:val="true"/>
        </w:rPr>
        <w:footnoteReference w:id="322"/>
      </w:r>
      <w:r>
        <w:rPr>
          <w:rFonts w:ascii="Amiri" w:hAnsi="Amiri" w:eastAsia="Amiri" w:cs="Amiri"/>
          <w:color w:val="111111"/>
          <w:sz w:val="28"/>
          <w:sz w:val="28"/>
          <w:szCs w:val="28"/>
          <w:rtl w:val="true"/>
          <w:lang w:bidi="ar-SA"/>
        </w:rPr>
        <w:t>عن إكثار معاودة الماء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لتمنع الانحدار، و ردّه ابن إدريس</w:t>
      </w:r>
      <w:r>
        <w:rPr>
          <w:rStyle w:val="FootnoteAnchor"/>
          <w:rtl w:val="true"/>
        </w:rPr>
        <w:footnoteReference w:id="323"/>
      </w:r>
      <w:r>
        <w:rPr>
          <w:rFonts w:ascii="Amiri" w:hAnsi="Amiri" w:eastAsia="Amiri" w:cs="Amiri"/>
          <w:color w:val="111111"/>
          <w:sz w:val="28"/>
          <w:sz w:val="28"/>
          <w:szCs w:val="28"/>
          <w:rtl w:val="true"/>
          <w:lang w:bidi="ar-SA"/>
        </w:rPr>
        <w:t>، و عدم جمع الماء المستعمل، لندور الحاجة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التنزّه عن القسم الثاني، قاله المفيد رحمه اللّه</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الرجل و المرأة،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عن فضل وضوئها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بالتنزّه القسم الثالث، لأنّ أقلّ مراتب النهي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 المستعمل كرّا، ففي زوال المنع الوجهان، و أولى بالزوال، لبقاء الطهارة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منعنا استعمال رافع الأكبر فلا علّة عندنا معلومة، و لو علّل فالعلّة تأدّى فرض الغسل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الحدث الأكبر، أو رفع منعه من الصلاة حيث لا يرتفع الحدث كغسل المستحاضة، فإنّه لمّا تأثّر المحل به تأثر هو كرافع الخبث، حيث جعل المحل بعد الغسل مخالفا لما قبل الغسل، فكأنّ المنع الذي كان في البدن انتقل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مستعمل الوضوء و الأغسال المندوبة لا منع فيه كما مرّ، و كذا مستعمل الغسلة الثانية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مستعمل الصبي وجه بعدم المنع، بناء على عدم ارتفاع حدثه، و لهذا يجب عليه الغسل عند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غسل الذميّة لغشيانها، فماؤه نجس، لنجاستها، فليس من المستعمل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الماء مستعملا بانفصاله عن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نوى المرتمس في القليل بعد تمام الارتماس، ارتفع حدثه، و صار مستعملا بالنسبة إلى غيره و إن لم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نوى جنبان فكذلك في حقّهما، و حقّ غيرهما، فإن سبق أحدهما صحّ خاصّة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الشيخ و المحقّق إزالة النجاسة به، لطهارته، و لبقاء قوة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78" w:name="pg15253_219617"/>
    </w:p>
    <w:p>
      <w:pPr>
        <w:pStyle w:val="BookText"/>
        <w:rPr/>
      </w:pPr>
      <w:bookmarkEnd w:id="278"/>
      <w:r>
        <w:rPr>
          <w:rFonts w:ascii="Amiri" w:hAnsi="Amiri" w:eastAsia="Amiri" w:cs="Amiri"/>
          <w:color w:val="111111"/>
          <w:sz w:val="28"/>
          <w:sz w:val="28"/>
          <w:szCs w:val="28"/>
          <w:rtl w:val="true"/>
          <w:lang w:bidi="ar-SA"/>
        </w:rPr>
        <w:t>إزالته الخبث و إن ذهبت قوّة رفعه الحدث</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326"/>
      </w:r>
      <w:r>
        <w:rPr>
          <w:rFonts w:ascii="Amiri" w:hAnsi="Amiri" w:eastAsia="Amiri" w:cs="Amiri"/>
          <w:color w:val="111111"/>
          <w:sz w:val="28"/>
          <w:sz w:val="28"/>
          <w:szCs w:val="28"/>
          <w:rtl w:val="true"/>
          <w:lang w:bidi="ar-SA"/>
        </w:rPr>
        <w:t>، لأنّ قوّته استوفيت فالتحق بالمضاف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في غسل الثوب و البدن الطاهرين طهور كملاقيه</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4191817_2142443653"/>
      <w:bookmarkStart w:id="280" w:name="_Toc114"/>
      <w:bookmarkEnd w:id="279"/>
      <w:r>
        <w:rPr>
          <w:rtl w:val="true"/>
        </w:rPr>
        <w:t>العارض الخامس</w:t>
      </w:r>
      <w:r>
        <w:rPr>
          <w:rtl w:val="true"/>
        </w:rPr>
        <w:t xml:space="preserve">: </w:t>
      </w:r>
      <w:r>
        <w:rPr>
          <w:rtl w:val="true"/>
        </w:rPr>
        <w:t>غصبية الماء،</w:t>
      </w:r>
      <w:bookmarkEnd w:id="280"/>
    </w:p>
    <w:p>
      <w:pPr>
        <w:pStyle w:val="BookText"/>
        <w:rPr/>
      </w:pPr>
      <w:r>
        <w:rPr>
          <w:rFonts w:ascii="Amiri" w:hAnsi="Amiri" w:eastAsia="Amiri" w:cs="Amiri"/>
          <w:color w:val="111111"/>
          <w:sz w:val="28"/>
          <w:sz w:val="28"/>
          <w:szCs w:val="28"/>
          <w:rtl w:val="true"/>
          <w:lang w:bidi="ar-SA"/>
        </w:rPr>
        <w:t xml:space="preserve">و هو مانع من رفع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جهل الغصب أو نسيانه،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الخطأ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لعدم التقرّب، لا من الخبث و إن حرم، و لا يمنع غصب آلته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سريان الغصب في الماء المستنبط من الأرض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الجفاف في صحة الصلاة، لأنّه كالتالف</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4191819_2142443653"/>
      <w:bookmarkStart w:id="282" w:name="_Toc115"/>
      <w:bookmarkEnd w:id="281"/>
      <w:r>
        <w:rPr>
          <w:rtl w:val="true"/>
        </w:rPr>
        <w:t>العارض السادس</w:t>
      </w:r>
      <w:r>
        <w:rPr>
          <w:rtl w:val="true"/>
        </w:rPr>
        <w:t xml:space="preserve">: </w:t>
      </w:r>
      <w:r>
        <w:rPr>
          <w:rtl w:val="true"/>
        </w:rPr>
        <w:t>الاشتباه،</w:t>
      </w:r>
      <w:bookmarkEnd w:id="282"/>
    </w:p>
    <w:p>
      <w:pPr>
        <w:pStyle w:val="Heading6"/>
        <w:numPr>
          <w:ilvl w:val="5"/>
          <w:numId w:val="1"/>
        </w:numPr>
        <w:rPr/>
      </w:pPr>
      <w:bookmarkStart w:id="283" w:name="__RefHeading___Toc4191821_2142443653"/>
      <w:bookmarkStart w:id="284" w:name="_Toc116"/>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و له صور</w:t>
      </w:r>
      <w:r>
        <w:rPr>
          <w:rFonts w:eastAsia="IRNazanin" w:cs="IRNazanin"/>
          <w:color w:val="111111"/>
          <w:sz w:val="28"/>
          <w:szCs w:val="28"/>
          <w:rtl w:val="true"/>
          <w:lang w:bidi="fa-IR"/>
        </w:rPr>
        <w:t>:</w:t>
      </w:r>
    </w:p>
    <w:p>
      <w:pPr>
        <w:pStyle w:val="Heading6"/>
        <w:numPr>
          <w:ilvl w:val="5"/>
          <w:numId w:val="1"/>
        </w:numPr>
        <w:rPr/>
      </w:pPr>
      <w:bookmarkStart w:id="285" w:name="__RefHeading___Toc4191823_2142443653"/>
      <w:bookmarkStart w:id="286" w:name="_Toc117"/>
      <w:bookmarkEnd w:id="285"/>
      <w:r>
        <w:rPr>
          <w:rtl w:val="true"/>
        </w:rPr>
        <w:t>إحداها</w:t>
      </w:r>
      <w:r>
        <w:rPr>
          <w:rtl w:val="true"/>
        </w:rPr>
        <w:t xml:space="preserve">: </w:t>
      </w:r>
      <w:r>
        <w:rPr>
          <w:rtl w:val="true"/>
        </w:rPr>
        <w:t>أن يشتبه بالنجس،</w:t>
      </w:r>
      <w:bookmarkEnd w:id="286"/>
    </w:p>
    <w:p>
      <w:pPr>
        <w:pStyle w:val="BookText"/>
        <w:rPr/>
      </w:pPr>
      <w:r>
        <w:rPr>
          <w:rFonts w:ascii="Amiri" w:hAnsi="Amiri" w:eastAsia="Amiri" w:cs="Amiri"/>
          <w:color w:val="111111"/>
          <w:sz w:val="28"/>
          <w:sz w:val="28"/>
          <w:szCs w:val="28"/>
          <w:rtl w:val="true"/>
          <w:lang w:bidi="ar-SA"/>
        </w:rPr>
        <w:t xml:space="preserve">فيتيمم مع فقده،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يهريقهما و يتيمم</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اشترط الإهراق قوم</w:t>
      </w:r>
      <w:r>
        <w:rPr>
          <w:rStyle w:val="FootnoteAnchor"/>
          <w:rtl w:val="true"/>
        </w:rPr>
        <w:footnoteReference w:id="328"/>
      </w:r>
      <w:r>
        <w:rPr>
          <w:rFonts w:ascii="Amiri" w:hAnsi="Amiri" w:eastAsia="Amiri" w:cs="Amiri"/>
          <w:color w:val="111111"/>
          <w:sz w:val="28"/>
          <w:sz w:val="28"/>
          <w:szCs w:val="28"/>
          <w:rtl w:val="true"/>
          <w:lang w:bidi="ar-SA"/>
        </w:rPr>
        <w:t>ليتحقّق عدم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 منه كالمعدوم، و الحديث يحمل على الكناية عن النجاسة، أو استحقاق الإهراق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به كفى الواحد، للنهي عن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تطهّر بهما لم يصح و ان فرّق،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تعارض البينتين في إناءين اشتباه، و القرعة، و نجاستهما، و طرح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4191825_2142443653"/>
      <w:bookmarkStart w:id="288" w:name="_Toc118"/>
      <w:bookmarkEnd w:id="287"/>
      <w:r>
        <w:rPr>
          <w:rtl w:val="true"/>
        </w:rPr>
        <w:t>و ثانيها</w:t>
      </w:r>
      <w:r>
        <w:rPr>
          <w:rtl w:val="true"/>
        </w:rPr>
        <w:t xml:space="preserve">: </w:t>
      </w:r>
      <w:r>
        <w:rPr>
          <w:rtl w:val="true"/>
        </w:rPr>
        <w:t>الاشتباه بالمغصوب،</w:t>
      </w:r>
      <w:bookmarkEnd w:id="288"/>
    </w:p>
    <w:p>
      <w:pPr>
        <w:pStyle w:val="BookText"/>
        <w:rPr/>
      </w:pPr>
      <w:r>
        <w:rPr>
          <w:rFonts w:ascii="Amiri" w:hAnsi="Amiri" w:eastAsia="Amiri" w:cs="Amiri"/>
          <w:color w:val="111111"/>
          <w:sz w:val="28"/>
          <w:sz w:val="28"/>
          <w:szCs w:val="28"/>
          <w:rtl w:val="true"/>
          <w:lang w:bidi="ar-SA"/>
        </w:rPr>
        <w:t>و هو كالأوّل إلاّ انه يطهّر النجس</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4191827_2142443653"/>
      <w:bookmarkStart w:id="290" w:name="_Toc119"/>
      <w:bookmarkEnd w:id="289"/>
      <w:r>
        <w:rPr>
          <w:rtl w:val="true"/>
        </w:rPr>
        <w:t>و ثالثها</w:t>
      </w:r>
      <w:r>
        <w:rPr>
          <w:rtl w:val="true"/>
        </w:rPr>
        <w:t xml:space="preserve">: </w:t>
      </w:r>
      <w:r>
        <w:rPr>
          <w:rtl w:val="true"/>
        </w:rPr>
        <w:t>الاشتباه بالمضاف الطاهر،</w:t>
      </w:r>
      <w:bookmarkEnd w:id="29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فيتطهر بهما مع فقد المتيقّن، للجزم </w:t>
      </w:r>
      <w:bookmarkStart w:id="291" w:name="pg15253_219618"/>
    </w:p>
    <w:p>
      <w:pPr>
        <w:pStyle w:val="BookText"/>
        <w:rPr/>
      </w:pPr>
      <w:bookmarkEnd w:id="291"/>
      <w:r>
        <w:rPr>
          <w:rFonts w:ascii="Amiri" w:hAnsi="Amiri" w:eastAsia="Amiri" w:cs="Amiri"/>
          <w:color w:val="111111"/>
          <w:sz w:val="28"/>
          <w:sz w:val="28"/>
          <w:szCs w:val="28"/>
          <w:rtl w:val="true"/>
          <w:lang w:bidi="ar-SA"/>
        </w:rPr>
        <w:t>باستعمال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أريق أحدهما، جمع بينه و بين التيمم، تحصيلا لليقين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ميّز العدل في هذه المواضع أمكن الاكتفاء، لأصالة صحة إخباره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في الخلاف بعدم قبوله، للخبر بإهراقهما من غير ذكره</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العدلان، فيقبل في الطهارة، و النجاسة على الأقوى، خلافا لابن البراج في الأخير</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يتحرى، لعدم افادة العلم، إلاّ في الشرب الضروري، للبعد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أسقطه في المعتبر، لعدم إفادة التحرّي اليقين</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2" w:name="__RefHeading___Toc4191829_2142443653"/>
      <w:bookmarkStart w:id="293" w:name="_Toc120"/>
      <w:bookmarkEnd w:id="292"/>
      <w:r>
        <w:rPr>
          <w:rtl w:val="true"/>
        </w:rPr>
        <w:t>و رابعها</w:t>
      </w:r>
      <w:r>
        <w:rPr>
          <w:rtl w:val="true"/>
        </w:rPr>
        <w:t xml:space="preserve">: </w:t>
      </w:r>
      <w:r>
        <w:rPr>
          <w:rtl w:val="true"/>
        </w:rPr>
        <w:t>الاشتباه في وقوع النجاسة،</w:t>
      </w:r>
      <w:bookmarkEnd w:id="293"/>
    </w:p>
    <w:p>
      <w:pPr>
        <w:pStyle w:val="BookText"/>
        <w:rPr/>
      </w:pPr>
      <w:r>
        <w:rPr>
          <w:rFonts w:ascii="Amiri" w:hAnsi="Amiri" w:eastAsia="Amiri" w:cs="Amiri"/>
          <w:color w:val="111111"/>
          <w:sz w:val="28"/>
          <w:sz w:val="28"/>
          <w:szCs w:val="28"/>
          <w:rtl w:val="true"/>
          <w:lang w:bidi="ar-SA"/>
        </w:rPr>
        <w:t>و لا ريب في عدم اعتباره مع الوهم أو الشك، و مع الظن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البناء على الطهارة،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أبالي أبول أصابني أم ماء إذا لم اعلم</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يستحب مع السبب الظاهر، كشهادة العدل، و إدمان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نجاسته لازمة لحكم شرعي، نجس و ان لم يعلم، لامتناع التناقض، كالحكم بحرمة الصيد في الماء القليل عند الاشتباه</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4191831_2142443653"/>
      <w:bookmarkStart w:id="295" w:name="_Toc121"/>
      <w:bookmarkEnd w:id="294"/>
      <w:r>
        <w:rPr>
          <w:rtl w:val="true"/>
        </w:rPr>
        <w:t>العارض السابع</w:t>
      </w:r>
      <w:r>
        <w:rPr>
          <w:rtl w:val="true"/>
        </w:rPr>
        <w:t xml:space="preserve">: </w:t>
      </w:r>
      <w:r>
        <w:rPr>
          <w:rtl w:val="true"/>
        </w:rPr>
        <w:t xml:space="preserve">معارضته أولى </w:t>
      </w:r>
      <w:r>
        <w:rPr>
          <w:rtl w:val="true"/>
        </w:rPr>
        <w:t xml:space="preserve">- </w:t>
      </w:r>
      <w:r>
        <w:rPr>
          <w:rtl w:val="true"/>
        </w:rPr>
        <w:t>كدفع عطش حيوان محترم،</w:t>
      </w:r>
      <w:bookmarkEnd w:id="295"/>
    </w:p>
    <w:p>
      <w:pPr>
        <w:pStyle w:val="BookText"/>
        <w:rPr/>
      </w:pPr>
      <w:r>
        <w:rPr>
          <w:rFonts w:ascii="Amiri" w:hAnsi="Amiri" w:eastAsia="Amiri" w:cs="Amiri"/>
          <w:color w:val="111111"/>
          <w:sz w:val="28"/>
          <w:sz w:val="28"/>
          <w:szCs w:val="28"/>
          <w:rtl w:val="true"/>
          <w:lang w:bidi="ar-SA"/>
        </w:rPr>
        <w:t xml:space="preserve">أو إساغة لقمة للحرج، أو رفع خبث للبدل عن رفع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الجهل أو النسيان</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4191833_2142443653"/>
      <w:bookmarkStart w:id="297" w:name="_Toc122"/>
      <w:bookmarkEnd w:id="296"/>
      <w:r>
        <w:rPr>
          <w:rtl w:val="true"/>
        </w:rPr>
        <w:t>العارض الثامن</w:t>
      </w:r>
      <w:r>
        <w:rPr>
          <w:rtl w:val="true"/>
        </w:rPr>
        <w:t xml:space="preserve">: </w:t>
      </w:r>
      <w:r>
        <w:rPr>
          <w:rtl w:val="true"/>
        </w:rPr>
        <w:t>كونه سؤرا،</w:t>
      </w:r>
      <w:bookmarkEnd w:id="29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باشره جسم حيوان، و هو تابع له </w:t>
      </w:r>
    </w:p>
    <w:p>
      <w:pPr>
        <w:pStyle w:val="BookText"/>
        <w:rPr/>
      </w:pPr>
      <w:r>
        <w:rPr>
          <w:rFonts w:ascii="Amiri" w:hAnsi="Amiri" w:eastAsia="Amiri" w:cs="Amiri"/>
          <w:color w:val="111111"/>
          <w:sz w:val="28"/>
          <w:sz w:val="28"/>
          <w:szCs w:val="28"/>
          <w:rtl w:val="true"/>
          <w:lang w:bidi="ar-SA"/>
        </w:rPr>
        <w:t>في الطهارة و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نبّه عليه، و الغرض هنا بيان مكروه السؤر، و ما اختلف فيه، فالمكروه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سؤر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صحيح الفضل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أكل الجيف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الخلو عن النجاسة،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ترى في منقاره دما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الحائض غير المأمونة بالتحفّظ، جمعا بين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مأمونة فلا بأس</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و بين نهي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 بفضلها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أطلق المرتضى و الشيخ في المبسوط الكراهية</w:t>
      </w:r>
      <w:r>
        <w:rPr>
          <w:rStyle w:val="FootnoteAnchor"/>
          <w:rtl w:val="true"/>
        </w:rPr>
        <w:footnoteReference w:id="338"/>
      </w:r>
      <w:r>
        <w:rPr>
          <w:rFonts w:ascii="Amiri" w:hAnsi="Amiri" w:eastAsia="Amiri" w:cs="Amiri"/>
          <w:color w:val="111111"/>
          <w:sz w:val="28"/>
          <w:sz w:val="28"/>
          <w:szCs w:val="28"/>
          <w:rtl w:val="true"/>
          <w:lang w:bidi="ar-SA"/>
        </w:rPr>
        <w:t xml:space="preserve">،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يشرب منه و لا يتوضأ</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الدجاج، و الدواب، و البغال، و الحمير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لكراهية لحمها، و لحديث الفضل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سؤر ما لا يؤكل لحمه قول الشيخ بالمنع، عدا ما لا يمكن التحرّز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كالهرّة، و الفأرة، و الحيّة</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لمفهوم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يؤكل لحمه فلا بأس بسؤره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يعارضه حديث الفضل</w:t>
      </w:r>
      <w:r>
        <w:rPr>
          <w:rStyle w:val="FootnoteAnchor"/>
          <w:rtl w:val="true"/>
        </w:rPr>
        <w:footnoteReference w:id="343"/>
      </w:r>
      <w:r>
        <w:rPr>
          <w:rFonts w:ascii="Amiri" w:hAnsi="Amiri" w:eastAsia="Amiri" w:cs="Amiri"/>
          <w:color w:val="111111"/>
          <w:sz w:val="28"/>
          <w:sz w:val="28"/>
          <w:szCs w:val="28"/>
          <w:rtl w:val="true"/>
          <w:lang w:bidi="ar-SA"/>
        </w:rPr>
        <w:t>و مرسلة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سؤر كل ما لا يؤكل لحمه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بأس بالهرة، لقول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هي من أهل البيت</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توضأ بفضلها</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نجس فوها بالمباشرة ثم أسأرت، لم ينجس مع الخلو عن النجاسة و ان لم تغب، قاله في المبسوط</w:t>
      </w:r>
      <w:r>
        <w:rPr>
          <w:rStyle w:val="FootnoteAnchor"/>
          <w:rtl w:val="true"/>
        </w:rPr>
        <w:footnoteReference w:id="347"/>
      </w:r>
      <w:r>
        <w:rPr>
          <w:rFonts w:ascii="IRNazanin" w:hAnsi="IRNazanin" w:eastAsia="IRNazanin"/>
          <w:color w:val="111111"/>
          <w:sz w:val="28"/>
          <w:sz w:val="28"/>
          <w:szCs w:val="28"/>
          <w:rtl w:val="true"/>
          <w:lang w:bidi="fa-IR"/>
        </w:rPr>
        <w:t>، للعموم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يكره ما خرج منه الفأرة و الوزغة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المذكور</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الشيخان و أتباعهما حرّموه</w:t>
      </w:r>
      <w:r>
        <w:rPr>
          <w:rStyle w:val="FootnoteAnchor"/>
          <w:rtl w:val="true"/>
        </w:rPr>
        <w:footnoteReference w:id="349"/>
      </w:r>
      <w:r>
        <w:rPr>
          <w:rFonts w:ascii="Amiri" w:hAnsi="Amiri" w:eastAsia="Amiri" w:cs="Amiri"/>
          <w:color w:val="111111"/>
          <w:sz w:val="28"/>
          <w:sz w:val="28"/>
          <w:szCs w:val="28"/>
          <w:rtl w:val="true"/>
          <w:lang w:bidi="ar-SA"/>
        </w:rPr>
        <w:t xml:space="preserve">، لقول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الفأرة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ما رأيت من أثرها</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و للنزح من الوزغة</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يحملان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الحيّة، و الثعلب و الأرنب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بغسل اليد منهما</w:t>
      </w:r>
      <w:r>
        <w:rPr>
          <w:rStyle w:val="FootnoteAnchor"/>
          <w:rtl w:val="true"/>
        </w:rPr>
        <w:footnoteReference w:id="352"/>
      </w:r>
      <w:r>
        <w:rPr>
          <w:rFonts w:ascii="IRNazanin" w:hAnsi="IRNazanin" w:eastAsia="IRNazanin"/>
          <w:color w:val="111111"/>
          <w:sz w:val="28"/>
          <w:sz w:val="28"/>
          <w:szCs w:val="28"/>
          <w:rtl w:val="true"/>
          <w:lang w:bidi="fa-IR"/>
        </w:rPr>
        <w:t>للندب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المسوخ، و نجسها الشيخ، لتحريم بيعها</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التحريم و منع الملازمة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مات فيه العقرب،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الماء، الا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كانت له نفس سائلة</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و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يقع فيه العقرب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أهرقه</w:t>
      </w:r>
      <w:r>
        <w:rPr>
          <w:rFonts w:eastAsia="IRNazanin" w:cs="IRNazanin"/>
          <w:color w:val="111111"/>
          <w:sz w:val="28"/>
          <w:szCs w:val="28"/>
          <w:rtl w:val="true"/>
          <w:lang w:bidi="fa-IR"/>
        </w:rPr>
        <w:t>»</w:t>
      </w:r>
      <w:r>
        <w:rPr>
          <w:rStyle w:val="FootnoteAnchor"/>
          <w:rtl w:val="true"/>
        </w:rPr>
        <w:footnoteReference w:id="355"/>
      </w:r>
      <w:r>
        <w:rPr>
          <w:rFonts w:ascii="Amiri" w:hAnsi="Amiri" w:eastAsia="Amiri" w:cs="Amiri"/>
          <w:color w:val="111111"/>
          <w:sz w:val="28"/>
          <w:sz w:val="28"/>
          <w:szCs w:val="28"/>
          <w:rtl w:val="true"/>
          <w:lang w:bidi="ar-SA"/>
        </w:rPr>
        <w:t>للتنزيه، أو للسم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الزنا، خلافا للصدوق و المرتضى في نجاسته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أسآر المسلمين طاهرة إلاّ الخوارج و الغلاة لعدم اجتناب النبي و علي عليهما السلام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 من ركو</w:t>
      </w:r>
      <w:r>
        <w:rPr>
          <w:rStyle w:val="FootnoteAnchor"/>
          <w:rtl w:val="true"/>
        </w:rPr>
        <w:footnoteReference w:id="357"/>
      </w:r>
      <w:r>
        <w:rPr>
          <w:rFonts w:ascii="Amiri" w:hAnsi="Amiri" w:eastAsia="Amiri" w:cs="Amiri"/>
          <w:color w:val="111111"/>
          <w:sz w:val="28"/>
          <w:sz w:val="28"/>
          <w:szCs w:val="28"/>
          <w:rtl w:val="true"/>
          <w:lang w:bidi="ar-SA"/>
        </w:rPr>
        <w:t>أبيض مخمّر أو من فضل وضوء المسلمين،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 فضل وضوء المسلمين</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الشيخ بنجاسة المجبّرة و المجسّمة</w:t>
      </w:r>
      <w:r>
        <w:rPr>
          <w:rStyle w:val="FootnoteAnchor"/>
          <w:rtl w:val="true"/>
        </w:rPr>
        <w:footnoteReference w:id="359"/>
      </w:r>
      <w:r>
        <w:rPr>
          <w:rFonts w:ascii="Amiri" w:hAnsi="Amiri" w:eastAsia="Amiri" w:cs="Amiri"/>
          <w:color w:val="111111"/>
          <w:sz w:val="28"/>
          <w:sz w:val="28"/>
          <w:szCs w:val="28"/>
          <w:rtl w:val="true"/>
          <w:lang w:bidi="ar-SA"/>
        </w:rPr>
        <w:t>، و ابن إدريس بنجاسة كل مخالف للحق عدا المستضعف</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98" w:name="pg15253_219622"/>
    </w:p>
    <w:p>
      <w:pPr>
        <w:pStyle w:val="Heading6"/>
        <w:numPr>
          <w:ilvl w:val="5"/>
          <w:numId w:val="1"/>
        </w:numPr>
        <w:rPr/>
      </w:pPr>
      <w:bookmarkStart w:id="299" w:name="__RefHeading___Toc4191835_2142443653"/>
      <w:bookmarkStart w:id="300" w:name="_Toc123"/>
      <w:bookmarkEnd w:id="298"/>
      <w:bookmarkEnd w:id="299"/>
      <w:r>
        <w:rPr>
          <w:rtl w:val="true"/>
        </w:rPr>
        <w:t>خاتمة في حرمة استعمال الماء النجس و المشتبه به في الطهارة مطلقا</w:t>
      </w:r>
      <w:bookmarkEnd w:id="300"/>
    </w:p>
    <w:p>
      <w:pPr>
        <w:pStyle w:val="BookText"/>
        <w:rPr/>
      </w:pPr>
      <w:r>
        <w:rPr>
          <w:rFonts w:ascii="Amiri" w:hAnsi="Amiri" w:eastAsia="Amiri" w:cs="Amiri"/>
          <w:color w:val="111111"/>
          <w:sz w:val="28"/>
          <w:sz w:val="28"/>
          <w:szCs w:val="28"/>
          <w:rtl w:val="true"/>
          <w:lang w:bidi="ar-SA"/>
        </w:rPr>
        <w:t>يحرم استعمال الماء النجس و المشتبه به في الطهارة مطلقا، لعدم التقرب بالنّجاسة، فيعيدها مطلقا و ما صلاّه و لو خرج الوقت، لبقاء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قضاء</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أزال النجاسة به، أعاد مطلقا مع العلم و لو نسي، و في الوقت مع الجهل، جمعا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استعماله أكلا و شربا للضرورة، لوجوب دفع الضرر، و فحوى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مَا اُضْطُرِرْتُمْ إِلَيْهِ </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توقّف الحكم بالنجاسة على معرفة الأعيان النجسة، فحريّ أن نعدّها و نذكر حكمها</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4191837_2142443653"/>
      <w:bookmarkStart w:id="302" w:name="_Toc124"/>
      <w:bookmarkEnd w:id="301"/>
      <w:r>
        <w:rPr>
          <w:rtl w:val="true"/>
        </w:rPr>
        <w:t>في ذكر الأعيان النجسة، و هي عشرة</w:t>
      </w:r>
      <w:r>
        <w:rPr>
          <w:rtl w:val="true"/>
        </w:rPr>
        <w:t>:</w:t>
      </w:r>
      <w:bookmarkEnd w:id="302"/>
    </w:p>
    <w:p>
      <w:pPr>
        <w:pStyle w:val="Heading6"/>
        <w:numPr>
          <w:ilvl w:val="5"/>
          <w:numId w:val="1"/>
        </w:numPr>
        <w:rPr/>
      </w:pPr>
      <w:bookmarkStart w:id="303" w:name="__RefHeading___Toc4191839_2142443653"/>
      <w:bookmarkStart w:id="304" w:name="_Toc125"/>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أمّا الأول فهي عشرة</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4191841_2142443653"/>
      <w:bookmarkStart w:id="306" w:name="_Toc126"/>
      <w:bookmarkEnd w:id="305"/>
      <w:r>
        <w:rPr>
          <w:rtl w:val="true"/>
        </w:rPr>
        <w:t>الأول و الثاني</w:t>
      </w:r>
      <w:r>
        <w:rPr>
          <w:rtl w:val="true"/>
        </w:rPr>
        <w:t xml:space="preserve">: </w:t>
      </w:r>
      <w:r>
        <w:rPr>
          <w:rtl w:val="true"/>
        </w:rPr>
        <w:t>البول و الغائط من ذي النفس غير المأكول و لو بالعرض كالجلال،</w:t>
      </w:r>
      <w:bookmarkEnd w:id="306"/>
    </w:p>
    <w:p>
      <w:pPr>
        <w:pStyle w:val="BookText"/>
        <w:rPr/>
      </w:pP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ابن بابويه و ابن أبي عقيل و الجعفي</w:t>
      </w:r>
      <w:r>
        <w:rPr>
          <w:rStyle w:val="FootnoteAnchor"/>
          <w:rtl w:val="true"/>
        </w:rPr>
        <w:footnoteReference w:id="364"/>
      </w:r>
      <w:r>
        <w:rPr>
          <w:rFonts w:ascii="Amiri" w:hAnsi="Amiri" w:eastAsia="Amiri" w:cs="Amiri"/>
          <w:color w:val="111111"/>
          <w:sz w:val="28"/>
          <w:sz w:val="28"/>
          <w:szCs w:val="28"/>
          <w:rtl w:val="true"/>
          <w:lang w:bidi="ar-SA"/>
        </w:rPr>
        <w:t xml:space="preserve">الطير،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يطير فلا بأس بخرئه و بوله</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في المبسوط كذلك إلاّ الخشاف</w:t>
      </w:r>
      <w:r>
        <w:rPr>
          <w:rStyle w:val="FootnoteAnchor"/>
          <w:rtl w:val="true"/>
        </w:rPr>
        <w:footnoteReference w:id="366"/>
      </w:r>
      <w:r>
        <w:rPr>
          <w:rFonts w:ascii="Amiri" w:hAnsi="Amiri" w:eastAsia="Amiri" w:cs="Amiri"/>
          <w:color w:val="111111"/>
          <w:sz w:val="28"/>
          <w:sz w:val="28"/>
          <w:szCs w:val="28"/>
          <w:rtl w:val="true"/>
          <w:lang w:bidi="ar-SA"/>
        </w:rPr>
        <w:t>و تدفعه الشهرة</w:t>
      </w:r>
      <w:r>
        <w:rPr>
          <w:rFonts w:eastAsia="Amiri" w:cs="Amiri" w:ascii="Amiri" w:hAnsi="Amiri"/>
          <w:color w:val="111111"/>
          <w:sz w:val="28"/>
          <w:szCs w:val="28"/>
          <w:rtl w:val="true"/>
          <w:lang w:bidi="ar-SA"/>
        </w:rPr>
        <w:t xml:space="preserve">. </w:t>
      </w:r>
      <w:bookmarkStart w:id="307" w:name="pg15253_219623"/>
    </w:p>
    <w:p>
      <w:pPr>
        <w:pStyle w:val="BookText"/>
        <w:rPr/>
      </w:pPr>
      <w:bookmarkEnd w:id="307"/>
      <w:r>
        <w:rPr>
          <w:rFonts w:ascii="Amiri" w:hAnsi="Amiri" w:eastAsia="Amiri" w:cs="Amiri"/>
          <w:color w:val="111111"/>
          <w:sz w:val="28"/>
          <w:sz w:val="28"/>
          <w:szCs w:val="28"/>
          <w:rtl w:val="true"/>
          <w:lang w:bidi="ar-SA"/>
        </w:rPr>
        <w:t xml:space="preserve">و أخرج ابن الجنيد بول الرضيع قبل أكله اللحم، لعدم إيجاب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الثوب منه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 عليه</w:t>
      </w:r>
      <w:r>
        <w:rPr>
          <w:rStyle w:val="FootnoteAnchor"/>
          <w:rtl w:val="true"/>
        </w:rPr>
        <w:footnoteReference w:id="368"/>
      </w:r>
      <w:r>
        <w:rPr>
          <w:rFonts w:ascii="Amiri" w:hAnsi="Amiri" w:eastAsia="Amiri" w:cs="Amiri"/>
          <w:color w:val="111111"/>
          <w:sz w:val="28"/>
          <w:sz w:val="28"/>
          <w:szCs w:val="28"/>
          <w:rtl w:val="true"/>
          <w:lang w:bidi="ar-SA"/>
        </w:rPr>
        <w:t>فيحمل الغسل على العصر، و نقل المرتضى فيه الإجماع</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بول الدابّة و الحمار و البغل قولان،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لقول الباقر و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تغسل ثوبك من بول شيء يؤكل لحمه</w:t>
      </w:r>
      <w:r>
        <w:rPr>
          <w:rFonts w:eastAsia="Amiri" w:cs="Amiri" w:ascii="Amiri" w:hAnsi="Amiri"/>
          <w:color w:val="111111"/>
          <w:sz w:val="28"/>
          <w:szCs w:val="28"/>
          <w:rtl w:val="true"/>
          <w:lang w:bidi="ar-SA"/>
        </w:rPr>
        <w:t>»</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أحدهما كراهية بول الدابة</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بروث الحمر</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بغسله في حسنة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للندب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تطابق الأخبار على طهارة الروث، و تصادمها على البول، فيقضى بالكراهية للترجيح بالأصل، و 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انه قذر</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8" w:name="__RefHeading___Toc4191843_2142443653"/>
      <w:bookmarkStart w:id="309" w:name="_Toc127"/>
      <w:bookmarkEnd w:id="308"/>
      <w:r>
        <w:rPr>
          <w:rtl w:val="true"/>
        </w:rPr>
        <w:t>الثالث و الرابع</w:t>
      </w:r>
      <w:r>
        <w:rPr>
          <w:rtl w:val="true"/>
        </w:rPr>
        <w:t xml:space="preserve">: </w:t>
      </w:r>
      <w:r>
        <w:rPr>
          <w:rtl w:val="true"/>
        </w:rPr>
        <w:t>المني و الدم من كل ذي نفس سائلة و إن كان مائيا كالتمساح،</w:t>
      </w:r>
      <w:bookmarkEnd w:id="30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يغسل الثوب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 </w:t>
      </w:r>
    </w:p>
    <w:p>
      <w:pPr>
        <w:pStyle w:val="BookText"/>
        <w:rPr/>
      </w:pPr>
      <w:r>
        <w:rPr>
          <w:rFonts w:ascii="IRNazanin" w:hAnsi="IRNazanin" w:eastAsia="IRNazanin"/>
          <w:color w:val="111111"/>
          <w:sz w:val="28"/>
          <w:sz w:val="28"/>
          <w:szCs w:val="28"/>
          <w:rtl w:val="true"/>
          <w:lang w:bidi="fa-IR"/>
        </w:rPr>
        <w:t>و الدم، و البول</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عرفت مكانه فاغسله</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 آثار الدم</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ابن الجنيد بعدم نجاسة الثوب بدم كعقد الإبهام الأعلى</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عن عائشة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لإحدانا درع ترى فيه قطرا من دم فتقصعه بريقها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تمضغه، و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اجتمع قدر حمّصة فاغسله، و إلاّ فلا</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لمخالفته الإجماع، و القصع لعلّه مقدّمة الغسل، و الخبر الثاني يحمل على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الشيخ في الخلاف الإجماع على نجاسة العلقة</w:t>
      </w:r>
      <w:r>
        <w:rPr>
          <w:rStyle w:val="FootnoteAnchor"/>
          <w:rtl w:val="true"/>
        </w:rPr>
        <w:footnoteReference w:id="381"/>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دم حيوان له نفس، و كذا علقة البيضة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الدليل منع، و تكوّنها في الحيوان لا يدل على انها منه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ينجس دم غير ذي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كالسّمك، و البراغيث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لعدم تنجيس الماء بموته، 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 البراغيث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لا يرى بأسا بدم ما لم يذك</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و لتعذّر الاحتراز من دم البقّ و البراغيث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10" w:name="pg15253_219625"/>
    </w:p>
    <w:p>
      <w:pPr>
        <w:pStyle w:val="BookText"/>
        <w:rPr/>
      </w:pPr>
      <w:bookmarkEnd w:id="310"/>
      <w:r>
        <w:rPr>
          <w:rFonts w:ascii="Amiri" w:hAnsi="Amiri" w:eastAsia="Amiri" w:cs="Amiri"/>
          <w:color w:val="111111"/>
          <w:sz w:val="28"/>
          <w:sz w:val="28"/>
          <w:szCs w:val="28"/>
          <w:rtl w:val="true"/>
          <w:lang w:bidi="ar-SA"/>
        </w:rPr>
        <w:t>و ما في المبسوط و الجمل</w:t>
      </w:r>
      <w:r>
        <w:rPr>
          <w:rStyle w:val="FootnoteAnchor"/>
          <w:rtl w:val="true"/>
        </w:rPr>
        <w:footnoteReference w:id="385"/>
      </w:r>
      <w:r>
        <w:rPr>
          <w:rFonts w:ascii="Amiri" w:hAnsi="Amiri" w:eastAsia="Amiri" w:cs="Amiri"/>
          <w:color w:val="111111"/>
          <w:sz w:val="28"/>
          <w:sz w:val="28"/>
          <w:szCs w:val="28"/>
          <w:rtl w:val="true"/>
          <w:lang w:bidi="ar-SA"/>
        </w:rPr>
        <w:t>مدفوع بدعوى الإجماع في الخلاف</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الدم المتخلف في اللحم، بعد الذبح و القذف المعتاد طاهر و ان كان في العروق</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4191845_2142443653"/>
      <w:bookmarkStart w:id="312" w:name="_Toc128"/>
      <w:bookmarkEnd w:id="311"/>
      <w:r>
        <w:rPr>
          <w:rtl w:val="true"/>
        </w:rPr>
        <w:t>الخامس</w:t>
      </w:r>
      <w:r>
        <w:rPr>
          <w:rtl w:val="true"/>
        </w:rPr>
        <w:t xml:space="preserve">: </w:t>
      </w:r>
      <w:r>
        <w:rPr>
          <w:rtl w:val="true"/>
        </w:rPr>
        <w:t>الميتة من ذي النفس مطلقا،</w:t>
      </w:r>
      <w:bookmarkEnd w:id="312"/>
    </w:p>
    <w:p>
      <w:pPr>
        <w:pStyle w:val="BookText"/>
        <w:rPr/>
      </w:pPr>
      <w:r>
        <w:rPr>
          <w:rFonts w:ascii="Amiri" w:hAnsi="Amiri" w:eastAsia="Amiri" w:cs="Amiri"/>
          <w:color w:val="111111"/>
          <w:sz w:val="28"/>
          <w:sz w:val="28"/>
          <w:szCs w:val="28"/>
          <w:rtl w:val="true"/>
          <w:lang w:bidi="ar-SA"/>
        </w:rPr>
        <w:t xml:space="preserve">إجماعا، و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الماء إلاّ ما كانت له نفس سائله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ميّت الآدمي، للأمر بغسله و الاغتسال من مسّه، و للأمر بغسل الثوب الملاقي في رواية إبراهيم بن ميمون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ما قطع من الحيوان مما تحلّه الحياة بحكم الميتة، لمساواة الجزء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بأنّه لو كان نجسا لما طهر بالغسل، 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طاهرا لما أمر بغسله، و جاز اختلاف النجاسات في قبول الطهارة و عدمها بوضع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 بنجاسته حكما فلا اشكال</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4191847_2142443653"/>
      <w:bookmarkStart w:id="314" w:name="_Toc129"/>
      <w:bookmarkEnd w:id="313"/>
      <w:r>
        <w:rPr>
          <w:rtl w:val="true"/>
        </w:rPr>
        <w:t>السادس و السابع</w:t>
      </w:r>
      <w:r>
        <w:rPr>
          <w:rtl w:val="true"/>
        </w:rPr>
        <w:t xml:space="preserve">: </w:t>
      </w:r>
      <w:r>
        <w:rPr>
          <w:rtl w:val="true"/>
        </w:rPr>
        <w:t>الكلب و الخنزير،</w:t>
      </w:r>
      <w:bookmarkEnd w:id="314"/>
    </w:p>
    <w:p>
      <w:pPr>
        <w:pStyle w:val="BookText"/>
        <w:rPr/>
      </w:pPr>
      <w:r>
        <w:rPr>
          <w:rFonts w:ascii="Amiri" w:hAnsi="Amiri" w:eastAsia="Amiri" w:cs="Amiri"/>
          <w:color w:val="111111"/>
          <w:sz w:val="28"/>
          <w:sz w:val="28"/>
          <w:szCs w:val="28"/>
          <w:rtl w:val="true"/>
          <w:lang w:bidi="ar-SA"/>
        </w:rPr>
        <w:t>و هما نجسان عينا و لعابا، إجماعا و للآية في الخنزير</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 ثوبك كلب، فان كان يابسا فانضحه، و ان كان رطبا فاغسله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ثوب يصيبه الخنزير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فلينضح ما أصابه، إلاّ أن يكون فيه أثر فليغسله</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طهور إناء أحدكم إذا ولغ فيه الكلب أن </w:t>
      </w:r>
      <w:bookmarkStart w:id="315" w:name="pg15253_219626"/>
    </w:p>
    <w:p>
      <w:pPr>
        <w:pStyle w:val="BookText"/>
        <w:rPr/>
      </w:pPr>
      <w:bookmarkEnd w:id="315"/>
      <w:r>
        <w:rPr>
          <w:rFonts w:ascii="Amiri" w:hAnsi="Amiri" w:eastAsia="Amiri" w:cs="Amiri"/>
          <w:color w:val="111111"/>
          <w:sz w:val="28"/>
          <w:sz w:val="28"/>
          <w:szCs w:val="28"/>
          <w:rtl w:val="true"/>
          <w:lang w:bidi="ar-SA"/>
        </w:rPr>
        <w:t>يغسله</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خنزير يشرب من إناء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ينجس منهما ما لا تحلّه الحياة أيضا، لدخولهما في مسمّاهما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لبرد الإسكاف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يدك إذا مسسته كما تمس الكلب</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الدخول كعظم الميتة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 بأن المنجّس في الميتة صفة الموت و فيهما نفس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 ما أصابه كلب الصيد برطوبة، و يغسل ما أصابه غيره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مدفوع بالخبر السالف، لشموله</w:t>
      </w:r>
      <w:r>
        <w:rPr>
          <w:rFonts w:eastAsia="IRNazanin" w:cs="IRNazanin"/>
          <w:color w:val="111111"/>
          <w:sz w:val="28"/>
          <w:szCs w:val="28"/>
          <w:rtl w:val="true"/>
          <w:lang w:bidi="fa-IR"/>
        </w:rPr>
        <w:t>.</w:t>
      </w:r>
    </w:p>
    <w:p>
      <w:pPr>
        <w:pStyle w:val="Heading6"/>
        <w:numPr>
          <w:ilvl w:val="5"/>
          <w:numId w:val="1"/>
        </w:numPr>
        <w:rPr/>
      </w:pPr>
      <w:bookmarkStart w:id="316" w:name="__RefHeading___Toc4191849_2142443653"/>
      <w:bookmarkStart w:id="317" w:name="_Toc130"/>
      <w:bookmarkEnd w:id="316"/>
      <w:r>
        <w:rPr>
          <w:rtl w:val="true"/>
        </w:rPr>
        <w:t>الثامن</w:t>
      </w:r>
      <w:r>
        <w:rPr>
          <w:rtl w:val="true"/>
        </w:rPr>
        <w:t xml:space="preserve">: </w:t>
      </w:r>
      <w:r>
        <w:rPr>
          <w:rtl w:val="true"/>
        </w:rPr>
        <w:t>المسكرات،</w:t>
      </w:r>
      <w:bookmarkEnd w:id="317"/>
    </w:p>
    <w:p>
      <w:pPr>
        <w:pStyle w:val="BookText"/>
        <w:rPr/>
      </w:pPr>
      <w:r>
        <w:rPr>
          <w:rFonts w:ascii="Amiri" w:hAnsi="Amiri" w:eastAsia="Amiri" w:cs="Amiri"/>
          <w:color w:val="111111"/>
          <w:sz w:val="28"/>
          <w:sz w:val="28"/>
          <w:szCs w:val="28"/>
          <w:rtl w:val="true"/>
          <w:lang w:bidi="ar-SA"/>
        </w:rPr>
        <w:t>و الأكثر على نجاستها، و نقل المرتضى فيه الإجماع، للآية</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للأمر باجتنابه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ثوب أصابه خمر، أو مسكر، حتى يغسل</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الصدوق، و ابن أبي عقيل، و الجعفي، تمسّكوا بأحاديث لا تعارض </w:t>
      </w:r>
      <w:bookmarkStart w:id="318" w:name="pg15253_219627"/>
    </w:p>
    <w:p>
      <w:pPr>
        <w:pStyle w:val="BookText"/>
        <w:rPr/>
      </w:pPr>
      <w:bookmarkEnd w:id="318"/>
      <w:r>
        <w:rPr>
          <w:rFonts w:ascii="Amiri" w:hAnsi="Amiri" w:eastAsia="Amiri" w:cs="Amiri"/>
          <w:color w:val="111111"/>
          <w:sz w:val="28"/>
          <w:sz w:val="28"/>
          <w:szCs w:val="28"/>
          <w:rtl w:val="true"/>
          <w:lang w:bidi="ar-SA"/>
        </w:rPr>
        <w:t>القطعي</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حكمها العصير إذا غلى و اشتدّ، في قول ابن حمزة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مع الغليان حتى يذهب الثلثان، و لا ينجس إلاّ مع الاشتداد</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يرى الشدّة المطربة، إذ الثخانة</w:t>
      </w:r>
      <w:r>
        <w:rPr>
          <w:rStyle w:val="FootnoteAnchor"/>
          <w:rtl w:val="true"/>
        </w:rPr>
        <w:footnoteReference w:id="402"/>
      </w:r>
      <w:r>
        <w:rPr>
          <w:rFonts w:ascii="Amiri" w:hAnsi="Amiri" w:eastAsia="Amiri" w:cs="Amiri"/>
          <w:color w:val="111111"/>
          <w:sz w:val="28"/>
          <w:sz w:val="28"/>
          <w:szCs w:val="28"/>
          <w:rtl w:val="true"/>
          <w:lang w:bidi="ar-SA"/>
        </w:rPr>
        <w:t>حاصلة بمجرد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توقف الفاضل في نهايته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نقف لغيرهم على قول بالنجاسة، و لا نص على نجاسة غير المسكر، و هو منتف هنا</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4191851_2142443653"/>
      <w:bookmarkStart w:id="320" w:name="_Toc131"/>
      <w:bookmarkEnd w:id="319"/>
      <w:r>
        <w:rPr>
          <w:rtl w:val="true"/>
        </w:rPr>
        <w:t>التاسع</w:t>
      </w:r>
      <w:r>
        <w:rPr>
          <w:rtl w:val="true"/>
        </w:rPr>
        <w:t xml:space="preserve">: </w:t>
      </w:r>
      <w:r>
        <w:rPr>
          <w:rtl w:val="true"/>
        </w:rPr>
        <w:t>الفقّاع،</w:t>
      </w:r>
      <w:bookmarkEnd w:id="320"/>
    </w:p>
    <w:p>
      <w:pPr>
        <w:pStyle w:val="BookText"/>
        <w:rPr/>
      </w:pPr>
      <w:r>
        <w:rPr>
          <w:rFonts w:ascii="Amiri" w:hAnsi="Amiri" w:eastAsia="Amiri" w:cs="Amiri"/>
          <w:color w:val="111111"/>
          <w:sz w:val="28"/>
          <w:sz w:val="28"/>
          <w:szCs w:val="28"/>
          <w:rtl w:val="true"/>
          <w:lang w:bidi="ar-SA"/>
        </w:rPr>
        <w:t>لأنّه خمر مجهول، كما قاله الصادق</w:t>
      </w:r>
      <w:r>
        <w:rPr>
          <w:rStyle w:val="FootnoteAnchor"/>
          <w:rtl w:val="true"/>
        </w:rPr>
        <w:footnoteReference w:id="404"/>
      </w:r>
      <w:r>
        <w:rPr>
          <w:rFonts w:ascii="IRNazanin" w:hAnsi="IRNazanin" w:eastAsia="IRNazanin"/>
          <w:color w:val="111111"/>
          <w:sz w:val="28"/>
          <w:sz w:val="28"/>
          <w:szCs w:val="28"/>
          <w:rtl w:val="true"/>
          <w:lang w:bidi="fa-IR"/>
        </w:rPr>
        <w:t>و الرضا</w:t>
      </w:r>
      <w:r>
        <w:rPr>
          <w:rStyle w:val="FootnoteAnchor"/>
          <w:rtl w:val="true"/>
        </w:rPr>
        <w:footnoteReference w:id="405"/>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عن السكركة</w:t>
      </w:r>
      <w:r>
        <w:rPr>
          <w:rStyle w:val="FootnoteAnchor"/>
          <w:rtl w:val="true"/>
        </w:rPr>
        <w:footnoteReference w:id="406"/>
      </w:r>
      <w:r>
        <w:rPr>
          <w:rFonts w:ascii="Amiri" w:hAnsi="Amiri" w:eastAsia="Amiri" w:cs="Amiri"/>
          <w:color w:val="111111"/>
          <w:sz w:val="28"/>
          <w:sz w:val="28"/>
          <w:szCs w:val="28"/>
          <w:rtl w:val="true"/>
          <w:lang w:bidi="ar-SA"/>
        </w:rPr>
        <w:t>و هي خمر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خمر استصغرها الناس</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بعض الفقّاع، نادر لا عبرة به، مع منع تسمية ما وصفه فقّاعا</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4191853_2142443653"/>
      <w:bookmarkStart w:id="322" w:name="_Toc132"/>
      <w:bookmarkEnd w:id="321"/>
      <w:r>
        <w:rPr>
          <w:rtl w:val="true"/>
        </w:rPr>
        <w:t>العاشر</w:t>
      </w:r>
      <w:r>
        <w:rPr>
          <w:rtl w:val="true"/>
        </w:rPr>
        <w:t xml:space="preserve">: </w:t>
      </w:r>
      <w:r>
        <w:rPr>
          <w:rtl w:val="true"/>
        </w:rPr>
        <w:t>الكافر،</w:t>
      </w:r>
      <w:bookmarkEnd w:id="32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أصليا، أو مرتدا، أو منتحل الإسلام جاحدا لبعض ضرورياته كالخوارج و الغلاة، لقوله تعالى إِنَّمَا اَلْمُشْرِكُونَ نَجَسٌ </w:t>
      </w:r>
      <w:r>
        <w:rPr>
          <w:rStyle w:val="FootnoteAnchor"/>
          <w:rtl w:val="true"/>
        </w:rPr>
        <w:footnoteReference w:id="408"/>
      </w:r>
      <w:r>
        <w:rPr>
          <w:rFonts w:ascii="Amiri" w:hAnsi="Amiri" w:eastAsia="Amiri" w:cs="Amiri"/>
          <w:color w:val="111111"/>
          <w:sz w:val="28"/>
          <w:sz w:val="28"/>
          <w:szCs w:val="28"/>
          <w:rtl w:val="true"/>
          <w:lang w:bidi="ar-SA"/>
        </w:rPr>
        <w:t>و الإضمار خلاف الأصل، و قد قال تعالى في اليهود و النصارى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فَتَعالَى اَللّهُ عَمّا يُشْرِكُونَ‌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لقوله تعالى كَذلِكَ يَجْعَلُ اَللّهُ اَلرِّجْسَ عَلَى اَلَّذِينَ لا يُؤْمِنُونَ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النبي صلّى اللّه عليه و آله في آنيتهم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فيها إلاّ أن لا تجدوا غيرها، فاغسلوها ثم كلوا فيها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صافحك بيده فاغسل يدك</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نهى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سؤره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بالشرب من مشرب يهودي تقية</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الشيخ على من يظنه يهوديا أو على من أسلم</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الخوارج و الغلاة فلارتكابهم ما علم من الدين بطلانه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علي بن إسماعيل الميثمي، عن ربعي، عن 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محصور عظيم البطن، فجلس معه على سريره، فحيّاه و رحّب به، فلمّا 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الخوارج، فما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مشرك و اللّه، أي و اللّه مشرك</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323" w:name="pg15253_219629"/>
    </w:p>
    <w:p>
      <w:pPr>
        <w:pStyle w:val="Heading6"/>
        <w:numPr>
          <w:ilvl w:val="5"/>
          <w:numId w:val="1"/>
        </w:numPr>
        <w:rPr/>
      </w:pPr>
      <w:bookmarkStart w:id="324" w:name="__RefHeading___Toc4191855_2142443653"/>
      <w:bookmarkStart w:id="325" w:name="_Toc133"/>
      <w:bookmarkEnd w:id="323"/>
      <w:bookmarkEnd w:id="324"/>
      <w:r>
        <w:rPr>
          <w:rtl w:val="true"/>
        </w:rPr>
        <w:t>مسائل</w:t>
      </w:r>
      <w:r>
        <w:rPr>
          <w:rtl w:val="true"/>
        </w:rPr>
        <w:t>:</w:t>
      </w:r>
      <w:bookmarkEnd w:id="325"/>
    </w:p>
    <w:p>
      <w:pPr>
        <w:pStyle w:val="Heading6"/>
        <w:numPr>
          <w:ilvl w:val="5"/>
          <w:numId w:val="1"/>
        </w:numPr>
        <w:rPr/>
      </w:pPr>
      <w:bookmarkStart w:id="326" w:name="__RefHeading___Toc4191857_2142443653"/>
      <w:bookmarkStart w:id="327" w:name="_Toc134"/>
      <w:bookmarkEnd w:id="326"/>
      <w:r>
        <w:rPr>
          <w:rtl w:val="true"/>
        </w:rPr>
        <w:t>الاولى</w:t>
      </w:r>
      <w:r>
        <w:rPr>
          <w:rtl w:val="true"/>
        </w:rPr>
        <w:t xml:space="preserve">: </w:t>
      </w:r>
      <w:r>
        <w:rPr>
          <w:rtl w:val="true"/>
        </w:rPr>
        <w:t>لا فرق بين فضلات الناس، و كذا الدم،</w:t>
      </w:r>
      <w:bookmarkEnd w:id="327"/>
    </w:p>
    <w:p>
      <w:pPr>
        <w:pStyle w:val="BookText"/>
        <w:rPr/>
      </w:pPr>
      <w:r>
        <w:rPr>
          <w:rFonts w:ascii="Amiri" w:hAnsi="Amiri" w:eastAsia="Amiri" w:cs="Amiri"/>
          <w:color w:val="111111"/>
          <w:sz w:val="28"/>
          <w:sz w:val="28"/>
          <w:szCs w:val="28"/>
          <w:rtl w:val="true"/>
          <w:lang w:bidi="ar-SA"/>
        </w:rPr>
        <w:t>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أن النبي صلّى اللّه عليه و آله أقرّ أم أيمن على شرب البول</w:t>
      </w:r>
      <w:r>
        <w:rPr>
          <w:rStyle w:val="FootnoteAnchor"/>
          <w:rtl w:val="true"/>
        </w:rPr>
        <w:footnoteReference w:id="417"/>
      </w:r>
      <w:r>
        <w:rPr>
          <w:rFonts w:ascii="Amiri" w:hAnsi="Amiri" w:eastAsia="Amiri" w:cs="Amiri"/>
          <w:color w:val="111111"/>
          <w:sz w:val="28"/>
          <w:sz w:val="28"/>
          <w:szCs w:val="28"/>
          <w:rtl w:val="true"/>
          <w:lang w:bidi="ar-SA"/>
        </w:rPr>
        <w:t>و لا إقرار أبي ظبية</w:t>
      </w:r>
      <w:r>
        <w:rPr>
          <w:rStyle w:val="FootnoteAnchor"/>
          <w:rtl w:val="true"/>
        </w:rPr>
        <w:footnoteReference w:id="418"/>
      </w:r>
      <w:r>
        <w:rPr>
          <w:rFonts w:ascii="Amiri" w:hAnsi="Amiri" w:eastAsia="Amiri" w:cs="Amiri"/>
          <w:color w:val="111111"/>
          <w:sz w:val="28"/>
          <w:sz w:val="28"/>
          <w:szCs w:val="28"/>
          <w:rtl w:val="true"/>
          <w:lang w:bidi="ar-SA"/>
        </w:rPr>
        <w:t>، بل روي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تعد، الدّم كله حرام</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8" w:name="__RefHeading___Toc4191859_2142443653"/>
      <w:bookmarkStart w:id="329" w:name="_Toc135"/>
      <w:bookmarkEnd w:id="328"/>
      <w:r>
        <w:rPr>
          <w:rtl w:val="true"/>
        </w:rPr>
        <w:t>الثانية طهارة فضلة مأكول اللحم و فضلة غير ذي النفس</w:t>
      </w:r>
      <w:bookmarkEnd w:id="329"/>
    </w:p>
    <w:p>
      <w:pPr>
        <w:pStyle w:val="BookText"/>
        <w:rPr/>
      </w:pPr>
      <w:r>
        <w:rPr>
          <w:rFonts w:ascii="Amiri" w:hAnsi="Amiri" w:eastAsia="Amiri" w:cs="Amiri"/>
          <w:color w:val="111111"/>
          <w:sz w:val="28"/>
          <w:sz w:val="28"/>
          <w:szCs w:val="28"/>
          <w:rtl w:val="true"/>
          <w:lang w:bidi="ar-SA"/>
        </w:rPr>
        <w:t>فضلة المأكول طاهرة، لما مرّ، و أمر النبي صلّى اللّه عليه و آله العرنيين بشرب أبوال الإبل</w:t>
      </w:r>
      <w:r>
        <w:rPr>
          <w:rStyle w:val="FootnoteAnchor"/>
          <w:rtl w:val="true"/>
        </w:rPr>
        <w:footnoteReference w:id="420"/>
      </w:r>
      <w:r>
        <w:rPr>
          <w:rFonts w:ascii="Amiri" w:hAnsi="Amiri" w:eastAsia="Amiri" w:cs="Amiri"/>
          <w:color w:val="111111"/>
          <w:sz w:val="28"/>
          <w:sz w:val="28"/>
          <w:szCs w:val="28"/>
          <w:rtl w:val="true"/>
          <w:lang w:bidi="ar-SA"/>
        </w:rPr>
        <w:t>، و كذا فضلة غير ذي النفس، لطهارة دمه</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4191861_2142443653"/>
      <w:bookmarkStart w:id="331" w:name="_Toc136"/>
      <w:bookmarkEnd w:id="330"/>
      <w:r>
        <w:rPr>
          <w:rtl w:val="true"/>
        </w:rPr>
        <w:t>الثالثة</w:t>
      </w:r>
      <w:r>
        <w:rPr>
          <w:rtl w:val="true"/>
        </w:rPr>
        <w:t xml:space="preserve">: </w:t>
      </w:r>
      <w:r>
        <w:rPr>
          <w:rtl w:val="true"/>
        </w:rPr>
        <w:t>الحب الخارج من المغتذي طاهر ما لم يستحل،</w:t>
      </w:r>
      <w:bookmarkEnd w:id="331"/>
    </w:p>
    <w:p>
      <w:pPr>
        <w:pStyle w:val="BookText"/>
        <w:rPr/>
      </w:pPr>
      <w:r>
        <w:rPr>
          <w:rFonts w:ascii="Amiri" w:hAnsi="Amiri" w:eastAsia="Amiri" w:cs="Amiri"/>
          <w:color w:val="111111"/>
          <w:sz w:val="28"/>
          <w:sz w:val="28"/>
          <w:szCs w:val="28"/>
          <w:rtl w:val="true"/>
          <w:lang w:bidi="ar-SA"/>
        </w:rPr>
        <w:t>و حدّه زوال اسمه لا عدم نباته في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الدود المستحيل في الفضلة، و الزرع و الشجر الناميان على النجاسة أو المنجس، للاستحالة</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4191863_2142443653"/>
      <w:bookmarkStart w:id="333" w:name="_Toc137"/>
      <w:bookmarkEnd w:id="332"/>
      <w:r>
        <w:rPr>
          <w:rtl w:val="true"/>
        </w:rPr>
        <w:t>الرابعة</w:t>
      </w:r>
      <w:r>
        <w:rPr>
          <w:rtl w:val="true"/>
        </w:rPr>
        <w:t xml:space="preserve">: </w:t>
      </w:r>
      <w:r>
        <w:rPr>
          <w:rtl w:val="true"/>
        </w:rPr>
        <w:t>رطوبة الفرجين طاهرة،</w:t>
      </w:r>
      <w:bookmarkEnd w:id="333"/>
    </w:p>
    <w:p>
      <w:pPr>
        <w:pStyle w:val="BookText"/>
        <w:rPr/>
      </w:pPr>
      <w:r>
        <w:rPr>
          <w:rFonts w:ascii="Amiri" w:hAnsi="Amiri" w:eastAsia="Amiri" w:cs="Amiri"/>
          <w:color w:val="111111"/>
          <w:sz w:val="28"/>
          <w:sz w:val="28"/>
          <w:szCs w:val="28"/>
          <w:rtl w:val="true"/>
          <w:lang w:bidi="ar-SA"/>
        </w:rPr>
        <w:t>و كذا الدبر،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الرطوبة الخارجة من المعدة و لم تستحل، و البلغم و الصفراء و السوداء، و كذا رطوبات الحيوان غير الثلاثة و الفضلتين، للأصل</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4191865_2142443653"/>
      <w:bookmarkStart w:id="335" w:name="_Toc138"/>
      <w:bookmarkEnd w:id="334"/>
      <w:r>
        <w:rPr>
          <w:rtl w:val="true"/>
        </w:rPr>
        <w:t>الخامسة</w:t>
      </w:r>
      <w:r>
        <w:rPr>
          <w:rtl w:val="true"/>
        </w:rPr>
        <w:t xml:space="preserve">: </w:t>
      </w:r>
      <w:r>
        <w:rPr>
          <w:rtl w:val="true"/>
        </w:rPr>
        <w:t>الإنفحة طاهرة من الميتة و المذبوحة</w:t>
      </w:r>
      <w:bookmarkEnd w:id="33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الإنفحة</w:t>
      </w:r>
      <w:r>
        <w:rPr>
          <w:rStyle w:val="FootnoteAnchor"/>
          <w:rtl w:val="true"/>
        </w:rPr>
        <w:footnoteReference w:id="421"/>
      </w:r>
      <w:r>
        <w:rPr>
          <w:rFonts w:ascii="Amiri" w:hAnsi="Amiri" w:eastAsia="Amiri" w:cs="Amiri"/>
          <w:color w:val="111111"/>
          <w:sz w:val="28"/>
          <w:sz w:val="28"/>
          <w:szCs w:val="28"/>
          <w:rtl w:val="true"/>
          <w:lang w:bidi="ar-SA"/>
        </w:rPr>
        <w:t xml:space="preserve">طاهرة من الميتة و المذبوحة و ان أكلت السخلة غير </w:t>
      </w:r>
      <w:bookmarkStart w:id="336" w:name="pg15253_219630"/>
    </w:p>
    <w:p>
      <w:pPr>
        <w:pStyle w:val="BookText"/>
        <w:rPr/>
      </w:pPr>
      <w:bookmarkEnd w:id="336"/>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ظاهرها من الميتة، للملاقاة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لبن الميتة روايتان</w:t>
      </w:r>
      <w:r>
        <w:rPr>
          <w:rStyle w:val="FootnoteAnchor"/>
          <w:rtl w:val="true"/>
        </w:rPr>
        <w:footnoteReference w:id="422"/>
      </w:r>
      <w:r>
        <w:rPr>
          <w:rFonts w:ascii="Amiri" w:hAnsi="Amiri" w:eastAsia="Amiri" w:cs="Amiri"/>
          <w:color w:val="111111"/>
          <w:sz w:val="28"/>
          <w:sz w:val="28"/>
          <w:szCs w:val="28"/>
          <w:rtl w:val="true"/>
          <w:lang w:bidi="ar-SA"/>
        </w:rPr>
        <w:t>أصحهما الطهارة، و نقل الشيخ فيه الإجماع</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7" w:name="__RefHeading___Toc4191867_2142443653"/>
      <w:bookmarkStart w:id="338" w:name="_Toc139"/>
      <w:bookmarkEnd w:id="337"/>
      <w:r>
        <w:rPr>
          <w:rtl w:val="true"/>
        </w:rPr>
        <w:t>السادسة</w:t>
      </w:r>
      <w:r>
        <w:rPr>
          <w:rtl w:val="true"/>
        </w:rPr>
        <w:t xml:space="preserve">: </w:t>
      </w:r>
      <w:r>
        <w:rPr>
          <w:rtl w:val="true"/>
        </w:rPr>
        <w:t>القيح طاهر، و الصديد</w:t>
      </w:r>
      <w:bookmarkEnd w:id="338"/>
    </w:p>
    <w:p>
      <w:pPr>
        <w:pStyle w:val="BookText"/>
        <w:rPr/>
      </w:pPr>
      <w:r>
        <w:rPr>
          <w:rFonts w:ascii="Amiri" w:hAnsi="Amiri" w:eastAsia="Amiri" w:cs="Amiri"/>
          <w:color w:val="111111"/>
          <w:sz w:val="28"/>
          <w:sz w:val="28"/>
          <w:szCs w:val="28"/>
          <w:rtl w:val="true"/>
          <w:lang w:bidi="ar-SA"/>
        </w:rPr>
        <w:t xml:space="preserve">ان خلا عن الدم، و كذا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فارته و ان أخذت من غير المذكّى، لأنّ النبي صلّى اللّه عليه و آله كان يتطيب به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اشتبه الدم الطاهر بالنجس، فالأصل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 كذا باقي النجاسات</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4191869_2142443653"/>
      <w:bookmarkStart w:id="340" w:name="_Toc140"/>
      <w:bookmarkEnd w:id="339"/>
      <w:r>
        <w:rPr>
          <w:rtl w:val="true"/>
        </w:rPr>
        <w:t>السابعة</w:t>
      </w:r>
      <w:r>
        <w:rPr>
          <w:rtl w:val="true"/>
        </w:rPr>
        <w:t xml:space="preserve">: </w:t>
      </w:r>
      <w:r>
        <w:rPr>
          <w:rtl w:val="true"/>
        </w:rPr>
        <w:t>نجاسة الميت ذاتية</w:t>
      </w:r>
      <w:bookmarkEnd w:id="340"/>
    </w:p>
    <w:p>
      <w:pPr>
        <w:pStyle w:val="BookText"/>
        <w:rPr/>
      </w:pPr>
      <w:r>
        <w:rPr>
          <w:rFonts w:ascii="Amiri" w:hAnsi="Amiri" w:eastAsia="Amiri" w:cs="Amiri"/>
          <w:color w:val="111111"/>
          <w:sz w:val="28"/>
          <w:sz w:val="28"/>
          <w:szCs w:val="28"/>
          <w:rtl w:val="true"/>
          <w:lang w:bidi="ar-SA"/>
        </w:rPr>
        <w:t>في وجه لتعدّيه، و طهره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 الآدمي فلا ريب في عدم طهارته بالغسل</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4191871_2142443653"/>
      <w:bookmarkStart w:id="342" w:name="_Toc141"/>
      <w:bookmarkEnd w:id="341"/>
      <w:r>
        <w:rPr>
          <w:rtl w:val="true"/>
        </w:rPr>
        <w:t>الثامنة</w:t>
      </w:r>
      <w:r>
        <w:rPr>
          <w:rtl w:val="true"/>
        </w:rPr>
        <w:t xml:space="preserve">: </w:t>
      </w:r>
      <w:r>
        <w:rPr>
          <w:rtl w:val="true"/>
        </w:rPr>
        <w:t>ما لا تحلّه الحياة من الميتة طاهر</w:t>
      </w:r>
      <w:bookmarkEnd w:id="3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كالصوف، و الريش، و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الاسم، إلاّ الثلاثة</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4191873_2142443653"/>
      <w:bookmarkStart w:id="344" w:name="_Toc142"/>
      <w:bookmarkEnd w:id="343"/>
      <w:r>
        <w:rPr>
          <w:rtl w:val="true"/>
        </w:rPr>
        <w:t>التاسعة</w:t>
      </w:r>
      <w:r>
        <w:rPr>
          <w:rtl w:val="true"/>
        </w:rPr>
        <w:t xml:space="preserve">: </w:t>
      </w:r>
      <w:r>
        <w:rPr>
          <w:rtl w:val="true"/>
        </w:rPr>
        <w:t>لا ينجس الطعام بموت المتولّد فيه</w:t>
      </w:r>
      <w:bookmarkEnd w:id="344"/>
    </w:p>
    <w:p>
      <w:pPr>
        <w:pStyle w:val="BookText"/>
        <w:rPr/>
      </w:pPr>
      <w:r>
        <w:rPr>
          <w:rFonts w:ascii="Amiri" w:hAnsi="Amiri" w:eastAsia="Amiri" w:cs="Amiri"/>
          <w:color w:val="111111"/>
          <w:sz w:val="28"/>
          <w:sz w:val="28"/>
          <w:szCs w:val="28"/>
          <w:rtl w:val="true"/>
          <w:lang w:bidi="ar-SA"/>
        </w:rPr>
        <w:t>من الدود و شبهه، لطهارته و ان حرم أكله، لاستخباثه</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4191875_2142443653"/>
      <w:bookmarkStart w:id="346" w:name="_Toc143"/>
      <w:bookmarkEnd w:id="345"/>
      <w:r>
        <w:rPr>
          <w:rtl w:val="true"/>
        </w:rPr>
        <w:t>العاشرة</w:t>
      </w:r>
      <w:r>
        <w:rPr>
          <w:rtl w:val="true"/>
        </w:rPr>
        <w:t xml:space="preserve">: </w:t>
      </w:r>
      <w:r>
        <w:rPr>
          <w:rtl w:val="true"/>
        </w:rPr>
        <w:t>الجنين إن حلّ فطاهر، و إلاّ فنجس و إن كان مضغة</w:t>
      </w:r>
      <w:r>
        <w:rPr>
          <w:rtl w:val="true"/>
        </w:rPr>
        <w:t>.</w:t>
      </w:r>
      <w:bookmarkEnd w:id="346"/>
    </w:p>
    <w:p>
      <w:pPr>
        <w:pStyle w:val="BookText"/>
        <w:rPr/>
      </w:pPr>
      <w:r>
        <w:rPr>
          <w:rFonts w:ascii="Amiri" w:hAnsi="Amiri" w:eastAsia="Amiri" w:cs="Amiri"/>
          <w:color w:val="111111"/>
          <w:sz w:val="28"/>
          <w:sz w:val="28"/>
          <w:szCs w:val="28"/>
          <w:rtl w:val="true"/>
          <w:lang w:bidi="ar-SA"/>
        </w:rPr>
        <w:t xml:space="preserve">و بيض المأكول و غيره طاهر و لو من الميتة إذا اكتسى القيض، للرواية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4191877_2142443653"/>
      <w:bookmarkStart w:id="348" w:name="_Toc144"/>
      <w:bookmarkEnd w:id="347"/>
      <w:r>
        <w:rPr>
          <w:rtl w:val="true"/>
        </w:rPr>
        <w:t>الحادية عشرة</w:t>
      </w:r>
      <w:r>
        <w:rPr>
          <w:rtl w:val="true"/>
        </w:rPr>
        <w:t xml:space="preserve">: </w:t>
      </w:r>
      <w:r>
        <w:rPr>
          <w:rtl w:val="true"/>
        </w:rPr>
        <w:t>المسكرات الجامدة بالأصالة طاهرة،</w:t>
      </w:r>
      <w:bookmarkEnd w:id="348"/>
    </w:p>
    <w:p>
      <w:pPr>
        <w:pStyle w:val="BookText"/>
        <w:rPr/>
      </w:pPr>
      <w:r>
        <w:rPr>
          <w:rFonts w:ascii="Amiri" w:hAnsi="Amiri" w:eastAsia="Amiri" w:cs="Amiri"/>
          <w:color w:val="111111"/>
          <w:sz w:val="28"/>
          <w:sz w:val="28"/>
          <w:szCs w:val="28"/>
          <w:rtl w:val="true"/>
          <w:lang w:bidi="ar-SA"/>
        </w:rPr>
        <w:t>فلا ينجّس السيلان العارض، كما لا يطهر الجمود المائع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الخمر في حب العنب نجس</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4191879_2142443653"/>
      <w:bookmarkStart w:id="350" w:name="_Toc145"/>
      <w:bookmarkEnd w:id="349"/>
      <w:r>
        <w:rPr>
          <w:rtl w:val="true"/>
        </w:rPr>
        <w:t>الثانية عشرة</w:t>
      </w:r>
      <w:r>
        <w:rPr>
          <w:rtl w:val="true"/>
        </w:rPr>
        <w:t xml:space="preserve">: </w:t>
      </w:r>
      <w:r>
        <w:rPr>
          <w:rtl w:val="true"/>
        </w:rPr>
        <w:t>المتولد من الكلب و الخنزير نجس</w:t>
      </w:r>
      <w:bookmarkEnd w:id="35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لنجاسة</w:t>
      </w:r>
      <w:bookmarkStart w:id="351" w:name="pg15253_219631"/>
    </w:p>
    <w:p>
      <w:pPr>
        <w:pStyle w:val="BookText"/>
        <w:rPr/>
      </w:pPr>
      <w:bookmarkEnd w:id="351"/>
      <w:r>
        <w:rPr>
          <w:rFonts w:ascii="Amiri" w:hAnsi="Amiri" w:eastAsia="Amiri" w:cs="Amiri"/>
          <w:color w:val="111111"/>
          <w:sz w:val="28"/>
          <w:sz w:val="28"/>
          <w:szCs w:val="28"/>
          <w:rtl w:val="true"/>
          <w:lang w:bidi="ar-SA"/>
        </w:rPr>
        <w:t>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في ولوغه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مع السبع، أخذا بالأمرين، إلاّ مع خلوص التسمية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طهر أحد أصليه تبع الاسم</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4191881_2142443653"/>
      <w:bookmarkStart w:id="353" w:name="_Toc146"/>
      <w:bookmarkEnd w:id="352"/>
      <w:r>
        <w:rPr>
          <w:rtl w:val="true"/>
        </w:rPr>
        <w:t>الثالثة عشرة</w:t>
      </w:r>
      <w:r>
        <w:rPr>
          <w:rtl w:val="true"/>
        </w:rPr>
        <w:t xml:space="preserve">: </w:t>
      </w:r>
      <w:r>
        <w:rPr>
          <w:rtl w:val="true"/>
        </w:rPr>
        <w:t>كلب الماء طاهر</w:t>
      </w:r>
      <w:bookmarkEnd w:id="3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للّفظ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بالنجاسة، لشمول اللفظ</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4191883_2142443653"/>
      <w:bookmarkStart w:id="355" w:name="_Toc147"/>
      <w:bookmarkEnd w:id="354"/>
      <w:r>
        <w:rPr>
          <w:rtl w:val="true"/>
        </w:rPr>
        <w:t>الرابعة عشرة</w:t>
      </w:r>
      <w:r>
        <w:rPr>
          <w:rtl w:val="true"/>
        </w:rPr>
        <w:t xml:space="preserve">: </w:t>
      </w:r>
      <w:r>
        <w:rPr>
          <w:rtl w:val="true"/>
        </w:rPr>
        <w:t>ولد الكافرين نجس</w:t>
      </w:r>
      <w:r>
        <w:rPr>
          <w:rtl w:val="true"/>
        </w:rPr>
        <w:t>.</w:t>
      </w:r>
      <w:bookmarkEnd w:id="355"/>
    </w:p>
    <w:p>
      <w:pPr>
        <w:pStyle w:val="BookText"/>
        <w:rPr/>
      </w:pPr>
      <w:r>
        <w:rPr>
          <w:rFonts w:ascii="Amiri" w:hAnsi="Amiri" w:eastAsia="Amiri" w:cs="Amiri"/>
          <w:color w:val="111111"/>
          <w:sz w:val="28"/>
          <w:sz w:val="28"/>
          <w:szCs w:val="28"/>
          <w:rtl w:val="true"/>
          <w:lang w:bidi="ar-SA"/>
        </w:rPr>
        <w:t>و لو سباه مسلم و قلنا بالتبعية، طهر و إلاّ فلا، و سيأتي ان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4191885_2142443653"/>
      <w:bookmarkStart w:id="357" w:name="_Toc148"/>
      <w:bookmarkEnd w:id="356"/>
      <w:r>
        <w:rPr>
          <w:rtl w:val="true"/>
        </w:rPr>
        <w:t>الخامسة عشرة</w:t>
      </w:r>
      <w:r>
        <w:rPr>
          <w:rtl w:val="true"/>
        </w:rPr>
        <w:t xml:space="preserve">: </w:t>
      </w:r>
      <w:r>
        <w:rPr>
          <w:rtl w:val="true"/>
        </w:rPr>
        <w:t>آنية المشركين و ما في أيديهم طاهرة مع جهل النجاسة،</w:t>
      </w:r>
      <w:bookmarkEnd w:id="357"/>
    </w:p>
    <w:p>
      <w:pPr>
        <w:pStyle w:val="BookText"/>
        <w:rPr/>
      </w:pPr>
      <w:r>
        <w:rPr>
          <w:rFonts w:ascii="Amiri" w:hAnsi="Amiri" w:eastAsia="Amiri" w:cs="Amiri"/>
          <w:color w:val="111111"/>
          <w:sz w:val="28"/>
          <w:sz w:val="28"/>
          <w:szCs w:val="28"/>
          <w:rtl w:val="true"/>
          <w:lang w:bidi="ar-SA"/>
        </w:rPr>
        <w:t>للأصل، و خبر النظيف</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الخبر السالف بغسلها</w:t>
      </w:r>
      <w:r>
        <w:rPr>
          <w:rStyle w:val="FootnoteAnchor"/>
          <w:rtl w:val="true"/>
        </w:rPr>
        <w:footnoteReference w:id="426"/>
      </w:r>
      <w:r>
        <w:rPr>
          <w:rFonts w:ascii="Amiri" w:hAnsi="Amiri" w:eastAsia="Amiri" w:cs="Amiri"/>
          <w:color w:val="111111"/>
          <w:sz w:val="28"/>
          <w:sz w:val="28"/>
          <w:szCs w:val="28"/>
          <w:rtl w:val="true"/>
          <w:lang w:bidi="ar-SA"/>
        </w:rPr>
        <w:t xml:space="preserve">محمول على علم المباشرة برطوبة، و كذا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آنية أهل الذمة و المجوس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فيها</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يصح وضوء النبي صلّى اللّه عليه و آله من مزادة مشرك</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وضوء عمر من جرّة نصرانية مستند إلى رأيه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8" w:name="__RefHeading___Toc4191887_2142443653"/>
      <w:bookmarkStart w:id="359" w:name="_Toc149"/>
      <w:bookmarkEnd w:id="358"/>
      <w:r>
        <w:rPr>
          <w:rtl w:val="true"/>
        </w:rPr>
        <w:t>و يلحق بذلك ما ظن نجاسته و لم يثبت،</w:t>
      </w:r>
      <w:bookmarkEnd w:id="359"/>
    </w:p>
    <w:p>
      <w:pPr>
        <w:pStyle w:val="Heading6"/>
        <w:numPr>
          <w:ilvl w:val="5"/>
          <w:numId w:val="1"/>
        </w:numPr>
        <w:rPr/>
      </w:pPr>
      <w:bookmarkStart w:id="360" w:name="__RefHeading___Toc4191889_2142443653"/>
      <w:bookmarkStart w:id="361" w:name="_Toc150"/>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و هو اثنا عشر، ذكر منها في الأسئار سبعة، و لنذكر هنا خمسة</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4191891_2142443653"/>
      <w:bookmarkStart w:id="363" w:name="_Toc151"/>
      <w:bookmarkEnd w:id="362"/>
      <w:r>
        <w:rPr>
          <w:rtl w:val="true"/>
        </w:rPr>
        <w:t>أولها</w:t>
      </w:r>
      <w:r>
        <w:rPr>
          <w:rtl w:val="true"/>
        </w:rPr>
        <w:t xml:space="preserve">: </w:t>
      </w:r>
      <w:r>
        <w:rPr>
          <w:rtl w:val="true"/>
        </w:rPr>
        <w:t>ذرق الدجاج غير الجلاّل</w:t>
      </w:r>
      <w:bookmarkEnd w:id="3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 لحمه، و 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بخرء الدجاج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نجّسه الشيخان</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كتابي الحديث</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لمكاتبة فارس</w:t>
      </w:r>
      <w:r>
        <w:rPr>
          <w:rStyle w:val="FootnoteAnchor"/>
          <w:rtl w:val="true"/>
        </w:rPr>
        <w:footnoteReference w:id="432"/>
      </w:r>
      <w:r>
        <w:rPr>
          <w:rFonts w:ascii="IRNazanin" w:hAnsi="IRNazanin" w:eastAsia="IRNazanin"/>
          <w:color w:val="111111"/>
          <w:sz w:val="28"/>
          <w:sz w:val="28"/>
          <w:szCs w:val="28"/>
          <w:rtl w:val="true"/>
          <w:lang w:bidi="fa-IR"/>
        </w:rPr>
        <w:t xml:space="preserve">و تحمل على </w:t>
      </w:r>
      <w:bookmarkStart w:id="364" w:name="pg15253_219632"/>
    </w:p>
    <w:p>
      <w:pPr>
        <w:pStyle w:val="BookText"/>
        <w:rPr/>
      </w:pPr>
      <w:bookmarkEnd w:id="364"/>
      <w:r>
        <w:rPr>
          <w:rFonts w:ascii="Amiri" w:hAnsi="Amiri" w:eastAsia="Amiri" w:cs="Amiri"/>
          <w:color w:val="111111"/>
          <w:sz w:val="28"/>
          <w:sz w:val="28"/>
          <w:szCs w:val="28"/>
          <w:rtl w:val="true"/>
          <w:lang w:bidi="ar-SA"/>
        </w:rPr>
        <w:t>الجلاّل مع انها مقطوعة، و الراوي غال</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4191893_2142443653"/>
      <w:bookmarkStart w:id="366" w:name="_Toc152"/>
      <w:bookmarkEnd w:id="365"/>
      <w:r>
        <w:rPr>
          <w:rtl w:val="true"/>
        </w:rPr>
        <w:t>و ثانيها</w:t>
      </w:r>
      <w:r>
        <w:rPr>
          <w:rtl w:val="true"/>
        </w:rPr>
        <w:t xml:space="preserve">: </w:t>
      </w:r>
      <w:r>
        <w:rPr>
          <w:rtl w:val="true"/>
        </w:rPr>
        <w:t>لبن البنت،</w:t>
      </w:r>
      <w:bookmarkEnd w:id="366"/>
    </w:p>
    <w:p>
      <w:pPr>
        <w:pStyle w:val="BookText"/>
        <w:rPr/>
      </w:pPr>
      <w:r>
        <w:rPr>
          <w:rFonts w:ascii="Amiri" w:hAnsi="Amiri" w:eastAsia="Amiri" w:cs="Amiri"/>
          <w:color w:val="111111"/>
          <w:sz w:val="28"/>
          <w:sz w:val="28"/>
          <w:szCs w:val="28"/>
          <w:rtl w:val="true"/>
          <w:lang w:bidi="ar-SA"/>
        </w:rPr>
        <w:t xml:space="preserve">للرواية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على الندب</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7" w:name="__RefHeading___Toc4191895_2142443653"/>
      <w:bookmarkStart w:id="368" w:name="_Toc153"/>
      <w:bookmarkEnd w:id="367"/>
      <w:r>
        <w:rPr>
          <w:rtl w:val="true"/>
        </w:rPr>
        <w:t>و ثالثها</w:t>
      </w:r>
      <w:r>
        <w:rPr>
          <w:rtl w:val="true"/>
        </w:rPr>
        <w:t xml:space="preserve">: </w:t>
      </w:r>
      <w:r>
        <w:rPr>
          <w:rtl w:val="true"/>
        </w:rPr>
        <w:t>القيء،</w:t>
      </w:r>
      <w:bookmarkEnd w:id="368"/>
    </w:p>
    <w:p>
      <w:pPr>
        <w:pStyle w:val="BookText"/>
        <w:rPr/>
      </w:pPr>
      <w:r>
        <w:rPr>
          <w:rFonts w:ascii="Amiri" w:hAnsi="Amiri" w:eastAsia="Amiri" w:cs="Amiri"/>
          <w:color w:val="111111"/>
          <w:sz w:val="28"/>
          <w:sz w:val="28"/>
          <w:szCs w:val="28"/>
          <w:rtl w:val="true"/>
          <w:lang w:bidi="ar-SA"/>
        </w:rPr>
        <w:t>لرواية عمار</w:t>
      </w:r>
      <w:r>
        <w:rPr>
          <w:rStyle w:val="FootnoteAnchor"/>
          <w:rtl w:val="true"/>
        </w:rPr>
        <w:footnoteReference w:id="435"/>
      </w:r>
      <w:r>
        <w:rPr>
          <w:rFonts w:ascii="Amiri" w:hAnsi="Amiri" w:eastAsia="Amiri" w:cs="Amiri"/>
          <w:color w:val="111111"/>
          <w:sz w:val="28"/>
          <w:sz w:val="28"/>
          <w:szCs w:val="28"/>
          <w:rtl w:val="true"/>
          <w:lang w:bidi="ar-SA"/>
        </w:rPr>
        <w:t>، و نقل الشيخ نجاسته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9" w:name="__RefHeading___Toc4191897_2142443653"/>
      <w:bookmarkStart w:id="370" w:name="_Toc154"/>
      <w:bookmarkEnd w:id="369"/>
      <w:r>
        <w:rPr>
          <w:rtl w:val="true"/>
        </w:rPr>
        <w:t>و رابعها</w:t>
      </w:r>
      <w:r>
        <w:rPr>
          <w:rtl w:val="true"/>
        </w:rPr>
        <w:t xml:space="preserve">: </w:t>
      </w:r>
      <w:r>
        <w:rPr>
          <w:rtl w:val="true"/>
        </w:rPr>
        <w:t>عرق الإبل الجلاّلة، و الجنب من الحرام</w:t>
      </w:r>
      <w:bookmarkEnd w:id="3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الخبر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عرق الإبل الجلاّلة</w:t>
      </w:r>
      <w:r>
        <w:rPr>
          <w:rStyle w:val="FootnoteAnchor"/>
          <w:rtl w:val="true"/>
        </w:rPr>
        <w:footnoteReference w:id="437"/>
      </w:r>
      <w:r>
        <w:rPr>
          <w:rFonts w:ascii="Amiri" w:hAnsi="Amiri" w:eastAsia="Amiri" w:cs="Amiri"/>
          <w:color w:val="111111"/>
          <w:sz w:val="28"/>
          <w:sz w:val="28"/>
          <w:szCs w:val="28"/>
          <w:rtl w:val="true"/>
          <w:lang w:bidi="ar-SA"/>
        </w:rPr>
        <w:t>يحمل على الندب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الخبر عنه بغسل ثوب الجنب</w:t>
      </w:r>
      <w:r>
        <w:rPr>
          <w:rStyle w:val="FootnoteAnchor"/>
          <w:rtl w:val="true"/>
        </w:rPr>
        <w:footnoteReference w:id="438"/>
      </w:r>
      <w:r>
        <w:rPr>
          <w:rFonts w:ascii="Amiri" w:hAnsi="Amiri" w:eastAsia="Amiri" w:cs="Amiri"/>
          <w:color w:val="111111"/>
          <w:sz w:val="28"/>
          <w:sz w:val="28"/>
          <w:szCs w:val="28"/>
          <w:rtl w:val="true"/>
          <w:lang w:bidi="ar-SA"/>
        </w:rPr>
        <w:t>يحمل على نجاسته، و هو أولى من حمله على الجنابة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نقل في الخلاف الإجماع على نجاسة عرق الحرام</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الى رواية الأصحاب، و قوّى الكراهية</w:t>
      </w:r>
      <w:r>
        <w:rPr>
          <w:rStyle w:val="FootnoteAnchor"/>
          <w:rtl w:val="true"/>
        </w:rPr>
        <w:footnoteReference w:id="440"/>
      </w:r>
      <w:r>
        <w:rPr>
          <w:rFonts w:ascii="Amiri" w:hAnsi="Amiri" w:eastAsia="Amiri" w:cs="Amiri"/>
          <w:color w:val="111111"/>
          <w:sz w:val="28"/>
          <w:sz w:val="28"/>
          <w:szCs w:val="28"/>
          <w:rtl w:val="true"/>
          <w:lang w:bidi="ar-SA"/>
        </w:rPr>
        <w:t>و لعلّه ما رواه محمد بن همام بإسناده إلى إدريس بن يزداد الكفرتوثي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بالوقف، فدخل سرّ من رأى في عهد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أراد أن يسأله عن الثوب الذي يعرق فيه الجنب، أ يصلّي فيه؟ فبينما هو قائم في طاق باب لانتظاره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بمقرعة، و قال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حلال فصلّ فيه، و ان كان من حرام فلا تصلّ فيه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الكليني بإسناده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يغتسل فيه </w:t>
      </w:r>
      <w:bookmarkStart w:id="371" w:name="pg15253_219633"/>
    </w:p>
    <w:p>
      <w:pPr>
        <w:pStyle w:val="BookText"/>
        <w:rPr/>
      </w:pPr>
      <w:bookmarkEnd w:id="371"/>
      <w:r>
        <w:rPr>
          <w:rFonts w:ascii="IRNazanin" w:hAnsi="IRNazanin" w:eastAsia="IRNazanin"/>
          <w:color w:val="111111"/>
          <w:sz w:val="28"/>
          <w:sz w:val="28"/>
          <w:szCs w:val="28"/>
          <w:rtl w:val="true"/>
          <w:lang w:bidi="fa-IR"/>
        </w:rPr>
        <w:t>الجنب من الحرام</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غسالته، فإنه يغتسل فيه من الزنا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عرق الجنب من الحلال، و الحائض، و النفساء، و المستحاضة، فطاهر إجماعا، قاله في المعتبر</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2" w:name="__RefHeading___Toc4191899_2142443653"/>
      <w:bookmarkStart w:id="373" w:name="_Toc155"/>
      <w:bookmarkEnd w:id="372"/>
      <w:r>
        <w:rPr>
          <w:rtl w:val="true"/>
        </w:rPr>
        <w:t>و خامسها</w:t>
      </w:r>
      <w:r>
        <w:rPr>
          <w:rtl w:val="true"/>
        </w:rPr>
        <w:t xml:space="preserve">: </w:t>
      </w:r>
      <w:r>
        <w:rPr>
          <w:rtl w:val="true"/>
        </w:rPr>
        <w:t>المذي</w:t>
      </w:r>
      <w:bookmarkEnd w:id="3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فيه الإجماع،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هو بمنزلة النخامة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لمرسلة ابن أبي عمير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 المذي عقيب الشهوة و ينقض الطهارة</w:t>
      </w:r>
      <w:r>
        <w:rPr>
          <w:rStyle w:val="FootnoteAnchor"/>
          <w:rtl w:val="true"/>
        </w:rPr>
        <w:footnoteReference w:id="444"/>
      </w:r>
      <w:r>
        <w:rPr>
          <w:rFonts w:ascii="Amiri" w:hAnsi="Amiri" w:eastAsia="Amiri" w:cs="Amiri"/>
          <w:color w:val="111111"/>
          <w:sz w:val="28"/>
          <w:sz w:val="28"/>
          <w:szCs w:val="28"/>
          <w:rtl w:val="true"/>
          <w:lang w:bidi="ar-SA"/>
        </w:rPr>
        <w:t xml:space="preserve">، لرواية الحسين بن أبي العلاء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فاغسله</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السند منع، و يحمل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عقيب البول، و الوذي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المني، طاهران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الحديد طاهر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حلق شعره أو قص ظفره بالحديد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يمسحه بالماء</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xml:space="preserve">محمول على الندب، و ما في </w:t>
      </w:r>
      <w:bookmarkStart w:id="374" w:name="pg15253_219634"/>
    </w:p>
    <w:p>
      <w:pPr>
        <w:pStyle w:val="BookText"/>
        <w:rPr/>
      </w:pPr>
      <w:bookmarkEnd w:id="374"/>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الحديث نجس</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لتأكيد الاستحباب</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4191901_2142443653"/>
      <w:bookmarkStart w:id="376" w:name="_Toc156"/>
      <w:bookmarkEnd w:id="375"/>
      <w:r>
        <w:rPr>
          <w:rtl w:val="true"/>
        </w:rPr>
        <w:t>في أحكام النجاسات، و فيها بحوث</w:t>
      </w:r>
      <w:r>
        <w:rPr>
          <w:rtl w:val="true"/>
        </w:rPr>
        <w:t>:</w:t>
      </w:r>
      <w:bookmarkEnd w:id="376"/>
    </w:p>
    <w:p>
      <w:pPr>
        <w:pStyle w:val="Heading6"/>
        <w:numPr>
          <w:ilvl w:val="5"/>
          <w:numId w:val="1"/>
        </w:numPr>
        <w:rPr/>
      </w:pPr>
      <w:bookmarkStart w:id="377" w:name="__RefHeading___Toc4191903_2142443653"/>
      <w:bookmarkStart w:id="378" w:name="_Toc157"/>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و أمّا الحكم ففيه عشرون بحثا</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4191905_2142443653"/>
      <w:bookmarkStart w:id="380" w:name="_Toc158"/>
      <w:bookmarkEnd w:id="379"/>
      <w:r>
        <w:rPr>
          <w:rtl w:val="true"/>
        </w:rPr>
        <w:t>الأول</w:t>
      </w:r>
      <w:r>
        <w:rPr>
          <w:rtl w:val="true"/>
        </w:rPr>
        <w:t xml:space="preserve">: </w:t>
      </w:r>
      <w:r>
        <w:rPr>
          <w:rtl w:val="true"/>
        </w:rPr>
        <w:t>يجب ازالة ما عدا الدم عن الثوب و البدن،</w:t>
      </w:r>
      <w:bookmarkEnd w:id="380"/>
    </w:p>
    <w:p>
      <w:pPr>
        <w:pStyle w:val="BookText"/>
        <w:rPr/>
      </w:pPr>
      <w:r>
        <w:rPr>
          <w:rFonts w:ascii="Amiri" w:hAnsi="Amiri" w:eastAsia="Amiri" w:cs="Amiri"/>
          <w:color w:val="111111"/>
          <w:sz w:val="28"/>
          <w:sz w:val="28"/>
          <w:szCs w:val="28"/>
          <w:rtl w:val="true"/>
          <w:lang w:bidi="ar-SA"/>
        </w:rPr>
        <w:t xml:space="preserve">للصلاة، و الطواف، و دخول المساجد مع التلويث، لعموم وَ ثِيابَكَ فَطَهِّرْ </w:t>
      </w:r>
      <w:r>
        <w:rPr>
          <w:rStyle w:val="FootnoteAnchor"/>
          <w:rtl w:val="true"/>
        </w:rPr>
        <w:footnoteReference w:id="448"/>
      </w:r>
      <w:r>
        <w:rPr>
          <w:rFonts w:ascii="Amiri" w:hAnsi="Amiri" w:eastAsia="Amiri" w:cs="Amiri"/>
          <w:color w:val="111111"/>
          <w:sz w:val="28"/>
          <w:sz w:val="28"/>
          <w:szCs w:val="28"/>
          <w:rtl w:val="true"/>
          <w:lang w:bidi="ar-SA"/>
        </w:rPr>
        <w:t xml:space="preserve">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يعلم وجوب إزالتها عن المساجد، و هو فرض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التلويث، أمّا مع عدمه فلا، لجواز دخول الحائض و المستحاضة المسجد و الأطفال و هم لا ينفكون عن النجاسة غالبا، و منع الكافر لغلظ نجاسته أو لأنّه معرّض للتلويث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للجنب و الحائض دخول المسجد بالإجماع، و لم يعتبر التلويث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ان المساجد يجب ان تجنّب النجاسات</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يجب إزالة النجاسة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مسجد الجبهة، للنص</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المصلّى بأسره عند المرتضى</w:t>
      </w:r>
      <w:r>
        <w:rPr>
          <w:rStyle w:val="FootnoteAnchor"/>
          <w:rtl w:val="true"/>
        </w:rPr>
        <w:footnoteReference w:id="452"/>
      </w:r>
      <w:r>
        <w:rPr>
          <w:rFonts w:ascii="Amiri" w:hAnsi="Amiri" w:eastAsia="Amiri" w:cs="Amiri"/>
          <w:color w:val="111111"/>
          <w:sz w:val="28"/>
          <w:sz w:val="28"/>
          <w:szCs w:val="28"/>
          <w:rtl w:val="true"/>
          <w:lang w:bidi="ar-SA"/>
        </w:rPr>
        <w:t>، و المساجد السبعة عند أبي الصلاح</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لدعوى الشيخ الإجماع على ذلك</w:t>
      </w:r>
      <w:r>
        <w:rPr>
          <w:rStyle w:val="FootnoteAnchor"/>
          <w:rtl w:val="true"/>
        </w:rPr>
        <w:footnoteReference w:id="454"/>
      </w:r>
      <w:r>
        <w:rPr>
          <w:rFonts w:ascii="Amiri" w:hAnsi="Amiri" w:eastAsia="Amiri" w:cs="Amiri"/>
          <w:color w:val="111111"/>
          <w:sz w:val="28"/>
          <w:sz w:val="28"/>
          <w:szCs w:val="28"/>
          <w:rtl w:val="true"/>
          <w:lang w:bidi="ar-SA"/>
        </w:rPr>
        <w:t xml:space="preserve">، و لتجويز الصلاة على </w:t>
      </w:r>
      <w:bookmarkStart w:id="381" w:name="pg15253_219635"/>
    </w:p>
    <w:p>
      <w:pPr>
        <w:pStyle w:val="BookText"/>
        <w:rPr/>
      </w:pPr>
      <w:bookmarkEnd w:id="381"/>
      <w:r>
        <w:rPr>
          <w:rFonts w:ascii="Amiri" w:hAnsi="Amiri" w:eastAsia="Amiri" w:cs="Amiri"/>
          <w:color w:val="111111"/>
          <w:sz w:val="28"/>
          <w:sz w:val="28"/>
          <w:szCs w:val="28"/>
          <w:rtl w:val="true"/>
          <w:lang w:bidi="ar-SA"/>
        </w:rPr>
        <w:t>الشاذ كونة</w:t>
      </w:r>
      <w:r>
        <w:rPr>
          <w:rStyle w:val="FootnoteAnchor"/>
          <w:rtl w:val="true"/>
        </w:rPr>
        <w:footnoteReference w:id="455"/>
      </w:r>
      <w:r>
        <w:rPr>
          <w:rFonts w:ascii="Amiri" w:hAnsi="Amiri" w:eastAsia="Amiri" w:cs="Amiri"/>
          <w:color w:val="111111"/>
          <w:sz w:val="28"/>
          <w:sz w:val="28"/>
          <w:szCs w:val="28"/>
          <w:rtl w:val="true"/>
          <w:lang w:bidi="ar-SA"/>
        </w:rPr>
        <w:t xml:space="preserve">عليها الجنابة بنص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و لا يستقر الوجوب في شيء من ذلك إلاّ مع تعيّن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كلّ مستعمل برطوبة، في أكل أو شرب، أو ضوء تحت ظل، لتحريم النجس، و النص</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عمّا أمر الشرع بتعظيمه، كالمصحف، و الضرائح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ذهاب العين و الأثر، و لا عبرة بالرائحة و اللون، لعسر الإزالة، دفعا للحرج، و الرواية</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صبغه بالمشق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 إسكان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المغرة</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بتحريك 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 للنص</w:t>
      </w:r>
      <w:r>
        <w:rPr>
          <w:rStyle w:val="FootnoteAnchor"/>
          <w:rtl w:val="true"/>
        </w:rPr>
        <w:footnoteReference w:id="460"/>
      </w:r>
      <w:r>
        <w:rPr>
          <w:rFonts w:ascii="Amiri" w:hAnsi="Amiri" w:eastAsia="Amiri" w:cs="Amiri"/>
          <w:color w:val="111111"/>
          <w:sz w:val="28"/>
          <w:sz w:val="28"/>
          <w:szCs w:val="28"/>
          <w:rtl w:val="true"/>
          <w:lang w:bidi="ar-SA"/>
        </w:rPr>
        <w:t>لتزول صورته من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حتّ دم الحيض و قرصه</w:t>
      </w:r>
      <w:r>
        <w:rPr>
          <w:rStyle w:val="FootnoteAnchor"/>
          <w:rtl w:val="true"/>
        </w:rPr>
        <w:footnoteReference w:id="461"/>
      </w:r>
      <w:r>
        <w:rPr>
          <w:rFonts w:ascii="Amiri" w:hAnsi="Amiri" w:eastAsia="Amiri" w:cs="Amiri"/>
          <w:color w:val="111111"/>
          <w:sz w:val="28"/>
          <w:sz w:val="28"/>
          <w:szCs w:val="28"/>
          <w:rtl w:val="true"/>
          <w:lang w:bidi="ar-SA"/>
        </w:rPr>
        <w:t>و ليسا بشرطين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العصر في غير القليل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يجب، لوجوب إخراج النجاسة، 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لظن انفصال النجاسة مع الماء بخلاف الجفاف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بول الصبي فيكفي الصب عليه، للنص</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بول الصبية قول بالمساواة، و العصر أولى</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4191907_2142443653"/>
      <w:bookmarkStart w:id="383" w:name="_Toc159"/>
      <w:bookmarkEnd w:id="382"/>
      <w:r>
        <w:rPr>
          <w:rtl w:val="true"/>
        </w:rPr>
        <w:t>الثاني</w:t>
      </w:r>
      <w:r>
        <w:rPr>
          <w:rtl w:val="true"/>
        </w:rPr>
        <w:t xml:space="preserve">: </w:t>
      </w:r>
      <w:r>
        <w:rPr>
          <w:rtl w:val="true"/>
        </w:rPr>
        <w:t>انما يطهر بالغسل العددي ما يمكن فصل الغسالة عنه</w:t>
      </w:r>
      <w:bookmarkEnd w:id="38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كالثوب و يجزئ في الثخين كاللحاف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و الغمز، للرواية</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تطهر المائعات </w:t>
      </w:r>
      <w:bookmarkStart w:id="384" w:name="pg15253_219636"/>
    </w:p>
    <w:p>
      <w:pPr>
        <w:pStyle w:val="BookText"/>
        <w:rPr/>
      </w:pPr>
      <w:bookmarkEnd w:id="384"/>
      <w:r>
        <w:rPr>
          <w:rFonts w:ascii="Amiri" w:hAnsi="Amiri" w:eastAsia="Amiri" w:cs="Amiri"/>
          <w:color w:val="111111"/>
          <w:sz w:val="28"/>
          <w:sz w:val="28"/>
          <w:szCs w:val="28"/>
          <w:rtl w:val="true"/>
          <w:lang w:bidi="ar-SA"/>
        </w:rPr>
        <w:t>و القرطاس و الطين و لو ضربت بالماء إلاّ في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طهارة الدهن في الكثير وجه اختاره الفاضل في تذكرته، و كذا العجين إذا رقّق و تخلّله الماء</w:t>
      </w:r>
      <w:r>
        <w:rPr>
          <w:rStyle w:val="FootnoteAnchor"/>
          <w:rtl w:val="true"/>
        </w:rPr>
        <w:footnoteReference w:id="464"/>
      </w:r>
      <w:r>
        <w:rPr>
          <w:rFonts w:ascii="Amiri" w:hAnsi="Amiri" w:eastAsia="Amiri" w:cs="Amiri"/>
          <w:color w:val="111111"/>
          <w:sz w:val="28"/>
          <w:sz w:val="28"/>
          <w:szCs w:val="28"/>
          <w:rtl w:val="true"/>
          <w:lang w:bidi="ar-SA"/>
        </w:rPr>
        <w:t xml:space="preserve">، و في صحاح ابن أبي عمير المرسلة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 بالخبز</w:t>
      </w:r>
      <w:r>
        <w:rPr>
          <w:rStyle w:val="FootnoteAnchor"/>
          <w:rtl w:val="true"/>
        </w:rPr>
        <w:footnoteReference w:id="465"/>
      </w:r>
      <w:r>
        <w:rPr>
          <w:rFonts w:ascii="Amiri" w:hAnsi="Amiri" w:eastAsia="Amiri" w:cs="Amiri"/>
          <w:color w:val="111111"/>
          <w:sz w:val="28"/>
          <w:sz w:val="28"/>
          <w:szCs w:val="28"/>
          <w:rtl w:val="true"/>
          <w:lang w:bidi="ar-SA"/>
        </w:rPr>
        <w:t>و البيع</w:t>
      </w:r>
      <w:r>
        <w:rPr>
          <w:rStyle w:val="FootnoteAnchor"/>
          <w:rtl w:val="true"/>
        </w:rPr>
        <w:footnoteReference w:id="466"/>
      </w:r>
      <w:r>
        <w:rPr>
          <w:rFonts w:ascii="IRNazanin" w:hAnsi="IRNazanin" w:eastAsia="IRNazanin"/>
          <w:color w:val="111111"/>
          <w:sz w:val="28"/>
          <w:sz w:val="28"/>
          <w:szCs w:val="28"/>
          <w:rtl w:val="true"/>
          <w:lang w:bidi="fa-IR"/>
        </w:rPr>
        <w:t>و الدفن</w:t>
      </w:r>
      <w:r>
        <w:rPr>
          <w:rStyle w:val="FootnoteAnchor"/>
          <w:rtl w:val="true"/>
        </w:rPr>
        <w:footnoteReference w:id="467"/>
      </w:r>
      <w:r>
        <w:rPr>
          <w:rFonts w:ascii="Amiri" w:hAnsi="Amiri" w:eastAsia="Amiri" w:cs="Amiri"/>
          <w:color w:val="111111"/>
          <w:sz w:val="28"/>
          <w:sz w:val="28"/>
          <w:szCs w:val="28"/>
          <w:rtl w:val="true"/>
          <w:lang w:bidi="ar-SA"/>
        </w:rPr>
        <w:t>و هي مشعرة بسد باب طهارته بالماء، إلاّ أن يقيّد بالمعهود من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الحنطة و اللحم و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طبخ بالماء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بالكثير إذا علم التخلل، و كذا الجلد المدهون بالنجس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طهارة الحديد المشرب بالنجس، بتشريبه بالماء الطاهر، احتمال مع كثرة الماء بل و مع قلته، لملاقاة الطاهر ما لاقى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طهره كالآجر، لما يأتي</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4191909_2142443653"/>
      <w:bookmarkStart w:id="386" w:name="_Toc160"/>
      <w:bookmarkEnd w:id="385"/>
      <w:r>
        <w:rPr>
          <w:rtl w:val="true"/>
        </w:rPr>
        <w:t>الثالث</w:t>
      </w:r>
      <w:r>
        <w:rPr>
          <w:rtl w:val="true"/>
        </w:rPr>
        <w:t xml:space="preserve">: </w:t>
      </w:r>
      <w:r>
        <w:rPr>
          <w:rtl w:val="true"/>
        </w:rPr>
        <w:t>يكفي الغسل مرة في غير الإناء،</w:t>
      </w:r>
      <w:bookmarkEnd w:id="386"/>
    </w:p>
    <w:p>
      <w:pPr>
        <w:pStyle w:val="BookText"/>
        <w:rPr/>
      </w:pPr>
      <w:r>
        <w:rPr>
          <w:rFonts w:ascii="Amiri" w:hAnsi="Amiri" w:eastAsia="Amiri" w:cs="Amiri"/>
          <w:color w:val="111111"/>
          <w:sz w:val="28"/>
          <w:sz w:val="28"/>
          <w:szCs w:val="28"/>
          <w:rtl w:val="true"/>
          <w:lang w:bidi="ar-SA"/>
        </w:rPr>
        <w:t>لقول النبي صلّى اللّه عليه و آله في دم الحيض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حتّيه ثم اغسليه</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و كذا أوامر الغسل، و الأمر المطلق لا يقتضي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البول فيجب تثنيته،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الثوب يصيب البول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مرتين،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للإزالة،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للإنقاء</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قيل في الباقي كذلك كان أولى، لمفهوم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نجاسة غير البول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تستحب الثالثة، 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يراعى العدد إلاّ في </w:t>
      </w:r>
    </w:p>
    <w:p>
      <w:pPr>
        <w:pStyle w:val="BookText"/>
        <w:rPr/>
      </w:pPr>
      <w:r>
        <w:rPr>
          <w:rFonts w:ascii="IRNazanin" w:hAnsi="IRNazanin" w:eastAsia="IRNazanin"/>
          <w:color w:val="111111"/>
          <w:sz w:val="28"/>
          <w:sz w:val="28"/>
          <w:szCs w:val="28"/>
          <w:rtl w:val="true"/>
          <w:lang w:bidi="fa-IR"/>
        </w:rPr>
        <w:t>الولوغ</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الإناء، فالإجماع على الثلاث في ولوغ الكلب، و لخبر الفضل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بالتراب أول مرة، ثم بالماء مرتين</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 أوجب سبعا</w:t>
      </w:r>
      <w:r>
        <w:rPr>
          <w:rStyle w:val="FootnoteAnchor"/>
          <w:rtl w:val="true"/>
        </w:rPr>
        <w:footnoteReference w:id="472"/>
      </w:r>
      <w:r>
        <w:rPr>
          <w:rFonts w:ascii="Amiri" w:hAnsi="Amiri" w:eastAsia="Amiri" w:cs="Amiri"/>
          <w:color w:val="111111"/>
          <w:sz w:val="28"/>
          <w:sz w:val="28"/>
          <w:szCs w:val="28"/>
          <w:rtl w:val="true"/>
          <w:lang w:bidi="ar-SA"/>
        </w:rPr>
        <w:t>، للخبر عن النبي صلّى اللّه عليه و آله</w:t>
      </w:r>
      <w:r>
        <w:rPr>
          <w:rStyle w:val="FootnoteAnchor"/>
          <w:rtl w:val="true"/>
        </w:rPr>
        <w:footnoteReference w:id="473"/>
      </w:r>
      <w:r>
        <w:rPr>
          <w:rFonts w:ascii="Amiri" w:hAnsi="Amiri" w:eastAsia="Amiri" w:cs="Amiri"/>
          <w:color w:val="111111"/>
          <w:sz w:val="28"/>
          <w:sz w:val="28"/>
          <w:szCs w:val="28"/>
          <w:rtl w:val="true"/>
          <w:lang w:bidi="ar-SA"/>
        </w:rPr>
        <w:t xml:space="preserve">و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من الخمر سبعا، و كذا الكلب</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يعارض بما روي من التخيير بينها و بين الخمس و الثلاث</w:t>
      </w:r>
      <w:r>
        <w:rPr>
          <w:rStyle w:val="FootnoteAnchor"/>
          <w:rtl w:val="true"/>
        </w:rPr>
        <w:footnoteReference w:id="475"/>
      </w:r>
      <w:r>
        <w:rPr>
          <w:rFonts w:ascii="Amiri" w:hAnsi="Amiri" w:eastAsia="Amiri" w:cs="Amiri"/>
          <w:color w:val="111111"/>
          <w:sz w:val="28"/>
          <w:sz w:val="28"/>
          <w:szCs w:val="28"/>
          <w:rtl w:val="true"/>
          <w:lang w:bidi="ar-SA"/>
        </w:rPr>
        <w:t>، فيحمل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التراب في الأولى، لخبر الفضل</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الوسطى</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الراوندي و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تمزج بالماء، تحصيلا لحقيقة الغسل</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انتفاء الحقيقة على التقديرين، و الخبر مطلق فلا ترجيح، و ازالة اللعاب حاصلة بهما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يجزئ غير التراب إلاّ للضرورة،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الجنيد خيّر</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مباشرة الكلب بباقي أعضائه كولوغه، عند المفيد</w:t>
      </w:r>
      <w:r>
        <w:rPr>
          <w:rStyle w:val="FootnoteAnchor"/>
          <w:rtl w:val="true"/>
        </w:rPr>
        <w:footnoteReference w:id="480"/>
      </w:r>
      <w:r>
        <w:rPr>
          <w:rFonts w:ascii="Amiri" w:hAnsi="Amiri" w:eastAsia="Amiri" w:cs="Amiri"/>
          <w:color w:val="111111"/>
          <w:sz w:val="28"/>
          <w:sz w:val="28"/>
          <w:szCs w:val="28"/>
          <w:rtl w:val="true"/>
          <w:lang w:bidi="ar-SA"/>
        </w:rPr>
        <w:t>و ابن بابويه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المشهور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الأولى اعتبار تقدّم التراب في الجاري و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يشترط فيهما العدد، خلافا للشيخ</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الأمر بالتراب، و لعلّه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لإزالة النجاسة، كفى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اختيار الفاضل، لظاهر رواية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الإناء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بماء يصبّ فيه ثم يحرّك فيه، ثم يفرغ ثم يصبّ فيه ماء ثم يفرغ، ثم يصب فيه ماء آخر</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 فان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العدد مع صب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يتكرر الغسل بتكرر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يعاد بولوغ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نجس بغيره في الأثناء، كفى الإتمام إن لم نوجب الثلاث في الإناء، و إلاّ استؤنف ثلاثا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التراب فيما نجس بماء الولوغ، و لا الجفاف، خلافا للشيخ</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الخنزير لا يساويه، خلافا للشيخ في المبسوط، لتسميته كلبا، و لعدم الفارق</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فيه بالماء، لنص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كذا الخمر و المسكر و الجرذ، للخبرين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فيهما، لرواية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الخمر، و احتمل فيه أن تحمل السبع على الجرذ فلا يتناول الفأرة، ثم رجع إلى المرة</w:t>
      </w:r>
      <w:r>
        <w:rPr>
          <w:rStyle w:val="FootnoteAnchor"/>
          <w:rtl w:val="true"/>
        </w:rPr>
        <w:footnoteReference w:id="488"/>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يغسل الإناء من غير ذلك ثلاثا، لرواية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الكوز و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فيه الماء و يفرغ ثلاثا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المعتبر و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المرّة فيما عدا الولوغ، لحصول الغرض من الإزالة، و ضعف رواية عمار</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المذهب بالرواية الضعيفة، و خصوصا مع نقل الشيخ الإجماع</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عدم اعتبار العدد في الجاري و الكثير في غير الولوغ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المرتين في الراكد دون الجاري</w:t>
      </w:r>
      <w:r>
        <w:rPr>
          <w:rStyle w:val="FootnoteAnchor"/>
          <w:rtl w:val="true"/>
        </w:rPr>
        <w:footnoteReference w:id="492"/>
      </w:r>
      <w:r>
        <w:rPr>
          <w:rFonts w:ascii="Amiri" w:hAnsi="Amiri" w:eastAsia="Amiri" w:cs="Amiri"/>
          <w:color w:val="111111"/>
          <w:sz w:val="28"/>
          <w:sz w:val="28"/>
          <w:szCs w:val="28"/>
          <w:rtl w:val="true"/>
          <w:lang w:bidi="ar-SA"/>
        </w:rPr>
        <w:t xml:space="preserve">، لحسنة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محمول على الناقص عن الكر أو على الندب، لتغاير المياه في الجاري، فكأنّه غسل أكثر من مرّة بخلاف الراكد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آنية الخمر بين المغضور</w:t>
      </w:r>
      <w:r>
        <w:rPr>
          <w:rStyle w:val="FootnoteAnchor"/>
          <w:rtl w:val="true"/>
        </w:rPr>
        <w:footnoteReference w:id="494"/>
      </w:r>
      <w:r>
        <w:rPr>
          <w:rFonts w:ascii="Amiri" w:hAnsi="Amiri" w:eastAsia="Amiri" w:cs="Amiri"/>
          <w:color w:val="111111"/>
          <w:sz w:val="28"/>
          <w:sz w:val="28"/>
          <w:szCs w:val="28"/>
          <w:rtl w:val="true"/>
          <w:lang w:bidi="ar-SA"/>
        </w:rPr>
        <w:t>و غيره، لإطلاق الرواية</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387" w:name="pg15253_219640"/>
    </w:p>
    <w:p>
      <w:pPr>
        <w:pStyle w:val="BookText"/>
        <w:rPr/>
      </w:pPr>
      <w:bookmarkEnd w:id="387"/>
      <w:r>
        <w:rPr>
          <w:rFonts w:ascii="Amiri" w:hAnsi="Amiri" w:eastAsia="Amiri" w:cs="Amiri"/>
          <w:color w:val="111111"/>
          <w:sz w:val="28"/>
          <w:sz w:val="28"/>
          <w:szCs w:val="28"/>
          <w:rtl w:val="true"/>
          <w:lang w:bidi="ar-SA"/>
        </w:rPr>
        <w:t>النبي صلّى اللّه عليه و آله عن الخشب</w:t>
      </w:r>
      <w:r>
        <w:rPr>
          <w:rStyle w:val="FootnoteAnchor"/>
          <w:rtl w:val="true"/>
        </w:rPr>
        <w:footnoteReference w:id="496"/>
      </w:r>
      <w:r>
        <w:rPr>
          <w:rFonts w:ascii="Amiri" w:hAnsi="Amiri" w:eastAsia="Amiri" w:cs="Amiri"/>
          <w:color w:val="111111"/>
          <w:sz w:val="28"/>
          <w:sz w:val="28"/>
          <w:szCs w:val="28"/>
          <w:rtl w:val="true"/>
          <w:lang w:bidi="ar-SA"/>
        </w:rPr>
        <w:t>للتنزيه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البدن فيصبّ عليه مرتين،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البول يصيب الجسد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 عليه مرتين، فإنما هو ماء</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و فيه اشعار بعدم الدلك فيه، و لو احتيج الى الدلك في غيره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المرتين تقديرهما كالماء المتصل</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4191911_2142443653"/>
      <w:bookmarkStart w:id="389" w:name="_Toc161"/>
      <w:bookmarkEnd w:id="388"/>
      <w:r>
        <w:rPr>
          <w:rtl w:val="true"/>
        </w:rPr>
        <w:t>الرابع</w:t>
      </w:r>
      <w:r>
        <w:rPr>
          <w:rtl w:val="true"/>
        </w:rPr>
        <w:t xml:space="preserve">: </w:t>
      </w:r>
      <w:r>
        <w:rPr>
          <w:rtl w:val="true"/>
        </w:rPr>
        <w:t>تطهر الأرض و الحصر و البواري بتجفيف الشمس،</w:t>
      </w:r>
      <w:bookmarkEnd w:id="389"/>
    </w:p>
    <w:p>
      <w:pPr>
        <w:pStyle w:val="BookText"/>
        <w:rPr/>
      </w:pPr>
      <w:r>
        <w:rPr>
          <w:rFonts w:ascii="Amiri" w:hAnsi="Amiri" w:eastAsia="Amiri" w:cs="Amiri"/>
          <w:color w:val="111111"/>
          <w:sz w:val="28"/>
          <w:sz w:val="28"/>
          <w:szCs w:val="28"/>
          <w:rtl w:val="true"/>
          <w:lang w:bidi="ar-SA"/>
        </w:rPr>
        <w:t xml:space="preserve">من نجاسة البول و شبهه، و الخمر في الأقرب،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أشرقت عليه الشمس فقد طهر</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و في رواية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البول و غيره</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الراوندي و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الصلاة عليها و لا تطهر</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إليه المحقق، لروايتي عمار و علي بن جعفر، عن الصادق و الكاظم عليهما السلام، بجواز الصلاة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منع الراوندي من طهارة غير الثلاثة</w:t>
      </w:r>
      <w:r>
        <w:rPr>
          <w:rStyle w:val="FootnoteAnchor"/>
          <w:rtl w:val="true"/>
        </w:rPr>
        <w:footnoteReference w:id="502"/>
      </w:r>
      <w:r>
        <w:rPr>
          <w:rFonts w:ascii="Amiri" w:hAnsi="Amiri" w:eastAsia="Amiri" w:cs="Amiri"/>
          <w:color w:val="111111"/>
          <w:sz w:val="28"/>
          <w:sz w:val="28"/>
          <w:szCs w:val="28"/>
          <w:rtl w:val="true"/>
          <w:lang w:bidi="ar-SA"/>
        </w:rPr>
        <w:t>، و الخبر يدفعه، لشموله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و الشجر، و 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يطهر المنقول عادة غير الأخيرين</w:t>
      </w:r>
      <w:r>
        <w:rPr>
          <w:rStyle w:val="FootnoteAnchor"/>
          <w:rtl w:val="true"/>
        </w:rPr>
        <w:footnoteReference w:id="503"/>
      </w:r>
      <w:r>
        <w:rPr>
          <w:rFonts w:ascii="Amiri" w:hAnsi="Amiri" w:eastAsia="Amiri" w:cs="Amiri"/>
          <w:color w:val="111111"/>
          <w:sz w:val="28"/>
          <w:sz w:val="28"/>
          <w:szCs w:val="28"/>
          <w:rtl w:val="true"/>
          <w:lang w:bidi="ar-SA"/>
        </w:rPr>
        <w:t>اقتصارا على المتيقن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المزيل للعين تطهّر، و أوّل بإرادة ذهاب الأجزاء </w:t>
      </w:r>
      <w:bookmarkStart w:id="390" w:name="pg15253_219641"/>
    </w:p>
    <w:p>
      <w:pPr>
        <w:pStyle w:val="BookText"/>
        <w:rPr/>
      </w:pPr>
      <w:bookmarkEnd w:id="390"/>
      <w:r>
        <w:rPr>
          <w:rFonts w:ascii="Amiri" w:hAnsi="Amiri" w:eastAsia="Amiri" w:cs="Amiri"/>
          <w:color w:val="111111"/>
          <w:sz w:val="28"/>
          <w:sz w:val="28"/>
          <w:szCs w:val="28"/>
          <w:rtl w:val="true"/>
          <w:lang w:bidi="ar-SA"/>
        </w:rPr>
        <w:t>المنجّسة، لحكمه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تطهر الأرض بجفاف غير الشمس</w:t>
      </w:r>
      <w:r>
        <w:rPr>
          <w:rStyle w:val="FootnoteAnchor"/>
          <w:rtl w:val="true"/>
        </w:rPr>
        <w:footnoteReference w:id="504"/>
      </w:r>
      <w:r>
        <w:rPr>
          <w:rFonts w:ascii="Amiri" w:hAnsi="Amiri" w:eastAsia="Amiri" w:cs="Amiri"/>
          <w:color w:val="111111"/>
          <w:sz w:val="28"/>
          <w:sz w:val="28"/>
          <w:szCs w:val="28"/>
          <w:rtl w:val="true"/>
          <w:lang w:bidi="ar-SA"/>
        </w:rPr>
        <w:t>و قطع في المبسوط بعدم الطهارة بتجفيف الريح، و بطهارة حجر الاستنجاء بالشمس</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تطهر المجزرة</w:t>
      </w:r>
      <w:r>
        <w:rPr>
          <w:rStyle w:val="FootnoteAnchor"/>
          <w:rtl w:val="true"/>
        </w:rPr>
        <w:footnoteReference w:id="506"/>
      </w:r>
      <w:r>
        <w:rPr>
          <w:rFonts w:ascii="Amiri" w:hAnsi="Amiri" w:eastAsia="Amiri" w:cs="Amiri"/>
          <w:color w:val="111111"/>
          <w:sz w:val="28"/>
          <w:sz w:val="28"/>
          <w:szCs w:val="28"/>
          <w:rtl w:val="true"/>
          <w:lang w:bidi="ar-SA"/>
        </w:rPr>
        <w:t>و الكنيف بالشمس، لبقاء العين غالبا، و كذا كل ما يبقى فيه العين</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4191913_2142443653"/>
      <w:bookmarkStart w:id="392" w:name="_Toc162"/>
      <w:bookmarkEnd w:id="391"/>
      <w:r>
        <w:rPr>
          <w:rtl w:val="true"/>
        </w:rPr>
        <w:t>الخامس</w:t>
      </w:r>
      <w:r>
        <w:rPr>
          <w:rtl w:val="true"/>
        </w:rPr>
        <w:t xml:space="preserve">: </w:t>
      </w:r>
      <w:r>
        <w:rPr>
          <w:rtl w:val="true"/>
        </w:rPr>
        <w:t>يطهر باطن القدم و باطن النعل و الخف بالأرض،</w:t>
      </w:r>
      <w:bookmarkEnd w:id="392"/>
    </w:p>
    <w:p>
      <w:pPr>
        <w:pStyle w:val="BookText"/>
        <w:rPr/>
      </w:pPr>
      <w:r>
        <w:rPr>
          <w:rFonts w:ascii="Amiri" w:hAnsi="Amiri" w:eastAsia="Amiri" w:cs="Amiri"/>
          <w:color w:val="111111"/>
          <w:sz w:val="28"/>
          <w:sz w:val="28"/>
          <w:szCs w:val="28"/>
          <w:rtl w:val="true"/>
          <w:lang w:bidi="ar-SA"/>
        </w:rPr>
        <w:t>سواء مشى عليها أو لا، للخبر عن النبي صلّى اللّه عليه و آله في النعلين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فليمسحهما و ليصلّ فيهما</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وطأ أحدكم الأذى بخفّيه، فان التراب له طهور</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العذرة يطؤها برجله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يمسحها حتى يذهب أثرها</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يشترط جفاف النجاسة، و لا كونها ذات جرم،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طهارة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حصر في المشي، و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خمس عشرة ذراعا، و هو 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حكم الصنادل حكم النعل، لأنّها مما ينتعل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93" w:name="__RefHeading___Toc4191915_2142443653"/>
      <w:bookmarkStart w:id="394" w:name="_Toc163"/>
      <w:bookmarkEnd w:id="393"/>
      <w:r>
        <w:rPr>
          <w:rtl w:val="true"/>
        </w:rPr>
        <w:t>السادس</w:t>
      </w:r>
      <w:r>
        <w:rPr>
          <w:rtl w:val="true"/>
        </w:rPr>
        <w:t xml:space="preserve">: </w:t>
      </w:r>
      <w:r>
        <w:rPr>
          <w:rtl w:val="true"/>
        </w:rPr>
        <w:t>لا خلاف في طهارة النّطفة و العلقة و البيضة بصيرورتها حيوانا</w:t>
      </w:r>
      <w:r>
        <w:rPr>
          <w:rtl w:val="true"/>
        </w:rPr>
        <w:t>.</w:t>
      </w:r>
      <w:bookmarkStart w:id="395" w:name="pg15253_219642"/>
      <w:bookmarkEnd w:id="394"/>
    </w:p>
    <w:p>
      <w:pPr>
        <w:pStyle w:val="BookText"/>
        <w:rPr/>
      </w:pPr>
      <w:bookmarkEnd w:id="395"/>
      <w:r>
        <w:rPr>
          <w:rFonts w:ascii="Amiri" w:hAnsi="Amiri" w:eastAsia="Amiri" w:cs="Amiri"/>
          <w:color w:val="111111"/>
          <w:sz w:val="28"/>
          <w:sz w:val="28"/>
          <w:szCs w:val="28"/>
          <w:rtl w:val="true"/>
          <w:lang w:bidi="ar-SA"/>
        </w:rPr>
        <w:t>و تطهّر النار ما أحالته رمادا، لنقل الشيخ الإجماع</w:t>
      </w:r>
      <w:r>
        <w:rPr>
          <w:rStyle w:val="FootnoteAnchor"/>
          <w:rtl w:val="true"/>
        </w:rPr>
        <w:footnoteReference w:id="511"/>
      </w:r>
      <w:r>
        <w:rPr>
          <w:rFonts w:ascii="Amiri" w:hAnsi="Amiri" w:eastAsia="Amiri" w:cs="Amiri"/>
          <w:color w:val="111111"/>
          <w:sz w:val="28"/>
          <w:sz w:val="28"/>
          <w:szCs w:val="28"/>
          <w:rtl w:val="true"/>
          <w:lang w:bidi="ar-SA"/>
        </w:rPr>
        <w:t xml:space="preserve">و لكتابة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الجصّ يوقد عليه بالعذرة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الماء و النار قد طهّراه</w:t>
      </w:r>
      <w:r>
        <w:rPr>
          <w:rFonts w:eastAsia="Amiri" w:cs="Amiri" w:ascii="Amiri" w:hAnsi="Amiri"/>
          <w:color w:val="111111"/>
          <w:sz w:val="28"/>
          <w:szCs w:val="28"/>
          <w:rtl w:val="true"/>
          <w:lang w:bidi="ar-SA"/>
        </w:rPr>
        <w:t>»</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الدخان للإجماع على عدم توقّي دواخن الأعيان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صار آجرا أو خزفا، طهر عند الشيخ أيضا، لجريانه مجرى الرماد</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لو استحالت العين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كالعذرة، و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ترابا،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طهور</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صارت ملحا أمكن ذلك، لزوال الاسم و الصورة</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4191917_2142443653"/>
      <w:bookmarkStart w:id="397" w:name="_Toc164"/>
      <w:bookmarkEnd w:id="396"/>
      <w:r>
        <w:rPr>
          <w:rtl w:val="true"/>
        </w:rPr>
        <w:t>السابع</w:t>
      </w:r>
      <w:r>
        <w:rPr>
          <w:rtl w:val="true"/>
        </w:rPr>
        <w:t xml:space="preserve">: </w:t>
      </w:r>
      <w:r>
        <w:rPr>
          <w:rtl w:val="true"/>
        </w:rPr>
        <w:t>تطهر الأرض بما لا ينفعل من الماء بالملاقاة</w:t>
      </w:r>
      <w:r>
        <w:rPr>
          <w:rtl w:val="true"/>
        </w:rPr>
        <w:t>.</w:t>
      </w:r>
      <w:bookmarkEnd w:id="397"/>
    </w:p>
    <w:p>
      <w:pPr>
        <w:pStyle w:val="BookText"/>
        <w:rPr/>
      </w:pPr>
      <w:r>
        <w:rPr>
          <w:rFonts w:ascii="Amiri" w:hAnsi="Amiri" w:eastAsia="Amiri" w:cs="Amiri"/>
          <w:color w:val="111111"/>
          <w:sz w:val="28"/>
          <w:sz w:val="28"/>
          <w:szCs w:val="28"/>
          <w:rtl w:val="true"/>
          <w:lang w:bidi="ar-SA"/>
        </w:rPr>
        <w:t>و في الذنوب</w:t>
      </w:r>
      <w:r>
        <w:rPr>
          <w:rStyle w:val="FootnoteAnchor"/>
          <w:rtl w:val="true"/>
        </w:rPr>
        <w:footnoteReference w:id="515"/>
      </w:r>
      <w:r>
        <w:rPr>
          <w:rFonts w:ascii="Amiri" w:hAnsi="Amiri" w:eastAsia="Amiri" w:cs="Amiri"/>
          <w:color w:val="111111"/>
          <w:sz w:val="28"/>
          <w:sz w:val="28"/>
          <w:szCs w:val="28"/>
          <w:rtl w:val="true"/>
          <w:lang w:bidi="ar-SA"/>
        </w:rPr>
        <w:t>قول لنفي الحرج، و لأمر النبي صلّى اللّه عليه و آله به في الحديث المقبول</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التأويل بالكر، و ذهاب الرائحة، و الأعداد للشمس،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روي أنّ النبي صلّى اللّه عليه و آله أمر بإلقاء التراب الذي أصابه البول، و صبّ الماء على مكانه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حكم بطهارة الأرض التي يجري عليها و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يتعدّد بتعدّد البول</w:t>
      </w:r>
      <w:r>
        <w:rPr>
          <w:rStyle w:val="FootnoteAnchor"/>
          <w:rtl w:val="true"/>
        </w:rPr>
        <w:footnoteReference w:id="518"/>
      </w:r>
      <w:r>
        <w:rPr>
          <w:rFonts w:ascii="Amiri" w:hAnsi="Amiri" w:eastAsia="Amiri" w:cs="Amiri"/>
          <w:color w:val="111111"/>
          <w:sz w:val="28"/>
          <w:sz w:val="28"/>
          <w:szCs w:val="28"/>
          <w:rtl w:val="true"/>
          <w:lang w:bidi="ar-SA"/>
        </w:rPr>
        <w:t>و تبعه ابن إدريس في الجميع</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8" w:name="__RefHeading___Toc4191919_2142443653"/>
      <w:bookmarkStart w:id="399" w:name="_Toc165"/>
      <w:bookmarkEnd w:id="398"/>
      <w:r>
        <w:rPr>
          <w:rtl w:val="true"/>
        </w:rPr>
        <w:t>الثامن</w:t>
      </w:r>
      <w:r>
        <w:rPr>
          <w:rtl w:val="true"/>
        </w:rPr>
        <w:t xml:space="preserve">: </w:t>
      </w:r>
      <w:r>
        <w:rPr>
          <w:rtl w:val="true"/>
        </w:rPr>
        <w:t>لو طهّر بعض الثوب النجس،</w:t>
      </w:r>
      <w:bookmarkEnd w:id="39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شيئا من البدن النجس طهر، </w:t>
      </w:r>
      <w:bookmarkStart w:id="400" w:name="pg15253_219643"/>
    </w:p>
    <w:p>
      <w:pPr>
        <w:pStyle w:val="BookText"/>
        <w:rPr/>
      </w:pPr>
      <w:bookmarkEnd w:id="400"/>
      <w:r>
        <w:rPr>
          <w:rFonts w:ascii="Amiri" w:hAnsi="Amiri" w:eastAsia="Amiri" w:cs="Amiri"/>
          <w:color w:val="111111"/>
          <w:sz w:val="28"/>
          <w:sz w:val="28"/>
          <w:szCs w:val="28"/>
          <w:rtl w:val="true"/>
          <w:lang w:bidi="ar-SA"/>
        </w:rPr>
        <w:t>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Style w:val="FootnoteAnchor"/>
          <w:rtl w:val="true"/>
        </w:rPr>
        <w:footnoteReference w:id="520"/>
      </w:r>
      <w:r>
        <w:rPr>
          <w:rFonts w:ascii="IRNazanin" w:hAnsi="IRNazanin" w:eastAsia="IRNazanin"/>
          <w:color w:val="111111"/>
          <w:sz w:val="28"/>
          <w:sz w:val="28"/>
          <w:szCs w:val="28"/>
          <w:rtl w:val="true"/>
          <w:lang w:bidi="fa-IR"/>
        </w:rPr>
        <w:t>و المحقق</w:t>
      </w:r>
      <w:r>
        <w:rPr>
          <w:rStyle w:val="FootnoteAnchor"/>
          <w:rtl w:val="true"/>
        </w:rPr>
        <w:footnoteReference w:id="521"/>
      </w:r>
      <w:r>
        <w:rPr>
          <w:rFonts w:ascii="IRNazanin" w:hAnsi="IRNazanin" w:eastAsia="IRNazanin"/>
          <w:color w:val="111111"/>
          <w:sz w:val="28"/>
          <w:sz w:val="28"/>
          <w:szCs w:val="28"/>
          <w:rtl w:val="true"/>
          <w:lang w:bidi="fa-IR"/>
        </w:rPr>
        <w:t>و الفاضل</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السريان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بطهارة السمن و الزّيت بإلقاء المنجّس منه خاصّة، و لزوم نجاسة العالم كلّه بنجاسة موضع منه</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4191921_2142443653"/>
      <w:bookmarkStart w:id="402" w:name="_Toc166"/>
      <w:bookmarkEnd w:id="401"/>
      <w:r>
        <w:rPr>
          <w:rtl w:val="true"/>
        </w:rPr>
        <w:t>التاسع</w:t>
      </w:r>
      <w:r>
        <w:rPr>
          <w:rtl w:val="true"/>
        </w:rPr>
        <w:t xml:space="preserve">: </w:t>
      </w:r>
      <w:r>
        <w:rPr>
          <w:rtl w:val="true"/>
        </w:rPr>
        <w:t>لو اشتبه موضع النجاسة غسل كل ما يمكن،</w:t>
      </w:r>
      <w:bookmarkEnd w:id="402"/>
    </w:p>
    <w:p>
      <w:pPr>
        <w:pStyle w:val="BookText"/>
        <w:rPr/>
      </w:pPr>
      <w:r>
        <w:rPr>
          <w:rFonts w:ascii="Amiri" w:hAnsi="Amiri" w:eastAsia="Amiri" w:cs="Amiri"/>
          <w:color w:val="111111"/>
          <w:sz w:val="28"/>
          <w:sz w:val="28"/>
          <w:szCs w:val="28"/>
          <w:rtl w:val="true"/>
          <w:lang w:bidi="ar-SA"/>
        </w:rPr>
        <w:t>لتيقن الخروج عن العهدة و لا يتحرى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بعدد غير محصور فلا، للعسر</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4191923_2142443653"/>
      <w:bookmarkStart w:id="404" w:name="_Toc167"/>
      <w:bookmarkEnd w:id="403"/>
      <w:r>
        <w:rPr>
          <w:rtl w:val="true"/>
        </w:rPr>
        <w:t>العاشر</w:t>
      </w:r>
      <w:r>
        <w:rPr>
          <w:rtl w:val="true"/>
        </w:rPr>
        <w:t xml:space="preserve">: </w:t>
      </w:r>
      <w:r>
        <w:rPr>
          <w:rtl w:val="true"/>
        </w:rPr>
        <w:t>الظاهر</w:t>
      </w:r>
      <w:r>
        <w:rPr>
          <w:rtl w:val="true"/>
        </w:rPr>
        <w:t xml:space="preserve">: </w:t>
      </w:r>
      <w:r>
        <w:rPr>
          <w:rtl w:val="true"/>
        </w:rPr>
        <w:t>اشتراط ورود الماء على النجاسة،</w:t>
      </w:r>
      <w:bookmarkEnd w:id="404"/>
    </w:p>
    <w:p>
      <w:pPr>
        <w:pStyle w:val="BookText"/>
        <w:rPr/>
      </w:pPr>
      <w:r>
        <w:rPr>
          <w:rFonts w:ascii="Amiri" w:hAnsi="Amiri" w:eastAsia="Amiri" w:cs="Amiri"/>
          <w:color w:val="111111"/>
          <w:sz w:val="28"/>
          <w:sz w:val="28"/>
          <w:szCs w:val="28"/>
          <w:rtl w:val="true"/>
          <w:lang w:bidi="ar-SA"/>
        </w:rPr>
        <w:t>لقوته بالعمل، إذ الوارد عامل، و للنهي عن إدخال اليد في الإناء قبل الغسل</w:t>
      </w:r>
      <w:r>
        <w:rPr>
          <w:rStyle w:val="FootnoteAnchor"/>
          <w:rtl w:val="true"/>
        </w:rPr>
        <w:footnoteReference w:id="523"/>
      </w:r>
      <w:r>
        <w:rPr>
          <w:rFonts w:ascii="Amiri" w:hAnsi="Amiri" w:eastAsia="Amiri" w:cs="Amiri"/>
          <w:color w:val="111111"/>
          <w:sz w:val="28"/>
          <w:sz w:val="28"/>
          <w:szCs w:val="28"/>
          <w:rtl w:val="true"/>
          <w:lang w:bidi="ar-SA"/>
        </w:rPr>
        <w:t>، فلو عكس نجس الماء و لم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ممكن في غير الأواني و شبهها مما لا يمكن فيه الورود، الاّ ان يكتفى بأول وروده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عدم اعتباره مطلقا متوجه، لأن امتزاج الماء بالنجاسة حاصل على كل تقدير، و الورود لا يخرجه عن كونه ملاقيا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الحسن بن محبوب،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الجصّ يوقد عليه بالعذرة و عظام الموتى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الماء و النار قد طهّراه</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تنبيه عليه</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4191925_2142443653"/>
      <w:bookmarkStart w:id="406" w:name="_Toc168"/>
      <w:bookmarkEnd w:id="405"/>
      <w:r>
        <w:rPr>
          <w:rtl w:val="true"/>
        </w:rPr>
        <w:t>الحادي عشر</w:t>
      </w:r>
      <w:r>
        <w:rPr>
          <w:rtl w:val="true"/>
        </w:rPr>
        <w:t xml:space="preserve">: </w:t>
      </w:r>
      <w:r>
        <w:rPr>
          <w:rtl w:val="true"/>
        </w:rPr>
        <w:t>يطهر الكافر بإسلامه إجماعا</w:t>
      </w:r>
      <w:bookmarkEnd w:id="4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كان عن ردّة فطريّة على 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كان قد باشره، و لا ثيابه التي عليه</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4191927_2142443653"/>
      <w:bookmarkStart w:id="408" w:name="_Toc169"/>
      <w:bookmarkEnd w:id="407"/>
      <w:r>
        <w:rPr>
          <w:rtl w:val="true"/>
        </w:rPr>
        <w:t>الثاني عشر</w:t>
      </w:r>
      <w:r>
        <w:rPr>
          <w:rtl w:val="true"/>
        </w:rPr>
        <w:t xml:space="preserve">: </w:t>
      </w:r>
      <w:r>
        <w:rPr>
          <w:rtl w:val="true"/>
        </w:rPr>
        <w:t>يطهر الدم بانتقاله إلى البعوض و البرغوث،</w:t>
      </w:r>
      <w:bookmarkEnd w:id="408"/>
    </w:p>
    <w:p>
      <w:pPr>
        <w:pStyle w:val="BookText"/>
        <w:rPr/>
      </w:pPr>
      <w:r>
        <w:rPr>
          <w:rFonts w:ascii="Amiri" w:hAnsi="Amiri" w:eastAsia="Amiri" w:cs="Amiri"/>
          <w:color w:val="111111"/>
          <w:sz w:val="28"/>
          <w:sz w:val="28"/>
          <w:szCs w:val="28"/>
          <w:rtl w:val="true"/>
          <w:lang w:bidi="ar-SA"/>
        </w:rPr>
        <w:t>لسرعة استحالته الى دمها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تطهر البواطن كلّها بزوال العين لرفع الحرج، و هو 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الأنف عليه 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عليه ان يغسل ما ظهر منه</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و كان </w:t>
      </w:r>
      <w:bookmarkStart w:id="409" w:name="pg15253_219644"/>
    </w:p>
    <w:p>
      <w:pPr>
        <w:pStyle w:val="BookText"/>
        <w:rPr/>
      </w:pPr>
      <w:bookmarkEnd w:id="409"/>
      <w:r>
        <w:rPr>
          <w:rFonts w:ascii="IRNazanin" w:hAnsi="IRNazanin" w:eastAsia="IRNazanin"/>
          <w:color w:val="111111"/>
          <w:sz w:val="28"/>
          <w:sz w:val="28"/>
          <w:szCs w:val="28"/>
          <w:rtl w:val="true"/>
          <w:lang w:bidi="fa-IR"/>
        </w:rPr>
        <w:t>السؤال عن باطنه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تطهر أدوات الاستنجاء و الاستبراء، و قد مر النزح، و النقص، و التراب في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الغيبة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المكلّف بالنجاسة، ثم مضى زمان يمكن فيه الإزالة، حكم بالطهارة، لظاهر تنزه المسلم عن النجاسة</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4191929_2142443653"/>
      <w:bookmarkStart w:id="411" w:name="_Toc170"/>
      <w:bookmarkEnd w:id="410"/>
      <w:r>
        <w:rPr>
          <w:rtl w:val="true"/>
        </w:rPr>
        <w:t>الثالث عشر</w:t>
      </w:r>
      <w:r>
        <w:rPr>
          <w:rtl w:val="true"/>
        </w:rPr>
        <w:t xml:space="preserve">: </w:t>
      </w:r>
      <w:r>
        <w:rPr>
          <w:rtl w:val="true"/>
        </w:rPr>
        <w:t xml:space="preserve">طهّر المرتضى الصقيل </w:t>
      </w:r>
      <w:r>
        <w:rPr>
          <w:rtl w:val="true"/>
        </w:rPr>
        <w:t xml:space="preserve">- </w:t>
      </w:r>
      <w:r>
        <w:rPr>
          <w:rtl w:val="true"/>
        </w:rPr>
        <w:t xml:space="preserve">كالسيف و المرآة </w:t>
      </w:r>
      <w:r>
        <w:rPr>
          <w:rtl w:val="true"/>
        </w:rPr>
        <w:t xml:space="preserve">- </w:t>
      </w:r>
      <w:r>
        <w:rPr>
          <w:rtl w:val="true"/>
        </w:rPr>
        <w:t>بالمسح ،</w:t>
      </w:r>
      <w:bookmarkEnd w:id="411"/>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المرتضى الصقيل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كالسيف و المرآة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بالمسح</w:t>
      </w:r>
      <w:r>
        <w:rPr>
          <w:rStyle w:val="FootnoteAnchor"/>
          <w:rtl w:val="true"/>
        </w:rPr>
        <w:footnoteReference w:id="526"/>
      </w:r>
      <w:r>
        <w:rPr>
          <w:rFonts w:ascii="Amiri" w:hAnsi="Amiri" w:eastAsia="Amiri" w:cs="Amiri"/>
          <w:color w:val="111111"/>
          <w:sz w:val="28"/>
          <w:sz w:val="28"/>
          <w:szCs w:val="28"/>
          <w:rtl w:val="true"/>
          <w:lang w:bidi="ar-SA"/>
        </w:rPr>
        <w:t>، لصلابتها فلا يتداخلها شيء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الشيخ، لعدم ورود الشرع به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2" w:name="__RefHeading___Toc4191931_2142443653"/>
      <w:bookmarkStart w:id="413" w:name="_Toc171"/>
      <w:bookmarkEnd w:id="412"/>
      <w:r>
        <w:rPr>
          <w:rtl w:val="true"/>
        </w:rPr>
        <w:t>الرابع عشر</w:t>
      </w:r>
      <w:r>
        <w:rPr>
          <w:rtl w:val="true"/>
        </w:rPr>
        <w:t xml:space="preserve">: </w:t>
      </w:r>
      <w:r>
        <w:rPr>
          <w:rtl w:val="true"/>
        </w:rPr>
        <w:t xml:space="preserve">روي عن علي </w:t>
      </w:r>
      <w:r>
        <w:rPr>
          <w:rtl w:val="true"/>
        </w:rPr>
        <w:t>(</w:t>
      </w:r>
      <w:r>
        <w:rPr>
          <w:rtl w:val="true"/>
        </w:rPr>
        <w:t>عليه السلام</w:t>
      </w:r>
      <w:r>
        <w:rPr>
          <w:rtl w:val="true"/>
        </w:rPr>
        <w:t>): «</w:t>
      </w:r>
      <w:r>
        <w:rPr>
          <w:rtl w:val="true"/>
        </w:rPr>
        <w:t>لا بأس ان يغسل الدم بالبصاق</w:t>
      </w:r>
      <w:r>
        <w:rPr>
          <w:rtl w:val="true"/>
        </w:rPr>
        <w:t>»</w:t>
      </w:r>
      <w:bookmarkEnd w:id="413"/>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يغسل الدم بالبصاق</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و هو في الضعيف، و عمل به ابن الجنيد</w:t>
      </w:r>
      <w:r>
        <w:rPr>
          <w:rStyle w:val="FootnoteAnchor"/>
          <w:rtl w:val="true"/>
        </w:rPr>
        <w:footnoteReference w:id="529"/>
      </w:r>
      <w:r>
        <w:rPr>
          <w:rFonts w:ascii="IRNazanin" w:hAnsi="IRNazanin" w:eastAsia="IRNazanin"/>
          <w:color w:val="111111"/>
          <w:sz w:val="28"/>
          <w:sz w:val="28"/>
          <w:szCs w:val="28"/>
          <w:rtl w:val="true"/>
          <w:lang w:bidi="fa-IR"/>
        </w:rPr>
        <w:t>و حمل على دم طاهر</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جعل الماء في فيه و غسل به جاز، للخبر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4" w:name="__RefHeading___Toc4191933_2142443653"/>
      <w:bookmarkStart w:id="415" w:name="_Toc172"/>
      <w:bookmarkEnd w:id="414"/>
      <w:r>
        <w:rPr>
          <w:rtl w:val="true"/>
        </w:rPr>
        <w:t>الخامس عشر</w:t>
      </w:r>
      <w:r>
        <w:rPr>
          <w:rtl w:val="true"/>
        </w:rPr>
        <w:t xml:space="preserve">: </w:t>
      </w:r>
      <w:r>
        <w:rPr>
          <w:rtl w:val="true"/>
        </w:rPr>
        <w:t>لا تتعدّى النجاسة مع اليبوسة،</w:t>
      </w:r>
      <w:bookmarkEnd w:id="415"/>
    </w:p>
    <w:p>
      <w:pPr>
        <w:pStyle w:val="BookText"/>
        <w:rPr/>
      </w:pPr>
      <w:r>
        <w:rPr>
          <w:rFonts w:ascii="Amiri" w:hAnsi="Amiri" w:eastAsia="Amiri" w:cs="Amiri"/>
          <w:color w:val="111111"/>
          <w:sz w:val="28"/>
          <w:sz w:val="28"/>
          <w:szCs w:val="28"/>
          <w:rtl w:val="true"/>
          <w:lang w:bidi="ar-SA"/>
        </w:rPr>
        <w:t>و هو منصوص في الكلب و الخنزير و الكافر</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المرسل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انضحه يابسا</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و هو للندب، و حمله ابن حمزة على الوجوب</w:t>
      </w:r>
      <w:r>
        <w:rPr>
          <w:rStyle w:val="FootnoteAnchor"/>
          <w:rtl w:val="true"/>
        </w:rPr>
        <w:footnoteReference w:id="534"/>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يابس ذكي</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416" w:name="pg15253_219645"/>
    </w:p>
    <w:p>
      <w:pPr>
        <w:pStyle w:val="BookText"/>
        <w:rPr/>
      </w:pPr>
      <w:bookmarkEnd w:id="416"/>
      <w:r>
        <w:rPr>
          <w:rFonts w:ascii="Amiri" w:hAnsi="Amiri" w:eastAsia="Amiri" w:cs="Amiri"/>
          <w:color w:val="111111"/>
          <w:sz w:val="28"/>
          <w:sz w:val="28"/>
          <w:szCs w:val="28"/>
          <w:rtl w:val="true"/>
          <w:lang w:bidi="ar-SA"/>
        </w:rPr>
        <w:t xml:space="preserve">أمّا الميت فقد قيل بالتعدي مطلقا، لعموم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 ما أصاب ثوبك منه</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و ترك الاستفصال دليل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الميتة، لمرسل يونس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مس شيء من السباع أو الثعلب و الأرنب حيا أو ميتا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يده</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التسوية بين الحي و الميت تشعر بالاستحباب، لطهارة المذكورة حال الحياة، فيحمل على اليبوسة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للفرق مع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الرطوبة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في المبسوط بعد إطلاقه نجاسة الثوب الملاقي للميت،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نجاسة أصابت الثوب أو البدن و كانت يابسة لا يجب غسلها، و انما يستحب مسح اليد بالتراب أو نضح الثوب</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الثوب يقع على خنزير ميت، أ يصلّي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كلب ميت يقع عليه الثوب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ينضحه و يصلّي فيه</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و حمله في التهذيب على صيرورته عظما بعد سنة</w:t>
      </w:r>
      <w:r>
        <w:rPr>
          <w:rStyle w:val="FootnoteAnchor"/>
          <w:rtl w:val="true"/>
        </w:rPr>
        <w:footnoteReference w:id="541"/>
      </w:r>
      <w:r>
        <w:rPr>
          <w:rFonts w:ascii="Amiri" w:hAnsi="Amiri" w:eastAsia="Amiri" w:cs="Amiri"/>
          <w:color w:val="111111"/>
          <w:sz w:val="28"/>
          <w:sz w:val="28"/>
          <w:szCs w:val="28"/>
          <w:rtl w:val="true"/>
          <w:lang w:bidi="ar-SA"/>
        </w:rPr>
        <w:t xml:space="preserve">،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الميت إذا جاز سنة فلا بأس</w:t>
      </w:r>
      <w:r>
        <w:rPr>
          <w:rFonts w:eastAsia="Amiri" w:cs="Amiri" w:ascii="Amiri" w:hAnsi="Amiri"/>
          <w:color w:val="111111"/>
          <w:sz w:val="28"/>
          <w:szCs w:val="28"/>
          <w:rtl w:val="true"/>
          <w:lang w:bidi="ar-SA"/>
        </w:rPr>
        <w:t>»</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يشعر بعدم النجاسة باليبوسة</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4191935_2142443653"/>
      <w:bookmarkStart w:id="418" w:name="_Toc173"/>
      <w:bookmarkEnd w:id="417"/>
      <w:r>
        <w:rPr>
          <w:rtl w:val="true"/>
        </w:rPr>
        <w:t>السادس عشر</w:t>
      </w:r>
      <w:r>
        <w:rPr>
          <w:rtl w:val="true"/>
        </w:rPr>
        <w:t xml:space="preserve">: </w:t>
      </w:r>
      <w:r>
        <w:rPr>
          <w:rtl w:val="true"/>
        </w:rPr>
        <w:t>لا يطهر جلد الميتة بالدباغ،</w:t>
      </w:r>
      <w:bookmarkEnd w:id="418"/>
    </w:p>
    <w:p>
      <w:pPr>
        <w:pStyle w:val="BookText"/>
        <w:rPr/>
      </w:pPr>
      <w:r>
        <w:rPr>
          <w:rFonts w:ascii="Amiri" w:hAnsi="Amiri" w:eastAsia="Amiri" w:cs="Amiri"/>
          <w:color w:val="111111"/>
          <w:sz w:val="28"/>
          <w:sz w:val="28"/>
          <w:szCs w:val="28"/>
          <w:rtl w:val="true"/>
          <w:lang w:bidi="ar-SA"/>
        </w:rPr>
        <w:t>إجماعا، و به أخبار متواترة، مثل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تنتفعوا من الميتة بشيء</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لا، و لو دبغ سبعين مرة</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شيء منه، و لا شسع</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الشلمغاني و ابن الجنيد طهّرا بالدبغ ما كان طاهرا في حال الحياة</w:t>
      </w:r>
      <w:r>
        <w:rPr>
          <w:rStyle w:val="FootnoteAnchor"/>
          <w:rtl w:val="true"/>
        </w:rPr>
        <w:footnoteReference w:id="546"/>
      </w:r>
      <w:r>
        <w:rPr>
          <w:rFonts w:ascii="Amiri" w:hAnsi="Amiri" w:eastAsia="Amiri" w:cs="Amiri"/>
          <w:color w:val="111111"/>
          <w:sz w:val="28"/>
          <w:sz w:val="28"/>
          <w:szCs w:val="28"/>
          <w:rtl w:val="true"/>
          <w:lang w:bidi="ar-SA"/>
        </w:rPr>
        <w:t>لما 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إهاب دبغ فقد طهر</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و لخبر شاة ميمونة</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جلد الميتة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يدبغ و يتوضأ منه، و لا يصلّي فيه</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الصدوق أرسل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جلود الميتة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 فيها ما شئت من لبن أو سمن، و تتوضأ منه و تشرب، و لا تصلّ فيها</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يذكر الدبغ، و هو أغرب من الأول و أشذ، و الشاذ لا يعارض المتواتر، مع عدم معرفة صحّة السند و صحة معارضه، كصحيح عبد الرحمن بن الحجاج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زعموا ان دباغ جلد الميتة ذكاته، ثم لم يرضوا ان يكذبوا في ذلك الاّ على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صحاح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النبي صلّى اللّه عليه و آله إلى جهينة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رخصت لكم في جلود الميتة، فإذا جاءكم كتابي هذا، فلا تنتفعوا من الميتة بإهاب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19" w:name="pg15253_219647"/>
    </w:p>
    <w:p>
      <w:pPr>
        <w:pStyle w:val="BookText"/>
        <w:rPr/>
      </w:pPr>
      <w:bookmarkEnd w:id="419"/>
      <w:r>
        <w:rPr>
          <w:rFonts w:ascii="Amiri" w:hAnsi="Amiri" w:eastAsia="Amiri" w:cs="Amiri"/>
          <w:color w:val="111111"/>
          <w:sz w:val="28"/>
          <w:sz w:val="28"/>
          <w:szCs w:val="28"/>
          <w:rtl w:val="true"/>
          <w:lang w:bidi="ar-SA"/>
        </w:rPr>
        <w:t>و لا 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قبل موته بشهر أو شهرين</w:t>
      </w:r>
      <w:r>
        <w:rPr>
          <w:rStyle w:val="FootnoteAnchor"/>
          <w:rtl w:val="true"/>
        </w:rPr>
        <w:footnoteReference w:id="552"/>
      </w:r>
      <w:r>
        <w:rPr>
          <w:rFonts w:ascii="Amiri" w:hAnsi="Amiri" w:eastAsia="Amiri" w:cs="Amiri"/>
          <w:color w:val="111111"/>
          <w:sz w:val="28"/>
          <w:sz w:val="28"/>
          <w:szCs w:val="28"/>
          <w:rtl w:val="true"/>
          <w:lang w:bidi="ar-SA"/>
        </w:rPr>
        <w:t>فيكون ناسخا للمتقدم ان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شاة ميمونة</w:t>
      </w:r>
      <w:r>
        <w:rPr>
          <w:rStyle w:val="FootnoteAnchor"/>
          <w:rtl w:val="true"/>
        </w:rPr>
        <w:footnoteReference w:id="553"/>
      </w:r>
      <w:r>
        <w:rPr>
          <w:rFonts w:ascii="Amiri" w:hAnsi="Amiri" w:eastAsia="Amiri" w:cs="Amiri"/>
          <w:color w:val="111111"/>
          <w:sz w:val="28"/>
          <w:sz w:val="28"/>
          <w:szCs w:val="28"/>
          <w:rtl w:val="true"/>
          <w:lang w:bidi="ar-SA"/>
        </w:rPr>
        <w:t>أو سودة بنت زمعة</w:t>
      </w:r>
      <w:r>
        <w:rPr>
          <w:rStyle w:val="FootnoteAnchor"/>
          <w:rtl w:val="true"/>
        </w:rPr>
        <w:footnoteReference w:id="554"/>
      </w:r>
      <w:r>
        <w:rPr>
          <w:rFonts w:ascii="Amiri" w:hAnsi="Amiri" w:eastAsia="Amiri" w:cs="Amiri"/>
          <w:color w:val="111111"/>
          <w:sz w:val="28"/>
          <w:sz w:val="28"/>
          <w:szCs w:val="28"/>
          <w:rtl w:val="true"/>
          <w:lang w:bidi="ar-SA"/>
        </w:rPr>
        <w:t xml:space="preserve">مأوّل 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على أهلها إذ لم ينتفعوا بلحمها ان ينتفعوا بإهابها،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بالذكاة، و كانت مهزولة</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و هو أعرف بالنقل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الجنيد و أفق على عدم جواز الصلاة فيه و ان دبغ</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ينتفع بجلد الميتة أيضا في اليابس، لعموم حُرِّمَتْ عَلَيْكُمُ اَلْمَيْتَةُ </w:t>
      </w:r>
      <w:r>
        <w:rPr>
          <w:rStyle w:val="FootnoteAnchor"/>
          <w:rtl w:val="true"/>
        </w:rPr>
        <w:footnoteReference w:id="55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تنتفعوا</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0" w:name="__RefHeading___Toc4191937_2142443653"/>
      <w:bookmarkStart w:id="421" w:name="_Toc174"/>
      <w:bookmarkEnd w:id="420"/>
      <w:r>
        <w:rPr>
          <w:rtl w:val="true"/>
        </w:rPr>
        <w:t>السابع عشر</w:t>
      </w:r>
      <w:r>
        <w:rPr>
          <w:rtl w:val="true"/>
        </w:rPr>
        <w:t xml:space="preserve">: </w:t>
      </w:r>
      <w:r>
        <w:rPr>
          <w:rtl w:val="true"/>
        </w:rPr>
        <w:t>الأصح وقوع الذكاة على الطاهر في حال الحياة كالسباع،</w:t>
      </w:r>
      <w:bookmarkEnd w:id="421"/>
    </w:p>
    <w:p>
      <w:pPr>
        <w:pStyle w:val="BookText"/>
        <w:rPr/>
      </w:pPr>
      <w:r>
        <w:rPr>
          <w:rFonts w:ascii="Amiri" w:hAnsi="Amiri" w:eastAsia="Amiri" w:cs="Amiri"/>
          <w:color w:val="111111"/>
          <w:sz w:val="28"/>
          <w:sz w:val="28"/>
          <w:szCs w:val="28"/>
          <w:rtl w:val="true"/>
          <w:lang w:bidi="ar-SA"/>
        </w:rPr>
        <w:t xml:space="preserve">لعموم إِلاّ ما ذَكَّيْتُمْ </w:t>
      </w:r>
      <w:r>
        <w:rPr>
          <w:rStyle w:val="FootnoteAnchor"/>
          <w:rtl w:val="true"/>
        </w:rPr>
        <w:footnoteReference w:id="559"/>
      </w: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فيما لا يؤكل لحمه، ذكّاه الذبح أو لم يذكّه</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فيتطهر بالذكاة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استعماله حتى يدبغ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الفاضلان جعلاه مستحبا، لطهارته، و إلاّ لكان ميتة فلا يطهره الدبغ</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ليكن الدبغ بالطاهر، كالقرظ،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السلم، و الشث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w:t>
      </w:r>
      <w:bookmarkStart w:id="422" w:name="pg15253_219648"/>
    </w:p>
    <w:p>
      <w:pPr>
        <w:pStyle w:val="BookText"/>
        <w:rPr/>
      </w:pPr>
      <w:bookmarkEnd w:id="422"/>
      <w:r>
        <w:rPr>
          <w:rFonts w:ascii="Amiri" w:hAnsi="Amiri" w:eastAsia="Amiri" w:cs="Amiri"/>
          <w:color w:val="111111"/>
          <w:sz w:val="28"/>
          <w:sz w:val="28"/>
          <w:szCs w:val="28"/>
          <w:rtl w:val="true"/>
          <w:lang w:bidi="ar-SA"/>
        </w:rPr>
        <w:t xml:space="preserve">و الثاء المعجمتين المثلثتين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طيب الريح مر الطعم يدبغ به، قاله الجوهري</w:t>
      </w:r>
      <w:r>
        <w:rPr>
          <w:rStyle w:val="FootnoteAnchor"/>
          <w:rtl w:val="true"/>
        </w:rPr>
        <w:footnoteReference w:id="562"/>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تحت، و هو يشبه الزاج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فيهما ما روي من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في الشث و القرظ ما يطهره</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يجوز بالنجس، فلا يطهر عند ابن الجنيد</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يكفي فيما يحتاج إلى الدبغ، و لكن لا يستعمل إلاّ بعد طهارته، لقول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جلود الدارش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و الشين المعجمة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فيه، فإنها تدبغ بخرء الكلاب</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3" w:name="__RefHeading___Toc4191939_2142443653"/>
      <w:bookmarkStart w:id="424" w:name="_Toc175"/>
      <w:bookmarkEnd w:id="423"/>
      <w:r>
        <w:rPr>
          <w:rtl w:val="true"/>
        </w:rPr>
        <w:t>الثامن عشر</w:t>
      </w:r>
      <w:r>
        <w:rPr>
          <w:rtl w:val="true"/>
        </w:rPr>
        <w:t xml:space="preserve">: </w:t>
      </w:r>
      <w:r>
        <w:rPr>
          <w:rtl w:val="true"/>
        </w:rPr>
        <w:t>عفي عن الدم في الثوب و البدن عما نقص عن سعة الدرهم الوافي</w:t>
      </w:r>
      <w:r>
        <w:rPr>
          <w:rtl w:val="true"/>
        </w:rPr>
        <w:t>.</w:t>
      </w:r>
      <w:bookmarkEnd w:id="424"/>
    </w:p>
    <w:p>
      <w:pPr>
        <w:pStyle w:val="BookText"/>
        <w:rPr/>
      </w:pPr>
      <w:r>
        <w:rPr>
          <w:rFonts w:ascii="Amiri" w:hAnsi="Amiri" w:eastAsia="Amiri" w:cs="Amiri"/>
          <w:color w:val="111111"/>
          <w:sz w:val="28"/>
          <w:sz w:val="28"/>
          <w:szCs w:val="28"/>
          <w:rtl w:val="true"/>
          <w:lang w:bidi="ar-SA"/>
        </w:rPr>
        <w:t xml:space="preserve">و هو البغلي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منسوب الى رأس البغل، ضربه للثاني في ولايته بسكة كسرويّة، و زنته ثمانية دوانيق، و البغلية كانت تسمى قبل الإسلام الكسرويّة، فحدث لها هذا الاسم في الإسلام و الوزن بحاله، و جرت في المعاملة مع الطبريّة، و هي أربعة دوانيق، فلما كان زمن عبد الملك جمع بينهما و اتّخذ الدرهم منهما، و استقر أمر الإسلام على ستة دوانيق، و هذه التسمية ذكرها ابن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الى 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بالجامعين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يوجد بها دراهم يقرب سعتها من أخمص الراحة، لتقدم الدراهم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تقدّمها، و انّما التسمية حادثة، فالرجوع الى المنقول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يعفى عنه لصحيح عبد اللّه بن أبي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يغسله و لا يعيد صلاته، إلاّ أن يكون مقدار الدرهم مجتمعا، فيغسله و يعيد</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و نقل فيه الإجماع</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الغسل في الرواية ان وجب ينافي الحكم بالعفو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المتفرق،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عفو، و إلحاقه بالمجتمع أولى، لظاهر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 بعضهم المتفاحش</w:t>
      </w:r>
      <w:r>
        <w:rPr>
          <w:rStyle w:val="FootnoteAnchor"/>
          <w:rtl w:val="true"/>
        </w:rPr>
        <w:footnoteReference w:id="568"/>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عن الحد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 سعته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بسعة الدينار غسله و لم يعد الصلاة</w:t>
      </w:r>
      <w:r>
        <w:rPr>
          <w:rStyle w:val="FootnoteAnchor"/>
          <w:rtl w:val="true"/>
        </w:rPr>
        <w:footnoteReference w:id="570"/>
      </w:r>
      <w:r>
        <w:rPr>
          <w:rFonts w:ascii="Amiri" w:hAnsi="Amiri" w:eastAsia="Amiri" w:cs="Amiri"/>
          <w:color w:val="111111"/>
          <w:sz w:val="28"/>
          <w:sz w:val="28"/>
          <w:szCs w:val="28"/>
          <w:rtl w:val="true"/>
          <w:lang w:bidi="ar-SA"/>
        </w:rPr>
        <w:t>لحسن محمد ابن مسلم،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يكون في الثوب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إعادة ما لم يزد على مقدار الدرهم</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 قدّر الدرهم بعقد الإبهام، و طرد الحكم في جميع النجاسات بالعفو عما دونه الا دم الحيض و المني، و قطع بان الثوب لا ينجس بذلك</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يعفى عن دم الجرح و القرح لا يرقأ و ان كثر،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و ان كانت الدماء تسيل</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xml:space="preserve">و صلّى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أغسل ثوبي حتى تبرأ</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تعاقب هذا الدم بفترة تسع الصلاة،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إزالته و الصلاة، لزوال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الرواية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استثني دم الحيض في المشهور، و هو في موقوف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من دم لم تبصره الا دم الحيض، فإن قليله و كثيره في الثوب، لمن رآه و من لم يره، سواء</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به دم الاستحاضة و النفاس</w:t>
      </w:r>
      <w:r>
        <w:rPr>
          <w:rStyle w:val="FootnoteAnchor"/>
          <w:rtl w:val="true"/>
        </w:rPr>
        <w:footnoteReference w:id="576"/>
      </w:r>
      <w:r>
        <w:rPr>
          <w:rFonts w:ascii="Amiri" w:hAnsi="Amiri" w:eastAsia="Amiri" w:cs="Amiri"/>
          <w:color w:val="111111"/>
          <w:sz w:val="28"/>
          <w:sz w:val="28"/>
          <w:szCs w:val="28"/>
          <w:rtl w:val="true"/>
          <w:lang w:bidi="ar-SA"/>
        </w:rPr>
        <w:t>لتساويها</w:t>
      </w:r>
      <w:r>
        <w:rPr>
          <w:rStyle w:val="FootnoteAnchor"/>
          <w:rtl w:val="true"/>
        </w:rPr>
        <w:footnoteReference w:id="577"/>
      </w:r>
      <w:r>
        <w:rPr>
          <w:rFonts w:ascii="Amiri" w:hAnsi="Amiri" w:eastAsia="Amiri" w:cs="Amiri"/>
          <w:color w:val="111111"/>
          <w:sz w:val="28"/>
          <w:sz w:val="28"/>
          <w:szCs w:val="28"/>
          <w:rtl w:val="true"/>
          <w:lang w:bidi="ar-SA"/>
        </w:rPr>
        <w:t>في إيجاب الغسل، و هو يشعر بالتغليظ، و لأنّ أصل النفاس حيض، و الاستحاضة مشتقة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 الراوندي و الفاضل دم نجس العين</w:t>
      </w:r>
      <w:r>
        <w:rPr>
          <w:rStyle w:val="FootnoteAnchor"/>
          <w:rtl w:val="true"/>
        </w:rPr>
        <w:footnoteReference w:id="578"/>
      </w:r>
      <w:r>
        <w:rPr>
          <w:rFonts w:ascii="Amiri" w:hAnsi="Amiri" w:eastAsia="Amiri" w:cs="Amiri"/>
          <w:color w:val="111111"/>
          <w:sz w:val="28"/>
          <w:sz w:val="28"/>
          <w:szCs w:val="28"/>
          <w:rtl w:val="true"/>
          <w:lang w:bidi="ar-SA"/>
        </w:rPr>
        <w:t>لأن نجاسته لا عفو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أنكره ابن إدريس، قضية للظاهر</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تفشّى الدم، فواحد إن رقّ الثوب، و الا تعدّد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أصابه نجاسة أخرى فلا عفو، و ان اصابه مائع طاهر فالعفو قوي، لأن المنجس بشيء لا يزيد عليه، و لمسّ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المسجد و غيره، لما مر من اعتبار التلويث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عفي عن مطلق النجاسة فيما لا تتم الصلاة فيه وحده،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على الإنسان أو معه، مما لا يجوز الصلاة فيه، فلا بأس ان يصلي فيه و ان كان فيه قذر،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القلنسوة، و التكّة، و النعل، و الخفين، و ما أشبه ذلك</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و ان أرسل الا أنّه متأيّد بغيره و بالعمل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اقتصر الراوندي على ما في الرواية و الجورب</w:t>
      </w:r>
      <w:r>
        <w:rPr>
          <w:rStyle w:val="FootnoteAnchor"/>
          <w:rtl w:val="true"/>
        </w:rPr>
        <w:footnoteReference w:id="581"/>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أشبه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25" w:name="pg15253_219651"/>
    </w:p>
    <w:p>
      <w:pPr>
        <w:pStyle w:val="BookText"/>
        <w:rPr/>
      </w:pPr>
      <w:bookmarkEnd w:id="425"/>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 الصدوقان العمامة</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قيّدها بعضهم بالصغر</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اشترط الفاضل كونها في محالها</w:t>
      </w:r>
      <w:r>
        <w:rPr>
          <w:rStyle w:val="FootnoteAnchor"/>
          <w:rtl w:val="true"/>
        </w:rPr>
        <w:footnoteReference w:id="584"/>
      </w:r>
      <w:r>
        <w:rPr>
          <w:rFonts w:ascii="Amiri" w:hAnsi="Amiri" w:eastAsia="Amiri" w:cs="Amiri"/>
          <w:color w:val="111111"/>
          <w:sz w:val="28"/>
          <w:sz w:val="28"/>
          <w:szCs w:val="28"/>
          <w:rtl w:val="true"/>
          <w:lang w:bidi="ar-SA"/>
        </w:rPr>
        <w:t xml:space="preserve">و يمنعه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 اعتبار الملابس، فلا يعفى عن محمول، و الرواية مشعرة بالعموم، و قد أومأ إليه في المعتبر</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عفي عن نجاسة ثوب المربية للصبي ذات الثوب الواحد إذا غسلته كل يوم مرة،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و الليلة تابعة، و لتتحر إقلال النجاسة بجهدها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يعفى عن نجاسته بغير الصبي، 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الصبية، للمشقة، و لأن السؤال عن مولود، و دخول المربّي، و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عفي عن خصيّ يتواتر بوله بعد غسل ثوبه مرّة في النهار، و ان ضعفت الرواية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7"/>
      </w:r>
      <w:r>
        <w:rPr>
          <w:rFonts w:ascii="IRNazanin" w:hAnsi="IRNazanin" w:eastAsia="IRNazanin"/>
          <w:color w:val="111111"/>
          <w:sz w:val="28"/>
          <w:sz w:val="28"/>
          <w:szCs w:val="28"/>
          <w:rtl w:val="true"/>
          <w:lang w:bidi="fa-IR"/>
        </w:rPr>
        <w:t>للحرج</w:t>
      </w:r>
      <w:r>
        <w:rPr>
          <w:rFonts w:eastAsia="IRNazanin" w:cs="IRNazanin"/>
          <w:color w:val="111111"/>
          <w:sz w:val="28"/>
          <w:szCs w:val="28"/>
          <w:rtl w:val="true"/>
          <w:lang w:bidi="fa-IR"/>
        </w:rPr>
        <w:t>.</w:t>
      </w:r>
    </w:p>
    <w:p>
      <w:pPr>
        <w:pStyle w:val="Heading6"/>
        <w:numPr>
          <w:ilvl w:val="5"/>
          <w:numId w:val="1"/>
        </w:numPr>
        <w:rPr/>
      </w:pPr>
      <w:bookmarkStart w:id="426" w:name="__RefHeading___Toc4191941_2142443653"/>
      <w:bookmarkStart w:id="427" w:name="_Toc176"/>
      <w:bookmarkEnd w:id="426"/>
      <w:r>
        <w:rPr>
          <w:rtl w:val="true"/>
        </w:rPr>
        <w:t>التاسع عشر</w:t>
      </w:r>
      <w:r>
        <w:rPr>
          <w:rtl w:val="true"/>
        </w:rPr>
        <w:t xml:space="preserve">: </w:t>
      </w:r>
      <w:r>
        <w:rPr>
          <w:rtl w:val="true"/>
        </w:rPr>
        <w:t>لو تعذّر الستر بغير ثوب نجس تعذّر تطهيره،</w:t>
      </w:r>
      <w:bookmarkEnd w:id="427"/>
    </w:p>
    <w:p>
      <w:pPr>
        <w:pStyle w:val="BookText"/>
        <w:rPr/>
      </w:pPr>
      <w:r>
        <w:rPr>
          <w:rFonts w:ascii="IRNazanin" w:hAnsi="IRNazanin" w:eastAsia="IRNazanin"/>
          <w:color w:val="111111"/>
          <w:sz w:val="28"/>
          <w:sz w:val="28"/>
          <w:szCs w:val="28"/>
          <w:rtl w:val="true"/>
          <w:lang w:bidi="fa-IR"/>
        </w:rPr>
        <w:t>فالمشهور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الصلاة عاريا إلا لضرورة،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يطرحه و يومئ</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حمل قول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فيه</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على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التخيير قوي، لتعارض الستر و القيام، و استيفاء الافعال و المانع</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إعادة ما صلى فيه</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 xml:space="preserve">و تحمل على </w:t>
      </w:r>
      <w:bookmarkStart w:id="428" w:name="pg15253_219652"/>
    </w:p>
    <w:p>
      <w:pPr>
        <w:pStyle w:val="BookText"/>
        <w:rPr/>
      </w:pPr>
      <w:bookmarkEnd w:id="428"/>
      <w:r>
        <w:rPr>
          <w:rFonts w:ascii="IRNazanin" w:hAnsi="IRNazanin" w:eastAsia="IRNazanin"/>
          <w:color w:val="111111"/>
          <w:sz w:val="28"/>
          <w:sz w:val="28"/>
          <w:szCs w:val="28"/>
          <w:rtl w:val="true"/>
          <w:lang w:bidi="fa-IR"/>
        </w:rPr>
        <w:t>الندب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اشتبه النجس بغيره، صلّى فيما زاد على عدد النجس في المشهور، لحسن صفوان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الثوبين</w:t>
      </w:r>
      <w:r>
        <w:rPr>
          <w:rStyle w:val="FootnoteAnchor"/>
          <w:rtl w:val="true"/>
        </w:rPr>
        <w:footnoteReference w:id="591"/>
      </w:r>
      <w:r>
        <w:rPr>
          <w:rFonts w:ascii="Amiri" w:hAnsi="Amiri" w:eastAsia="Amiri" w:cs="Amiri"/>
          <w:color w:val="111111"/>
          <w:sz w:val="28"/>
          <w:sz w:val="28"/>
          <w:szCs w:val="28"/>
          <w:rtl w:val="true"/>
          <w:lang w:bidi="ar-SA"/>
        </w:rPr>
        <w:t>و عليه يحمل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الشيخ الصلاة عاريا</w:t>
      </w:r>
      <w:r>
        <w:rPr>
          <w:rStyle w:val="FootnoteAnchor"/>
          <w:rtl w:val="true"/>
        </w:rPr>
        <w:footnoteReference w:id="592"/>
      </w:r>
      <w:r>
        <w:rPr>
          <w:rFonts w:ascii="Amiri" w:hAnsi="Amiri" w:eastAsia="Amiri" w:cs="Amiri"/>
          <w:color w:val="111111"/>
          <w:sz w:val="28"/>
          <w:sz w:val="28"/>
          <w:szCs w:val="28"/>
          <w:rtl w:val="true"/>
          <w:lang w:bidi="ar-SA"/>
        </w:rPr>
        <w:t>و اختاره ابن إدريس، تفصّيا من شروعه شاكا في الصلاة، و الواجب مقارنة الوجه المقتضي لوجوبه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اليقين موقوفا على الجميع قطع بوجوب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إلى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فقارن وجه الوجوب، و ما أبعد ما بين الصلاة في الثوب المتيقن النجاسة و الصلاة عاريا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ضاق الوقت صلّى المحتمل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كثرت الثياب و شق ذلك، فالتحرّي وجه، للحرج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حصلت أمارة تظن بها طهارة بعض، أمكن الاقتصار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فقد أحد المشتبهين صلّى في الآخر و 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الصلاة في متيقن النجاسة، يكفيه الصلاة في الباقي</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4191943_2142443653"/>
      <w:bookmarkStart w:id="430" w:name="_Toc177"/>
      <w:bookmarkEnd w:id="429"/>
      <w:r>
        <w:rPr>
          <w:rtl w:val="true"/>
        </w:rPr>
        <w:t>العشرون</w:t>
      </w:r>
      <w:r>
        <w:rPr>
          <w:rtl w:val="true"/>
        </w:rPr>
        <w:t xml:space="preserve">: </w:t>
      </w:r>
      <w:r>
        <w:rPr>
          <w:rtl w:val="true"/>
        </w:rPr>
        <w:t>يعيد المصلّي بنجاسة في بدنه أو ثوبه مع تمكنه</w:t>
      </w:r>
      <w:bookmarkEnd w:id="430"/>
    </w:p>
    <w:p>
      <w:pPr>
        <w:pStyle w:val="BookText"/>
        <w:rPr/>
      </w:pPr>
      <w:r>
        <w:rPr>
          <w:rFonts w:ascii="Amiri" w:hAnsi="Amiri" w:eastAsia="Amiri" w:cs="Amiri"/>
          <w:color w:val="111111"/>
          <w:sz w:val="28"/>
          <w:sz w:val="28"/>
          <w:szCs w:val="28"/>
          <w:rtl w:val="true"/>
          <w:lang w:bidi="ar-SA"/>
        </w:rPr>
        <w:t>من ثوب طاهر إذا كان عامدا إجماعا، للنهي المفسد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علم ثم نسي حال الصلاة، فخبران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أشهرهما إطلاق الإعادة</w:t>
      </w:r>
      <w:r>
        <w:rPr>
          <w:rStyle w:val="FootnoteAnchor"/>
          <w:rtl w:val="true"/>
        </w:rPr>
        <w:footnoteReference w:id="594"/>
      </w:r>
      <w:r>
        <w:rPr>
          <w:rFonts w:ascii="IRNazanin" w:hAnsi="IRNazanin" w:eastAsia="IRNazanin"/>
          <w:color w:val="111111"/>
          <w:sz w:val="28"/>
          <w:sz w:val="28"/>
          <w:szCs w:val="28"/>
          <w:rtl w:val="true"/>
          <w:lang w:bidi="fa-IR"/>
        </w:rPr>
        <w:t>و الآخر إطلاق عدمها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مكاتبة مجهولة المروي عنه التقييد بخروج الوقت</w:t>
      </w:r>
      <w:r>
        <w:rPr>
          <w:rStyle w:val="FootnoteAnchor"/>
          <w:rtl w:val="true"/>
        </w:rPr>
        <w:footnoteReference w:id="596"/>
      </w:r>
      <w:r>
        <w:rPr>
          <w:rFonts w:ascii="Amiri" w:hAnsi="Amiri" w:eastAsia="Amiri" w:cs="Amiri"/>
          <w:color w:val="111111"/>
          <w:sz w:val="28"/>
          <w:sz w:val="28"/>
          <w:szCs w:val="28"/>
          <w:rtl w:val="true"/>
          <w:lang w:bidi="ar-SA"/>
        </w:rPr>
        <w:t xml:space="preserve">و اختارها في </w:t>
      </w:r>
    </w:p>
    <w:p>
      <w:pPr>
        <w:pStyle w:val="BookText"/>
        <w:rPr/>
      </w:pPr>
      <w:r>
        <w:rPr>
          <w:rFonts w:ascii="IRNazanin" w:hAnsi="IRNazanin" w:eastAsia="IRNazanin"/>
          <w:color w:val="111111"/>
          <w:sz w:val="28"/>
          <w:sz w:val="28"/>
          <w:szCs w:val="28"/>
          <w:rtl w:val="true"/>
          <w:lang w:bidi="fa-IR"/>
        </w:rPr>
        <w:t>الإستبصار</w:t>
      </w:r>
      <w:r>
        <w:rPr>
          <w:rStyle w:val="FootnoteAnchor"/>
          <w:rtl w:val="true"/>
        </w:rPr>
        <w:footnoteReference w:id="597"/>
      </w:r>
      <w:r>
        <w:rPr>
          <w:rFonts w:ascii="Amiri" w:hAnsi="Amiri" w:eastAsia="Amiri" w:cs="Amiri"/>
          <w:color w:val="111111"/>
          <w:sz w:val="28"/>
          <w:sz w:val="28"/>
          <w:szCs w:val="28"/>
          <w:rtl w:val="true"/>
          <w:lang w:bidi="ar-SA"/>
        </w:rPr>
        <w:t>، لأن المطلق يحمل على المقيد، و فيه جمع ظاهر و ان كانت الإعادة خارج الوقت أظهر، لعدم الإتيان على الوجه، و التضييع بالنسيان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علم بعد الصلاة سبق النجاسة من غير سبق علم، ففيه خبران صحيحان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الإعادة</w:t>
      </w:r>
      <w:r>
        <w:rPr>
          <w:rStyle w:val="FootnoteAnchor"/>
          <w:rtl w:val="true"/>
        </w:rPr>
        <w:footnoteReference w:id="598"/>
      </w:r>
      <w:r>
        <w:rPr>
          <w:rFonts w:ascii="IRNazanin" w:hAnsi="IRNazanin" w:eastAsia="IRNazanin"/>
          <w:color w:val="111111"/>
          <w:sz w:val="28"/>
          <w:sz w:val="28"/>
          <w:szCs w:val="28"/>
          <w:rtl w:val="true"/>
          <w:lang w:bidi="fa-IR"/>
        </w:rPr>
        <w:t>و عدمها</w:t>
      </w:r>
      <w:r>
        <w:rPr>
          <w:rStyle w:val="FootnoteAnchor"/>
          <w:rtl w:val="true"/>
        </w:rPr>
        <w:footnoteReference w:id="599"/>
      </w:r>
      <w:r>
        <w:rPr>
          <w:rFonts w:ascii="Amiri" w:hAnsi="Amiri" w:eastAsia="Amiri" w:cs="Amiri"/>
          <w:color w:val="111111"/>
          <w:sz w:val="28"/>
          <w:sz w:val="28"/>
          <w:szCs w:val="28"/>
          <w:rtl w:val="true"/>
          <w:lang w:bidi="ar-SA"/>
        </w:rPr>
        <w:t>جمع بينهما بالحمل على الوقت 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الأكثر على عدم الإعادة مطلقا</w:t>
      </w:r>
      <w:r>
        <w:rPr>
          <w:rStyle w:val="FootnoteAnchor"/>
          <w:rtl w:val="true"/>
        </w:rPr>
        <w:footnoteReference w:id="600"/>
      </w:r>
      <w:r>
        <w:rPr>
          <w:rFonts w:ascii="Amiri" w:hAnsi="Amiri" w:eastAsia="Amiri" w:cs="Amiri"/>
          <w:color w:val="111111"/>
          <w:sz w:val="28"/>
          <w:sz w:val="28"/>
          <w:szCs w:val="28"/>
          <w:rtl w:val="true"/>
          <w:lang w:bidi="ar-SA"/>
        </w:rPr>
        <w:t>للامتثال المقتضي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رواية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المني و البول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نظرت في ثوبك فلم تصبه، ثم صلّيت فيه، ثم رأيته بعد، فلا إعادة عليك</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إعادة على من اجتهد قبل الصلاة و يعيد غيره أمكن، لهذا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المني تغسله الجارية ثم يوجد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صلاتك، امّا انك لو كنت غسلت أنت لم يكن عليك شيء</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ان لم يكن احداث قول ثالث</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علم بالنجاسة في أثناء الصلاة، فان لم يعلم سبقها طرحها أو غسلها ما لم يكثر الفعل و أتم، و ان احتاج الى فعل كثير استأنف، لأصالة صحة الصلاة الخالية عن معارضة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أصاب نجاسة في الأثناء و لا يعلم ثم زالت و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31" w:name="pg15253_219654"/>
    </w:p>
    <w:p>
      <w:pPr>
        <w:pStyle w:val="BookText"/>
        <w:rPr/>
      </w:pPr>
      <w:bookmarkEnd w:id="431"/>
      <w:r>
        <w:rPr>
          <w:rFonts w:ascii="Amiri" w:hAnsi="Amiri" w:eastAsia="Amiri" w:cs="Amiri"/>
          <w:color w:val="111111"/>
          <w:sz w:val="28"/>
          <w:sz w:val="28"/>
          <w:szCs w:val="28"/>
          <w:rtl w:val="true"/>
          <w:lang w:bidi="ar-SA"/>
        </w:rPr>
        <w:t>و في المعتبر بنى ذلك على القولين</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لو علم في الأثناء سبقها فلا إشكال في بنائه عليهما، و حينئذ لو علم بعد خروج الوقت و هو متلبس في الصلاة، أمكن عدم التفاته، مصيرا الى استلزامه القضاء المنفي قطعا، و قد نبّه عليه في المعتبر</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2" w:name="__RefHeading___Toc4191945_2142443653"/>
      <w:bookmarkStart w:id="433" w:name="_Toc178"/>
      <w:bookmarkEnd w:id="432"/>
      <w:r>
        <w:rPr>
          <w:rtl w:val="true"/>
        </w:rPr>
        <w:t>الحادي و العشرون</w:t>
      </w:r>
      <w:r>
        <w:rPr>
          <w:rtl w:val="true"/>
        </w:rPr>
        <w:t xml:space="preserve">: </w:t>
      </w:r>
      <w:r>
        <w:rPr>
          <w:rtl w:val="true"/>
        </w:rPr>
        <w:t>قال الفاضل</w:t>
      </w:r>
      <w:r>
        <w:rPr>
          <w:rtl w:val="true"/>
        </w:rPr>
        <w:t xml:space="preserve">: </w:t>
      </w:r>
      <w:r>
        <w:rPr>
          <w:rtl w:val="true"/>
        </w:rPr>
        <w:t>مراتب إيراد الماء ثلاثة</w:t>
      </w:r>
      <w:r>
        <w:rPr>
          <w:rtl w:val="true"/>
        </w:rPr>
        <w:t>:</w:t>
      </w:r>
      <w:bookmarkEnd w:id="433"/>
    </w:p>
    <w:p>
      <w:pPr>
        <w:pStyle w:val="BookText"/>
        <w:rPr/>
      </w:pPr>
      <w:r>
        <w:rPr>
          <w:rFonts w:ascii="Amiri" w:hAnsi="Amiri" w:eastAsia="Amiri" w:cs="Amiri"/>
          <w:color w:val="111111"/>
          <w:sz w:val="28"/>
          <w:sz w:val="28"/>
          <w:szCs w:val="28"/>
          <w:rtl w:val="true"/>
          <w:lang w:bidi="ar-SA"/>
        </w:rPr>
        <w:t>النضح المجرد و مع الغلبة، و مع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في الرش الى الجريان بل الى النضح و الغلبة، و جعل الرش لبول الرضيع، فاستحب النضح في مواضع 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 النجاسة، و المذي، و الكلب و الخنزير يابسين، و الفأرة الرطبة، و بول الخيل و البغال و الحمير، و عرق الجنب، و بول البعير و الشاة</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الكافر يابسا، و الكلب ميتا كذلك، و ذو الجرح في المقعدة يجد الصفرة بعد الاستنجاء،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المبسوط عمّم الحكم في كل نجاسة يابسة باستحباب النضح</w:t>
      </w:r>
      <w:r>
        <w:rPr>
          <w:rStyle w:val="FootnoteAnchor"/>
          <w:rtl w:val="true"/>
        </w:rPr>
        <w:footnoteReference w:id="607"/>
      </w:r>
      <w:r>
        <w:rPr>
          <w:rFonts w:ascii="Amiri" w:hAnsi="Amiri" w:eastAsia="Amiri" w:cs="Amiri"/>
          <w:color w:val="111111"/>
          <w:sz w:val="28"/>
          <w:sz w:val="28"/>
          <w:szCs w:val="28"/>
          <w:rtl w:val="true"/>
          <w:lang w:bidi="ar-SA"/>
        </w:rPr>
        <w:t>و قد مرّ</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4191947_2142443653"/>
      <w:bookmarkStart w:id="435" w:name="_Toc179"/>
      <w:bookmarkEnd w:id="434"/>
      <w:r>
        <w:rPr>
          <w:rtl w:val="true"/>
        </w:rPr>
        <w:t>فروع</w:t>
      </w:r>
      <w:r>
        <w:rPr>
          <w:rtl w:val="true"/>
        </w:rPr>
        <w:t>:</w:t>
      </w:r>
      <w:bookmarkEnd w:id="435"/>
    </w:p>
    <w:p>
      <w:pPr>
        <w:pStyle w:val="Heading6"/>
        <w:numPr>
          <w:ilvl w:val="5"/>
          <w:numId w:val="1"/>
        </w:numPr>
        <w:rPr/>
      </w:pPr>
      <w:bookmarkStart w:id="436" w:name="__RefHeading___Toc4191949_2142443653"/>
      <w:bookmarkStart w:id="437" w:name="_Toc180"/>
      <w:bookmarkEnd w:id="436"/>
      <w:r>
        <w:rPr>
          <w:rtl w:val="true"/>
        </w:rPr>
        <w:t>الأول</w:t>
      </w:r>
      <w:r>
        <w:rPr>
          <w:rtl w:val="true"/>
        </w:rPr>
        <w:t xml:space="preserve">: </w:t>
      </w:r>
      <w:r>
        <w:rPr>
          <w:rtl w:val="true"/>
        </w:rPr>
        <w:t>لو حمل المصلي حيّا طاهرا غير مأكول</w:t>
      </w:r>
      <w:bookmarkEnd w:id="4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تفسد الصلاة، للأصل، و الباطن معفو عنه، و 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امامة بنت أبي العاص و هو يصلي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ركب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ظهره و هو ساجد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8" w:name="pg15253_219655"/>
    </w:p>
    <w:p>
      <w:pPr>
        <w:pStyle w:val="BookText"/>
        <w:rPr/>
      </w:pPr>
      <w:bookmarkEnd w:id="438"/>
      <w:r>
        <w:rPr>
          <w:rFonts w:ascii="Amiri" w:hAnsi="Amiri" w:eastAsia="Amiri" w:cs="Amiri"/>
          <w:color w:val="111111"/>
          <w:sz w:val="28"/>
          <w:sz w:val="28"/>
          <w:szCs w:val="28"/>
          <w:rtl w:val="true"/>
          <w:lang w:bidi="ar-SA"/>
        </w:rPr>
        <w:t>و لو حمل قارورة مشدودة الرأس بالرصاص فيها نجاسة، تردد فيه الشيخ في الخلاف</w:t>
      </w:r>
      <w:r>
        <w:rPr>
          <w:rStyle w:val="FootnoteAnchor"/>
          <w:rtl w:val="true"/>
        </w:rPr>
        <w:footnoteReference w:id="608"/>
      </w:r>
      <w:r>
        <w:rPr>
          <w:rFonts w:ascii="Amiri" w:hAnsi="Amiri" w:eastAsia="Amiri" w:cs="Amiri"/>
          <w:color w:val="111111"/>
          <w:sz w:val="28"/>
          <w:sz w:val="28"/>
          <w:szCs w:val="28"/>
          <w:rtl w:val="true"/>
          <w:lang w:bidi="ar-SA"/>
        </w:rPr>
        <w:t>و قطع في المبسوط بالفساد،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 لبنا نجسا لم تجز صلاته، لأنه حامل لنجاسة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جوّزه في المعتبر، لأنّه محمول لا تتم فيه الصلاة منفردا، و طالب بدليل منع نجاسة المحمول ما لم تتصل بالثوب و البدن</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علي بن جعفر عن أخيه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قلع الثؤلول و نتف اللحم في الصلاة</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قوله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قوله لا حاجة الى شدّ رأسها إذا أمن التعدي، و من اشترطه من العامّة لم يقل بالعفو عما لا تتمّ الصلاة فيه وحده، بل مأخذه القياس على حمل الحيوان</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مذبوحا فكالقارورة، لصيرورة الظاهر و الباطن سواء بعد الموت</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4191951_2142443653"/>
      <w:bookmarkStart w:id="440" w:name="_Toc181"/>
      <w:bookmarkEnd w:id="439"/>
      <w:r>
        <w:rPr>
          <w:rtl w:val="true"/>
        </w:rPr>
        <w:t>الثاني</w:t>
      </w:r>
      <w:r>
        <w:rPr>
          <w:rtl w:val="true"/>
        </w:rPr>
        <w:t xml:space="preserve">: </w:t>
      </w:r>
      <w:r>
        <w:rPr>
          <w:rtl w:val="true"/>
        </w:rPr>
        <w:t>لا يضرّ الحبل المشدود في نجاسة</w:t>
      </w:r>
      <w:bookmarkEnd w:id="440"/>
    </w:p>
    <w:p>
      <w:pPr>
        <w:pStyle w:val="BookText"/>
        <w:rPr/>
      </w:pPr>
      <w:r>
        <w:rPr>
          <w:rFonts w:ascii="Amiri" w:hAnsi="Amiri" w:eastAsia="Amiri" w:cs="Amiri"/>
          <w:color w:val="111111"/>
          <w:sz w:val="28"/>
          <w:sz w:val="28"/>
          <w:szCs w:val="28"/>
          <w:rtl w:val="true"/>
          <w:lang w:bidi="ar-SA"/>
        </w:rPr>
        <w:t xml:space="preserve">و ان تحركت بحركته، لعدم اللبس و الحمل، و كذا لو نجس طرف ثوبه الذي لا يقلّه 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حدّ ثوبه الساتر له، قاله في المبسوط</w:t>
      </w:r>
      <w:r>
        <w:rPr>
          <w:rStyle w:val="FootnoteAnchor"/>
          <w:rtl w:val="true"/>
        </w:rPr>
        <w:footnoteReference w:id="613"/>
      </w:r>
      <w:r>
        <w:rPr>
          <w:rFonts w:ascii="Amiri" w:hAnsi="Amiri" w:eastAsia="Amiri" w:cs="Amiri"/>
          <w:color w:val="111111"/>
          <w:sz w:val="28"/>
          <w:sz w:val="28"/>
          <w:szCs w:val="28"/>
          <w:rtl w:val="true"/>
          <w:lang w:bidi="ar-SA"/>
        </w:rPr>
        <w:t>و تبعه في المعتبر</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1" w:name="__RefHeading___Toc4191953_2142443653"/>
      <w:bookmarkStart w:id="442" w:name="_Toc182"/>
      <w:bookmarkEnd w:id="441"/>
      <w:r>
        <w:rPr>
          <w:rtl w:val="true"/>
        </w:rPr>
        <w:t>الثالث</w:t>
      </w:r>
      <w:r>
        <w:rPr>
          <w:rtl w:val="true"/>
        </w:rPr>
        <w:t xml:space="preserve">: </w:t>
      </w:r>
      <w:r>
        <w:rPr>
          <w:rtl w:val="true"/>
        </w:rPr>
        <w:t>لو جبر بعظم نجس</w:t>
      </w:r>
      <w:bookmarkEnd w:id="442"/>
    </w:p>
    <w:p>
      <w:pPr>
        <w:pStyle w:val="BookText"/>
        <w:rPr/>
      </w:pPr>
      <w:r>
        <w:rPr>
          <w:rFonts w:ascii="Amiri" w:hAnsi="Amiri" w:eastAsia="Amiri" w:cs="Amiri"/>
          <w:color w:val="111111"/>
          <w:sz w:val="28"/>
          <w:sz w:val="28"/>
          <w:szCs w:val="28"/>
          <w:rtl w:val="true"/>
          <w:lang w:bidi="ar-SA"/>
        </w:rPr>
        <w:t>وجب قلعه إجماعا، ما لم يخف التلف أو المشقة لنبات اللحم عليه، للحرج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صلّى به مع إمكان القلع بطلت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حامل للنجاسة، و يجبره السلطان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مات </w:t>
      </w:r>
      <w:bookmarkStart w:id="443" w:name="pg15253_219656"/>
    </w:p>
    <w:p>
      <w:pPr>
        <w:pStyle w:val="BookText"/>
        <w:rPr/>
      </w:pPr>
      <w:bookmarkEnd w:id="443"/>
      <w:r>
        <w:rPr>
          <w:rFonts w:ascii="Amiri" w:hAnsi="Amiri" w:eastAsia="Amiri" w:cs="Amiri"/>
          <w:color w:val="111111"/>
          <w:sz w:val="28"/>
          <w:sz w:val="28"/>
          <w:szCs w:val="28"/>
          <w:rtl w:val="true"/>
          <w:lang w:bidi="ar-SA"/>
        </w:rPr>
        <w:t>قبله لم يجز قلعه، لسقوط التكليف</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عدم الوجوب مع اكتساء اللحم، لالتحاقها بالباطن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الخيط النجس في الجرح حكم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إنبات سنّ نجسة مكان سنّه، و يجوز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سن آدمي، أو جبر بعظم آدمي، أمكن الجواز لطهارته، و لتجويز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سنّ الميت لمن سقطت سنه</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سنّه الساقطة أولى بالجواز، لطهارتها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المنع في العظم لوجوب دفنه، و إن أوجبنا دفن السنّ توجّه المنع أيضا</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4191955_2142443653"/>
      <w:bookmarkStart w:id="445" w:name="_Toc183"/>
      <w:bookmarkEnd w:id="444"/>
      <w:r>
        <w:rPr>
          <w:rtl w:val="true"/>
        </w:rPr>
        <w:t>الرابع</w:t>
      </w:r>
      <w:r>
        <w:rPr>
          <w:rtl w:val="true"/>
        </w:rPr>
        <w:t xml:space="preserve">: </w:t>
      </w:r>
      <w:r>
        <w:rPr>
          <w:rtl w:val="true"/>
        </w:rPr>
        <w:t>حكم في المبسوط بنجاسة تراب القبر المختلط بالميت،</w:t>
      </w:r>
      <w:bookmarkEnd w:id="445"/>
    </w:p>
    <w:p>
      <w:pPr>
        <w:pStyle w:val="BookText"/>
        <w:rPr/>
      </w:pPr>
      <w:r>
        <w:rPr>
          <w:rFonts w:ascii="Amiri" w:hAnsi="Amiri" w:eastAsia="Amiri" w:cs="Amiri"/>
          <w:color w:val="111111"/>
          <w:sz w:val="28"/>
          <w:sz w:val="28"/>
          <w:szCs w:val="28"/>
          <w:rtl w:val="true"/>
          <w:lang w:bidi="ar-SA"/>
        </w:rPr>
        <w:t>و لو شكّ في اختلاطه استحبّ اجتنابه</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يرى طهارة ظاهر الميت بالغسل خاصة، و لا يحكم بالطهارة بالاستحالة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لمخالطة الدم النجس و غيره، و حكى ذلك عنه في المعتبر</w:t>
      </w:r>
      <w:r>
        <w:rPr>
          <w:rStyle w:val="FootnoteAnchor"/>
          <w:rtl w:val="true"/>
        </w:rPr>
        <w:footnoteReference w:id="618"/>
      </w:r>
      <w:r>
        <w:rPr>
          <w:rFonts w:ascii="Amiri" w:hAnsi="Amiri" w:eastAsia="Amiri" w:cs="Amiri"/>
          <w:color w:val="111111"/>
          <w:sz w:val="28"/>
          <w:sz w:val="28"/>
          <w:szCs w:val="28"/>
          <w:rtl w:val="true"/>
          <w:lang w:bidi="ar-SA"/>
        </w:rPr>
        <w:t>، و حمله على قبر كافر بعيد</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4191957_2142443653"/>
      <w:bookmarkStart w:id="447" w:name="_Toc184"/>
      <w:bookmarkEnd w:id="446"/>
      <w:r>
        <w:rPr>
          <w:rtl w:val="true"/>
        </w:rPr>
        <w:t>الخامس</w:t>
      </w:r>
      <w:r>
        <w:rPr>
          <w:rtl w:val="true"/>
        </w:rPr>
        <w:t xml:space="preserve">: </w:t>
      </w:r>
      <w:r>
        <w:rPr>
          <w:rtl w:val="true"/>
        </w:rPr>
        <w:t>لو شرب خمرا أو نجسا أو أكل ميتة غير مضطرّ،</w:t>
      </w:r>
      <w:bookmarkEnd w:id="447"/>
    </w:p>
    <w:p>
      <w:pPr>
        <w:pStyle w:val="BookText"/>
        <w:rPr/>
      </w:pPr>
      <w:r>
        <w:rPr>
          <w:rFonts w:ascii="Amiri" w:hAnsi="Amiri" w:eastAsia="Amiri" w:cs="Amiri"/>
          <w:color w:val="111111"/>
          <w:sz w:val="28"/>
          <w:sz w:val="28"/>
          <w:szCs w:val="28"/>
          <w:rtl w:val="true"/>
          <w:lang w:bidi="ar-SA"/>
        </w:rPr>
        <w:t>أو أدخل دما نجسا أو شبهه تحت جلده، أمكن وجوب إخراج ذلك، لتحريم الاغتذاء به، و انه نجاسة لا لضرورة، و به قطع الفاضل رحمه اللّه</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التحاقه بالباطن، و عليه تتفرّع صحّة الصلاة به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الجمع بين بطلان الصلاة هنا، و صحتّها مع حمل الحيوان غير المأكول بعد، لاختيار حمله نجاسة باطنة فيهما، و إمكان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قول المحقق في المعتبر</w:t>
      </w:r>
      <w:r>
        <w:rPr>
          <w:rStyle w:val="FootnoteAnchor"/>
          <w:rtl w:val="true"/>
        </w:rPr>
        <w:footnoteReference w:id="620"/>
      </w:r>
      <w:r>
        <w:rPr>
          <w:rFonts w:ascii="Amiri" w:hAnsi="Amiri" w:eastAsia="Amiri" w:cs="Amiri"/>
          <w:color w:val="111111"/>
          <w:sz w:val="28"/>
          <w:sz w:val="28"/>
          <w:szCs w:val="28"/>
          <w:rtl w:val="true"/>
          <w:lang w:bidi="ar-SA"/>
        </w:rPr>
        <w:t>تنسحب الصحة في الجميع</w:t>
      </w:r>
      <w:r>
        <w:rPr>
          <w:rFonts w:eastAsia="Amiri" w:cs="Amiri" w:ascii="Amiri" w:hAnsi="Amiri"/>
          <w:color w:val="111111"/>
          <w:sz w:val="28"/>
          <w:szCs w:val="28"/>
          <w:rtl w:val="true"/>
          <w:lang w:bidi="ar-SA"/>
        </w:rPr>
        <w:t xml:space="preserve">. </w:t>
      </w:r>
      <w:bookmarkStart w:id="448" w:name="pg15253_219657"/>
    </w:p>
    <w:p>
      <w:pPr>
        <w:pStyle w:val="Heading6"/>
        <w:numPr>
          <w:ilvl w:val="5"/>
          <w:numId w:val="1"/>
        </w:numPr>
        <w:rPr/>
      </w:pPr>
      <w:bookmarkStart w:id="449" w:name="__RefHeading___Toc4191959_2142443653"/>
      <w:bookmarkStart w:id="450" w:name="_Toc185"/>
      <w:bookmarkEnd w:id="448"/>
      <w:bookmarkEnd w:id="449"/>
      <w:r>
        <w:rPr>
          <w:rtl w:val="true"/>
        </w:rPr>
        <w:t>خاتمة</w:t>
      </w:r>
      <w:r>
        <w:rPr>
          <w:rtl w:val="true"/>
        </w:rPr>
        <w:t xml:space="preserve">: </w:t>
      </w:r>
      <w:r>
        <w:rPr>
          <w:rtl w:val="true"/>
        </w:rPr>
        <w:t>الآنية خمسة</w:t>
      </w:r>
      <w:r>
        <w:rPr>
          <w:rtl w:val="true"/>
        </w:rPr>
        <w:t>:</w:t>
      </w:r>
      <w:bookmarkEnd w:id="450"/>
    </w:p>
    <w:p>
      <w:pPr>
        <w:pStyle w:val="Heading6"/>
        <w:numPr>
          <w:ilvl w:val="5"/>
          <w:numId w:val="1"/>
        </w:numPr>
        <w:rPr/>
      </w:pPr>
      <w:bookmarkStart w:id="451" w:name="__RefHeading___Toc4191961_2142443653"/>
      <w:bookmarkStart w:id="452" w:name="_Toc186"/>
      <w:bookmarkEnd w:id="451"/>
      <w:r>
        <w:rPr>
          <w:rtl w:val="true"/>
        </w:rPr>
        <w:t>إحداها</w:t>
      </w:r>
      <w:r>
        <w:rPr>
          <w:rtl w:val="true"/>
        </w:rPr>
        <w:t xml:space="preserve">: </w:t>
      </w:r>
      <w:r>
        <w:rPr>
          <w:rtl w:val="true"/>
        </w:rPr>
        <w:t>المتّخذة من الذهب و الفضة</w:t>
      </w:r>
      <w:r>
        <w:rPr>
          <w:rtl w:val="true"/>
        </w:rPr>
        <w:t>.</w:t>
      </w:r>
      <w:bookmarkEnd w:id="452"/>
    </w:p>
    <w:p>
      <w:pPr>
        <w:pStyle w:val="BookText"/>
        <w:rPr/>
      </w:pPr>
      <w:r>
        <w:rPr>
          <w:rFonts w:ascii="Amiri" w:hAnsi="Amiri" w:eastAsia="Amiri" w:cs="Amiri"/>
          <w:color w:val="111111"/>
          <w:sz w:val="28"/>
          <w:sz w:val="28"/>
          <w:szCs w:val="28"/>
          <w:rtl w:val="true"/>
          <w:lang w:bidi="ar-SA"/>
        </w:rPr>
        <w:t>و يحرم استعمالها في الأكل و الشرب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استعمالها</w:t>
      </w:r>
      <w:r>
        <w:rPr>
          <w:rStyle w:val="FootnoteAnchor"/>
          <w:rtl w:val="true"/>
        </w:rPr>
        <w:footnoteReference w:id="621"/>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يريد التحريم كقوله في المبسوط</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يشرب في آنية الفضة إنما يجرجر في جوفه نار جهنم</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يحدر أو يردد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تشربوا في آنية الذهب و الفضة، و لا تأكلوا في صحافها، فإنها لهم في الدنيا، و لكم في الآخرة</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و هو يدل بالإيماء على تحريم استعمالها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كالبخور، و الاكتحال، و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الأكل و الشرب للاهتمام، و كذا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في آنية الذهب و الفضة</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لنهي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آنية الذهب و الفضة</w:t>
      </w:r>
      <w:r>
        <w:rPr>
          <w:rStyle w:val="FootnoteAnchor"/>
          <w:rtl w:val="true"/>
        </w:rPr>
        <w:footnoteReference w:id="626"/>
      </w:r>
      <w:r>
        <w:rPr>
          <w:rFonts w:ascii="Amiri" w:hAnsi="Amiri" w:eastAsia="Amiri" w:cs="Amiri"/>
          <w:color w:val="111111"/>
          <w:sz w:val="28"/>
          <w:sz w:val="28"/>
          <w:szCs w:val="28"/>
          <w:rtl w:val="true"/>
          <w:lang w:bidi="ar-SA"/>
        </w:rPr>
        <w:t xml:space="preserve">و النهي انما يتعلق بالمنافع، و لقول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آنية الذهب و الفضة متاع الذين لا يوقنون</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و فيهما إيماء إلى تحريم اتخاذها مطلقا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فيه من السرف و تعطيل الإنفاق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لتزيين المجالس أولى بالتحريم، لعظم الخيلاء به، و كسر قلوب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المساجد و المشاهد نظر، لفحوى النهي، و شعار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المفضّض خبران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كره الشرب في الفضة و القداح المفضّضة، و أن يدّهن في مدهن مفضّض</w:t>
      </w:r>
      <w:r>
        <w:rPr>
          <w:rStyle w:val="FootnoteAnchor"/>
          <w:rtl w:val="true"/>
        </w:rPr>
        <w:footnoteReference w:id="628"/>
      </w:r>
      <w:r>
        <w:rPr>
          <w:rFonts w:ascii="Amiri" w:hAnsi="Amiri" w:eastAsia="Amiri" w:cs="Amiri"/>
          <w:color w:val="111111"/>
          <w:sz w:val="28"/>
          <w:sz w:val="28"/>
          <w:szCs w:val="28"/>
          <w:rtl w:val="true"/>
          <w:lang w:bidi="ar-SA"/>
        </w:rPr>
        <w:t>و العطف على الشرب في الفضة مشعر بإرادة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w:t>
      </w:r>
      <w:r>
        <w:rPr>
          <w:rStyle w:val="FootnoteAnchor"/>
          <w:rtl w:val="true"/>
        </w:rPr>
        <w:footnoteReference w:id="629"/>
      </w:r>
      <w:r>
        <w:rPr>
          <w:rFonts w:ascii="Amiri" w:hAnsi="Amiri" w:eastAsia="Amiri" w:cs="Amiri"/>
          <w:color w:val="111111"/>
          <w:sz w:val="28"/>
          <w:sz w:val="28"/>
          <w:szCs w:val="28"/>
          <w:rtl w:val="true"/>
          <w:lang w:bidi="ar-SA"/>
        </w:rPr>
        <w:t>يكون فيه تماثيل أو فضة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يتوضأ منه، و لا فيه</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و النهي للتحريم،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بالشرب في المفضّض، و اعزل فاك عن موضع الفضة</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فالجمع بالحمل على الكراهية، و استعمال اللفظ فيها و في التحريم في الأول، مجاز يصار إليه بقرينة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عزل الفم، للأمر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القدح ضبته فضة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إلاّ أن تكره الفضة فتنزعها منه</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 غير واضحة، لعدم التصريح باستعمال موضع الفضة، و لإمكان اختصاصه بالضبة،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يشعب بها الإناء</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نحو الحلقة للقصعة، و قبيعة السيف</w:t>
      </w:r>
      <w:r>
        <w:rPr>
          <w:rStyle w:val="FootnoteAnchor"/>
          <w:rtl w:val="true"/>
        </w:rPr>
        <w:footnoteReference w:id="633"/>
      </w:r>
      <w:r>
        <w:rPr>
          <w:rFonts w:ascii="Amiri" w:hAnsi="Amiri" w:eastAsia="Amiri" w:cs="Amiri"/>
          <w:color w:val="111111"/>
          <w:sz w:val="28"/>
          <w:sz w:val="28"/>
          <w:szCs w:val="28"/>
          <w:rtl w:val="true"/>
          <w:lang w:bidi="ar-SA"/>
        </w:rPr>
        <w:t xml:space="preserve">و السلسلة، فإنّه جائز، لما روي في حلقة قصعة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و قبيعة سيفه</w:t>
      </w:r>
      <w:r>
        <w:rPr>
          <w:rStyle w:val="FootnoteAnchor"/>
          <w:rtl w:val="true"/>
        </w:rPr>
        <w:footnoteReference w:id="635"/>
      </w:r>
      <w:r>
        <w:rPr>
          <w:rFonts w:ascii="Amiri" w:hAnsi="Amiri" w:eastAsia="Amiri" w:cs="Amiri"/>
          <w:color w:val="111111"/>
          <w:sz w:val="28"/>
          <w:sz w:val="28"/>
          <w:szCs w:val="28"/>
          <w:rtl w:val="true"/>
          <w:lang w:bidi="ar-SA"/>
        </w:rPr>
        <w:t>و أنف عرفجة 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أسعد</w:t>
      </w:r>
      <w:r>
        <w:rPr>
          <w:rStyle w:val="FootnoteAnchor"/>
          <w:rtl w:val="true"/>
        </w:rPr>
        <w:footnoteReference w:id="636"/>
      </w:r>
      <w:r>
        <w:rPr>
          <w:rFonts w:ascii="Amiri" w:hAnsi="Amiri" w:eastAsia="Amiri" w:cs="Amiri"/>
          <w:color w:val="111111"/>
          <w:sz w:val="28"/>
          <w:sz w:val="28"/>
          <w:szCs w:val="28"/>
          <w:rtl w:val="true"/>
          <w:lang w:bidi="ar-SA"/>
        </w:rPr>
        <w:t xml:space="preserve">بإذن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اتخذه من ذهب لما أنتن</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للكاظم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عليها فضة</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نعل سيف</w:t>
      </w:r>
      <w:r>
        <w:rPr>
          <w:rStyle w:val="FootnoteAnchor"/>
          <w:rtl w:val="true"/>
        </w:rPr>
        <w:footnoteReference w:id="639"/>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قائمته فضة</w:t>
      </w:r>
      <w:r>
        <w:rPr>
          <w:rStyle w:val="FootnoteAnchor"/>
          <w:rtl w:val="true"/>
        </w:rPr>
        <w:footnoteReference w:id="640"/>
      </w:r>
      <w:r>
        <w:rPr>
          <w:rFonts w:ascii="Amiri" w:hAnsi="Amiri" w:eastAsia="Amiri" w:cs="Amiri"/>
          <w:color w:val="111111"/>
          <w:sz w:val="28"/>
          <w:sz w:val="28"/>
          <w:szCs w:val="28"/>
          <w:rtl w:val="true"/>
          <w:lang w:bidi="ar-SA"/>
        </w:rPr>
        <w:t>، و بين ذلك حلق من فضة، و لدرعه ثلاث حلقات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قدامها، و ثنتان خلفها</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طريق قوي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تحلية السيف بالذهب و الفضة</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طريق فيه سهل بن زياد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بحلية المصاحف و السيوف بالذهب و الفضة بأس</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عرض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معشرا بالذهب، و في آخره سورة مكتوبة بالذهب، فلم يعب سوى كتابة القرآن بالذهب،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يعجبني أن يكتب القرآن الا بالسواد كما كتب أول مرة</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ماء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ان انفصل منه شيء بالنار</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بتعليل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بالخيلاء و الفخر و كسر قلوب الفقراء لما يتضمن من السرف و تعطيل المال، لتخلّفه في آنية الجواهر، فيمكن كونه تعبّدا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المأكول و المشروب و إن حرم الاستعمال، لعدم تناول النهي المستعمل، و يخرج عن المعصية بوضعه في غير الإناء، أو بتوبته ثم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تحريمه</w:t>
      </w:r>
      <w:r>
        <w:rPr>
          <w:rStyle w:val="FootnoteAnchor"/>
          <w:rtl w:val="true"/>
        </w:rPr>
        <w:footnoteReference w:id="647"/>
      </w:r>
      <w:r>
        <w:rPr>
          <w:rFonts w:ascii="Amiri" w:hAnsi="Amiri" w:eastAsia="Amiri" w:cs="Amiri"/>
          <w:color w:val="111111"/>
          <w:sz w:val="28"/>
          <w:sz w:val="28"/>
          <w:szCs w:val="28"/>
          <w:rtl w:val="true"/>
          <w:lang w:bidi="ar-SA"/>
        </w:rPr>
        <w:t>و يلوح من كلام أبي الصلاح</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يجرجر</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محمول على انّه سبب في دخول النار، لامتناع إرادة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يعمّ النساء إجماعا، قاله في التذكرة، لوجود المقتضي، و لا يلزم من إباحة التحلّي لهن للحاجة إباحة ذلك</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تحريم المجمرة</w:t>
      </w:r>
      <w:r>
        <w:rPr>
          <w:rStyle w:val="FootnoteAnchor"/>
          <w:rtl w:val="true"/>
        </w:rPr>
        <w:footnoteReference w:id="651"/>
      </w:r>
      <w:r>
        <w:rPr>
          <w:rFonts w:ascii="Amiri" w:hAnsi="Amiri" w:eastAsia="Amiri" w:cs="Amiri"/>
          <w:color w:val="111111"/>
          <w:sz w:val="28"/>
          <w:sz w:val="28"/>
          <w:szCs w:val="28"/>
          <w:rtl w:val="true"/>
          <w:lang w:bidi="ar-SA"/>
        </w:rPr>
        <w:t>اشتماله عليها، بل يكفي مجرد وضع البخور فيها للرائحة، لأنه 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الطهارة منها و لا فيها و ان حرم، لأنّ النهي عن أمر خارج، إذ أخذ الماء ليس جزءا من الطهارة، إذ الشروع فيها بعد وضعه على العضو و صبّ الماء فيها أبلغ في الخروج عن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 و بين الصلاة في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بالقيام و القعود جزء من الصلاة منهي عنه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المكحلة منهما و ظرف الغالية</w:t>
      </w:r>
      <w:r>
        <w:rPr>
          <w:rStyle w:val="FootnoteAnchor"/>
          <w:rtl w:val="true"/>
        </w:rPr>
        <w:footnoteReference w:id="652"/>
      </w:r>
      <w:r>
        <w:rPr>
          <w:rFonts w:ascii="Amiri" w:hAnsi="Amiri" w:eastAsia="Amiri" w:cs="Amiri"/>
          <w:color w:val="111111"/>
          <w:sz w:val="28"/>
          <w:sz w:val="28"/>
          <w:szCs w:val="28"/>
          <w:rtl w:val="true"/>
          <w:lang w:bidi="ar-SA"/>
        </w:rPr>
        <w:t>و ان كانت بقدرا</w:t>
      </w:r>
      <w:r>
        <w:rPr>
          <w:rFonts w:eastAsia="Amiri" w:cs="Amiri" w:ascii="Amiri" w:hAnsi="Amiri"/>
          <w:color w:val="111111"/>
          <w:sz w:val="28"/>
          <w:szCs w:val="28"/>
          <w:rtl w:val="true"/>
          <w:lang w:bidi="ar-SA"/>
        </w:rPr>
        <w:t xml:space="preserve">. </w:t>
      </w:r>
      <w:bookmarkStart w:id="453" w:name="pg15253_219661"/>
    </w:p>
    <w:p>
      <w:pPr>
        <w:pStyle w:val="BookText"/>
        <w:rPr/>
      </w:pPr>
      <w:bookmarkEnd w:id="453"/>
      <w:r>
        <w:rPr>
          <w:rFonts w:ascii="Amiri" w:hAnsi="Amiri" w:eastAsia="Amiri" w:cs="Amiri"/>
          <w:color w:val="111111"/>
          <w:sz w:val="28"/>
          <w:sz w:val="28"/>
          <w:szCs w:val="28"/>
          <w:rtl w:val="true"/>
          <w:lang w:bidi="ar-SA"/>
        </w:rPr>
        <w:t>الضبة، لصدق الإناء، أما الميل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موّههما</w:t>
      </w:r>
      <w:r>
        <w:rPr>
          <w:rStyle w:val="FootnoteAnchor"/>
          <w:rtl w:val="true"/>
        </w:rPr>
        <w:footnoteReference w:id="653"/>
      </w:r>
      <w:r>
        <w:rPr>
          <w:rFonts w:ascii="Amiri" w:hAnsi="Amiri" w:eastAsia="Amiri" w:cs="Amiri"/>
          <w:color w:val="111111"/>
          <w:sz w:val="28"/>
          <w:sz w:val="28"/>
          <w:szCs w:val="28"/>
          <w:rtl w:val="true"/>
          <w:lang w:bidi="ar-SA"/>
        </w:rPr>
        <w:t>بغيرهما حرم، لأنّهما منهما، و العلّة بالفخر و كسر القلب لم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كاسرها الأرش، لأنه لا حرمة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ضبّة الذهب كالفضة؟ يمكن ذلك كأصل الإناء، و المنع،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الذهب و الحرير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محرّمان على ذكور أمتي</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بيع هذه الآنية، و على المشتري سبكها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كراهية في الشرب عن كوز فيها خاتم فضّة، أو إناء فيه دراهم، لعدم الاسم</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4191963_2142443653"/>
      <w:bookmarkStart w:id="455" w:name="_Toc187"/>
      <w:bookmarkEnd w:id="454"/>
      <w:r>
        <w:rPr>
          <w:rtl w:val="true"/>
        </w:rPr>
        <w:t>و ثانيها</w:t>
      </w:r>
      <w:r>
        <w:rPr>
          <w:rtl w:val="true"/>
        </w:rPr>
        <w:t xml:space="preserve">: </w:t>
      </w:r>
      <w:r>
        <w:rPr>
          <w:rtl w:val="true"/>
        </w:rPr>
        <w:t>المتّخذ من غير هذين من المعادن و الجواهر،</w:t>
      </w:r>
      <w:bookmarkEnd w:id="455"/>
    </w:p>
    <w:p>
      <w:pPr>
        <w:pStyle w:val="BookText"/>
        <w:rPr/>
      </w:pPr>
      <w:r>
        <w:rPr>
          <w:rFonts w:ascii="Amiri" w:hAnsi="Amiri" w:eastAsia="Amiri" w:cs="Amiri"/>
          <w:color w:val="111111"/>
          <w:sz w:val="28"/>
          <w:sz w:val="28"/>
          <w:szCs w:val="28"/>
          <w:rtl w:val="true"/>
          <w:lang w:bidi="ar-SA"/>
        </w:rPr>
        <w:t>فيجوز و ان علا ثمنه، للأصل، و لعدم إدراك العامة نفاستها و عدم نفقتها</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4191965_2142443653"/>
      <w:bookmarkStart w:id="457" w:name="_Toc188"/>
      <w:bookmarkEnd w:id="456"/>
      <w:r>
        <w:rPr>
          <w:rtl w:val="true"/>
        </w:rPr>
        <w:t>و ثالثها</w:t>
      </w:r>
      <w:r>
        <w:rPr>
          <w:rtl w:val="true"/>
        </w:rPr>
        <w:t xml:space="preserve">: </w:t>
      </w:r>
      <w:r>
        <w:rPr>
          <w:rtl w:val="true"/>
        </w:rPr>
        <w:t>المتّخذ من العظام،</w:t>
      </w:r>
      <w:bookmarkEnd w:id="457"/>
    </w:p>
    <w:p>
      <w:pPr>
        <w:pStyle w:val="BookText"/>
        <w:rPr/>
      </w:pPr>
      <w:r>
        <w:rPr>
          <w:rFonts w:ascii="Amiri" w:hAnsi="Amiri" w:eastAsia="Amiri" w:cs="Amiri"/>
          <w:color w:val="111111"/>
          <w:sz w:val="28"/>
          <w:sz w:val="28"/>
          <w:szCs w:val="28"/>
          <w:rtl w:val="true"/>
          <w:lang w:bidi="ar-SA"/>
        </w:rPr>
        <w:t>و يشترط طهارة الأصل، فعظم الثلاثة يحرم اتخاذه، و ان أخذ من ميتة وجب تطهيره، و ان لا يكون عظم آدمي، لوجوب دفنه 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و الظلف، و الشعر، و الوبر، و الصوف</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4191967_2142443653"/>
      <w:bookmarkStart w:id="459" w:name="_Toc189"/>
      <w:bookmarkEnd w:id="458"/>
      <w:r>
        <w:rPr>
          <w:rtl w:val="true"/>
        </w:rPr>
        <w:t>و رابعها</w:t>
      </w:r>
      <w:r>
        <w:rPr>
          <w:rtl w:val="true"/>
        </w:rPr>
        <w:t xml:space="preserve">: </w:t>
      </w:r>
      <w:r>
        <w:rPr>
          <w:rtl w:val="true"/>
        </w:rPr>
        <w:t>المتّخذ من الجلد،</w:t>
      </w:r>
      <w:bookmarkEnd w:id="459"/>
    </w:p>
    <w:p>
      <w:pPr>
        <w:pStyle w:val="BookText"/>
        <w:rPr/>
      </w:pPr>
      <w:r>
        <w:rPr>
          <w:rFonts w:ascii="Amiri" w:hAnsi="Amiri" w:eastAsia="Amiri" w:cs="Amiri"/>
          <w:color w:val="111111"/>
          <w:sz w:val="28"/>
          <w:sz w:val="28"/>
          <w:szCs w:val="28"/>
          <w:rtl w:val="true"/>
          <w:lang w:bidi="ar-SA"/>
        </w:rPr>
        <w:t>و يشترط طهارة الأصل، و التذكية</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4191969_2142443653"/>
      <w:bookmarkStart w:id="461" w:name="_Toc190"/>
      <w:bookmarkEnd w:id="460"/>
      <w:r>
        <w:rPr>
          <w:rtl w:val="true"/>
        </w:rPr>
        <w:t>و خامسها</w:t>
      </w:r>
      <w:r>
        <w:rPr>
          <w:rtl w:val="true"/>
        </w:rPr>
        <w:t xml:space="preserve">: </w:t>
      </w:r>
      <w:r>
        <w:rPr>
          <w:rtl w:val="true"/>
        </w:rPr>
        <w:t>المتّخذ من غير هذه،</w:t>
      </w:r>
      <w:bookmarkEnd w:id="461"/>
    </w:p>
    <w:p>
      <w:pPr>
        <w:pStyle w:val="BookText"/>
        <w:rPr/>
      </w:pPr>
      <w:r>
        <w:rPr>
          <w:rFonts w:ascii="Amiri" w:hAnsi="Amiri" w:eastAsia="Amiri" w:cs="Amiri"/>
          <w:color w:val="111111"/>
          <w:sz w:val="28"/>
          <w:sz w:val="28"/>
          <w:szCs w:val="28"/>
          <w:rtl w:val="true"/>
          <w:lang w:bidi="ar-SA"/>
        </w:rPr>
        <w:t>و لا ريب في جوازه</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4191971_2142443653"/>
      <w:bookmarkStart w:id="463" w:name="_Toc191"/>
      <w:bookmarkEnd w:id="462"/>
      <w:r>
        <w:rPr>
          <w:rtl w:val="true"/>
        </w:rPr>
        <w:t>و يلحق بذلك النظر في آداب الحمّام و الاستطابة</w:t>
      </w:r>
      <w:r>
        <w:rPr>
          <w:rtl w:val="true"/>
        </w:rPr>
        <w:t>:</w:t>
      </w:r>
      <w:bookmarkEnd w:id="463"/>
    </w:p>
    <w:p>
      <w:pPr>
        <w:pStyle w:val="Heading6"/>
        <w:numPr>
          <w:ilvl w:val="5"/>
          <w:numId w:val="1"/>
        </w:numPr>
        <w:rPr/>
      </w:pPr>
      <w:bookmarkStart w:id="464" w:name="__RefHeading___Toc4191973_2142443653"/>
      <w:bookmarkStart w:id="465" w:name="_Toc192"/>
      <w:bookmarkEnd w:id="464"/>
      <w:r>
        <w:rPr>
          <w:rtl w:val="true"/>
        </w:rPr>
        <w:t>الأوّل</w:t>
      </w:r>
      <w:r>
        <w:rPr>
          <w:rtl w:val="true"/>
        </w:rPr>
        <w:t xml:space="preserve">: </w:t>
      </w:r>
      <w:r>
        <w:rPr>
          <w:rtl w:val="true"/>
        </w:rPr>
        <w:t>آداب الحمام</w:t>
      </w:r>
      <w:bookmarkEnd w:id="465"/>
    </w:p>
    <w:p>
      <w:pPr>
        <w:pStyle w:val="BookText"/>
        <w:rPr/>
      </w:pPr>
      <w:r>
        <w:rPr>
          <w:rFonts w:ascii="Amiri" w:hAnsi="Amiri" w:eastAsia="Amiri" w:cs="Amiri"/>
          <w:color w:val="111111"/>
          <w:sz w:val="28"/>
          <w:sz w:val="28"/>
          <w:szCs w:val="28"/>
          <w:rtl w:val="true"/>
          <w:lang w:bidi="ar-SA"/>
        </w:rPr>
        <w:t xml:space="preserve">لا يكره اتخاذ الحمّام، و لا بيعه، و لا شراؤه، للأصل، و كان 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الاستحمام، لدخول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الجحفة</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و دخول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xml:space="preserve">، و كان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حمّامه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البيت الحمّام، تذكر فيه النار، و يذهب بالدرن</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روي عنه 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البيت الحمّام، يهتك الستر، و يذهب بالحياء، و يبدي العورة</w:t>
      </w:r>
      <w:r>
        <w:rPr>
          <w:rFonts w:eastAsia="Amiri" w:cs="Amiri" w:ascii="Amiri" w:hAnsi="Amiri"/>
          <w:color w:val="111111"/>
          <w:sz w:val="28"/>
          <w:szCs w:val="28"/>
          <w:rtl w:val="true"/>
          <w:lang w:bidi="ar-SA"/>
        </w:rPr>
        <w:t>»</w:t>
      </w:r>
      <w:r>
        <w:rPr>
          <w:rStyle w:val="FootnoteAnchor"/>
          <w:rtl w:val="true"/>
        </w:rPr>
        <w:footnoteReference w:id="660"/>
      </w:r>
      <w:r>
        <w:rPr>
          <w:rFonts w:ascii="IRNazanin" w:hAnsi="IRNazanin" w:eastAsia="IRNazanin"/>
          <w:color w:val="111111"/>
          <w:sz w:val="28"/>
          <w:sz w:val="28"/>
          <w:szCs w:val="28"/>
          <w:rtl w:val="true"/>
          <w:lang w:bidi="fa-IR"/>
        </w:rPr>
        <w:t>فالمراد به مع عدم المئزر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لتمنع منه النساء إلاّ منفردات، و عليه يحمل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xml:space="preserve">، و يجوز مع العذر، و تخف الكراهية بالائتزار و إن اجتمعن،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ليكن 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ليدخله بمئزر، لأمر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كذا سائر المياه، لأنّ لها أهلا</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ليعمّ الفخذين،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من العورة</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اغتسل خاليا فالستر أفضل و ان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ستر الفرج، و غضّ البصر و لو عن عورة الكافر، و فيه خبر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بالجواز</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النورة سترة،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ترك الستر متعمدا قادرا، فالأشبه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غسله، للامتثال، و خروج المنهي عنه عن حقيقة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ليقل ما نقل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نزع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انزع عني ربقة النفاق، و ثبّتني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دخول البيت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شر نفسي، و أستعيذ بك من أذاه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دخول البيت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عني الرجس النجس، و طهّر جسدي و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يضع الماء الحار على هامته و رجليه، و ابتلاع جرعة منه ينقي المثانة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يلبث ساعة في البيت الثاني، و يقول 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الى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النار، و أسألك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ليترك الماء البارد، لأنّه يضعف البدن الا على القدمين، فإنه يسل الداء 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لبس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ألبسني التقوى، و جنبني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ذلك أمن من كل داء</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بأس بالقراءة فيه للمؤتزر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ترديد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خصّ نهي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بالعريان</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بأس بالمباشرة،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نهى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الاتكاء فيه، و التسريح، و غسل الرأس بالطين، اما مطلقا أو طين مصر، و الدّلك بالخزف مطلقا أو بخزف الشام، و مسح الوجه بالإزار، و السواك فيه،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بإذابة شحم الكليتين، و وباء الشعر، و تسميج الوجه، و البرص، و ذهاب ماء الوجه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نهى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دخوله على الريق</w:t>
      </w:r>
      <w:r>
        <w:rPr>
          <w:rStyle w:val="FootnoteAnchor"/>
          <w:rtl w:val="true"/>
        </w:rPr>
        <w:footnoteReference w:id="6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إدمانه كل يوم يذيب شحم الكليتين، و غبّا يكثر اللحم</w:t>
      </w:r>
      <w:r>
        <w:rPr>
          <w:rFonts w:eastAsia="Amiri" w:cs="Amiri" w:ascii="Amiri" w:hAnsi="Amiri"/>
          <w:color w:val="111111"/>
          <w:sz w:val="28"/>
          <w:szCs w:val="28"/>
          <w:rtl w:val="true"/>
          <w:lang w:bidi="ar-SA"/>
        </w:rPr>
        <w:t>»</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دخوله على البطنة يهدم البدن</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بالتعمم عند الخروج، ففعله المأمور شتاء و صيفا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الإطلاء خالعا للمئزر، و ليباشر العورة بنفسه، لفعل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عن إخلاء الحمام له، لخفّة مئونة المؤمن</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ليسلّم ذو المئزر لا غير، لتسليم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مؤتزرا</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الخضاب،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تركه، تأسيا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الحناء يجلي البصر، و يكثر الشعر، و يطيب الروح، و يسكن الزوجة</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يذهب بالسهك</w:t>
      </w:r>
      <w:r>
        <w:rPr>
          <w:rStyle w:val="FootnoteAnchor"/>
          <w:rtl w:val="true"/>
        </w:rPr>
        <w:footnoteReference w:id="682"/>
      </w:r>
      <w:r>
        <w:rPr>
          <w:rFonts w:ascii="Amiri" w:hAnsi="Amiri" w:eastAsia="Amiri" w:cs="Amiri"/>
          <w:color w:val="111111"/>
          <w:sz w:val="28"/>
          <w:sz w:val="28"/>
          <w:szCs w:val="28"/>
          <w:rtl w:val="true"/>
          <w:lang w:bidi="ar-SA"/>
        </w:rPr>
        <w:t>و يزيد ماء الوجه، و يطيب النكهة، و يحسن الولد</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اختضب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بالسواد،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الخضاب أجرا، و زيادة في عفّة النساء</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الباقر يخضبان بالكتم</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كان في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لحيته سبع عشرة شيبة</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بالخضاب كله</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مخضوبا بالوسمة</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 نورة على طرف الأنف،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ارحم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أمرنا بالنورة، فلا تحرقه</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ليقم المتنوّر لخوف الفتق على الجالس</w:t>
      </w:r>
      <w:r>
        <w:rPr>
          <w:rStyle w:val="FootnoteAnchor"/>
          <w:rtl w:val="true"/>
        </w:rPr>
        <w:footnoteReference w:id="690"/>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و نتوء في مراق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الاطلاء للجنب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يتوقى يوم الأربعاء لا غير</w:t>
      </w:r>
      <w:r>
        <w:rPr>
          <w:rStyle w:val="FootnoteAnchor"/>
          <w:rtl w:val="true"/>
        </w:rPr>
        <w:footnoteReference w:id="691"/>
      </w:r>
      <w:r>
        <w:rPr>
          <w:rFonts w:ascii="Amiri" w:hAnsi="Amiri" w:eastAsia="Amiri" w:cs="Amiri"/>
          <w:color w:val="111111"/>
          <w:sz w:val="28"/>
          <w:sz w:val="28"/>
          <w:szCs w:val="28"/>
          <w:rtl w:val="true"/>
          <w:lang w:bidi="ar-SA"/>
        </w:rPr>
        <w:t>، و روي أيضا يوم الجمعة خوف البرص فيه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السنّة فيها كل خمسة عشر يوما،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و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ترك العانة أربعين، و للمرأة عشرون</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الإبط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حلقه أفضل من نتفه، و طليه أفضل من حلقه</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اطلى و اختضب بالحناء، آمنه اللّه من الجذام و البرص و الأكلة</w:t>
      </w:r>
      <w:r>
        <w:rPr>
          <w:rStyle w:val="FootnoteAnchor"/>
          <w:rtl w:val="true"/>
        </w:rPr>
        <w:footnoteReference w:id="696"/>
      </w:r>
      <w:r>
        <w:rPr>
          <w:rFonts w:ascii="Amiri" w:hAnsi="Amiri" w:eastAsia="Amiri" w:cs="Amiri"/>
          <w:color w:val="111111"/>
          <w:sz w:val="28"/>
          <w:sz w:val="28"/>
          <w:szCs w:val="28"/>
          <w:rtl w:val="true"/>
          <w:lang w:bidi="ar-SA"/>
        </w:rPr>
        <w:t>إلى طلية مثلها</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نفي الفقر إذا تدلّك المطلي بالحناء مستوعبا الى قدمه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يتأكد الخضاب للنساء و ان طعن في السن</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رسول اللّه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في الخضاب أفضل من الف درهم في سبيل اللّه، و فيه أربعة عشر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يطرد الريح من الأذنين، و يجلو البصر، و يلين الخياشيم، و يطيب النكهة، و يشد اللثة، و يذهب بالضنى</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بالصفار،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الغثيان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يقل وسوسة الشيطان، و تفرح به الملائكة، و يستبشر به المؤمن، و يغيظ به الكافر و هو زينة و طيب، و يستحي منه منكر و نكير، و هو براءة له في قبره</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الحلق يزيد في الجمال</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الرأس بالخطمي في كل جمعة أمان من البرص و الجنون</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ينفي الفقر و يزيد في الرزق</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الرأس بالسدر يجلب الرزق</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 رءوسكم بورق السدر، فإنه قدّسه كل ملك مقرّب و كل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غسل رأسه بورق السدر، صرف اللّه عنه وسوسة الشيطان سبعين يوما، و من صرف عنه وسوسة الشيطان لم يعص، و من لم يعص دخل الجنة</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للخارج من الحمام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ما طهر منك، و طهر ما طاب منك</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حمامك، 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بالك</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 الدم بالحجامة، و البلغم بالحمام، و المرّة</w:t>
      </w:r>
      <w:r>
        <w:rPr>
          <w:rStyle w:val="FootnoteAnchor"/>
          <w:rtl w:val="true"/>
        </w:rPr>
        <w:footnoteReference w:id="709"/>
      </w:r>
      <w:r>
        <w:rPr>
          <w:rFonts w:ascii="Amiri" w:hAnsi="Amiri" w:eastAsia="Amiri" w:cs="Amiri"/>
          <w:color w:val="111111"/>
          <w:sz w:val="28"/>
          <w:sz w:val="28"/>
          <w:szCs w:val="28"/>
          <w:rtl w:val="true"/>
          <w:lang w:bidi="ar-SA"/>
        </w:rPr>
        <w:t>بالمشي</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التدلّك في الحمام بالدقيق الملتوت بالزيت و السويق و النخالة، و لا سرف فيما ينفع البدن، انما السّرف فيما أتلف المال و أضرّ بالبدن، حسب 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66" w:name="pg15253_219668"/>
    </w:p>
    <w:p>
      <w:pPr>
        <w:pStyle w:val="BookText"/>
        <w:rPr/>
      </w:pPr>
      <w:bookmarkEnd w:id="466"/>
      <w:r>
        <w:rPr>
          <w:rFonts w:ascii="Amiri" w:hAnsi="Amiri" w:eastAsia="Amiri" w:cs="Amiri"/>
          <w:color w:val="111111"/>
          <w:sz w:val="28"/>
          <w:sz w:val="28"/>
          <w:szCs w:val="28"/>
          <w:rtl w:val="true"/>
          <w:lang w:bidi="ar-SA"/>
        </w:rPr>
        <w:t>و يكره دخول الولد مع أبيه الحمام</w:t>
      </w:r>
      <w:r>
        <w:rPr>
          <w:rStyle w:val="FootnoteAnchor"/>
          <w:rtl w:val="true"/>
        </w:rPr>
        <w:footnoteReference w:id="712"/>
      </w:r>
      <w:r>
        <w:rPr>
          <w:rFonts w:ascii="Amiri" w:hAnsi="Amiri" w:eastAsia="Amiri" w:cs="Amiri"/>
          <w:color w:val="111111"/>
          <w:sz w:val="28"/>
          <w:sz w:val="28"/>
          <w:szCs w:val="28"/>
          <w:rtl w:val="true"/>
          <w:lang w:bidi="ar-SA"/>
        </w:rPr>
        <w:t>و دخول الباقر مع أبيه، لعصمتهما</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7" w:name="__RefHeading___Toc4191975_2142443653"/>
      <w:bookmarkStart w:id="468" w:name="_Toc193"/>
      <w:bookmarkEnd w:id="467"/>
      <w:r>
        <w:rPr>
          <w:rtl w:val="true"/>
        </w:rPr>
        <w:t>الثاني</w:t>
      </w:r>
      <w:r>
        <w:rPr>
          <w:rtl w:val="true"/>
        </w:rPr>
        <w:t xml:space="preserve">: </w:t>
      </w:r>
      <w:r>
        <w:rPr>
          <w:rtl w:val="true"/>
        </w:rPr>
        <w:t>في الاستطابة،</w:t>
      </w:r>
      <w:bookmarkEnd w:id="468"/>
    </w:p>
    <w:p>
      <w:pPr>
        <w:pStyle w:val="Heading6"/>
        <w:numPr>
          <w:ilvl w:val="5"/>
          <w:numId w:val="1"/>
        </w:numPr>
        <w:rPr/>
      </w:pPr>
      <w:bookmarkStart w:id="469" w:name="__RefHeading___Toc4191977_2142443653"/>
      <w:bookmarkStart w:id="470" w:name="_Toc194"/>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و هي نوعان</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4191979_2142443653"/>
      <w:bookmarkStart w:id="472" w:name="_Toc195"/>
      <w:bookmarkEnd w:id="471"/>
      <w:r>
        <w:rPr>
          <w:rtl w:val="true"/>
        </w:rPr>
        <w:t>الأول</w:t>
      </w:r>
      <w:r>
        <w:rPr>
          <w:rtl w:val="true"/>
        </w:rPr>
        <w:t xml:space="preserve">: </w:t>
      </w:r>
      <w:r>
        <w:rPr>
          <w:rtl w:val="true"/>
        </w:rPr>
        <w:t>المطلقة،</w:t>
      </w:r>
      <w:bookmarkEnd w:id="472"/>
    </w:p>
    <w:p>
      <w:pPr>
        <w:pStyle w:val="BookText"/>
        <w:rPr/>
      </w:pPr>
      <w:r>
        <w:rPr>
          <w:rFonts w:ascii="Amiri" w:hAnsi="Amiri" w:eastAsia="Amiri" w:cs="Amiri"/>
          <w:color w:val="111111"/>
          <w:sz w:val="28"/>
          <w:sz w:val="28"/>
          <w:szCs w:val="28"/>
          <w:rtl w:val="true"/>
          <w:lang w:bidi="ar-SA"/>
        </w:rPr>
        <w:t>و قد مر بعضها كالخضاب و ازالة الشعر،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و تقليم الأظفار يوم الجمعة، و أخذ الشارب، 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أبلغ في استنزال الرزق من التعقيب الى طلوع الشمس</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 يوم الجمعة أمان من الجذام و البرص و العمى، و ان لم تحتج فحكّها حكا</w:t>
      </w:r>
      <w:r>
        <w:rPr>
          <w:rFonts w:eastAsia="Amiri" w:cs="Amiri" w:ascii="Amiri" w:hAnsi="Amiri"/>
          <w:color w:val="111111"/>
          <w:sz w:val="28"/>
          <w:szCs w:val="28"/>
          <w:rtl w:val="true"/>
          <w:lang w:bidi="ar-SA"/>
        </w:rPr>
        <w:t>»</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تحتج فأمرّ عليها السّكين و المقراض</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عبد الرحيم القصير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من أظفاره و شاربه كل جمعة، و قال حين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على سنّة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تسقط منه قلامة و لا جزازة إلا كتب اللّه له بها عتق نسمة، و لم يمرض إلاّ مرضة الموت</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قلّم و جزّ طهر إلى الجمعة الأخرى</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قلّم يوم الخميس، و أبقى واحدا للجمعة، نفى اللّه عنه الفقر</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البدأة يوم الجمعة بخنصر اليسرى، و الختم بخنصر اليمنى</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 يوم الخميس يدفع الرمد عن الولد</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 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الرمد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قلم في السبت و الخميس و جز الشارب، عوفي من وجع الضرس و العين</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يوم لقلمها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قصّها إذا طالت</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يسنّ دفن الشعر و الظفر و الدم</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القلم بالسن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حك الظفر بعد قصّه و تحسين 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الختان واجب في الرجال، مكرمة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عدم الاستيصال، لأنّه أنور للوجه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من أخلاق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التطيّب، و التنظيف بالموسى، و حلق الجسد بالنّورة و كثرة الطروقة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قلّموا أظفاركم يوم الثلاثاء، و استحمّوا يوم الأربعاء، و أصيبوا من الحجامة حاجتكم يوم الخميس، و تطيّبوا بأطيب طيبكم يوم الجمعة</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ليتزيّن أحدكم يوم الجمعة، و يغتسل و يتنظف</w:t>
      </w:r>
      <w:r>
        <w:rPr>
          <w:rStyle w:val="FootnoteAnchor"/>
          <w:rtl w:val="true"/>
        </w:rPr>
        <w:footnoteReference w:id="728"/>
      </w:r>
      <w:r>
        <w:rPr>
          <w:rFonts w:ascii="Amiri" w:hAnsi="Amiri" w:eastAsia="Amiri" w:cs="Amiri"/>
          <w:color w:val="111111"/>
          <w:sz w:val="28"/>
          <w:sz w:val="28"/>
          <w:szCs w:val="28"/>
          <w:rtl w:val="true"/>
          <w:lang w:bidi="ar-SA"/>
        </w:rPr>
        <w:t>و يسرّح، و يلبس أنظف ثيابه، و ليتهيأ للجمعة، و ليكن عليه في ذلك اليوم السكينة و الوقار</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يوم الجمعة طهور، و كفارة لما بينهما من الذنوب</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إلى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خُذُوا زِينَتَكُمْ عِنْدَ كُلِّ مَسْجِدٍ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التمشّط للصلاة</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مشط الرأس يذهب بالوباء، و مشط اللحية يشدّ الأضراس</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سرّحت لحيتك و رأسك، فأمرّ المشط على صدرك، فإنه يذهب بالوباء و الهم</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سرّح لحيته سبعين مرة، و عدّها مرة مرة، لم يقربه الشيطان أربعين يوما</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تمشّطوا بالعاج فإنه يذهب بالوباء</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بالباء الموحدة تحت و الهمزة، و روى البرقي بالنون و القصر</w:t>
      </w:r>
      <w:r>
        <w:rPr>
          <w:rStyle w:val="FootnoteAnchor"/>
          <w:rtl w:val="true"/>
        </w:rPr>
        <w:footnoteReference w:id="736"/>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يجوز مشط العاج،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xml:space="preserve">، كما روي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استأصل شعرك، يقل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درنك و دوابك و وسخك، و تغلظ رقبتك، و يجلو بصرك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يستريح بدنك</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حلق القفا يذهب بالغم</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شعرا، فليحسن ولايته، أو ليجزّه</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الحسن من كسوة اللّه تعالى فأكرموه</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شعرا فلم يفرقه، فرقه اللّه بمنشار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وفرا لم يبلغ الفرق</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و هو الى شحمة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حفوا الشوارب، و أعفوا اللحى، و لا تتشبهوا باليهود</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المجوس جزّوا لحاهم و وفروا شواربهم، و اما نحن نجزّ الشوارب و نعفي اللحى،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زاد من اللحية عن القبضة فهو في النار</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تقبض على لحيتك بيدك و تجزّ ما فضل</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نتف الشيب، 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749"/>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 وقار</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 xml:space="preserve">،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بجزّه بأسا</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أخذ شعر الأنف يحسن الوجه،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اتركن من أظافيركنّ فإنه أزين لكنّ</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للمرأة ان تعطّل نفسها و لو ان تعلّق في عنقها قلادة</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الواصلة و المستوصلة، و الواشمة و المستوشمة، و الواشرة و المستوشرة، و في رواية بدل الواشمة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النامصة و المنتمصة</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للشعر، و غرز البدن بإبرة و اتباعه بخضاب، و ترقيق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تنميص الشعر في الفاعلة و القابلة لا لنجاسة الشعر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تحريم نظره إذا كان من أجنبية، بل للتهمة لغير المزوّجة و التدليسة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للمزوجة، فعلى هذا لو أذن لم يحرم</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من باب تغيير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 السنن الحنيفية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و الاستنشاق، و السواك، و فرق الشعر، و قص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الأظفار، و حلق العانة و الإبطين، و الختان، و الاستنجاء</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يتأكد السواك عند الوضوء، و الصلاة، و السحر، و قراءة القرآن، و تغيّر النكهة و لو كان صائما جميع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على الخلاء، و ان يترك زيادة على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اثنتا عشر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السنّة، و مطهرة للفم، و مجلاة للنظر</w:t>
      </w:r>
      <w:r>
        <w:rPr>
          <w:rStyle w:val="FootnoteAnchor"/>
          <w:rtl w:val="true"/>
        </w:rPr>
        <w:footnoteReference w:id="758"/>
      </w:r>
      <w:r>
        <w:rPr>
          <w:rFonts w:ascii="Amiri" w:hAnsi="Amiri" w:eastAsia="Amiri" w:cs="Amiri"/>
          <w:color w:val="111111"/>
          <w:sz w:val="28"/>
          <w:sz w:val="28"/>
          <w:szCs w:val="28"/>
          <w:rtl w:val="true"/>
          <w:lang w:bidi="ar-SA"/>
        </w:rPr>
        <w:t>، و يرضي الرحمن، و يبيّض الأسنان، و يذهب بالحفر</w:t>
      </w:r>
      <w:r>
        <w:rPr>
          <w:rStyle w:val="FootnoteAnchor"/>
          <w:rtl w:val="true"/>
        </w:rPr>
        <w:footnoteReference w:id="759"/>
      </w:r>
      <w:r>
        <w:rPr>
          <w:rFonts w:ascii="Amiri" w:hAnsi="Amiri" w:eastAsia="Amiri" w:cs="Amiri"/>
          <w:color w:val="111111"/>
          <w:sz w:val="28"/>
          <w:sz w:val="28"/>
          <w:szCs w:val="28"/>
          <w:rtl w:val="true"/>
          <w:lang w:bidi="ar-SA"/>
        </w:rPr>
        <w:t>، و يشدّ اللثة، و يشهّي الطعام، و يذهب بالبلغم، و يزيد في الحفظ، و يضاعف الحسنات، و تفرح به الملائكة</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الاكتحال بالإثمد عند النوم وترا وترا،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أربع في اليمين و ثلاث في اليسار</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فراهة الدابة، و حسن وجه المملوك، و إظهار 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73" w:name="pg15253_219674"/>
    </w:p>
    <w:p>
      <w:pPr>
        <w:pStyle w:val="Heading6"/>
        <w:numPr>
          <w:ilvl w:val="5"/>
          <w:numId w:val="1"/>
        </w:numPr>
        <w:rPr/>
      </w:pPr>
      <w:bookmarkStart w:id="474" w:name="__RefHeading___Toc4191981_2142443653"/>
      <w:bookmarkStart w:id="475" w:name="_Toc196"/>
      <w:bookmarkEnd w:id="473"/>
      <w:bookmarkEnd w:id="474"/>
      <w:r>
        <w:rPr>
          <w:rtl w:val="true"/>
        </w:rPr>
        <w:t>النوع الثاني</w:t>
      </w:r>
      <w:r>
        <w:rPr>
          <w:rtl w:val="true"/>
        </w:rPr>
        <w:t xml:space="preserve">: </w:t>
      </w:r>
      <w:r>
        <w:rPr>
          <w:rtl w:val="true"/>
        </w:rPr>
        <w:t>استطابة الخلوة، و فيها مطلبان</w:t>
      </w:r>
      <w:r>
        <w:rPr>
          <w:rtl w:val="true"/>
        </w:rPr>
        <w:t>:</w:t>
      </w:r>
      <w:bookmarkEnd w:id="475"/>
    </w:p>
    <w:p>
      <w:pPr>
        <w:pStyle w:val="Heading6"/>
        <w:numPr>
          <w:ilvl w:val="5"/>
          <w:numId w:val="1"/>
        </w:numPr>
        <w:rPr/>
      </w:pPr>
      <w:bookmarkStart w:id="476" w:name="__RefHeading___Toc4191983_2142443653"/>
      <w:bookmarkStart w:id="477" w:name="_Toc197"/>
      <w:bookmarkEnd w:id="476"/>
      <w:r>
        <w:rPr>
          <w:rtl w:val="true"/>
        </w:rPr>
        <w:t>المطلب الأول كيفية التخلّي و سننه</w:t>
      </w:r>
      <w:bookmarkEnd w:id="477"/>
    </w:p>
    <w:p>
      <w:pPr>
        <w:pStyle w:val="BookText"/>
        <w:rPr/>
      </w:pPr>
      <w:r>
        <w:rPr>
          <w:rFonts w:ascii="Amiri" w:hAnsi="Amiri" w:eastAsia="Amiri" w:cs="Amiri"/>
          <w:color w:val="111111"/>
          <w:sz w:val="28"/>
          <w:sz w:val="28"/>
          <w:szCs w:val="28"/>
          <w:rtl w:val="true"/>
          <w:lang w:bidi="ar-SA"/>
        </w:rPr>
        <w:t>يستحب ارتياد موضع مناسب، فللبول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المرتفع، أو ذو التراب الكثير، لفعل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 xml:space="preserve">و فعل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 الرجل ان يرتاد لبوله</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ابعاد المذهب بحيث لا يرى، لفعل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الغائط فليستتر</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و بيت الخلاء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الدخول باليسرى و الخروج باليمنى، عكس المكان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لا يكشف العورة إلا بعد الدنوّ من الأرض، لفعل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تغطية الرأس اتفاقا، و لتقنّع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اللّهم إني أعوذ بك من الخبيث المخبث، الرجس النجس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ستر العورة عن الناظر،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عورتك، الا من زوجتك أو ما ملكت يمينك</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يحرم استقبال القبلة و استدبارها، في الصحاري و الأبنية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المخرج فلا تستقبل القبلة، و لا تستدبرها، و لكن شرّقوا أو غرّبوا</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 القبلة، و لا تستدبرها</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لتعظيم 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في الصحاري، لا في الأبنية</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تجنّب القبلة</w:t>
      </w:r>
      <w:r>
        <w:rPr>
          <w:rStyle w:val="FootnoteAnchor"/>
          <w:rtl w:val="true"/>
        </w:rPr>
        <w:footnoteReference w:id="774"/>
      </w:r>
      <w:r>
        <w:rPr>
          <w:rFonts w:ascii="Amiri" w:hAnsi="Amiri" w:eastAsia="Amiri" w:cs="Amiri"/>
          <w:color w:val="111111"/>
          <w:sz w:val="28"/>
          <w:sz w:val="28"/>
          <w:szCs w:val="28"/>
          <w:rtl w:val="true"/>
          <w:lang w:bidi="ar-SA"/>
        </w:rPr>
        <w:t xml:space="preserve">، لأنّه كان في منزل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كنيف مستقبل القبلة</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لقول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نستقبل القبلة، ببول، و رأيته قبل ان يقبض بعام يستقبلها</w:t>
      </w:r>
      <w:r>
        <w:rPr>
          <w:rStyle w:val="FootnoteAnchor"/>
          <w:rtl w:val="true"/>
        </w:rPr>
        <w:footnoteReference w:id="776"/>
      </w:r>
      <w:r>
        <w:rPr>
          <w:rFonts w:ascii="Amiri" w:hAnsi="Amiri" w:eastAsia="Amiri" w:cs="Amiri"/>
          <w:color w:val="111111"/>
          <w:sz w:val="28"/>
          <w:sz w:val="28"/>
          <w:szCs w:val="28"/>
          <w:rtl w:val="true"/>
          <w:lang w:bidi="ar-SA"/>
        </w:rPr>
        <w:t>، فيكون فعله ناسخا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محمول على حالة التنظيف صونا عن المكروه، و لأنّ القول مع التعارض أقوى من الفعل، و جاز أن يكون الراوي ظنّ الاستقبال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عائشة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استقبلوا بمقعدتي القبلة</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لم تثبت، لأنّ الراوي عنها عراك و لم يثبت لقاؤه إيّاها، و كذا استدباره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الكعبة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السبب مجرّد احترام الكعبة، لا عدم خلوّ الصحراء عن مصلّ من الإنس أو الجنّ، إذ المرئيّ يبعد عنه و غيره لا يكلّف به، و الجنّ لا يمكن الاحتراز منهم، فيعمّ الأبنية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ينحرف وجوبا لو صادفهما، أو تخلّى في المبنيّ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الانحراف،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w:t>
      </w:r>
      <w:r>
        <w:rPr>
          <w:rStyle w:val="FootnoteAnchor"/>
          <w:rtl w:val="true"/>
        </w:rPr>
        <w:footnoteReference w:id="779"/>
      </w:r>
      <w:r>
        <w:rPr>
          <w:rFonts w:ascii="Amiri" w:hAnsi="Amiri" w:eastAsia="Amiri" w:cs="Amiri"/>
          <w:color w:val="111111"/>
          <w:sz w:val="28"/>
          <w:sz w:val="28"/>
          <w:szCs w:val="28"/>
          <w:rtl w:val="true"/>
          <w:lang w:bidi="ar-SA"/>
        </w:rPr>
        <w:t>و حمله في المعتبر على عدم التمكّن من غيره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 اختصاص الاستدبار بنحو المدينة لمكان بيت المقدس،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معقل بن أبي معقل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استقبال القبلتين</w:t>
      </w:r>
      <w:r>
        <w:rPr>
          <w:rStyle w:val="FootnoteAnchor"/>
          <w:rtl w:val="true"/>
        </w:rPr>
        <w:footnoteReference w:id="781"/>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و بيت المقدس، لا دلالة فيه على ذلك لو صحّ، و حمله بعضهم على زمان كونه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استقبال قرص الشمس و القمر بالبول لا جهتهما، 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782"/>
      </w:r>
      <w:r>
        <w:rPr>
          <w:rFonts w:ascii="Amiri" w:hAnsi="Amiri" w:eastAsia="Amiri" w:cs="Amiri"/>
          <w:color w:val="111111"/>
          <w:sz w:val="28"/>
          <w:sz w:val="28"/>
          <w:szCs w:val="28"/>
          <w:rtl w:val="true"/>
          <w:lang w:bidi="ar-SA"/>
        </w:rPr>
        <w:t xml:space="preserve">و الغائط محمول عليه، و ربما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بفرجه</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فيشملهما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استدبارهما احتمال، للمساواة في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استقبال الريح و استدبارها، لنهي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البول في الصلبة، لمنافاته الخبر</w:t>
      </w:r>
      <w:r>
        <w:rPr>
          <w:rStyle w:val="FootnoteAnchor"/>
          <w:rtl w:val="true"/>
        </w:rPr>
        <w:footnoteReference w:id="785"/>
      </w:r>
      <w:r>
        <w:rPr>
          <w:rFonts w:ascii="Amiri" w:hAnsi="Amiri" w:eastAsia="Amiri" w:cs="Amiri"/>
          <w:color w:val="111111"/>
          <w:sz w:val="28"/>
          <w:sz w:val="28"/>
          <w:szCs w:val="28"/>
          <w:rtl w:val="true"/>
          <w:lang w:bidi="ar-SA"/>
        </w:rPr>
        <w:t xml:space="preserve">و جواز عوده، و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استنزهوا من البول، فإن عامّة عذاب القبر منه</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الجحرة، 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خوفا من الأذى،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مساكن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الماء الجاري، لنهي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مستثنيا الضرورة</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أسانيد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في الجاري</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اختاره علي بن بابويه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الراكد، لنص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xml:space="preserve">و لخوف الشيطان، قاله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الماء</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للجن ليلا فالكراهية فيه أشد، و كلاهما في البول، فالغائط بطريق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الجلوس في المشارع و الشوارع، و تحت المثمرة، و الملعن، لنص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فسّر الملاعن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الدور</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النادي، لتعرضه للعنهم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الملاعن</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الأفنية، و خصوصا أفنية المساجد، و فيء النزّال، لنصّ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المتغوط في ظلّ النزّال، و موضع الأذى</w:t>
      </w:r>
      <w:r>
        <w:rPr>
          <w:rFonts w:eastAsia="Amiri" w:cs="Amiri" w:ascii="Amiri" w:hAnsi="Amiri"/>
          <w:color w:val="111111"/>
          <w:sz w:val="28"/>
          <w:szCs w:val="28"/>
          <w:rtl w:val="true"/>
          <w:lang w:bidi="ar-SA"/>
        </w:rPr>
        <w:t>»</w:t>
      </w:r>
      <w:r>
        <w:rPr>
          <w:rStyle w:val="FootnoteAnchor"/>
          <w:rtl w:val="true"/>
        </w:rPr>
        <w:footnoteReference w:id="795"/>
      </w:r>
      <w:r>
        <w:rPr>
          <w:rFonts w:ascii="IRNazanin" w:hAnsi="IRNazanin" w:eastAsia="IRNazanin"/>
          <w:color w:val="111111"/>
          <w:sz w:val="28"/>
          <w:sz w:val="28"/>
          <w:szCs w:val="28"/>
          <w:rtl w:val="true"/>
          <w:lang w:bidi="fa-IR"/>
        </w:rPr>
        <w:t>للتعرض للمحرّم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الكلام بغير ذكر اللّه تعالى أو آية الكرسي، 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796"/>
      </w:r>
      <w:r>
        <w:rPr>
          <w:rFonts w:ascii="Amiri" w:hAnsi="Amiri" w:eastAsia="Amiri" w:cs="Amiri"/>
          <w:color w:val="111111"/>
          <w:sz w:val="28"/>
          <w:sz w:val="28"/>
          <w:szCs w:val="28"/>
          <w:rtl w:val="true"/>
          <w:lang w:bidi="ar-SA"/>
        </w:rPr>
        <w:t xml:space="preserve">، و قوله تعالى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ذكري على كل حال حسن</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 xml:space="preserve">، 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يرخّص في الكنيف أكثر من آية الكرسي، و حمد اللّه، أو آية</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البول قائما، لما روي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علة من الجفاء</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مطمحا من السطح في الهواء، لنص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طول الجلوس خوفا من البواسير، قاله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لقمان رضي اللّه عنه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استصحاب ما عليه اسم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كخاتم و 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 قبل التخلّي</w:t>
      </w:r>
      <w:r>
        <w:rPr>
          <w:rStyle w:val="FootnoteAnchor"/>
          <w:rtl w:val="true"/>
        </w:rPr>
        <w:footnoteReference w:id="802"/>
      </w:r>
      <w:r>
        <w:rPr>
          <w:rFonts w:ascii="Amiri" w:hAnsi="Amiri" w:eastAsia="Amiri" w:cs="Amiri"/>
          <w:color w:val="111111"/>
          <w:sz w:val="28"/>
          <w:sz w:val="28"/>
          <w:szCs w:val="28"/>
          <w:rtl w:val="true"/>
          <w:lang w:bidi="ar-SA"/>
        </w:rPr>
        <w:t>أما أسماء الأنبياء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استصحاب دراهم بيض الا ان تكون مصرورة،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الاستنجاء باليمين لأنّه من</w:t>
      </w:r>
      <w:r>
        <w:rPr>
          <w:rStyle w:val="FootnoteAnchor"/>
          <w:rtl w:val="true"/>
        </w:rPr>
        <w:footnoteReference w:id="804"/>
      </w:r>
      <w:r>
        <w:rPr>
          <w:rFonts w:ascii="IRNazanin" w:hAnsi="IRNazanin" w:eastAsia="IRNazanin"/>
          <w:color w:val="111111"/>
          <w:sz w:val="28"/>
          <w:sz w:val="28"/>
          <w:szCs w:val="28"/>
          <w:rtl w:val="true"/>
          <w:lang w:bidi="fa-IR"/>
        </w:rPr>
        <w:t>الجفاء</w:t>
      </w:r>
      <w:r>
        <w:rPr>
          <w:rStyle w:val="FootnoteAnchor"/>
          <w:rtl w:val="true"/>
        </w:rPr>
        <w:footnoteReference w:id="805"/>
      </w:r>
      <w:r>
        <w:rPr>
          <w:rFonts w:ascii="Amiri" w:hAnsi="Amiri" w:eastAsia="Amiri" w:cs="Amiri"/>
          <w:color w:val="111111"/>
          <w:sz w:val="28"/>
          <w:sz w:val="28"/>
          <w:szCs w:val="28"/>
          <w:rtl w:val="true"/>
          <w:lang w:bidi="ar-SA"/>
        </w:rPr>
        <w:t>و باليسار و فيها خاتم عليه اسم اللّه تعالى، أو اسم نبي أو إمام، أو فصّه حجر زمزم، 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الفصّ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حجر زمزم،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و إذا أراد الاستنجاء نزعه</w:t>
      </w:r>
      <w:r>
        <w:rPr>
          <w:rFonts w:eastAsia="IRNazanin" w:cs="IRNazanin"/>
          <w:color w:val="111111"/>
          <w:sz w:val="28"/>
          <w:szCs w:val="28"/>
          <w:rtl w:val="true"/>
          <w:lang w:bidi="fa-IR"/>
        </w:rPr>
        <w:t>»</w:t>
      </w:r>
      <w:r>
        <w:rPr>
          <w:rStyle w:val="FootnoteAnchor"/>
          <w:rtl w:val="true"/>
        </w:rPr>
        <w:footnoteReference w:id="806"/>
      </w:r>
      <w:r>
        <w:rPr>
          <w:rFonts w:ascii="Amiri" w:hAnsi="Amiri" w:eastAsia="Amiri" w:cs="Amiri"/>
          <w:color w:val="111111"/>
          <w:sz w:val="28"/>
          <w:sz w:val="28"/>
          <w:szCs w:val="28"/>
          <w:rtl w:val="true"/>
          <w:lang w:bidi="ar-SA"/>
        </w:rPr>
        <w:t>و المروي عنه و ان جهل لكن الظّاهر انه الإمام، لافتاء الجماعة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بالكافي للكليني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 هذه الرواية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حجارة زمرد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سمعناه مذاكرة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السّواك، لما روى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يورث البخر</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الأكل و الشرب، لفحوى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و تضمنه مهانة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استقبال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لشرفه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 الذكر باليمنى، لنهي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كراهيته عند القبور، للخبر</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الاعتماد على اليسرى، للخبر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اعداد النّبل، للخبر عنه أيضا</w:t>
      </w:r>
      <w:r>
        <w:rPr>
          <w:rStyle w:val="FootnoteAnchor"/>
          <w:rtl w:val="true"/>
        </w:rPr>
        <w:footnoteReference w:id="813"/>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أحجار الاستنجاء، جمع نبلة و أصلها 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الدعاء دخولا و خروجا، و إخراجا، و لرؤية الماء، و استنجاء، و فراغا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مسح البطن عند الفراغ قائما، قاله المفيد و من تبعه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الصبر هنيهة، ثم الاستبراء، لقول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ليكن بالتسع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ينتره من أصله إلى طرفه ثلاثا</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مسحه تحت أنثييه مرتين أو ثلاثا، ثم يجعله بين الإبهام فوقه و المسبحة تحته، و يمرهما عليه معتمدا من أصله إلى طرفه مرتين أو ثلاثا</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يعصره من أصله اليه ثلاثا، و ينتر طرفه</w:t>
      </w:r>
      <w:r>
        <w:rPr>
          <w:rFonts w:eastAsia="Amiri" w:cs="Amiri" w:ascii="Amiri" w:hAnsi="Amiri"/>
          <w:color w:val="111111"/>
          <w:sz w:val="28"/>
          <w:szCs w:val="28"/>
          <w:rtl w:val="true"/>
          <w:lang w:bidi="ar-SA"/>
        </w:rPr>
        <w:t>»</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المشي في الاستبراء و ظاهر الاستبصار وجوب الاستبراء</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التنحنح ثلاثا، قاله سلار</w:t>
      </w:r>
      <w:r>
        <w:rPr>
          <w:rStyle w:val="FootnoteAnchor"/>
          <w:rtl w:val="true"/>
        </w:rPr>
        <w:footnoteReference w:id="820"/>
      </w:r>
      <w:r>
        <w:rPr>
          <w:rFonts w:ascii="Amiri" w:hAnsi="Amiri" w:eastAsia="Amiri" w:cs="Amiri"/>
          <w:color w:val="111111"/>
          <w:sz w:val="28"/>
          <w:sz w:val="28"/>
          <w:szCs w:val="28"/>
          <w:rtl w:val="true"/>
          <w:lang w:bidi="ar-SA"/>
        </w:rPr>
        <w:t>، و ذكره ابن الجنيد في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تولّيه بنفسه، و لو غسله غيره كأمته جاز، و يكره الزوجة الحرة،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غسل اليد قبل إدخالها الإناء، لقول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له</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البدأة بالدبر، لخبر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عدم كراهية البول في الإناء، لما روي انه كان للنبي قدح لذلك</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يبقي الإناء في المنزل، للنهي</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تحريمه في إناء في المسجد، للتعظيم، و لأنّه معرّض للتلويث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78" w:name="pg15253_219681"/>
    </w:p>
    <w:p>
      <w:pPr>
        <w:pStyle w:val="Heading6"/>
        <w:numPr>
          <w:ilvl w:val="5"/>
          <w:numId w:val="1"/>
        </w:numPr>
        <w:rPr/>
      </w:pPr>
      <w:bookmarkStart w:id="479" w:name="__RefHeading___Toc4191985_2142443653"/>
      <w:bookmarkStart w:id="480" w:name="_Toc198"/>
      <w:bookmarkEnd w:id="478"/>
      <w:bookmarkEnd w:id="479"/>
      <w:r>
        <w:rPr>
          <w:rtl w:val="true"/>
        </w:rPr>
        <w:t>المطلب الثاني</w:t>
      </w:r>
      <w:r>
        <w:rPr>
          <w:rtl w:val="true"/>
        </w:rPr>
        <w:t xml:space="preserve">: </w:t>
      </w:r>
      <w:r>
        <w:rPr>
          <w:rtl w:val="true"/>
        </w:rPr>
        <w:t>في الاستنجاء</w:t>
      </w:r>
      <w:r>
        <w:rPr>
          <w:rtl w:val="true"/>
        </w:rPr>
        <w:t>.</w:t>
      </w:r>
      <w:bookmarkEnd w:id="480"/>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النجوة، ما ارتفع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نجوت الشجرة قطعتها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خبثية البول و الغائط الناقضين عن مخرجهما لا غير، فلا استنجاء بالحجر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النوم و الريح، لتعجّب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فاعله</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من دم الحدث، و لا غيره من الدماء، لوجوب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من الخارج من المخرجين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كالدود الخالي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 الخارج من غير المعتاد قبل نقضه، و فيما بعده وجهان، أقربهما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الجواز، للمساواة في النقض و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من البول، 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يجزئك من الاستنجاء ثلاثة أحجار، و اما البول فلا بد من غسله</w:t>
      </w:r>
      <w:r>
        <w:rPr>
          <w:rFonts w:eastAsia="Amiri" w:cs="Amiri" w:ascii="Amiri" w:hAnsi="Amiri"/>
          <w:color w:val="111111"/>
          <w:sz w:val="28"/>
          <w:szCs w:val="28"/>
          <w:rtl w:val="true"/>
          <w:lang w:bidi="ar-SA"/>
        </w:rPr>
        <w:t>»</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يجزئ مثلاه مع الفصل، للخبر</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يجب الدلك، لعدم الجرم، و مع تعذّر الماء يتمسّح وجوبا و يصلي ثم يغسله عند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يمسحه بريقه فإذا وجد بللا فمنه</w:t>
      </w:r>
      <w:r>
        <w:rPr>
          <w:rFonts w:eastAsia="Amiri" w:cs="Amiri" w:ascii="Amiri" w:hAnsi="Amiri"/>
          <w:color w:val="111111"/>
          <w:sz w:val="28"/>
          <w:szCs w:val="28"/>
          <w:rtl w:val="true"/>
          <w:lang w:bidi="ar-SA"/>
        </w:rPr>
        <w:t>»</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لأمر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بالغسل من البول</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من الغائط المنتشر عن المخرج، إجماعا، و هو مروي</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يجزئ فيه مع عدم التعدّي ثلاثة أحجار،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أحدكم إلى الغائط، فليذهب معه بثلاثة أحجار يستطيب بها، فإنها تجزئ عنه</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بثلاثة أحجار أبكار</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نقي بما دونها وجب الإكمال في الأشبه، لقول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نستنجي بأقل من ثلاثة أحجار</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الزائد لو احتيج إليه،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عبرة بالأثر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الوتر،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استجمر فليوتر، و من لا لا حرج</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إجزاء ذي الشعب قولان، للصورة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احتاط في المبسوط بالمنع، و اجتزأ بالتوزيع</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الأشبه جزاؤهما،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جلس أحدكم لحاجته، فليتمسّح ثلاث مسحات</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 إمرار الأول على مقدّم الصفحة اليمنى راجعا الى اليسرى، و الثاني عكسه، و الثالث المسربة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إن استوعب في كل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المسربة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بضم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ليضعه على المكان الطاهر أولا، و لا يجب الإدارة و الالتقاط لعسره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يجزئ النجس، و لو جفّ بالشمس بعد زوال العين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يجزئ الخزف، و الخرق، و كل طاهر مزيل للعين،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استطب بثلاثة أحجار، أو ثلاثة أعواد، أو ثلاثة حثيات من تراب</w:t>
      </w:r>
      <w:r>
        <w:rPr>
          <w:rFonts w:eastAsia="Amiri" w:cs="Amiri" w:ascii="Amiri" w:hAnsi="Amiri"/>
          <w:color w:val="111111"/>
          <w:sz w:val="28"/>
          <w:szCs w:val="28"/>
          <w:rtl w:val="true"/>
          <w:lang w:bidi="ar-SA"/>
        </w:rPr>
        <w:t>»</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التمسّح بالكرسف مروي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سلاّر اعتبر الأرض في أصله، لذكر الحجار</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لغلبتها في الاستعمال، و في القدرة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يختار الآجر و الخزف الا أن يلابسه طين أو تراب 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نهي عن العظم و الروث، لمتاع الجنّ‌</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المطعوم، لفحوى طعام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المحترم</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الاجزاء، لعدم التنافي بين التحريم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أبوه في المبسوط</w:t>
      </w:r>
      <w:r>
        <w:rPr>
          <w:rStyle w:val="FootnoteAnchor"/>
          <w:rtl w:val="true"/>
        </w:rPr>
        <w:footnoteReference w:id="843"/>
      </w:r>
      <w:r>
        <w:rPr>
          <w:rFonts w:ascii="IRNazanin" w:hAnsi="IRNazanin" w:eastAsia="IRNazanin"/>
          <w:color w:val="111111"/>
          <w:sz w:val="28"/>
          <w:sz w:val="28"/>
          <w:szCs w:val="28"/>
          <w:rtl w:val="true"/>
          <w:lang w:bidi="fa-IR"/>
        </w:rPr>
        <w:t>و السرائر</w:t>
      </w:r>
      <w:r>
        <w:rPr>
          <w:rStyle w:val="FootnoteAnchor"/>
          <w:rtl w:val="true"/>
        </w:rPr>
        <w:footnoteReference w:id="844"/>
      </w:r>
      <w:r>
        <w:rPr>
          <w:rFonts w:ascii="IRNazanin" w:hAnsi="IRNazanin" w:eastAsia="IRNazanin"/>
          <w:color w:val="111111"/>
          <w:sz w:val="28"/>
          <w:sz w:val="28"/>
          <w:szCs w:val="28"/>
          <w:rtl w:val="true"/>
          <w:lang w:bidi="fa-IR"/>
        </w:rPr>
        <w:t>و المعتبر</w:t>
      </w:r>
      <w:r>
        <w:rPr>
          <w:rStyle w:val="FootnoteAnchor"/>
          <w:rtl w:val="true"/>
        </w:rPr>
        <w:footnoteReference w:id="845"/>
      </w:r>
      <w:r>
        <w:rPr>
          <w:rFonts w:ascii="Amiri" w:hAnsi="Amiri" w:eastAsia="Amiri" w:cs="Amiri"/>
          <w:color w:val="111111"/>
          <w:sz w:val="28"/>
          <w:sz w:val="28"/>
          <w:szCs w:val="28"/>
          <w:rtl w:val="true"/>
          <w:lang w:bidi="ar-SA"/>
        </w:rPr>
        <w:t>و هو قول المرتضى، للنهي، أو عدم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يجزئ الصقيل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ليكن باليسار كالغسل،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اليمنى لطهوره و طعامه، و اليسرى لخلائه و ما كان من أذى</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الجمع بين الحجر و الماء في المتعدي مستحب، للمبالغة و تنزيه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 الماء أفضل، لثناء اللّه تعالى على أهل قبا به</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أكمل، لإزالة العين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النقاء، لا الصرير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ليستنج الرجل بالماء طولا، و المرأة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نظر الى الرائحة،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يتعرض للباطن،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عليه ان يغسل ما ظهر، و ليس عليه ان يغسل باطنه</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تحريم الاستقبال و الاستدبار هنا نظر، لما مرّ من التأويل في خبر جابر، 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يقعد له كما يقعد للغائط</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يحكم بطهارة المحل بعد الأحجار كالماء، لمفهوم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تستنجوا بعظم، و لا روث، فإنهما لا يطهّران</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الخرقة التي لا تنفذ فيها يستعمل وجهاها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خرج أحد الحدثين اختص بالغسل إجماعا، و هو مروي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81" w:name="pg15253_219685"/>
    </w:p>
    <w:p>
      <w:pPr>
        <w:pStyle w:val="Heading6"/>
        <w:numPr>
          <w:ilvl w:val="5"/>
          <w:numId w:val="1"/>
        </w:numPr>
        <w:rPr/>
      </w:pPr>
      <w:bookmarkStart w:id="482" w:name="__RefHeading___Toc4191987_2142443653"/>
      <w:bookmarkStart w:id="483" w:name="_Toc199"/>
      <w:bookmarkEnd w:id="481"/>
      <w:bookmarkEnd w:id="482"/>
      <w:r>
        <w:rPr>
          <w:rtl w:val="true"/>
        </w:rPr>
        <w:t>فروع عشرة</w:t>
      </w:r>
      <w:r>
        <w:rPr>
          <w:rtl w:val="true"/>
        </w:rPr>
        <w:t>.</w:t>
      </w:r>
      <w:bookmarkEnd w:id="483"/>
    </w:p>
    <w:p>
      <w:pPr>
        <w:pStyle w:val="Heading6"/>
        <w:numPr>
          <w:ilvl w:val="5"/>
          <w:numId w:val="1"/>
        </w:numPr>
        <w:rPr/>
      </w:pPr>
      <w:bookmarkStart w:id="484" w:name="__RefHeading___Toc4191989_2142443653"/>
      <w:bookmarkStart w:id="485" w:name="_Toc200"/>
      <w:bookmarkEnd w:id="484"/>
      <w:r>
        <w:rPr>
          <w:rtl w:val="true"/>
        </w:rPr>
        <w:t>الأول</w:t>
      </w:r>
      <w:r>
        <w:rPr>
          <w:rtl w:val="true"/>
        </w:rPr>
        <w:t xml:space="preserve">: </w:t>
      </w:r>
      <w:r>
        <w:rPr>
          <w:rtl w:val="true"/>
        </w:rPr>
        <w:t>تعيّن الماء لو استجمر بنجس مطلقا،</w:t>
      </w:r>
      <w:bookmarkEnd w:id="485"/>
    </w:p>
    <w:p>
      <w:pPr>
        <w:pStyle w:val="BookText"/>
        <w:rPr/>
      </w:pPr>
      <w:r>
        <w:rPr>
          <w:rFonts w:ascii="Amiri" w:hAnsi="Amiri" w:eastAsia="Amiri" w:cs="Amiri"/>
          <w:color w:val="111111"/>
          <w:sz w:val="28"/>
          <w:sz w:val="28"/>
          <w:szCs w:val="28"/>
          <w:rtl w:val="true"/>
          <w:lang w:bidi="ar-SA"/>
        </w:rPr>
        <w:t>لقصر الرخصة على محل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الغائط و غيره ضعيف</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4191991_2142443653"/>
      <w:bookmarkStart w:id="487" w:name="_Toc201"/>
      <w:bookmarkEnd w:id="486"/>
      <w:r>
        <w:rPr>
          <w:rtl w:val="true"/>
        </w:rPr>
        <w:t>الثاني</w:t>
      </w:r>
      <w:r>
        <w:rPr>
          <w:rtl w:val="true"/>
        </w:rPr>
        <w:t xml:space="preserve">: </w:t>
      </w:r>
      <w:r>
        <w:rPr>
          <w:rtl w:val="true"/>
        </w:rPr>
        <w:t>لو خرج الغائط ممتزجا بنجاسة أخرى لم يكف الاستجمار</w:t>
      </w:r>
      <w:r>
        <w:rPr>
          <w:rtl w:val="true"/>
        </w:rPr>
        <w:t>.</w:t>
      </w:r>
      <w:bookmarkEnd w:id="487"/>
    </w:p>
    <w:p>
      <w:pPr>
        <w:pStyle w:val="Heading6"/>
        <w:numPr>
          <w:ilvl w:val="5"/>
          <w:numId w:val="1"/>
        </w:numPr>
        <w:rPr/>
      </w:pPr>
      <w:bookmarkStart w:id="488" w:name="__RefHeading___Toc4191993_2142443653"/>
      <w:bookmarkStart w:id="489" w:name="_Toc202"/>
      <w:bookmarkEnd w:id="488"/>
      <w:r>
        <w:rPr>
          <w:rtl w:val="true"/>
        </w:rPr>
        <w:t>الثالث</w:t>
      </w:r>
      <w:r>
        <w:rPr>
          <w:rtl w:val="true"/>
        </w:rPr>
        <w:t xml:space="preserve">: </w:t>
      </w:r>
      <w:r>
        <w:rPr>
          <w:rtl w:val="true"/>
        </w:rPr>
        <w:t>يستحب تقديم الاستنجاء على الوضوء،</w:t>
      </w:r>
      <w:bookmarkEnd w:id="489"/>
    </w:p>
    <w:p>
      <w:pPr>
        <w:pStyle w:val="BookText"/>
        <w:rPr/>
      </w:pPr>
      <w:r>
        <w:rPr>
          <w:rFonts w:ascii="Amiri" w:hAnsi="Amiri" w:eastAsia="Amiri" w:cs="Amiri"/>
          <w:color w:val="111111"/>
          <w:sz w:val="28"/>
          <w:sz w:val="28"/>
          <w:szCs w:val="28"/>
          <w:rtl w:val="true"/>
          <w:lang w:bidi="ar-SA"/>
        </w:rPr>
        <w:t xml:space="preserve">فقبله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تعاد الصلاة</w:t>
      </w:r>
      <w:r>
        <w:rPr>
          <w:rFonts w:eastAsia="Amiri" w:cs="Amiri" w:ascii="Amiri" w:hAnsi="Amiri"/>
          <w:color w:val="111111"/>
          <w:sz w:val="28"/>
          <w:szCs w:val="28"/>
          <w:rtl w:val="true"/>
          <w:lang w:bidi="ar-SA"/>
        </w:rPr>
        <w:t>»</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باعادتهما ضعيف بسماعة، و رواية محمد بن عيسى عن يونس</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هشام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الصلاة</w:t>
      </w:r>
      <w:r>
        <w:rPr>
          <w:rStyle w:val="FootnoteAnchor"/>
          <w:rtl w:val="true"/>
        </w:rPr>
        <w:footnoteReference w:id="855"/>
      </w:r>
      <w:r>
        <w:rPr>
          <w:rFonts w:ascii="Amiri" w:hAnsi="Amiri" w:eastAsia="Amiri" w:cs="Amiri"/>
          <w:color w:val="111111"/>
          <w:sz w:val="28"/>
          <w:sz w:val="28"/>
          <w:szCs w:val="28"/>
          <w:rtl w:val="true"/>
          <w:lang w:bidi="ar-SA"/>
        </w:rPr>
        <w:t>متروك لضعفه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الجاهل بالحكم يعيدها كغير الاستنجاء، و بالنجاسة يعيد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الغسل فصحيح الى موضع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التيمم فمبني على توسعته مع إمكان صحته مطلقا، لأنّ زمانه مستثنى كزمان التيمم، و كذا الكلام في النجاسة على البدن</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4191995_2142443653"/>
      <w:bookmarkStart w:id="491" w:name="_Toc203"/>
      <w:bookmarkEnd w:id="490"/>
      <w:r>
        <w:rPr>
          <w:rtl w:val="true"/>
        </w:rPr>
        <w:t>الرابع</w:t>
      </w:r>
      <w:r>
        <w:rPr>
          <w:rtl w:val="true"/>
        </w:rPr>
        <w:t xml:space="preserve">: </w:t>
      </w:r>
      <w:r>
        <w:rPr>
          <w:rtl w:val="true"/>
        </w:rPr>
        <w:t>يجب كشف البشرة على الأغلف ان أمكن،</w:t>
      </w:r>
      <w:bookmarkEnd w:id="491"/>
    </w:p>
    <w:p>
      <w:pPr>
        <w:pStyle w:val="BookText"/>
        <w:rPr/>
      </w:pPr>
      <w:r>
        <w:rPr>
          <w:rFonts w:ascii="Amiri" w:hAnsi="Amiri" w:eastAsia="Amiri" w:cs="Amiri"/>
          <w:color w:val="111111"/>
          <w:sz w:val="28"/>
          <w:sz w:val="28"/>
          <w:szCs w:val="28"/>
          <w:rtl w:val="true"/>
          <w:lang w:bidi="ar-SA"/>
        </w:rPr>
        <w:t>لأنّها كالظاهر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مرتتقا سقط</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4191997_2142443653"/>
      <w:bookmarkStart w:id="493" w:name="_Toc204"/>
      <w:bookmarkEnd w:id="492"/>
      <w:r>
        <w:rPr>
          <w:rtl w:val="true"/>
        </w:rPr>
        <w:t>الخامس</w:t>
      </w:r>
      <w:r>
        <w:rPr>
          <w:rtl w:val="true"/>
        </w:rPr>
        <w:t xml:space="preserve">: </w:t>
      </w:r>
      <w:r>
        <w:rPr>
          <w:rtl w:val="true"/>
        </w:rPr>
        <w:t>لو وجد بللا مشتبها بعده،</w:t>
      </w:r>
      <w:bookmarkEnd w:id="493"/>
    </w:p>
    <w:p>
      <w:pPr>
        <w:pStyle w:val="BookText"/>
        <w:rPr/>
      </w:pPr>
      <w:r>
        <w:rPr>
          <w:rFonts w:ascii="Amiri" w:hAnsi="Amiri" w:eastAsia="Amiri" w:cs="Amiri"/>
          <w:color w:val="111111"/>
          <w:sz w:val="28"/>
          <w:sz w:val="28"/>
          <w:szCs w:val="28"/>
          <w:rtl w:val="true"/>
          <w:lang w:bidi="ar-SA"/>
        </w:rPr>
        <w:t xml:space="preserve">فلا التفات مع الاستبراء، لأنّه من الحبائل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عروق في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أعاد الوضوء دون الصلاة قبله</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4191999_2142443653"/>
      <w:bookmarkStart w:id="495" w:name="_Toc205"/>
      <w:bookmarkEnd w:id="494"/>
      <w:r>
        <w:rPr>
          <w:rtl w:val="true"/>
        </w:rPr>
        <w:t>السادس</w:t>
      </w:r>
      <w:r>
        <w:rPr>
          <w:rtl w:val="true"/>
        </w:rPr>
        <w:t xml:space="preserve">: </w:t>
      </w:r>
      <w:r>
        <w:rPr>
          <w:rtl w:val="true"/>
        </w:rPr>
        <w:t>لا ريب في أجزاء ذي الشعب الثلاثة،</w:t>
      </w:r>
      <w:bookmarkEnd w:id="49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كسر أجزأ مطلقا</w:t>
      </w:r>
      <w:r>
        <w:rPr>
          <w:rFonts w:eastAsia="Amiri" w:cs="Amiri" w:ascii="Amiri" w:hAnsi="Amiri"/>
          <w:color w:val="111111"/>
          <w:sz w:val="28"/>
          <w:szCs w:val="28"/>
          <w:rtl w:val="true"/>
          <w:lang w:bidi="ar-SA"/>
        </w:rPr>
        <w:t xml:space="preserve">. </w:t>
      </w:r>
      <w:bookmarkStart w:id="496" w:name="pg15253_219686"/>
    </w:p>
    <w:p>
      <w:pPr>
        <w:pStyle w:val="BookText"/>
        <w:rPr/>
      </w:pPr>
      <w:bookmarkEnd w:id="496"/>
      <w:r>
        <w:rPr>
          <w:rFonts w:ascii="Amiri" w:hAnsi="Amiri" w:eastAsia="Amiri" w:cs="Amiri"/>
          <w:color w:val="111111"/>
          <w:sz w:val="28"/>
          <w:sz w:val="28"/>
          <w:szCs w:val="28"/>
          <w:rtl w:val="true"/>
          <w:lang w:bidi="ar-SA"/>
        </w:rPr>
        <w:t>و الشعبة الواحدة مجزئة مع التطهير في كل مرّة و ان كان رطبا ما لم ينتشر، مع إمكان عدم الإجزاء، لنجاسة البلّة فلا يعفى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بأنها من نجاسة المحل، و لأنّها كالماء لا ينجس حتى تنفصل</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4192001_2142443653"/>
      <w:bookmarkStart w:id="498" w:name="_Toc206"/>
      <w:bookmarkEnd w:id="497"/>
      <w:r>
        <w:rPr>
          <w:rtl w:val="true"/>
        </w:rPr>
        <w:t>السابع</w:t>
      </w:r>
      <w:r>
        <w:rPr>
          <w:rtl w:val="true"/>
        </w:rPr>
        <w:t xml:space="preserve">: </w:t>
      </w:r>
      <w:r>
        <w:rPr>
          <w:rtl w:val="true"/>
        </w:rPr>
        <w:t>الخنثى المشكل</w:t>
      </w:r>
      <w:bookmarkEnd w:id="498"/>
    </w:p>
    <w:p>
      <w:pPr>
        <w:pStyle w:val="BookText"/>
        <w:rPr/>
      </w:pPr>
      <w:r>
        <w:rPr>
          <w:rFonts w:ascii="Amiri" w:hAnsi="Amiri" w:eastAsia="Amiri" w:cs="Amiri"/>
          <w:color w:val="111111"/>
          <w:sz w:val="28"/>
          <w:sz w:val="28"/>
          <w:szCs w:val="28"/>
          <w:rtl w:val="true"/>
          <w:lang w:bidi="ar-SA"/>
        </w:rPr>
        <w:t>تستجمر في الدبر كالرجل، و في القبلين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يكون ماؤهما استنجاء؟ الأشبه ذلك إذا اعتيد منهما</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4192003_2142443653"/>
      <w:bookmarkStart w:id="500" w:name="_Toc207"/>
      <w:bookmarkEnd w:id="499"/>
      <w:r>
        <w:rPr>
          <w:rtl w:val="true"/>
        </w:rPr>
        <w:t>الثامن</w:t>
      </w:r>
      <w:r>
        <w:rPr>
          <w:rtl w:val="true"/>
        </w:rPr>
        <w:t xml:space="preserve">: </w:t>
      </w:r>
      <w:r>
        <w:rPr>
          <w:rtl w:val="true"/>
        </w:rPr>
        <w:t>لا فرق في عدم غسل الباطن بين الرجل و المرأة، بكرا أو ثيّبا</w:t>
      </w:r>
      <w:r>
        <w:rPr>
          <w:rtl w:val="true"/>
        </w:rPr>
        <w:t>.</w:t>
      </w:r>
      <w:bookmarkEnd w:id="500"/>
    </w:p>
    <w:p>
      <w:pPr>
        <w:pStyle w:val="BookText"/>
        <w:rPr/>
      </w:pPr>
      <w:r>
        <w:rPr>
          <w:rFonts w:ascii="Amiri" w:hAnsi="Amiri" w:eastAsia="Amiri" w:cs="Amiri"/>
          <w:color w:val="111111"/>
          <w:sz w:val="28"/>
          <w:sz w:val="28"/>
          <w:szCs w:val="28"/>
          <w:rtl w:val="true"/>
          <w:lang w:bidi="ar-SA"/>
        </w:rPr>
        <w:t>نعم، لو علمت الثّيب وصول البول الى مدخل الذكر و مخرج الولد، وجب غسل ما ظهر منه عند الجلوس على القدمين</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4192005_2142443653"/>
      <w:bookmarkStart w:id="502" w:name="_Toc208"/>
      <w:bookmarkEnd w:id="501"/>
      <w:r>
        <w:rPr>
          <w:rtl w:val="true"/>
        </w:rPr>
        <w:t>التاسع</w:t>
      </w:r>
      <w:r>
        <w:rPr>
          <w:rtl w:val="true"/>
        </w:rPr>
        <w:t xml:space="preserve">: </w:t>
      </w:r>
      <w:r>
        <w:rPr>
          <w:rtl w:val="true"/>
        </w:rPr>
        <w:t>من المحترم ما كتب عليه قرآن، أو فقه، أو حديث</w:t>
      </w:r>
      <w:r>
        <w:rPr>
          <w:rtl w:val="true"/>
        </w:rPr>
        <w:t>.</w:t>
      </w:r>
      <w:bookmarkEnd w:id="502"/>
    </w:p>
    <w:p>
      <w:pPr>
        <w:pStyle w:val="BookText"/>
        <w:rPr/>
      </w:pPr>
      <w:r>
        <w:rPr>
          <w:rFonts w:ascii="Amiri" w:hAnsi="Amiri" w:eastAsia="Amiri" w:cs="Amiri"/>
          <w:color w:val="111111"/>
          <w:sz w:val="28"/>
          <w:sz w:val="28"/>
          <w:szCs w:val="28"/>
          <w:rtl w:val="true"/>
          <w:lang w:bidi="ar-SA"/>
        </w:rPr>
        <w:t>أمّا جزء الحيوان، فالأشبه لا و لو عقب نفسه أو يده، و كذا جملته كالعصفور، و كذا لا احترام في النقدين و نفيس الجواهر عندنا</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4192007_2142443653"/>
      <w:bookmarkStart w:id="504" w:name="_Toc209"/>
      <w:bookmarkEnd w:id="503"/>
      <w:r>
        <w:rPr>
          <w:rtl w:val="true"/>
        </w:rPr>
        <w:t>العاشر</w:t>
      </w:r>
      <w:r>
        <w:rPr>
          <w:rtl w:val="true"/>
        </w:rPr>
        <w:t xml:space="preserve">: </w:t>
      </w:r>
      <w:r>
        <w:rPr>
          <w:rtl w:val="true"/>
        </w:rPr>
        <w:t>لو قلنا في المحترم بعدم الاجزاء،</w:t>
      </w:r>
      <w:bookmarkEnd w:id="50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الرخص لا تناط بالمعاصي، و للخبر</w:t>
      </w:r>
      <w:r>
        <w:rPr>
          <w:rStyle w:val="FootnoteAnchor"/>
          <w:rtl w:val="true"/>
        </w:rPr>
        <w:footnoteReference w:id="856"/>
      </w:r>
      <w:r>
        <w:rPr>
          <w:rFonts w:ascii="Amiri" w:hAnsi="Amiri" w:eastAsia="Amiri" w:cs="Amiri"/>
          <w:color w:val="111111"/>
          <w:sz w:val="28"/>
          <w:sz w:val="28"/>
          <w:szCs w:val="28"/>
          <w:rtl w:val="true"/>
          <w:lang w:bidi="ar-SA"/>
        </w:rPr>
        <w:t>أجزأ ثلاثة غيره هنا قطعا</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الاضطراري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5" w:name="pg15253_219689"/>
      <w:bookmarkStart w:id="506" w:name="pg15253_219689"/>
      <w:bookmarkEnd w:id="506"/>
    </w:p>
    <w:p>
      <w:pPr>
        <w:pStyle w:val="Heading6"/>
        <w:numPr>
          <w:ilvl w:val="5"/>
          <w:numId w:val="1"/>
        </w:numPr>
        <w:rPr/>
      </w:pPr>
      <w:bookmarkStart w:id="507" w:name="pg15253_219689"/>
      <w:bookmarkStart w:id="508" w:name="__RefHeading___Toc4192009_2142443653"/>
      <w:bookmarkStart w:id="509" w:name="_Toc210"/>
      <w:bookmarkEnd w:id="507"/>
      <w:bookmarkEnd w:id="508"/>
      <w:r>
        <w:rPr>
          <w:rtl w:val="true"/>
        </w:rPr>
        <w:t>الفصل الثاني</w:t>
      </w:r>
      <w:r>
        <w:rPr>
          <w:rtl w:val="true"/>
        </w:rPr>
        <w:t xml:space="preserve">: </w:t>
      </w:r>
      <w:r>
        <w:rPr>
          <w:rtl w:val="true"/>
        </w:rPr>
        <w:t>المستعمل الاضطراري</w:t>
      </w:r>
      <w:r>
        <w:rPr>
          <w:rtl w:val="true"/>
        </w:rPr>
        <w:t>.</w:t>
      </w:r>
      <w:bookmarkEnd w:id="509"/>
    </w:p>
    <w:p>
      <w:pPr>
        <w:pStyle w:val="Heading6"/>
        <w:numPr>
          <w:ilvl w:val="5"/>
          <w:numId w:val="1"/>
        </w:numPr>
        <w:rPr/>
      </w:pPr>
      <w:bookmarkStart w:id="510" w:name="__RefHeading___Toc4192011_2142443653"/>
      <w:bookmarkStart w:id="511" w:name="_Toc211"/>
      <w:bookmarkEnd w:id="510"/>
      <w:r>
        <w:rPr>
          <w:rtl w:val="true"/>
        </w:rPr>
        <w:t>اشارة</w:t>
      </w:r>
      <w:bookmarkEnd w:id="511"/>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فَلَمْ تَجِدُوا ماءً فَتَيَمَّمُوا صَعِيداً طَيِّباً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النظر إمّا فيه، أو في مسوّغة، فهنا مطلبان</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4192013_2142443653"/>
      <w:bookmarkStart w:id="513" w:name="_Toc212"/>
      <w:bookmarkEnd w:id="512"/>
      <w:r>
        <w:rPr>
          <w:rtl w:val="true"/>
        </w:rPr>
        <w:t>المطلب الأول</w:t>
      </w:r>
      <w:r>
        <w:rPr>
          <w:rtl w:val="true"/>
        </w:rPr>
        <w:t xml:space="preserve">: </w:t>
      </w:r>
      <w:r>
        <w:rPr>
          <w:rtl w:val="true"/>
        </w:rPr>
        <w:t>الصعيد</w:t>
      </w:r>
      <w:r>
        <w:rPr>
          <w:rtl w:val="true"/>
        </w:rPr>
        <w:t>:</w:t>
      </w:r>
      <w:bookmarkEnd w:id="513"/>
    </w:p>
    <w:p>
      <w:pPr>
        <w:pStyle w:val="Heading6"/>
        <w:numPr>
          <w:ilvl w:val="5"/>
          <w:numId w:val="1"/>
        </w:numPr>
        <w:rPr/>
      </w:pPr>
      <w:bookmarkStart w:id="514" w:name="__RefHeading___Toc4192015_2142443653"/>
      <w:bookmarkStart w:id="515" w:name="_Toc213"/>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وجه الأرض ترابا كان أو مدرا أو صخرا، دون المتصل بالأرض من النبات، و هو قول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و انما كان طهورا لقوله تعالى لِيُطَهِّرَكُمْ بِهِ </w:t>
      </w:r>
      <w:r>
        <w:rPr>
          <w:rStyle w:val="FootnoteAnchor"/>
          <w:rtl w:val="true"/>
        </w:rPr>
        <w:footnoteReference w:id="858"/>
      </w:r>
      <w:r>
        <w:rPr>
          <w:rFonts w:ascii="Amiri" w:hAnsi="Amiri" w:eastAsia="Amiri" w:cs="Amiri"/>
          <w:color w:val="111111"/>
          <w:sz w:val="28"/>
          <w:sz w:val="28"/>
          <w:szCs w:val="28"/>
          <w:rtl w:val="true"/>
          <w:lang w:bidi="ar-SA"/>
        </w:rPr>
        <w:t xml:space="preserve">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فضلنا على الناس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لنا الأرض مسجدا و ترابها طهورا</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و لا دلالة فيه على اختصاص بالتراب، لجواز ذكر ما هو الأولى في الاستعمال، و لأنّه روي بحذف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ترابها</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يشترط كون التراب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شيب بنحو زعفران أو دقيق و استهلكه التراب جاز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أن لا يرى الخليط، و لا يسلب عنه اسم التراب، و لا يخرجه وصفه بالأسود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 الدواة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الأرمني للتداوي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اللين في مسيل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أقسامه كما ينقسم الماء الى الملح و العذب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ابن الجنيد من السبخ، لشبهه بالملح</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 بتيمّم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المدينة</w:t>
      </w:r>
      <w:r>
        <w:rPr>
          <w:rStyle w:val="FootnoteAnchor"/>
          <w:rtl w:val="true"/>
        </w:rPr>
        <w:footnoteReference w:id="862"/>
      </w:r>
      <w:r>
        <w:rPr>
          <w:rFonts w:ascii="Amiri" w:hAnsi="Amiri" w:eastAsia="Amiri" w:cs="Amiri"/>
          <w:color w:val="111111"/>
          <w:sz w:val="28"/>
          <w:sz w:val="28"/>
          <w:szCs w:val="28"/>
          <w:rtl w:val="true"/>
          <w:lang w:bidi="ar-SA"/>
        </w:rPr>
        <w:t>، و السبخ غالب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مع وجود 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ظاهره منع الحجر و الآجر</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شرط فيه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المفيد و ابن إدريس عدم التراب</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جوّزه في المبسوط</w:t>
      </w:r>
      <w:r>
        <w:rPr>
          <w:rStyle w:val="FootnoteAnchor"/>
          <w:rtl w:val="true"/>
        </w:rPr>
        <w:footnoteReference w:id="865"/>
      </w:r>
      <w:r>
        <w:rPr>
          <w:rFonts w:ascii="IRNazanin" w:hAnsi="IRNazanin" w:eastAsia="IRNazanin"/>
          <w:color w:val="111111"/>
          <w:sz w:val="28"/>
          <w:sz w:val="28"/>
          <w:szCs w:val="28"/>
          <w:rtl w:val="true"/>
          <w:lang w:bidi="fa-IR"/>
        </w:rPr>
        <w:t>و الخلاف</w:t>
      </w:r>
      <w:r>
        <w:rPr>
          <w:rStyle w:val="FootnoteAnchor"/>
          <w:rtl w:val="true"/>
        </w:rPr>
        <w:footnoteReference w:id="866"/>
      </w:r>
      <w:r>
        <w:rPr>
          <w:rFonts w:ascii="IRNazanin" w:hAnsi="IRNazanin" w:eastAsia="IRNazanin"/>
          <w:color w:val="111111"/>
          <w:sz w:val="28"/>
          <w:sz w:val="28"/>
          <w:szCs w:val="28"/>
          <w:rtl w:val="true"/>
          <w:lang w:bidi="fa-IR"/>
        </w:rPr>
        <w:t>و المرتضى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نص</w:t>
      </w:r>
      <w:r>
        <w:rPr>
          <w:rStyle w:val="FootnoteAnchor"/>
          <w:rtl w:val="true"/>
        </w:rPr>
        <w:footnoteReference w:id="867"/>
      </w:r>
      <w:r>
        <w:rPr>
          <w:rFonts w:ascii="Amiri" w:hAnsi="Amiri" w:eastAsia="Amiri" w:cs="Amiri"/>
          <w:color w:val="111111"/>
          <w:sz w:val="28"/>
          <w:sz w:val="28"/>
          <w:szCs w:val="28"/>
          <w:rtl w:val="true"/>
          <w:lang w:bidi="ar-SA"/>
        </w:rPr>
        <w:t>فيه لأنّه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الرخام، و البرام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بأرض النورة و أرض 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التراب</w:t>
      </w:r>
      <w:r>
        <w:rPr>
          <w:rStyle w:val="FootnoteAnchor"/>
          <w:rtl w:val="true"/>
        </w:rPr>
        <w:footnoteReference w:id="868"/>
      </w:r>
      <w:r>
        <w:rPr>
          <w:rFonts w:ascii="Amiri" w:hAnsi="Amiri" w:eastAsia="Amiri" w:cs="Amiri"/>
          <w:color w:val="111111"/>
          <w:sz w:val="28"/>
          <w:sz w:val="28"/>
          <w:szCs w:val="28"/>
          <w:rtl w:val="true"/>
          <w:lang w:bidi="ar-SA"/>
        </w:rPr>
        <w:t>و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نفس النورة و الجص فجوّزهما المرتضى</w:t>
      </w:r>
      <w:r>
        <w:rPr>
          <w:rStyle w:val="FootnoteAnchor"/>
          <w:rtl w:val="true"/>
        </w:rPr>
        <w:footnoteReference w:id="869"/>
      </w:r>
      <w:r>
        <w:rPr>
          <w:rFonts w:ascii="Amiri" w:hAnsi="Amiri" w:eastAsia="Amiri" w:cs="Amiri"/>
          <w:color w:val="111111"/>
          <w:sz w:val="28"/>
          <w:sz w:val="28"/>
          <w:szCs w:val="28"/>
          <w:rtl w:val="true"/>
          <w:lang w:bidi="ar-SA"/>
        </w:rPr>
        <w:t xml:space="preserve">لما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منع في المبسوط و الخلاف و السرائر من النورة للاستحالة</w:t>
      </w:r>
      <w:r>
        <w:rPr>
          <w:rStyle w:val="FootnoteAnchor"/>
          <w:rtl w:val="true"/>
        </w:rPr>
        <w:footnoteReference w:id="871"/>
      </w:r>
      <w:r>
        <w:rPr>
          <w:rFonts w:ascii="IRNazanin" w:hAnsi="IRNazanin" w:eastAsia="IRNazanin"/>
          <w:color w:val="111111"/>
          <w:sz w:val="28"/>
          <w:sz w:val="28"/>
          <w:szCs w:val="28"/>
          <w:rtl w:val="true"/>
          <w:lang w:bidi="fa-IR"/>
        </w:rPr>
        <w:t>و هو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الخزف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في المعتبر</w:t>
      </w:r>
      <w:r>
        <w:rPr>
          <w:rStyle w:val="FootnoteAnchor"/>
          <w:rtl w:val="true"/>
        </w:rPr>
        <w:footnoteReference w:id="872"/>
      </w:r>
      <w:r>
        <w:rPr>
          <w:rFonts w:ascii="Amiri" w:hAnsi="Amiri" w:eastAsia="Amiri" w:cs="Amiri"/>
          <w:color w:val="111111"/>
          <w:sz w:val="28"/>
          <w:sz w:val="28"/>
          <w:szCs w:val="28"/>
          <w:rtl w:val="true"/>
          <w:lang w:bidi="ar-SA"/>
        </w:rPr>
        <w:t>كما يظهر من ابن الجنيد</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الآجر، و الأرض شاملة لهما، و للرمل و ان 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بالمبتلّة، و ليتحرّ أجفّها،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بالمعدن، لخروجه عن اسم الصعيد، خلافا لابن أبي عقيل، بناء على أنّه أرض</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16" w:name="pg15253_219691"/>
    </w:p>
    <w:p>
      <w:pPr>
        <w:pStyle w:val="BookText"/>
        <w:rPr/>
      </w:pPr>
      <w:bookmarkEnd w:id="516"/>
      <w:r>
        <w:rPr>
          <w:rFonts w:ascii="Amiri" w:hAnsi="Amiri" w:eastAsia="Amiri" w:cs="Amiri"/>
          <w:color w:val="111111"/>
          <w:sz w:val="28"/>
          <w:sz w:val="28"/>
          <w:szCs w:val="28"/>
          <w:rtl w:val="true"/>
          <w:lang w:bidi="ar-SA"/>
        </w:rPr>
        <w:t>و لا بالنجس و ان كان بعضه، للتقييد بالطيب، و اعتبار التغير بالنجاسة في التراب هوس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المغصوب، للنهي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بالرماد و ان كان رماد التراب، و المنسحقات الباقية أولى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بالمستعمل إجماعا، لبقاء اسمه، و لعدم رفعه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بالممسوح به أو المنفوض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المضروب عليه فلا استعمال فيه إجماعا، لأنّه كالإناء يغترف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تراب القبر ما لم تعلم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اختلاطه بالصديد اجتنب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اللّحم و العظم نظر، للطهارة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قول المبسوط ينبغي المنع</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 ان تكرّر نبشه، لأنّه عندنا طاهر</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الميت نجسا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فقد الصعيد يتيمّم بغبار ثوب أو لبد أو عرف، يتحرّى أكثرها غبارا فينفض ثم يتيمم عليه، و لو تلاشى بالنفض ضرب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فقده، بالوحل، لموثّق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من العوالي، لبعدها عن النجاسة، و لنهي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التيمّم من أثر الطريق</w:t>
      </w:r>
      <w:r>
        <w:rPr>
          <w:rStyle w:val="FootnoteAnchor"/>
          <w:rtl w:val="true"/>
        </w:rPr>
        <w:footnoteReference w:id="87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وضوء من موطإ</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7" w:name="__RefHeading___Toc4192017_2142443653"/>
      <w:bookmarkStart w:id="518" w:name="_Toc214"/>
      <w:bookmarkEnd w:id="517"/>
      <w:r>
        <w:rPr>
          <w:rtl w:val="true"/>
        </w:rPr>
        <w:t>فروع</w:t>
      </w:r>
      <w:r>
        <w:rPr>
          <w:rtl w:val="true"/>
        </w:rPr>
        <w:t>:</w:t>
      </w:r>
      <w:bookmarkEnd w:id="518"/>
    </w:p>
    <w:p>
      <w:pPr>
        <w:pStyle w:val="Heading6"/>
        <w:numPr>
          <w:ilvl w:val="5"/>
          <w:numId w:val="1"/>
        </w:numPr>
        <w:rPr/>
      </w:pPr>
      <w:bookmarkStart w:id="519" w:name="__RefHeading___Toc4192019_2142443653"/>
      <w:bookmarkStart w:id="520" w:name="_Toc215"/>
      <w:bookmarkEnd w:id="519"/>
      <w:r>
        <w:rPr>
          <w:rtl w:val="true"/>
        </w:rPr>
        <w:t xml:space="preserve">الأول يجب شراء التراب </w:t>
      </w:r>
      <w:r>
        <w:rPr>
          <w:rtl w:val="true"/>
        </w:rPr>
        <w:t xml:space="preserve">- </w:t>
      </w:r>
      <w:r>
        <w:rPr>
          <w:rtl w:val="true"/>
        </w:rPr>
        <w:t xml:space="preserve">كالماء </w:t>
      </w:r>
      <w:r>
        <w:rPr>
          <w:rtl w:val="true"/>
        </w:rPr>
        <w:t xml:space="preserve">- </w:t>
      </w:r>
      <w:r>
        <w:rPr>
          <w:rtl w:val="true"/>
        </w:rPr>
        <w:t>أو استئجاره</w:t>
      </w:r>
      <w:r>
        <w:rPr>
          <w:rtl w:val="true"/>
        </w:rPr>
        <w:t>.</w:t>
      </w:r>
      <w:bookmarkEnd w:id="52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بذل له وجب القبول، لعدم المنّة</w:t>
      </w:r>
      <w:r>
        <w:rPr>
          <w:rFonts w:eastAsia="Amiri" w:cs="Amiri" w:ascii="Amiri" w:hAnsi="Amiri"/>
          <w:color w:val="111111"/>
          <w:sz w:val="28"/>
          <w:szCs w:val="28"/>
          <w:rtl w:val="true"/>
          <w:lang w:bidi="ar-SA"/>
        </w:rPr>
        <w:t xml:space="preserve">. </w:t>
      </w:r>
      <w:bookmarkStart w:id="521" w:name="pg15253_219692"/>
    </w:p>
    <w:p>
      <w:pPr>
        <w:pStyle w:val="Heading6"/>
        <w:numPr>
          <w:ilvl w:val="5"/>
          <w:numId w:val="1"/>
        </w:numPr>
        <w:rPr/>
      </w:pPr>
      <w:bookmarkStart w:id="522" w:name="__RefHeading___Toc4192021_2142443653"/>
      <w:bookmarkStart w:id="523" w:name="_Toc216"/>
      <w:bookmarkEnd w:id="521"/>
      <w:bookmarkEnd w:id="522"/>
      <w:r>
        <w:rPr>
          <w:rtl w:val="true"/>
        </w:rPr>
        <w:t>الثاني</w:t>
      </w:r>
      <w:r>
        <w:rPr>
          <w:rtl w:val="true"/>
        </w:rPr>
        <w:t xml:space="preserve">: </w:t>
      </w:r>
      <w:r>
        <w:rPr>
          <w:rtl w:val="true"/>
        </w:rPr>
        <w:t>يجوز على جدار الغير و بأرضه،</w:t>
      </w:r>
      <w:bookmarkEnd w:id="523"/>
    </w:p>
    <w:p>
      <w:pPr>
        <w:pStyle w:val="BookText"/>
        <w:rPr/>
      </w:pPr>
      <w:r>
        <w:rPr>
          <w:rFonts w:ascii="Amiri" w:hAnsi="Amiri" w:eastAsia="Amiri" w:cs="Amiri"/>
          <w:color w:val="111111"/>
          <w:sz w:val="28"/>
          <w:sz w:val="28"/>
          <w:szCs w:val="28"/>
          <w:rtl w:val="true"/>
          <w:lang w:bidi="ar-SA"/>
        </w:rPr>
        <w:t>عملا بشاهد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ظنّ الكراهية أو صرّح بها امتنع، و لا يجب على الغير 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يجوز في المغصوب للغاصب، و امّا غيره فمنع الصلاة مشعر بمنعه</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4192023_2142443653"/>
      <w:bookmarkStart w:id="525" w:name="_Toc217"/>
      <w:bookmarkEnd w:id="524"/>
      <w:r>
        <w:rPr>
          <w:rtl w:val="true"/>
        </w:rPr>
        <w:t>الثالث</w:t>
      </w:r>
      <w:r>
        <w:rPr>
          <w:rtl w:val="true"/>
        </w:rPr>
        <w:t xml:space="preserve">: </w:t>
      </w:r>
      <w:r>
        <w:rPr>
          <w:rtl w:val="true"/>
        </w:rPr>
        <w:t>لو مزج بالصعيد ماء مضاف و غلب التراب،</w:t>
      </w:r>
      <w:bookmarkEnd w:id="525"/>
    </w:p>
    <w:p>
      <w:pPr>
        <w:pStyle w:val="BookText"/>
        <w:rPr/>
      </w:pPr>
      <w:r>
        <w:rPr>
          <w:rFonts w:ascii="Amiri" w:hAnsi="Amiri" w:eastAsia="Amiri" w:cs="Amiri"/>
          <w:color w:val="111111"/>
          <w:sz w:val="28"/>
          <w:sz w:val="28"/>
          <w:szCs w:val="28"/>
          <w:rtl w:val="true"/>
          <w:lang w:bidi="ar-SA"/>
        </w:rPr>
        <w:t>منع منه في المبسوط، لسلب اسم الأرض</w:t>
      </w:r>
      <w:r>
        <w:rPr>
          <w:rStyle w:val="FootnoteAnchor"/>
          <w:rtl w:val="true"/>
        </w:rPr>
        <w:footnoteReference w:id="881"/>
      </w:r>
      <w:r>
        <w:rPr>
          <w:rFonts w:ascii="Amiri" w:hAnsi="Amiri" w:eastAsia="Amiri" w:cs="Amiri"/>
          <w:color w:val="111111"/>
          <w:sz w:val="28"/>
          <w:sz w:val="28"/>
          <w:szCs w:val="28"/>
          <w:rtl w:val="true"/>
          <w:lang w:bidi="ar-SA"/>
        </w:rPr>
        <w:t>و يمكن كونه كالمبتّل بالمطلق</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4192025_2142443653"/>
      <w:bookmarkStart w:id="527" w:name="_Toc218"/>
      <w:bookmarkEnd w:id="526"/>
      <w:r>
        <w:rPr>
          <w:rtl w:val="true"/>
        </w:rPr>
        <w:t>الرابع</w:t>
      </w:r>
      <w:r>
        <w:rPr>
          <w:rtl w:val="true"/>
        </w:rPr>
        <w:t xml:space="preserve">: </w:t>
      </w:r>
      <w:r>
        <w:rPr>
          <w:rtl w:val="true"/>
        </w:rPr>
        <w:t>لو أمكن تجفيف الوحل وجب،</w:t>
      </w:r>
      <w:bookmarkEnd w:id="527"/>
    </w:p>
    <w:p>
      <w:pPr>
        <w:pStyle w:val="BookText"/>
        <w:rPr/>
      </w:pPr>
      <w:r>
        <w:rPr>
          <w:rFonts w:ascii="Amiri" w:hAnsi="Amiri" w:eastAsia="Amiri" w:cs="Amiri"/>
          <w:color w:val="111111"/>
          <w:sz w:val="28"/>
          <w:sz w:val="28"/>
          <w:szCs w:val="28"/>
          <w:rtl w:val="true"/>
          <w:lang w:bidi="ar-SA"/>
        </w:rPr>
        <w:t>و إلاّ ضرب عليه مع تعذّر ما مرّ، و يفركه و 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يجفّفه ثم يتيمّم مع سعة الوقت، و هو حق ان كان التجفيف قبل الضرب، و في خبر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بالطين</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 xml:space="preserve">و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من الطين</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 xml:space="preserve">و كذا في خبر رفاعة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8" w:name="__RefHeading___Toc4192027_2142443653"/>
      <w:bookmarkStart w:id="529" w:name="_Toc219"/>
      <w:bookmarkEnd w:id="528"/>
      <w:r>
        <w:rPr>
          <w:rtl w:val="true"/>
        </w:rPr>
        <w:t>الخامس</w:t>
      </w:r>
      <w:r>
        <w:rPr>
          <w:rtl w:val="true"/>
        </w:rPr>
        <w:t xml:space="preserve">: </w:t>
      </w:r>
      <w:r>
        <w:rPr>
          <w:rtl w:val="true"/>
        </w:rPr>
        <w:t>الترتيب بين الغبار و الوحل</w:t>
      </w:r>
      <w:bookmarkEnd w:id="529"/>
    </w:p>
    <w:p>
      <w:pPr>
        <w:pStyle w:val="BookText"/>
        <w:rPr/>
      </w:pPr>
      <w:r>
        <w:rPr>
          <w:rFonts w:ascii="Amiri" w:hAnsi="Amiri" w:eastAsia="Amiri" w:cs="Amiri"/>
          <w:color w:val="111111"/>
          <w:sz w:val="28"/>
          <w:sz w:val="28"/>
          <w:szCs w:val="28"/>
          <w:rtl w:val="true"/>
          <w:lang w:bidi="ar-SA"/>
        </w:rPr>
        <w:t>كما هو بين التراب و الغبار، فلو قدّم الوحل لم يجز، اما لو جفّفه فهو تراب</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4192029_2142443653"/>
      <w:bookmarkStart w:id="531" w:name="_Toc220"/>
      <w:bookmarkEnd w:id="530"/>
      <w:r>
        <w:rPr>
          <w:rtl w:val="true"/>
        </w:rPr>
        <w:t>السادس</w:t>
      </w:r>
      <w:r>
        <w:rPr>
          <w:rtl w:val="true"/>
        </w:rPr>
        <w:t xml:space="preserve">: </w:t>
      </w:r>
      <w:r>
        <w:rPr>
          <w:rtl w:val="true"/>
        </w:rPr>
        <w:t>ظاهر المرتضى و ابن الجنيد التيمّم بالثلج</w:t>
      </w:r>
      <w:bookmarkEnd w:id="531"/>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المرتضى و ابن الجنيد التيمّم بالثلج</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المفيد 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التراب عليه، فان فقد ادّهن به</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التذكرة العكس</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غسل و الا فالتراب</w:t>
      </w:r>
      <w:r>
        <w:rPr>
          <w:rStyle w:val="FootnoteAnchor"/>
          <w:rtl w:val="true"/>
        </w:rPr>
        <w:footnoteReference w:id="888"/>
      </w:r>
      <w:r>
        <w:rPr>
          <w:rFonts w:ascii="Amiri" w:hAnsi="Amiri" w:eastAsia="Amiri" w:cs="Amiri"/>
          <w:color w:val="111111"/>
          <w:sz w:val="28"/>
          <w:sz w:val="28"/>
          <w:szCs w:val="28"/>
          <w:rtl w:val="true"/>
          <w:lang w:bidi="ar-SA"/>
        </w:rPr>
        <w:t>و يظهر من المبسوط</w:t>
      </w:r>
      <w:r>
        <w:rPr>
          <w:rStyle w:val="FootnoteAnchor"/>
          <w:rtl w:val="true"/>
        </w:rPr>
        <w:footnoteReference w:id="889"/>
      </w:r>
      <w:r>
        <w:rPr>
          <w:rFonts w:ascii="Amiri" w:hAnsi="Amiri" w:eastAsia="Amiri" w:cs="Amiri"/>
          <w:color w:val="111111"/>
          <w:sz w:val="28"/>
          <w:sz w:val="28"/>
          <w:szCs w:val="28"/>
          <w:rtl w:val="true"/>
          <w:lang w:bidi="ar-SA"/>
        </w:rPr>
        <w:t xml:space="preserve">، و قد مر خبر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bookmarkStart w:id="532" w:name="pg15253_219694"/>
    </w:p>
    <w:p>
      <w:pPr>
        <w:pStyle w:val="Heading6"/>
        <w:numPr>
          <w:ilvl w:val="5"/>
          <w:numId w:val="1"/>
        </w:numPr>
        <w:rPr/>
      </w:pPr>
      <w:bookmarkStart w:id="533" w:name="__RefHeading___Toc4192031_2142443653"/>
      <w:bookmarkStart w:id="534" w:name="_Toc221"/>
      <w:bookmarkEnd w:id="532"/>
      <w:bookmarkEnd w:id="533"/>
      <w:r>
        <w:rPr>
          <w:rtl w:val="true"/>
        </w:rPr>
        <w:t>المطلب الثاني</w:t>
      </w:r>
      <w:r>
        <w:rPr>
          <w:rtl w:val="true"/>
        </w:rPr>
        <w:t xml:space="preserve">: </w:t>
      </w:r>
      <w:r>
        <w:rPr>
          <w:rtl w:val="true"/>
        </w:rPr>
        <w:t>في مسوّغة</w:t>
      </w:r>
      <w:r>
        <w:rPr>
          <w:rtl w:val="true"/>
        </w:rPr>
        <w:t>.</w:t>
      </w:r>
      <w:bookmarkEnd w:id="534"/>
    </w:p>
    <w:p>
      <w:pPr>
        <w:pStyle w:val="Heading6"/>
        <w:numPr>
          <w:ilvl w:val="5"/>
          <w:numId w:val="1"/>
        </w:numPr>
        <w:rPr/>
      </w:pPr>
      <w:bookmarkStart w:id="535" w:name="__RefHeading___Toc4192033_2142443653"/>
      <w:bookmarkStart w:id="536" w:name="_Toc222"/>
      <w:bookmarkEnd w:id="535"/>
      <w:r>
        <w:rPr>
          <w:rtl w:val="true"/>
        </w:rPr>
        <w:t>اشارة</w:t>
      </w:r>
      <w:bookmarkEnd w:id="536"/>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عن الماء، و له أسباب</w:t>
      </w:r>
      <w:r>
        <w:rPr>
          <w:rFonts w:eastAsia="IRNazanin" w:cs="IRNazanin"/>
          <w:color w:val="111111"/>
          <w:sz w:val="28"/>
          <w:szCs w:val="28"/>
          <w:rtl w:val="true"/>
          <w:lang w:bidi="fa-IR"/>
        </w:rPr>
        <w:t>:</w:t>
      </w:r>
    </w:p>
    <w:p>
      <w:pPr>
        <w:pStyle w:val="Heading6"/>
        <w:numPr>
          <w:ilvl w:val="5"/>
          <w:numId w:val="1"/>
        </w:numPr>
        <w:rPr/>
      </w:pPr>
      <w:bookmarkStart w:id="537" w:name="__RefHeading___Toc4192035_2142443653"/>
      <w:bookmarkStart w:id="538" w:name="_Toc223"/>
      <w:bookmarkEnd w:id="537"/>
      <w:r>
        <w:rPr>
          <w:rtl w:val="true"/>
        </w:rPr>
        <w:t>أحدها</w:t>
      </w:r>
      <w:r>
        <w:rPr>
          <w:rtl w:val="true"/>
        </w:rPr>
        <w:t xml:space="preserve">: </w:t>
      </w:r>
      <w:r>
        <w:rPr>
          <w:rtl w:val="true"/>
        </w:rPr>
        <w:t>عدم وجوده،</w:t>
      </w:r>
      <w:bookmarkEnd w:id="538"/>
    </w:p>
    <w:p>
      <w:pPr>
        <w:pStyle w:val="BookText"/>
        <w:rPr/>
      </w:pPr>
      <w:r>
        <w:rPr>
          <w:rFonts w:ascii="Amiri" w:hAnsi="Amiri" w:eastAsia="Amiri" w:cs="Amiri"/>
          <w:color w:val="111111"/>
          <w:sz w:val="28"/>
          <w:sz w:val="28"/>
          <w:szCs w:val="28"/>
          <w:rtl w:val="true"/>
          <w:lang w:bidi="ar-SA"/>
        </w:rPr>
        <w:t>للآية</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يتحقق بالطلب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رحله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في الحزنة، و سهمين في السّهلة، للخبر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أمامه، و يمينه و شماله</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في سائر جوانبه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حسن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يطلب ما دام في الوقت</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 و مال إليه في المعتبر، لوضوح السند و المعنى</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تطلب الماء يمينا، و لا شمالا، و لا في بئر</w:t>
      </w:r>
      <w:r>
        <w:rPr>
          <w:rFonts w:eastAsia="Amiri" w:cs="Amiri" w:ascii="Amiri" w:hAnsi="Amiri"/>
          <w:color w:val="111111"/>
          <w:sz w:val="28"/>
          <w:szCs w:val="28"/>
          <w:rtl w:val="true"/>
          <w:lang w:bidi="ar-SA"/>
        </w:rPr>
        <w:t>»</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الشيخ على الخوف</w:t>
      </w:r>
      <w:r>
        <w:rPr>
          <w:rStyle w:val="FootnoteAnchor"/>
          <w:rtl w:val="true"/>
        </w:rPr>
        <w:footnoteReference w:id="898"/>
      </w:r>
      <w:r>
        <w:rPr>
          <w:rFonts w:ascii="Amiri" w:hAnsi="Amiri" w:eastAsia="Amiri" w:cs="Amiri"/>
          <w:color w:val="111111"/>
          <w:sz w:val="28"/>
          <w:sz w:val="28"/>
          <w:szCs w:val="28"/>
          <w:rtl w:val="true"/>
          <w:lang w:bidi="ar-SA"/>
        </w:rPr>
        <w:t xml:space="preserve">، و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الحمل، و لكن ضعّفها بعلي بن أسباط</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تيقّن عدمه سقط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يجزئ قبل الوقت ان انتقل الى مكان آخر، و إلاّ أجزأ ان علم عدم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وجوده في مكان أبعد من المقدّر وجب مع الإمكان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تيمّم قبل الطلب و صلّى بطلا عند الشيخ</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بتحتّم التيمّم عند ضيق الوقت، و الأمر به المقتضي للإجزاء، و كذا من وهب الماء أو أراقه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وجد الماء في محل الطلب قوي قوله، للخبر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نسي الماء أجزأ عند المرتضى</w:t>
      </w:r>
      <w:r>
        <w:rPr>
          <w:rStyle w:val="FootnoteAnchor"/>
          <w:rtl w:val="true"/>
        </w:rPr>
        <w:footnoteReference w:id="902"/>
      </w:r>
      <w:r>
        <w:rPr>
          <w:rFonts w:ascii="IRNazanin" w:hAnsi="IRNazanin" w:eastAsia="IRNazanin"/>
          <w:color w:val="111111"/>
          <w:sz w:val="28"/>
          <w:sz w:val="28"/>
          <w:szCs w:val="28"/>
          <w:rtl w:val="true"/>
          <w:lang w:bidi="fa-IR"/>
        </w:rPr>
        <w:t xml:space="preserve">،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ان لم يطلب</w:t>
      </w:r>
      <w:r>
        <w:rPr>
          <w:rStyle w:val="FootnoteAnchor"/>
          <w:rtl w:val="true"/>
        </w:rPr>
        <w:footnoteReference w:id="904"/>
      </w:r>
      <w:r>
        <w:rPr>
          <w:rFonts w:ascii="IRNazanin" w:hAnsi="IRNazanin" w:eastAsia="IRNazanin"/>
          <w:color w:val="111111"/>
          <w:sz w:val="28"/>
          <w:sz w:val="28"/>
          <w:szCs w:val="28"/>
          <w:rtl w:val="true"/>
          <w:lang w:bidi="fa-IR"/>
        </w:rPr>
        <w:t>لهذا الخبر</w:t>
      </w:r>
      <w:r>
        <w:rPr>
          <w:rStyle w:val="FootnoteAnchor"/>
          <w:rtl w:val="true"/>
        </w:rPr>
        <w:footnoteReference w:id="905"/>
      </w:r>
      <w:r>
        <w:rPr>
          <w:rFonts w:ascii="Amiri" w:hAnsi="Amiri" w:eastAsia="Amiri" w:cs="Amiri"/>
          <w:color w:val="111111"/>
          <w:sz w:val="28"/>
          <w:sz w:val="28"/>
          <w:szCs w:val="28"/>
          <w:rtl w:val="true"/>
          <w:lang w:bidi="ar-SA"/>
        </w:rPr>
        <w:t>و ضعّف بعثمان بن عيسى، و كذا لو كان بقربه ماء 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الشيخ أقرب، للتفريط، و الشهرة تدفع 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الطلب مرّة في صلوات، إذا ظنّ الفقد بالأول مع اتحاد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ظهر ركب في أثناء الطلب سأل كلا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تجوز النيابة في الطلب، و يحتسب لهما، لحصول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يشترط السفر، لظاهر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الصعيد الطيب طهور المسلم ان لم يجد الماء الى عشر سنين</w:t>
      </w:r>
      <w:r>
        <w:rPr>
          <w:rFonts w:eastAsia="Amiri" w:cs="Amiri" w:ascii="Amiri" w:hAnsi="Amiri"/>
          <w:color w:val="111111"/>
          <w:sz w:val="28"/>
          <w:szCs w:val="28"/>
          <w:rtl w:val="true"/>
          <w:lang w:bidi="ar-SA"/>
        </w:rPr>
        <w:t>»</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السفر في الآية للأغلب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يعيد الحاضر، خلافا للمرتضى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للامتثال، و لإطلاق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أجزأته صلاته</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بين الأسفار، للعموم و لو كان معصية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39" w:name="pg15253_219696"/>
    </w:p>
    <w:p>
      <w:pPr>
        <w:pStyle w:val="BookText"/>
        <w:rPr/>
      </w:pPr>
      <w:bookmarkEnd w:id="539"/>
      <w:r>
        <w:rPr>
          <w:rFonts w:ascii="Amiri" w:hAnsi="Amiri" w:eastAsia="Amiri" w:cs="Amiri"/>
          <w:color w:val="111111"/>
          <w:sz w:val="28"/>
          <w:sz w:val="28"/>
          <w:szCs w:val="28"/>
          <w:rtl w:val="true"/>
          <w:lang w:bidi="ar-SA"/>
        </w:rPr>
        <w:t xml:space="preserve">و لو أفضى الطلب، أو تحصيل الماء، الى فوات 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الحطّاب، و الصائد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التيمم، دفعا للضرر</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لقدرته على الماء</w:t>
      </w:r>
      <w:r>
        <w:rPr>
          <w:rFonts w:eastAsia="IRNazanin" w:cs="IRNazanin"/>
          <w:color w:val="111111"/>
          <w:sz w:val="28"/>
          <w:szCs w:val="28"/>
          <w:rtl w:val="true"/>
          <w:lang w:bidi="fa-IR"/>
        </w:rPr>
        <w:t>.</w:t>
      </w:r>
    </w:p>
    <w:p>
      <w:pPr>
        <w:pStyle w:val="Heading6"/>
        <w:numPr>
          <w:ilvl w:val="5"/>
          <w:numId w:val="1"/>
        </w:numPr>
        <w:rPr/>
      </w:pPr>
      <w:bookmarkStart w:id="540" w:name="__RefHeading___Toc4192037_2142443653"/>
      <w:bookmarkStart w:id="541" w:name="_Toc224"/>
      <w:bookmarkEnd w:id="540"/>
      <w:r>
        <w:rPr>
          <w:rtl w:val="true"/>
        </w:rPr>
        <w:t>و ثانيها</w:t>
      </w:r>
      <w:r>
        <w:rPr>
          <w:rtl w:val="true"/>
        </w:rPr>
        <w:t xml:space="preserve">: </w:t>
      </w:r>
      <w:r>
        <w:rPr>
          <w:rtl w:val="true"/>
        </w:rPr>
        <w:t>عدم وصلته، لفقد ثمنه</w:t>
      </w:r>
      <w:r>
        <w:rPr>
          <w:rtl w:val="true"/>
        </w:rPr>
        <w:t>.</w:t>
      </w:r>
      <w:bookmarkEnd w:id="541"/>
    </w:p>
    <w:p>
      <w:pPr>
        <w:pStyle w:val="BookText"/>
        <w:rPr/>
      </w:pPr>
      <w:r>
        <w:rPr>
          <w:rFonts w:ascii="Amiri" w:hAnsi="Amiri" w:eastAsia="Amiri" w:cs="Amiri"/>
          <w:color w:val="111111"/>
          <w:sz w:val="28"/>
          <w:sz w:val="28"/>
          <w:szCs w:val="28"/>
          <w:rtl w:val="true"/>
          <w:lang w:bidi="ar-SA"/>
        </w:rPr>
        <w:t xml:space="preserve">و لو وجد وجب و ان زاد عن ثمن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الضرر، و قد بلغ صفوان في سؤال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درهم فحكم بالشراء</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الضرر الحالي أو المتوقّع، في زمان لا يتجدّد فيه مال عادة، أما معه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أجحف بماله، للحرج، و لسوغ التيمّم عند خوف لصّ يجحف بماله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فرّق بينهما بالعوض و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خيال ضعيف، لأنّه إذا ترك المال لابتغاء الماء دخل في حيّز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 ثمن المثل بحسب المكان و الزمان، لا اجرة تحصيل الماء، لأنّه متقوّم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بيع بأجل وجب مع القدرة و عدم الإجحاف، و لا يقهر صاحبه و ان فضل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بذل وجب قبوله، لعدم المنّة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بذل ثمنه لم يجب، خلافا للشيخ</w:t>
      </w:r>
      <w:r>
        <w:rPr>
          <w:rStyle w:val="FootnoteAnchor"/>
          <w:rtl w:val="true"/>
        </w:rPr>
        <w:footnoteReference w:id="910"/>
      </w:r>
      <w:r>
        <w:rPr>
          <w:rFonts w:ascii="Amiri" w:hAnsi="Amiri" w:eastAsia="Amiri" w:cs="Amiri"/>
          <w:color w:val="111111"/>
          <w:sz w:val="28"/>
          <w:sz w:val="28"/>
          <w:szCs w:val="28"/>
          <w:rtl w:val="true"/>
          <w:lang w:bidi="ar-SA"/>
        </w:rPr>
        <w:t>، و كذا خصال الكفارة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عادم الآلة يتيمّم، فلو أعيرها وجب بخلاف هبتها، و يجيء على قول الشيخ الوجوب</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شراء الآلة كالماء للمتمكن أو استئجارها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القادر على إنزال عمامة و نحوها واجد، و لا عبرة بنقصها و ان كثر، ما لم يضرّ به في الحال أو بعده، قاله في التذكرة</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bookmarkStart w:id="542" w:name="pg15253_219697"/>
    </w:p>
    <w:p>
      <w:pPr>
        <w:pStyle w:val="BookText"/>
        <w:rPr/>
      </w:pPr>
      <w:bookmarkEnd w:id="542"/>
      <w:r>
        <w:rPr>
          <w:rFonts w:ascii="Amiri" w:hAnsi="Amiri" w:eastAsia="Amiri" w:cs="Amiri"/>
          <w:color w:val="111111"/>
          <w:sz w:val="28"/>
          <w:sz w:val="28"/>
          <w:szCs w:val="28"/>
          <w:rtl w:val="true"/>
          <w:lang w:bidi="ar-SA"/>
        </w:rPr>
        <w:t xml:space="preserve">و قد مرّ خائف العطش، 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يهريق منه قطرة و يتيمم</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مزاحمة النجاسة، و لو أمكن استقباله الماء تطهّر و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مزاحمة في غير المحترم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كالمرتدّ عن فطرة، و الحربي، و الكلب العقور، و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يجوز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 كالزاني المحصن و الموقب، أو لا، كالحية، و الهرة الضارية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وجود ما يكفي بعض الأعضاء كعدمه، للآية، فلا يستعمله و يتيمّم، لعدم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ينبّه عليه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المجنب معه ما يكفي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المبسوط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المتضرّر بعض أعضائه يحتاط بغسل الصحيح و التيمم</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يتيمم عن نجاسة البدن، إجماعا، لعدم زوال النجاسة عن المحل، و كون الصعيد طهورا مختص بالبدل من الوضوء و الغسل، و لعدم العموم فيه</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4192039_2142443653"/>
      <w:bookmarkStart w:id="544" w:name="_Toc225"/>
      <w:bookmarkEnd w:id="543"/>
      <w:r>
        <w:rPr>
          <w:rtl w:val="true"/>
        </w:rPr>
        <w:t>و ثالثها</w:t>
      </w:r>
      <w:r>
        <w:rPr>
          <w:rtl w:val="true"/>
        </w:rPr>
        <w:t xml:space="preserve">: </w:t>
      </w:r>
      <w:r>
        <w:rPr>
          <w:rtl w:val="true"/>
        </w:rPr>
        <w:t>الخوف على نفسه أو ماله من استعماله،</w:t>
      </w:r>
      <w:bookmarkEnd w:id="544"/>
    </w:p>
    <w:p>
      <w:pPr>
        <w:pStyle w:val="Heading6"/>
        <w:numPr>
          <w:ilvl w:val="5"/>
          <w:numId w:val="1"/>
        </w:numPr>
        <w:rPr/>
      </w:pPr>
      <w:bookmarkStart w:id="545" w:name="__RefHeading___Toc4192041_2142443653"/>
      <w:bookmarkStart w:id="546" w:name="_Toc226"/>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لقول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آمره أن يغرر بنفسه فيعرض له لصّ أو سبع</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الخوف من وقوع الفاحشة يسوّغ للرجل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مجرد الجبن نظر، أقربه الجواز،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خائف التلف باستعماله، لقوله تعالى وَ لا تَقْتُلُوا أَنْفُسَكُمْ </w:t>
      </w:r>
      <w:r>
        <w:rPr>
          <w:rStyle w:val="FootnoteAnchor"/>
          <w:rtl w:val="true"/>
        </w:rPr>
        <w:footnoteReference w:id="917"/>
      </w:r>
      <w:r>
        <w:rPr>
          <w:rFonts w:ascii="Amiri" w:hAnsi="Amiri" w:eastAsia="Amiri" w:cs="Amiri"/>
          <w:color w:val="111111"/>
          <w:sz w:val="28"/>
          <w:sz w:val="28"/>
          <w:szCs w:val="28"/>
          <w:rtl w:val="true"/>
          <w:lang w:bidi="ar-SA"/>
        </w:rPr>
        <w:t xml:space="preserve">، وَ لا تُلْقُوا بِأَيْدِيكُمْ إِلَى اَلتَّهْلُكَةِ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الجنب به القروح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يغتسل</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تمكّن من إسخان الماء وجب و لو بعوض مقدور، و كذا خائف تلف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الضرر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كصداع، أو وجع 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مانع، قاله الفاضلان، لأنّه واجد الماء</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بالعسر و الحرج، و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مع تجويزهما التيمم للشين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طول المرض مسوّغ و عسر برئه، اما الألم الحالي فلا، و عليه يحمل الخبر باغتسال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باردة و هو شديد الوجع</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المجنب عمدا 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على ما كان</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و لم يقيّد فيه بتعمّد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فأوجب المفيد على المتعمّد الغسل و ان خاف على نفسه</w:t>
      </w:r>
      <w:r>
        <w:rPr>
          <w:rStyle w:val="FootnoteAnchor"/>
          <w:rtl w:val="true"/>
        </w:rPr>
        <w:footnoteReference w:id="925"/>
      </w:r>
      <w:r>
        <w:rPr>
          <w:rFonts w:ascii="Amiri" w:hAnsi="Amiri" w:eastAsia="Amiri" w:cs="Amiri"/>
          <w:color w:val="111111"/>
          <w:sz w:val="28"/>
          <w:sz w:val="28"/>
          <w:szCs w:val="28"/>
          <w:rtl w:val="true"/>
          <w:lang w:bidi="ar-SA"/>
        </w:rPr>
        <w:t>و هو ظاهر كلام ابن الجنيد</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التلف تيمّم و صلّى و أعاد</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الأدلة السابقة تدفعهما، مع ضعف سند الأول، و حمل الثاني على الألم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المجرّد، مع المعارضة 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الجنب فاقد الطهور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فليمسح من الأرض و ليصلّ</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 xml:space="preserve">و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المجنب يتيمم و يصلي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يعلم عدم إعادة المتيمم لزحام الجمعة و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و طريقه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ذو ثوب نجس إذا تيمم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Style w:val="FootnoteAnchor"/>
          <w:rtl w:val="true"/>
        </w:rPr>
        <w:footnoteReference w:id="931"/>
      </w:r>
      <w:r>
        <w:rPr>
          <w:rFonts w:ascii="Amiri" w:hAnsi="Amiri" w:eastAsia="Amiri" w:cs="Amiri"/>
          <w:color w:val="111111"/>
          <w:sz w:val="28"/>
          <w:sz w:val="28"/>
          <w:szCs w:val="28"/>
          <w:rtl w:val="true"/>
          <w:lang w:bidi="ar-SA"/>
        </w:rPr>
        <w:t>و طريقه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547" w:name="pg15253_219700"/>
    </w:p>
    <w:p>
      <w:pPr>
        <w:pStyle w:val="Heading6"/>
        <w:numPr>
          <w:ilvl w:val="5"/>
          <w:numId w:val="1"/>
        </w:numPr>
        <w:rPr/>
      </w:pPr>
      <w:bookmarkStart w:id="548" w:name="__RefHeading___Toc4192043_2142443653"/>
      <w:bookmarkStart w:id="549" w:name="_Toc227"/>
      <w:bookmarkEnd w:id="547"/>
      <w:bookmarkEnd w:id="548"/>
      <w:r>
        <w:rPr>
          <w:rtl w:val="true"/>
        </w:rPr>
        <w:t>مسائل أربع</w:t>
      </w:r>
      <w:r>
        <w:rPr>
          <w:rtl w:val="true"/>
        </w:rPr>
        <w:t>:</w:t>
      </w:r>
      <w:bookmarkEnd w:id="549"/>
    </w:p>
    <w:p>
      <w:pPr>
        <w:pStyle w:val="Heading6"/>
        <w:numPr>
          <w:ilvl w:val="5"/>
          <w:numId w:val="1"/>
        </w:numPr>
        <w:rPr/>
      </w:pPr>
      <w:bookmarkStart w:id="550" w:name="__RefHeading___Toc4192045_2142443653"/>
      <w:bookmarkStart w:id="551" w:name="_Toc228"/>
      <w:bookmarkEnd w:id="550"/>
      <w:r>
        <w:rPr>
          <w:rtl w:val="true"/>
        </w:rPr>
        <w:t>المسألة الأولى</w:t>
      </w:r>
      <w:r>
        <w:rPr>
          <w:rtl w:val="true"/>
        </w:rPr>
        <w:t xml:space="preserve">: </w:t>
      </w:r>
      <w:r>
        <w:rPr>
          <w:rtl w:val="true"/>
        </w:rPr>
        <w:t>الجنب أولى من الميت و المحدث بالماء،</w:t>
      </w:r>
      <w:bookmarkEnd w:id="551"/>
    </w:p>
    <w:p>
      <w:pPr>
        <w:pStyle w:val="BookText"/>
        <w:rPr/>
      </w:pPr>
      <w:r>
        <w:rPr>
          <w:rFonts w:ascii="Amiri" w:hAnsi="Amiri" w:eastAsia="Amiri" w:cs="Amiri"/>
          <w:color w:val="111111"/>
          <w:sz w:val="28"/>
          <w:sz w:val="28"/>
          <w:szCs w:val="28"/>
          <w:rtl w:val="true"/>
          <w:lang w:bidi="ar-SA"/>
        </w:rPr>
        <w:t xml:space="preserve">للصحيح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إشارة إلى عدم طهورية المستعمل و إلاّ لأمر بجمعه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المبسوط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مع الإباحة، و مع ملك أحدهم هو أولى</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المباح يستعمله الحيّان ثم يغسلانه مع ضيق الوقت، و إلاّ فالميت أولى</w:t>
      </w:r>
      <w:r>
        <w:rPr>
          <w:rStyle w:val="FootnoteAnchor"/>
          <w:rtl w:val="true"/>
        </w:rPr>
        <w:footnoteReference w:id="934"/>
      </w:r>
      <w:r>
        <w:rPr>
          <w:rFonts w:ascii="IRNazanin" w:hAnsi="IRNazanin" w:eastAsia="IRNazanin"/>
          <w:color w:val="111111"/>
          <w:sz w:val="28"/>
          <w:sz w:val="28"/>
          <w:szCs w:val="28"/>
          <w:rtl w:val="true"/>
          <w:lang w:bidi="fa-IR"/>
        </w:rPr>
        <w:t>و هو إطراح للخبر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أولى، لخبر محمد بن علي عن بعض أصحابنا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35"/>
      </w:r>
      <w:r>
        <w:rPr>
          <w:rFonts w:ascii="IRNazanin" w:hAnsi="IRNazanin" w:eastAsia="IRNazanin"/>
          <w:color w:val="111111"/>
          <w:sz w:val="28"/>
          <w:sz w:val="28"/>
          <w:szCs w:val="28"/>
          <w:rtl w:val="true"/>
          <w:lang w:bidi="fa-IR"/>
        </w:rPr>
        <w:t>و هو مقطوع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الأولوية مستحبة في المباح، و مستحقة في البذل للأحوج، أو الأولى بوصيّة 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عللت الأولوية بتعبّد الجنب بخلاف الميت، و بأنّ للجنب غايتين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استباحة الصلاة، و طهارة بدنه، و للميت الثانية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 إمكان استدراك الجنب دون الميت، لأن طهارة الميت نظافية و هي تحصل بالتيمم، و العكس في هذه العلّة أحقّ</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سبق أحدهم إلى المباح اختص، و لو استووا اشتركوا</w:t>
      </w:r>
      <w:r>
        <w:rPr>
          <w:rFonts w:eastAsia="Amiri" w:cs="Amiri" w:ascii="Amiri" w:hAnsi="Amiri"/>
          <w:color w:val="111111"/>
          <w:sz w:val="28"/>
          <w:szCs w:val="28"/>
          <w:rtl w:val="true"/>
          <w:lang w:bidi="ar-SA"/>
        </w:rPr>
        <w:t xml:space="preserve">. </w:t>
      </w:r>
      <w:bookmarkStart w:id="552" w:name="pg15253_219701"/>
    </w:p>
    <w:p>
      <w:pPr>
        <w:pStyle w:val="BookText"/>
        <w:rPr/>
      </w:pPr>
      <w:bookmarkEnd w:id="552"/>
      <w:r>
        <w:rPr>
          <w:rFonts w:ascii="Amiri" w:hAnsi="Amiri" w:eastAsia="Amiri" w:cs="Amiri"/>
          <w:color w:val="111111"/>
          <w:sz w:val="28"/>
          <w:sz w:val="28"/>
          <w:szCs w:val="28"/>
          <w:rtl w:val="true"/>
          <w:lang w:bidi="ar-SA"/>
        </w:rPr>
        <w:t>و لو تغلّب أحدهم أثم و ملك، قاله في المعتبر، لسبقه حينئذ</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بإزالة أولويّة غيره بنصيبه، و هي في معنى الملك، و هذا مطرد في كلّ أولويّة، كالتحجير و التحشيش و دخول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أولى من الحائض و قسيميها و من ماسّ الميت، و الشيخ على التخيير</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بتوقف وطء الزوج على الغسل، أمكن أولويتها على الجنب، لقضائها حق اللّه تعالى و حق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مزيل النجاسة أولى من الجميع، لأنّه لا بدل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العطشان أولى مطلقا،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تقديم الأشد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لزيادة عطشه، أو لضعفه بصغر أو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من ظهور رجحان سببه، و اشتراكهم في المبيح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الترجيح بالخصال الدينية في الجميع، و المعصوم أولى مطلقا</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4192047_2142443653"/>
      <w:bookmarkStart w:id="554" w:name="_Toc229"/>
      <w:bookmarkEnd w:id="553"/>
      <w:r>
        <w:rPr>
          <w:rtl w:val="true"/>
        </w:rPr>
        <w:t>المسألة الثانية</w:t>
      </w:r>
      <w:r>
        <w:rPr>
          <w:rtl w:val="true"/>
        </w:rPr>
        <w:t xml:space="preserve">: </w:t>
      </w:r>
      <w:r>
        <w:rPr>
          <w:rtl w:val="true"/>
        </w:rPr>
        <w:t>لا يجوز للمكلّف بالطهارة بماء بذله لغيره،</w:t>
      </w:r>
      <w:bookmarkEnd w:id="554"/>
    </w:p>
    <w:p>
      <w:pPr>
        <w:pStyle w:val="BookText"/>
        <w:rPr/>
      </w:pPr>
      <w:r>
        <w:rPr>
          <w:rFonts w:ascii="Amiri" w:hAnsi="Amiri" w:eastAsia="Amiri" w:cs="Amiri"/>
          <w:color w:val="111111"/>
          <w:sz w:val="28"/>
          <w:sz w:val="28"/>
          <w:szCs w:val="28"/>
          <w:rtl w:val="true"/>
          <w:lang w:bidi="ar-SA"/>
        </w:rPr>
        <w:t xml:space="preserve">لوجوب صرفه في طهارته، و التيمم مشروط بتعذّر الماء، و نبّه عليه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 ليس معهم إلاّ ما يكفي الجنب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يتوضّئون، و يتيمّم الجنب</w:t>
      </w:r>
      <w:r>
        <w:rPr>
          <w:rFonts w:eastAsia="Amiri" w:cs="Amiri" w:ascii="Amiri" w:hAnsi="Amiri"/>
          <w:color w:val="111111"/>
          <w:sz w:val="28"/>
          <w:szCs w:val="28"/>
          <w:rtl w:val="true"/>
          <w:lang w:bidi="ar-SA"/>
        </w:rPr>
        <w:t>»</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في المعتبر</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فيه تصريح باختصاصهم بملكه، و لعلهم مشتركون و لكن الجنب لا يكتفي بنصيبه</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4192049_2142443653"/>
      <w:bookmarkStart w:id="556" w:name="_Toc230"/>
      <w:bookmarkEnd w:id="555"/>
      <w:r>
        <w:rPr>
          <w:rtl w:val="true"/>
        </w:rPr>
        <w:t>المسألة الثالثة</w:t>
      </w:r>
      <w:r>
        <w:rPr>
          <w:rtl w:val="true"/>
        </w:rPr>
        <w:t xml:space="preserve">: </w:t>
      </w:r>
      <w:r>
        <w:rPr>
          <w:rtl w:val="true"/>
        </w:rPr>
        <w:t>فاقد الطهورين يؤخر الصلاة،</w:t>
      </w:r>
      <w:bookmarkEnd w:id="556"/>
    </w:p>
    <w:p>
      <w:pPr>
        <w:pStyle w:val="BookText"/>
        <w:rPr/>
      </w:pP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نمنع عدم إنكاره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المصلّين </w:t>
      </w:r>
      <w:bookmarkStart w:id="557" w:name="pg15253_219702"/>
    </w:p>
    <w:p>
      <w:pPr>
        <w:pStyle w:val="BookText"/>
        <w:rPr/>
      </w:pPr>
      <w:bookmarkEnd w:id="557"/>
      <w:r>
        <w:rPr>
          <w:rFonts w:ascii="Amiri" w:hAnsi="Amiri" w:eastAsia="Amiri" w:cs="Amiri"/>
          <w:color w:val="111111"/>
          <w:sz w:val="28"/>
          <w:sz w:val="28"/>
          <w:szCs w:val="28"/>
          <w:rtl w:val="true"/>
          <w:lang w:bidi="ar-SA"/>
        </w:rPr>
        <w:t>بغير وضوء</w:t>
      </w:r>
      <w:r>
        <w:rPr>
          <w:rStyle w:val="FootnoteAnchor"/>
          <w:rtl w:val="true"/>
        </w:rPr>
        <w:footnoteReference w:id="941"/>
      </w:r>
      <w:r>
        <w:rPr>
          <w:rFonts w:ascii="Amiri" w:hAnsi="Amiri" w:eastAsia="Amiri" w:cs="Amiri"/>
          <w:color w:val="111111"/>
          <w:sz w:val="28"/>
          <w:sz w:val="28"/>
          <w:szCs w:val="28"/>
          <w:rtl w:val="true"/>
          <w:lang w:bidi="ar-SA"/>
        </w:rPr>
        <w:t>مع إمكان كونه منسوخا، أو لأنّه لا إثم عليهم لعدم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لعموم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صلاة فريضة فليقضها</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للمفيد قول بسقوطه، بناء على تبعيّة القضاء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بتبعيته سبب وجوب الأداء، و هو الوقت</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4192051_2142443653"/>
      <w:bookmarkStart w:id="559" w:name="_Toc231"/>
      <w:bookmarkEnd w:id="558"/>
      <w:r>
        <w:rPr>
          <w:rtl w:val="true"/>
        </w:rPr>
        <w:t>المسألة الرابعة</w:t>
      </w:r>
      <w:r>
        <w:rPr>
          <w:rtl w:val="true"/>
        </w:rPr>
        <w:t xml:space="preserve">: </w:t>
      </w:r>
      <w:r>
        <w:rPr>
          <w:rtl w:val="true"/>
        </w:rPr>
        <w:t>لو وجد من عليه غسل و وضوء ما يكفي أحدهما،</w:t>
      </w:r>
      <w:bookmarkEnd w:id="55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فعله و تيمّم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يتخيّر في التقديم، لأنّهما فرضان مستقلان، فان كفى الغسل فهو أولى من الوضوء لكماله</w:t>
      </w:r>
      <w:r>
        <w:rPr>
          <w:rFonts w:eastAsia="Amiri" w:cs="Amiri" w:ascii="Amiri" w:hAnsi="Amiri"/>
          <w:color w:val="111111"/>
          <w:sz w:val="28"/>
          <w:szCs w:val="28"/>
          <w:rtl w:val="true"/>
          <w:lang w:bidi="ar-SA"/>
        </w:rPr>
        <w:t xml:space="preserve">. </w:t>
      </w:r>
      <w:bookmarkStart w:id="560" w:name="pg15253_219703"/>
    </w:p>
    <w:p>
      <w:pPr>
        <w:pStyle w:val="Heading6"/>
        <w:numPr>
          <w:ilvl w:val="5"/>
          <w:numId w:val="1"/>
        </w:numPr>
        <w:rPr/>
      </w:pPr>
      <w:bookmarkStart w:id="561" w:name="__RefHeading___Toc4192053_2142443653"/>
      <w:bookmarkStart w:id="562" w:name="_Toc232"/>
      <w:bookmarkEnd w:id="560"/>
      <w:bookmarkEnd w:id="561"/>
      <w:r>
        <w:rPr>
          <w:rtl w:val="true"/>
        </w:rPr>
        <w:t>الفصل الثالث</w:t>
      </w:r>
      <w:r>
        <w:rPr>
          <w:rtl w:val="true"/>
        </w:rPr>
        <w:t xml:space="preserve">: </w:t>
      </w:r>
      <w:r>
        <w:rPr>
          <w:rtl w:val="true"/>
        </w:rPr>
        <w:t>المستعمل له</w:t>
      </w:r>
      <w:bookmarkEnd w:id="56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63" w:name="__RefHeading___Toc4192055_2142443653"/>
      <w:bookmarkStart w:id="564" w:name="_Toc233"/>
      <w:bookmarkEnd w:id="563"/>
      <w:r>
        <w:rPr>
          <w:rtl w:val="true"/>
        </w:rPr>
        <w:t>اشارة</w:t>
      </w:r>
      <w:bookmarkEnd w:id="56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5" w:name="pg15253_219705"/>
      <w:bookmarkStart w:id="566" w:name="pg15253_219705"/>
      <w:bookmarkEnd w:id="566"/>
    </w:p>
    <w:p>
      <w:pPr>
        <w:pStyle w:val="BookText"/>
        <w:rPr/>
      </w:pPr>
      <w:bookmarkStart w:id="567" w:name="pg15253_219705"/>
      <w:bookmarkEnd w:id="567"/>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المستعمل له و منه، و فيه مطلبان</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4192057_2142443653"/>
      <w:bookmarkStart w:id="569" w:name="_Toc234"/>
      <w:bookmarkEnd w:id="568"/>
      <w:r>
        <w:rPr>
          <w:rtl w:val="true"/>
        </w:rPr>
        <w:t>المطلب الأول في الوضوء و الغسل</w:t>
      </w:r>
      <w:bookmarkEnd w:id="569"/>
    </w:p>
    <w:p>
      <w:pPr>
        <w:pStyle w:val="Heading6"/>
        <w:numPr>
          <w:ilvl w:val="5"/>
          <w:numId w:val="1"/>
        </w:numPr>
        <w:rPr/>
      </w:pPr>
      <w:bookmarkStart w:id="570" w:name="__RefHeading___Toc4192059_2142443653"/>
      <w:bookmarkStart w:id="571" w:name="_Toc235"/>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 xml:space="preserve">يجب الوضوء للصلاة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و الخبر 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الطواف الواجب كذلك، و لمسّ كتابة القرآن ان وجب بنذر و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للآية</w:t>
      </w:r>
      <w:r>
        <w:rPr>
          <w:rStyle w:val="FootnoteAnchor"/>
          <w:rtl w:val="true"/>
        </w:rPr>
        <w:footnoteReference w:id="943"/>
      </w:r>
      <w:r>
        <w:rPr>
          <w:rFonts w:ascii="Amiri" w:hAnsi="Amiri" w:eastAsia="Amiri" w:cs="Amiri"/>
          <w:color w:val="111111"/>
          <w:sz w:val="28"/>
          <w:sz w:val="28"/>
          <w:szCs w:val="28"/>
          <w:rtl w:val="true"/>
          <w:lang w:bidi="ar-SA"/>
        </w:rPr>
        <w:t xml:space="preserve">، و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 الكتاب</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المبسوط 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المسّ‌</w:t>
      </w:r>
      <w:r>
        <w:rPr>
          <w:rStyle w:val="FootnoteAnchor"/>
          <w:rtl w:val="true"/>
        </w:rPr>
        <w:footnoteReference w:id="945"/>
      </w:r>
      <w:r>
        <w:rPr>
          <w:rFonts w:ascii="Amiri" w:hAnsi="Amiri" w:eastAsia="Amiri" w:cs="Amiri"/>
          <w:color w:val="111111"/>
          <w:sz w:val="28"/>
          <w:sz w:val="28"/>
          <w:szCs w:val="28"/>
          <w:rtl w:val="true"/>
          <w:lang w:bidi="ar-SA"/>
        </w:rPr>
        <w:t>، للأصل، و لعدم منع السلف الصبيان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ألحق أبو الصلاح مسّ اسم اللّه تعالى</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لندبي الصلاة و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في الصلاة، و الكماليّة في الطواف على الأصح، 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لطلب الحاجة، و حمل المصحف للتعظيم، و لأفعال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الطواف 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لصلاة الجنازة، و زيارة قبور المؤمنين، و تلاوة القرآن، و نوم الجنب، و جماع المحتلم، و جماع غاسل الميت و لمّا يغتسل، و لمريد غسل الميت و هو جنب، و ذكر الحائض، و التأهب للفرض قبل وقته، و التجديد، و الكون على طهارة، كل ذلك للنص</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الغسل يجب لما وجب له الوضوء، و لدخول المساجد، للآية</w:t>
      </w:r>
      <w:r>
        <w:rPr>
          <w:rStyle w:val="FootnoteAnchor"/>
          <w:rtl w:val="true"/>
        </w:rPr>
        <w:footnoteReference w:id="947"/>
      </w:r>
      <w:r>
        <w:rPr>
          <w:rFonts w:ascii="Amiri" w:hAnsi="Amiri" w:eastAsia="Amiri" w:cs="Amiri"/>
          <w:color w:val="111111"/>
          <w:sz w:val="28"/>
          <w:sz w:val="28"/>
          <w:szCs w:val="28"/>
          <w:rtl w:val="true"/>
          <w:lang w:bidi="ar-SA"/>
        </w:rPr>
        <w:t>، و للجواز في المسجدين، للخبر</w:t>
      </w:r>
      <w:r>
        <w:rPr>
          <w:rStyle w:val="FootnoteAnchor"/>
          <w:rtl w:val="true"/>
        </w:rPr>
        <w:footnoteReference w:id="948"/>
      </w:r>
      <w:r>
        <w:rPr>
          <w:rFonts w:ascii="Amiri" w:hAnsi="Amiri" w:eastAsia="Amiri" w:cs="Amiri"/>
          <w:color w:val="111111"/>
          <w:sz w:val="28"/>
          <w:sz w:val="28"/>
          <w:szCs w:val="28"/>
          <w:rtl w:val="true"/>
          <w:lang w:bidi="ar-SA"/>
        </w:rPr>
        <w:t>، و قراءة العزائم و أبعاضها، للإجماع، و لصوم الجنب، و الحائض و النفساء، و لصوم المستحاضة مع غمس القطنة، لا لصوم ماسّ الميت، للأصل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الأصحاب ان وجوب الغسل مشروط بهذه الأمور، فلا يجب في نفسه، سواء كان عن جنابة أو غيرها، لقوله تعالى وَ إِنْ كُنْتُمْ جُنُباً فَاطَّهَّرُوا </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على الوضوء المشروط بالصلاة، و عطف عليه التيمّم المشروط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لعدم الذمّ بتأخيره إلى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لصحيح عبد اللّه بن يحيى الكاهلي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يجامعها الرجل فتحيض و هي في المغتسل، هل تغتسل؟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جاءها ما يفسد الصلاة فلا تغتسل</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لصحيح زرارة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 و الصلاة، و لا صلاة إلا بطهور</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الشرط، فقبل دخول الوقت لا 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لم يذكره المتعرّضون لبحث هذه المسألة، و هو من أقوى الأخبار دلالة و سندا، أورده في التهذيب في باب تفصيل واجب الصلاة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على وجوبه لا بشرط</w:t>
      </w:r>
      <w:r>
        <w:rPr>
          <w:rStyle w:val="FootnoteAnchor"/>
          <w:rtl w:val="true"/>
        </w:rPr>
        <w:footnoteReference w:id="952"/>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من الماء</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صحيح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التقى الختانان فقد وجب عليه الغسل</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أدخله فقد وجب الغسل، و المهر، و الرجم</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 و المعطوفان غير مشروطين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علي بن يقطين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 الختان على الختان فقد وجب الغسل</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لفساد صوم تاركه و ان كان خاليا من عبادة مشروطة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في الوجوب بهذه الأسباب، لكنّه مشروط بوجوب الصلاة توفيقا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بالأوامر في الوضوء و باقي الأغسال غير المقيّدة بالصلاة، 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نام فليتوضأ</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طعم النوم قائما أوجب عليه الوضوء</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الصوت وجب الوضوء</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الحائض إذا طهرت واجب، و غسل الاستحاضة واجب، و غسل من مسّ ميتا واجب</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شبه ذلك من الحكم بوجوب غسل الثوب و البدن و الإناء من 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هم يوافقون على ان المراد بها الوجوب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كثر علم الاشتراط أطلق الوجوب و غلب في الاستعمال، فصار حقيقة 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في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غسل الجنابة من دون ذلك كلّه تحكّم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الفائدة في نيّة الوجوب قبل الشرط عند من لم يكتف بالقربة، و في عصيان المكلّف لو ظنّ الموت قبل إدراك شرط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يطرد الخلاف في كل الطهارات، لأن الحكمة ظاهرة في شرعيتها،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الغسل لما يذكر بحسب الرواية، فروى محمد بن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الأنصار بالغسل يوم الجمعة، فجرت بذلك السنّة</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 و العيدان، و يوم عرفة عند الزوال، و للإحرام، و دخول مكّة و الكعبة و المدينة، و الزيارة، و ثلاث الليالي في شهر رمضان</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الصدوق بوجوب الجمعة</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عبد اللّه بن المغيرة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 xml:space="preserve">، و رواية الحسين بن خالد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فيحمل على التوكيد، لرواية الحسين بن يقطين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و ليس بفريضة</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للنساء و العبيد، لرواية ابن المغيرة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يقضيه آخر النهار، فالسبت</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 xml:space="preserve">و رواية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و يعيد الصلاة في الوقت</w:t>
      </w:r>
      <w:r>
        <w:rPr>
          <w:rFonts w:eastAsia="Amiri" w:cs="Amiri" w:ascii="Amiri" w:hAnsi="Amiri"/>
          <w:color w:val="111111"/>
          <w:sz w:val="28"/>
          <w:szCs w:val="28"/>
          <w:rtl w:val="true"/>
          <w:lang w:bidi="ar-SA"/>
        </w:rPr>
        <w:t>»</w:t>
      </w:r>
      <w:r>
        <w:rPr>
          <w:rStyle w:val="FootnoteAnchor"/>
          <w:rtl w:val="true"/>
        </w:rPr>
        <w:footnoteReference w:id="969"/>
      </w:r>
      <w:r>
        <w:rPr>
          <w:rFonts w:ascii="IRNazanin" w:hAnsi="IRNazanin" w:eastAsia="IRNazanin"/>
          <w:color w:val="111111"/>
          <w:sz w:val="28"/>
          <w:sz w:val="28"/>
          <w:szCs w:val="28"/>
          <w:rtl w:val="true"/>
          <w:lang w:bidi="fa-IR"/>
        </w:rPr>
        <w:t>، للندب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يقدّم الخميس لخوف الإعواز، لأمر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امرأتيه به</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يقدّم على الفجر اختيارا، لدعوى الشيخ الإجماع</w:t>
      </w:r>
      <w:r>
        <w:rPr>
          <w:rStyle w:val="FootnoteAnchor"/>
          <w:rtl w:val="true"/>
        </w:rPr>
        <w:footnoteReference w:id="971"/>
      </w:r>
      <w:r>
        <w:rPr>
          <w:rFonts w:ascii="Amiri" w:hAnsi="Amiri" w:eastAsia="Amiri" w:cs="Amiri"/>
          <w:color w:val="111111"/>
          <w:sz w:val="28"/>
          <w:sz w:val="28"/>
          <w:szCs w:val="28"/>
          <w:rtl w:val="true"/>
          <w:lang w:bidi="ar-SA"/>
        </w:rPr>
        <w:t xml:space="preserve">، و إضافته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اليوم</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يمتد الى الزوال إجماعا، و قربه منه أفضل لتأكيد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يمتدّ الى أن يصلّي الجمعة</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ليدع في غسل الجمعة بما رواه أبو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يرجى فيها ليلة القدر</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بكير بن أعين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غسل ليالي الافراد الثلاث بعد الفجر لمن فاته ليلا</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يوم الغدير، و نقل فيه الشيخ الإجماع</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يوم التروية، و لتكفين الميت، و غسل الكسوف إذا أوعب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الحسن بن راشد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لليلة الفطر</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أبو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نصف شعبان</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سماعة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المباهلة واجب</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 و هو الرابع و العشرون من ذي الحجة في المشهور، و يراد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التوبة عن استماع الغناء</w:t>
      </w:r>
      <w:r>
        <w:rPr>
          <w:rStyle w:val="FootnoteAnchor"/>
          <w:rtl w:val="true"/>
        </w:rPr>
        <w:footnoteReference w:id="980"/>
      </w:r>
      <w:r>
        <w:rPr>
          <w:rFonts w:ascii="IRNazanin" w:hAnsi="IRNazanin" w:eastAsia="IRNazanin"/>
          <w:color w:val="111111"/>
          <w:sz w:val="28"/>
          <w:sz w:val="28"/>
          <w:szCs w:val="28"/>
          <w:rtl w:val="true"/>
          <w:lang w:bidi="fa-IR"/>
        </w:rPr>
        <w:t>و لفتوى الأصحاب</w:t>
      </w:r>
      <w:r>
        <w:rPr>
          <w:rStyle w:val="FootnoteAnchor"/>
          <w:rtl w:val="true"/>
        </w:rPr>
        <w:footnoteReference w:id="981"/>
      </w:r>
      <w:r>
        <w:rPr>
          <w:rFonts w:ascii="Amiri" w:hAnsi="Amiri" w:eastAsia="Amiri" w:cs="Amiri"/>
          <w:color w:val="111111"/>
          <w:sz w:val="28"/>
          <w:sz w:val="28"/>
          <w:szCs w:val="28"/>
          <w:rtl w:val="true"/>
          <w:lang w:bidi="ar-SA"/>
        </w:rPr>
        <w:t>و ان الغسل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قيّده المفيد بالتوبة عن الكبائر</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سماعة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للاستسقاء، و الاستخارة، و غسل المولود عند ولادته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مسلم عن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عبد الرحيم القصير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الحاجة</w:t>
      </w:r>
      <w:r>
        <w:rPr>
          <w:rStyle w:val="FootnoteAnchor"/>
          <w:rtl w:val="true"/>
        </w:rPr>
        <w:footnoteReference w:id="985"/>
      </w:r>
      <w:r>
        <w:rPr>
          <w:rFonts w:ascii="Amiri" w:hAnsi="Amiri" w:eastAsia="Amiri" w:cs="Amiri"/>
          <w:color w:val="111111"/>
          <w:sz w:val="28"/>
          <w:sz w:val="28"/>
          <w:szCs w:val="28"/>
          <w:rtl w:val="true"/>
          <w:lang w:bidi="ar-SA"/>
        </w:rPr>
        <w:t xml:space="preserve">و رواه مقاتل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فرادى رمضان، ذكره الشيخ في المصباح</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محمد بن أبي قرّة ذكر ليلة أربع و عشرين و خمس و عشرين، و ليلة سبع و عشرين، و ليلة تسع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نصف رجب و المبعث مشهوران، و لم يصل إلينا خبر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نوروز الفرس، رواه المعلى بن خنيس عن الصادق</w:t>
      </w:r>
      <w:r>
        <w:rPr>
          <w:rStyle w:val="FootnoteAnchor"/>
          <w:rtl w:val="true"/>
        </w:rPr>
        <w:footnoteReference w:id="988"/>
      </w:r>
      <w:r>
        <w:rPr>
          <w:rFonts w:ascii="Amiri" w:hAnsi="Amiri" w:eastAsia="Amiri" w:cs="Amiri"/>
          <w:color w:val="111111"/>
          <w:sz w:val="28"/>
          <w:sz w:val="28"/>
          <w:szCs w:val="28"/>
          <w:rtl w:val="true"/>
          <w:lang w:bidi="ar-SA"/>
        </w:rPr>
        <w:t>و في المعلّى قول مع عدم اشتهاره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بأول سنة الفرس، أو حلول الشمس الحمل، أو عاشر أيّار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الغسل على قاتل وزغة، لخروجه عن ذنوبه</w:t>
      </w:r>
      <w:r>
        <w:rPr>
          <w:rStyle w:val="FootnoteAnchor"/>
          <w:rtl w:val="true"/>
        </w:rPr>
        <w:footnoteReference w:id="989"/>
      </w:r>
      <w:r>
        <w:rPr>
          <w:rFonts w:ascii="Amiri" w:hAnsi="Amiri" w:eastAsia="Amiri" w:cs="Amiri"/>
          <w:color w:val="111111"/>
          <w:sz w:val="28"/>
          <w:sz w:val="28"/>
          <w:szCs w:val="28"/>
          <w:rtl w:val="true"/>
          <w:lang w:bidi="ar-SA"/>
        </w:rPr>
        <w:t>، و أثبته المفيد في الاشراف</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وجوبه لرؤية المصلوب</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اغتسل في ليلة ثلاث و عشرين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الليل، و آخره</w:t>
      </w:r>
      <w:r>
        <w:rPr>
          <w:rStyle w:val="FootnoteAnchor"/>
          <w:rtl w:val="true"/>
        </w:rPr>
        <w:footnoteReference w:id="992"/>
      </w:r>
      <w:r>
        <w:rPr>
          <w:rFonts w:ascii="IRNazanin" w:hAnsi="IRNazanin" w:eastAsia="IRNazanin"/>
          <w:color w:val="111111"/>
          <w:sz w:val="28"/>
          <w:sz w:val="28"/>
          <w:szCs w:val="28"/>
          <w:rtl w:val="true"/>
          <w:lang w:bidi="fa-IR"/>
        </w:rPr>
        <w:t>، و الظاهر انه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الأصحاب لدحو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 العشرين من ذي القعدة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لكلّ مشهد أو مكان شريف، أو يوم و ليلة شريفة، و عند ظهور الآثار في السماء، و عند كل فعل يتقرب به الى اللّه، و يلجأ فيه 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572" w:name="pg15253_219712"/>
    </w:p>
    <w:p>
      <w:pPr>
        <w:pStyle w:val="BookText"/>
        <w:rPr/>
      </w:pPr>
      <w:bookmarkEnd w:id="572"/>
      <w:r>
        <w:rPr>
          <w:rFonts w:ascii="Amiri" w:hAnsi="Amiri" w:eastAsia="Amiri" w:cs="Amiri"/>
          <w:color w:val="111111"/>
          <w:sz w:val="28"/>
          <w:sz w:val="28"/>
          <w:szCs w:val="28"/>
          <w:rtl w:val="true"/>
          <w:lang w:bidi="ar-SA"/>
        </w:rPr>
        <w:t>و قال المفيد في العزية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الغسل لرمي الجمار</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للإفاقة من الجنون، لما قيل انه يمني</w:t>
      </w:r>
      <w:r>
        <w:rPr>
          <w:rStyle w:val="FootnoteAnchor"/>
          <w:rtl w:val="true"/>
        </w:rPr>
        <w:footnoteReference w:id="994"/>
      </w:r>
      <w:r>
        <w:rPr>
          <w:rFonts w:ascii="Amiri" w:hAnsi="Amiri" w:eastAsia="Amiri" w:cs="Amiri"/>
          <w:color w:val="111111"/>
          <w:sz w:val="28"/>
          <w:sz w:val="28"/>
          <w:szCs w:val="28"/>
          <w:rtl w:val="true"/>
          <w:lang w:bidi="ar-SA"/>
        </w:rPr>
        <w:t>، و الحكم لا نعرفه، و التعليل لا نثبته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يغمى عليه في مرض موته فيغتسل</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الجنون بطريق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ضعف هذا التمسك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الأول كان غسلا ينوي به</w:t>
      </w:r>
      <w:r>
        <w:rPr>
          <w:rStyle w:val="FootnoteAnchor"/>
          <w:rtl w:val="true"/>
        </w:rPr>
        <w:footnoteReference w:id="996"/>
      </w:r>
      <w:r>
        <w:rPr>
          <w:rFonts w:ascii="Amiri" w:hAnsi="Amiri" w:eastAsia="Amiri" w:cs="Amiri"/>
          <w:color w:val="111111"/>
          <w:sz w:val="28"/>
          <w:sz w:val="28"/>
          <w:szCs w:val="28"/>
          <w:rtl w:val="true"/>
          <w:lang w:bidi="ar-SA"/>
        </w:rPr>
        <w:t>رفع الجنابة، و خصوصا عنده لاشتراطه في نيّة الطهارة، كما ينوي في غسل واجدي المني على الفراش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مسّ ميتا بعد الغسل، لخبر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استحب فيه الغسل لمن مات جنبا مقدّما على غسل الميت، لخبر العيص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الشكر</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المفيد في 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أهرق عليه ماء غالب النجاسة</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3" w:name="__RefHeading___Toc4192061_2142443653"/>
      <w:bookmarkStart w:id="574" w:name="_Toc236"/>
      <w:bookmarkEnd w:id="573"/>
      <w:r>
        <w:rPr>
          <w:rtl w:val="true"/>
        </w:rPr>
        <w:t>فروع</w:t>
      </w:r>
      <w:r>
        <w:rPr>
          <w:rtl w:val="true"/>
        </w:rPr>
        <w:t>:</w:t>
      </w:r>
      <w:bookmarkEnd w:id="574"/>
    </w:p>
    <w:p>
      <w:pPr>
        <w:pStyle w:val="Heading6"/>
        <w:numPr>
          <w:ilvl w:val="5"/>
          <w:numId w:val="1"/>
        </w:numPr>
        <w:rPr/>
      </w:pPr>
      <w:bookmarkStart w:id="575" w:name="__RefHeading___Toc4192063_2142443653"/>
      <w:bookmarkStart w:id="576" w:name="_Toc237"/>
      <w:bookmarkEnd w:id="575"/>
      <w:r>
        <w:rPr>
          <w:rtl w:val="true"/>
        </w:rPr>
        <w:t>الأول</w:t>
      </w:r>
      <w:r>
        <w:rPr>
          <w:rtl w:val="true"/>
        </w:rPr>
        <w:t xml:space="preserve">: </w:t>
      </w:r>
      <w:r>
        <w:rPr>
          <w:rtl w:val="true"/>
        </w:rPr>
        <w:t>بعض هذه الأغسال آكد من بعض،</w:t>
      </w:r>
      <w:bookmarkEnd w:id="57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كالجمعة، و الإحرام و المولود، و السعي إلى المصلوب، مما قيل فيه بالوجوب، و كما اشتهر على ما لم يشتهر، و كما </w:t>
      </w:r>
      <w:bookmarkStart w:id="577" w:name="pg15253_219713"/>
    </w:p>
    <w:p>
      <w:pPr>
        <w:pStyle w:val="BookText"/>
        <w:rPr/>
      </w:pPr>
      <w:bookmarkEnd w:id="577"/>
      <w:r>
        <w:rPr>
          <w:rFonts w:ascii="Amiri" w:hAnsi="Amiri" w:eastAsia="Amiri" w:cs="Amiri"/>
          <w:color w:val="111111"/>
          <w:sz w:val="28"/>
          <w:sz w:val="28"/>
          <w:szCs w:val="28"/>
          <w:rtl w:val="true"/>
          <w:lang w:bidi="ar-SA"/>
        </w:rPr>
        <w:t>علم مأخذه على 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في مزاحمة اثنين على ماء مباح أو مبذول للأحوج، فالأهم منهما 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الصدوق أطلق وجوب غسل الإحرام، و عرفة، و الزيارة، و الكعبة، و المباهلة، و الاستسقاء، و المولود</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8" w:name="__RefHeading___Toc4192065_2142443653"/>
      <w:bookmarkStart w:id="579" w:name="_Toc238"/>
      <w:bookmarkEnd w:id="578"/>
      <w:r>
        <w:rPr>
          <w:rtl w:val="true"/>
        </w:rPr>
        <w:t>الثاني</w:t>
      </w:r>
      <w:r>
        <w:rPr>
          <w:rtl w:val="true"/>
        </w:rPr>
        <w:t xml:space="preserve">: </w:t>
      </w:r>
      <w:r>
        <w:rPr>
          <w:rtl w:val="true"/>
        </w:rPr>
        <w:t>لا يختص غسل الجمعة بآتيها</w:t>
      </w:r>
      <w:bookmarkEnd w:id="57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غسل الجمعة بآتيها</w:t>
      </w:r>
      <w:r>
        <w:rPr>
          <w:rStyle w:val="FootnoteAnchor"/>
          <w:rtl w:val="true"/>
        </w:rPr>
        <w:footnoteReference w:id="1002"/>
      </w:r>
      <w:r>
        <w:rPr>
          <w:rFonts w:ascii="Amiri" w:hAnsi="Amiri" w:eastAsia="Amiri" w:cs="Amiri"/>
          <w:color w:val="111111"/>
          <w:sz w:val="28"/>
          <w:sz w:val="28"/>
          <w:szCs w:val="28"/>
          <w:rtl w:val="true"/>
          <w:lang w:bidi="ar-SA"/>
        </w:rPr>
        <w:t xml:space="preserve">لعموم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على كل ذكر و أنثى، من حر و عبد</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إلى الجمعة فليغتسل</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يحمل على التأكيد، و لأن دلالة المفهوم لا تعارض المنطوق</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4192067_2142443653"/>
      <w:bookmarkStart w:id="581" w:name="_Toc239"/>
      <w:bookmarkEnd w:id="580"/>
      <w:r>
        <w:rPr>
          <w:rtl w:val="true"/>
        </w:rPr>
        <w:t>الثالث</w:t>
      </w:r>
      <w:r>
        <w:rPr>
          <w:rtl w:val="true"/>
        </w:rPr>
        <w:t xml:space="preserve">: </w:t>
      </w:r>
      <w:r>
        <w:rPr>
          <w:rtl w:val="true"/>
        </w:rPr>
        <w:t>قضاؤه مشروع لمن فاته لعذر و غيره،</w:t>
      </w:r>
      <w:bookmarkEnd w:id="581"/>
    </w:p>
    <w:p>
      <w:pPr>
        <w:pStyle w:val="BookText"/>
        <w:rPr/>
      </w:pPr>
      <w:r>
        <w:rPr>
          <w:rFonts w:ascii="Amiri" w:hAnsi="Amiri" w:eastAsia="Amiri" w:cs="Amiri"/>
          <w:color w:val="111111"/>
          <w:sz w:val="28"/>
          <w:sz w:val="28"/>
          <w:szCs w:val="28"/>
          <w:rtl w:val="true"/>
          <w:lang w:bidi="ar-SA"/>
        </w:rPr>
        <w:t>لإطلاق الرواية</w:t>
      </w:r>
      <w:r>
        <w:rPr>
          <w:rStyle w:val="FootnoteAnchor"/>
          <w:rtl w:val="true"/>
        </w:rPr>
        <w:footnoteReference w:id="1005"/>
      </w:r>
      <w:r>
        <w:rPr>
          <w:rFonts w:ascii="Amiri" w:hAnsi="Amiri" w:eastAsia="Amiri" w:cs="Amiri"/>
          <w:color w:val="111111"/>
          <w:sz w:val="28"/>
          <w:sz w:val="28"/>
          <w:szCs w:val="28"/>
          <w:rtl w:val="true"/>
          <w:lang w:bidi="ar-SA"/>
        </w:rPr>
        <w:t>و خصّه الصدوق بالنسيان و العذر</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قدّمه الخميس، ثم تمكّن منه في الجمعة، أعاد، لسقوط البدل بالمبدل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تعارض الحال بين التعجيل و القضاء، فالأفضل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التعجيل، لقربه من الجمعة</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4192069_2142443653"/>
      <w:bookmarkStart w:id="583" w:name="_Toc240"/>
      <w:bookmarkEnd w:id="582"/>
      <w:r>
        <w:rPr>
          <w:rtl w:val="true"/>
        </w:rPr>
        <w:t>الرابع</w:t>
      </w:r>
      <w:r>
        <w:rPr>
          <w:rtl w:val="true"/>
        </w:rPr>
        <w:t xml:space="preserve">: </w:t>
      </w:r>
      <w:r>
        <w:rPr>
          <w:rtl w:val="true"/>
        </w:rPr>
        <w:t>كل غسل لزمان فهو ظرفه،</w:t>
      </w:r>
      <w:bookmarkEnd w:id="583"/>
    </w:p>
    <w:p>
      <w:pPr>
        <w:pStyle w:val="BookText"/>
        <w:rPr/>
      </w:pPr>
      <w:r>
        <w:rPr>
          <w:rFonts w:ascii="Amiri" w:hAnsi="Amiri" w:eastAsia="Amiri" w:cs="Amiri"/>
          <w:color w:val="111111"/>
          <w:sz w:val="28"/>
          <w:sz w:val="28"/>
          <w:szCs w:val="28"/>
          <w:rtl w:val="true"/>
          <w:lang w:bidi="ar-SA"/>
        </w:rPr>
        <w:t>و لمكان أو فعل فقبله، إلاّ غسل التوبة و المصلوب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التقديم لخائف الإعواز و القضاء لمن فاته نظر، و لعلّهما أقرب، و قد نبّه عليه في غسل الإحرام، و في رواية بكير السالفة</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bookmarkStart w:id="584" w:name="pg15253_219714"/>
    </w:p>
    <w:p>
      <w:pPr>
        <w:pStyle w:val="BookText"/>
        <w:rPr/>
      </w:pPr>
      <w:bookmarkEnd w:id="584"/>
      <w:r>
        <w:rPr>
          <w:rFonts w:ascii="Amiri" w:hAnsi="Amiri" w:eastAsia="Amiri" w:cs="Amiri"/>
          <w:color w:val="111111"/>
          <w:sz w:val="28"/>
          <w:sz w:val="28"/>
          <w:szCs w:val="28"/>
          <w:rtl w:val="true"/>
          <w:lang w:bidi="ar-SA"/>
        </w:rPr>
        <w:t>و ذكر المفيد قضاء غسل عرفة</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5" w:name="__RefHeading___Toc4192071_2142443653"/>
      <w:bookmarkStart w:id="586" w:name="_Toc241"/>
      <w:bookmarkEnd w:id="585"/>
      <w:r>
        <w:rPr>
          <w:rtl w:val="true"/>
        </w:rPr>
        <w:t>الخامس</w:t>
      </w:r>
      <w:r>
        <w:rPr>
          <w:rtl w:val="true"/>
        </w:rPr>
        <w:t xml:space="preserve">: </w:t>
      </w:r>
      <w:r>
        <w:rPr>
          <w:rtl w:val="true"/>
        </w:rPr>
        <w:t>لو فقد الماء، ففي شرعيّة التيمم نظر،</w:t>
      </w:r>
      <w:bookmarkEnd w:id="586"/>
    </w:p>
    <w:p>
      <w:pPr>
        <w:pStyle w:val="BookText"/>
        <w:rPr/>
      </w:pPr>
      <w:r>
        <w:rPr>
          <w:rFonts w:ascii="Amiri" w:hAnsi="Amiri" w:eastAsia="Amiri" w:cs="Amiri"/>
          <w:color w:val="111111"/>
          <w:sz w:val="28"/>
          <w:sz w:val="28"/>
          <w:szCs w:val="28"/>
          <w:rtl w:val="true"/>
          <w:lang w:bidi="ar-SA"/>
        </w:rPr>
        <w:t>و قد ذكر في غسل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انّها للنظافة المحضة، و ان التراب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قول المرتضى بأنها ترفع الحدث</w:t>
      </w:r>
      <w:r>
        <w:rPr>
          <w:rStyle w:val="FootnoteAnchor"/>
          <w:rtl w:val="true"/>
        </w:rPr>
        <w:footnoteReference w:id="1009"/>
      </w:r>
      <w:r>
        <w:rPr>
          <w:rFonts w:ascii="Amiri" w:hAnsi="Amiri" w:eastAsia="Amiri" w:cs="Amiri"/>
          <w:color w:val="111111"/>
          <w:sz w:val="28"/>
          <w:sz w:val="28"/>
          <w:szCs w:val="28"/>
          <w:rtl w:val="true"/>
          <w:lang w:bidi="ar-SA"/>
        </w:rPr>
        <w:t>يقطع على استحباب التيمّم، و تكون مبيحة للصلاة</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4192073_2142443653"/>
      <w:bookmarkStart w:id="588" w:name="_Toc242"/>
      <w:bookmarkEnd w:id="587"/>
      <w:r>
        <w:rPr>
          <w:rtl w:val="true"/>
        </w:rPr>
        <w:t>السادس</w:t>
      </w:r>
      <w:r>
        <w:rPr>
          <w:rtl w:val="true"/>
        </w:rPr>
        <w:t xml:space="preserve">: </w:t>
      </w:r>
      <w:r>
        <w:rPr>
          <w:rtl w:val="true"/>
        </w:rPr>
        <w:t>الظاهر</w:t>
      </w:r>
      <w:r>
        <w:rPr>
          <w:rtl w:val="true"/>
        </w:rPr>
        <w:t xml:space="preserve">: </w:t>
      </w:r>
      <w:r>
        <w:rPr>
          <w:rtl w:val="true"/>
        </w:rPr>
        <w:t>ان غسل العيدين يمتدّ بامتداد اليوم،</w:t>
      </w:r>
      <w:bookmarkEnd w:id="588"/>
    </w:p>
    <w:p>
      <w:pPr>
        <w:pStyle w:val="BookText"/>
        <w:rPr/>
      </w:pPr>
      <w:r>
        <w:rPr>
          <w:rFonts w:ascii="Amiri" w:hAnsi="Amiri" w:eastAsia="Amiri" w:cs="Amiri"/>
          <w:color w:val="111111"/>
          <w:sz w:val="28"/>
          <w:sz w:val="28"/>
          <w:szCs w:val="28"/>
          <w:rtl w:val="true"/>
          <w:lang w:bidi="ar-SA"/>
        </w:rPr>
        <w:t>عملا بإطلاق اللّفظ، و يتخرّج من تعليل الجمعة أنه إلى الصلاة، أو الى الزوال الذي هو وقت صلاة العيد، و هو ظاهر الأصحاب</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9" w:name="__RefHeading___Toc4192075_2142443653"/>
      <w:bookmarkStart w:id="590" w:name="_Toc243"/>
      <w:bookmarkEnd w:id="589"/>
      <w:r>
        <w:rPr>
          <w:rtl w:val="true"/>
        </w:rPr>
        <w:t>السابع</w:t>
      </w:r>
      <w:r>
        <w:rPr>
          <w:rtl w:val="true"/>
        </w:rPr>
        <w:t xml:space="preserve">: </w:t>
      </w:r>
      <w:r>
        <w:rPr>
          <w:rtl w:val="true"/>
        </w:rPr>
        <w:t>لا فرق في استحباب الغسل للتوبة بين</w:t>
      </w:r>
      <w:r>
        <w:rPr>
          <w:rtl w:val="true"/>
        </w:rPr>
        <w:t xml:space="preserve">: </w:t>
      </w:r>
      <w:r>
        <w:rPr>
          <w:rtl w:val="true"/>
        </w:rPr>
        <w:t>الفسق و الكفر،</w:t>
      </w:r>
      <w:bookmarkEnd w:id="590"/>
    </w:p>
    <w:p>
      <w:pPr>
        <w:pStyle w:val="BookText"/>
        <w:rPr/>
      </w:pPr>
      <w:r>
        <w:rPr>
          <w:rFonts w:ascii="Amiri" w:hAnsi="Amiri" w:eastAsia="Amiri" w:cs="Amiri"/>
          <w:color w:val="111111"/>
          <w:sz w:val="28"/>
          <w:sz w:val="28"/>
          <w:szCs w:val="28"/>
          <w:rtl w:val="true"/>
          <w:lang w:bidi="ar-SA"/>
        </w:rPr>
        <w:t>و ان كان عن 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عاصم</w:t>
      </w:r>
      <w:r>
        <w:rPr>
          <w:rStyle w:val="FootnoteAnchor"/>
          <w:rtl w:val="true"/>
        </w:rPr>
        <w:footnoteReference w:id="1011"/>
      </w:r>
      <w:r>
        <w:rPr>
          <w:rFonts w:ascii="Amiri" w:hAnsi="Amiri" w:eastAsia="Amiri" w:cs="Amiri"/>
          <w:color w:val="111111"/>
          <w:sz w:val="28"/>
          <w:sz w:val="28"/>
          <w:szCs w:val="28"/>
          <w:rtl w:val="true"/>
          <w:lang w:bidi="ar-SA"/>
        </w:rPr>
        <w:t>و ثمامة بن أثال</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 الاسمين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إسلامهما بالغسل محمول على الندب، أو انه وجد منهما سبب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الإسلام لا يسقطه، إذ هو حدث له رافع معلوم</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4192077_2142443653"/>
      <w:bookmarkStart w:id="592" w:name="_Toc244"/>
      <w:bookmarkEnd w:id="591"/>
      <w:r>
        <w:rPr>
          <w:rtl w:val="true"/>
        </w:rPr>
        <w:t>الثامن</w:t>
      </w:r>
      <w:r>
        <w:rPr>
          <w:rtl w:val="true"/>
        </w:rPr>
        <w:t xml:space="preserve">: </w:t>
      </w:r>
      <w:r>
        <w:rPr>
          <w:rtl w:val="true"/>
        </w:rPr>
        <w:t>هيئة هذه الأغسال كهيئة الواجب،</w:t>
      </w:r>
      <w:bookmarkEnd w:id="592"/>
    </w:p>
    <w:p>
      <w:pPr>
        <w:pStyle w:val="BookText"/>
        <w:rPr/>
      </w:pPr>
      <w:r>
        <w:rPr>
          <w:rFonts w:ascii="Amiri" w:hAnsi="Amiri" w:eastAsia="Amiri" w:cs="Amiri"/>
          <w:color w:val="111111"/>
          <w:sz w:val="28"/>
          <w:sz w:val="28"/>
          <w:szCs w:val="28"/>
          <w:rtl w:val="true"/>
          <w:lang w:bidi="ar-SA"/>
        </w:rPr>
        <w:t>فلو نذرها وجبت الهيئة كالترتيب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لينو السبب فيها ليحصل التمييز فيها، بخلاف الواجب، لاختلاف الغايتين</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4192079_2142443653"/>
      <w:bookmarkStart w:id="594" w:name="_Toc245"/>
      <w:bookmarkEnd w:id="593"/>
      <w:r>
        <w:rPr>
          <w:rtl w:val="true"/>
        </w:rPr>
        <w:t>التاسع</w:t>
      </w:r>
      <w:r>
        <w:rPr>
          <w:rtl w:val="true"/>
        </w:rPr>
        <w:t xml:space="preserve">: </w:t>
      </w:r>
      <w:r>
        <w:rPr>
          <w:rtl w:val="true"/>
        </w:rPr>
        <w:t>الأقرب</w:t>
      </w:r>
      <w:r>
        <w:rPr>
          <w:rtl w:val="true"/>
        </w:rPr>
        <w:t xml:space="preserve">: </w:t>
      </w:r>
      <w:r>
        <w:rPr>
          <w:rtl w:val="true"/>
        </w:rPr>
        <w:t>إعادة غسل الفعل بتخلّل الحدث،</w:t>
      </w:r>
      <w:bookmarkEnd w:id="59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في دخول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النوم في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أحدث في الأثناء فالإعادة أولى</w:t>
      </w:r>
      <w:r>
        <w:rPr>
          <w:rFonts w:eastAsia="Amiri" w:cs="Amiri" w:ascii="Amiri" w:hAnsi="Amiri"/>
          <w:color w:val="111111"/>
          <w:sz w:val="28"/>
          <w:szCs w:val="28"/>
          <w:rtl w:val="true"/>
          <w:lang w:bidi="ar-SA"/>
        </w:rPr>
        <w:t xml:space="preserve">. </w:t>
      </w:r>
      <w:bookmarkStart w:id="595" w:name="pg15253_219715"/>
    </w:p>
    <w:p>
      <w:pPr>
        <w:pStyle w:val="Heading6"/>
        <w:numPr>
          <w:ilvl w:val="5"/>
          <w:numId w:val="1"/>
        </w:numPr>
        <w:rPr/>
      </w:pPr>
      <w:bookmarkStart w:id="596" w:name="__RefHeading___Toc4192081_2142443653"/>
      <w:bookmarkStart w:id="597" w:name="_Toc246"/>
      <w:bookmarkEnd w:id="595"/>
      <w:bookmarkEnd w:id="596"/>
      <w:r>
        <w:rPr>
          <w:rtl w:val="true"/>
        </w:rPr>
        <w:t>مسائل أربع</w:t>
      </w:r>
      <w:r>
        <w:rPr>
          <w:rtl w:val="true"/>
        </w:rPr>
        <w:t>:</w:t>
      </w:r>
      <w:bookmarkEnd w:id="597"/>
    </w:p>
    <w:p>
      <w:pPr>
        <w:pStyle w:val="Heading6"/>
        <w:numPr>
          <w:ilvl w:val="5"/>
          <w:numId w:val="1"/>
        </w:numPr>
        <w:rPr/>
      </w:pPr>
      <w:bookmarkStart w:id="598" w:name="__RefHeading___Toc4192083_2142443653"/>
      <w:bookmarkStart w:id="599" w:name="_Toc247"/>
      <w:bookmarkEnd w:id="598"/>
      <w:r>
        <w:rPr>
          <w:rtl w:val="true"/>
        </w:rPr>
        <w:t>الأولى</w:t>
      </w:r>
      <w:r>
        <w:rPr>
          <w:rtl w:val="true"/>
        </w:rPr>
        <w:t xml:space="preserve">: </w:t>
      </w:r>
      <w:r>
        <w:rPr>
          <w:rtl w:val="true"/>
        </w:rPr>
        <w:t>يمكن ان يكون الوضوء معتبرا في تحقق غايتها،</w:t>
      </w:r>
      <w:bookmarkEnd w:id="599"/>
    </w:p>
    <w:p>
      <w:pPr>
        <w:pStyle w:val="BookText"/>
        <w:rPr/>
      </w:pPr>
      <w:r>
        <w:rPr>
          <w:rFonts w:ascii="Amiri" w:hAnsi="Amiri" w:eastAsia="Amiri" w:cs="Amiri"/>
          <w:color w:val="111111"/>
          <w:sz w:val="28"/>
          <w:sz w:val="28"/>
          <w:szCs w:val="28"/>
          <w:rtl w:val="true"/>
          <w:lang w:bidi="ar-SA"/>
        </w:rPr>
        <w:t xml:space="preserve">لعموم حسن حمّاد ابن عثمان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غسل وضوء، إلاّ الجنابة</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 xml:space="preserve">و 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تغتسل للجمعة فتوضّأ و اغتسل</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ان اعتباره في العبادة المشروطة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الأمر بالغسل، فالفاعل ممتثل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مكاتبة محمّد بن عبد الرّحمن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وضوء للصلاة في غسل الجمعة و لا غيره</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الغسل من جنابة، أو يوم جمعة، أو عيد، أ عليه وضوء قبل أو بعد؟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قبل و لا بعد</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مرسل حمّاد بن عثمان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يغتسل الجمعة، أو غير ذلك، أ يجزئه عن الوضوء؟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وضوء أطهر من الغسل</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دليل ابن الجنيد و المرتضى على إجزاء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فرضه و نفله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w:t>
      </w:r>
      <w:r>
        <w:rPr>
          <w:rStyle w:val="FootnoteAnchor"/>
          <w:rtl w:val="true"/>
        </w:rPr>
        <w:footnoteReference w:id="1018"/>
      </w:r>
      <w:r>
        <w:rPr>
          <w:rFonts w:ascii="Amiri" w:hAnsi="Amiri" w:eastAsia="Amiri" w:cs="Amiri"/>
          <w:color w:val="111111"/>
          <w:sz w:val="28"/>
          <w:sz w:val="28"/>
          <w:szCs w:val="28"/>
          <w:rtl w:val="true"/>
          <w:lang w:bidi="ar-SA"/>
        </w:rPr>
        <w:t>و حملت على سلب الوضوء بالنسبة إلى غاياتها، لا سلبه لأجل الصلاة</w:t>
      </w:r>
      <w:r>
        <w:rPr>
          <w:rFonts w:eastAsia="Amiri" w:cs="Amiri" w:ascii="Amiri" w:hAnsi="Amiri"/>
          <w:color w:val="111111"/>
          <w:sz w:val="28"/>
          <w:szCs w:val="28"/>
          <w:rtl w:val="true"/>
          <w:lang w:bidi="ar-SA"/>
        </w:rPr>
        <w:t xml:space="preserve">. </w:t>
      </w:r>
      <w:bookmarkStart w:id="600" w:name="pg15253_219716"/>
    </w:p>
    <w:p>
      <w:pPr>
        <w:pStyle w:val="BookText"/>
        <w:rPr/>
      </w:pPr>
      <w:bookmarkEnd w:id="600"/>
      <w:r>
        <w:rPr>
          <w:rFonts w:ascii="Amiri" w:hAnsi="Amiri" w:eastAsia="Amiri" w:cs="Amiri"/>
          <w:color w:val="111111"/>
          <w:sz w:val="28"/>
          <w:sz w:val="28"/>
          <w:szCs w:val="28"/>
          <w:rtl w:val="true"/>
          <w:lang w:bidi="ar-SA"/>
        </w:rPr>
        <w:t xml:space="preserve">و يندفع بأنّه 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وضوء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الحمل على غير وقتها بعيد جدا،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الترجيح باعتبار الشهرة بين الأصحاب، و يكاد يكون إجماعا، و الروايات معارضة بمثلها و بما هو أصحّ إسنادا منها</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4192085_2142443653"/>
      <w:bookmarkStart w:id="602" w:name="_Toc248"/>
      <w:bookmarkEnd w:id="601"/>
      <w:r>
        <w:rPr>
          <w:rtl w:val="true"/>
        </w:rPr>
        <w:t>الثانية</w:t>
      </w:r>
      <w:r>
        <w:rPr>
          <w:rtl w:val="true"/>
        </w:rPr>
        <w:t xml:space="preserve">: </w:t>
      </w:r>
      <w:r>
        <w:rPr>
          <w:rtl w:val="true"/>
        </w:rPr>
        <w:t>أوجب ابن أبي عقيل غسل الإحرام</w:t>
      </w:r>
      <w:bookmarkEnd w:id="602"/>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ابن أبي عقيل غسل الإحرام</w:t>
      </w:r>
      <w:r>
        <w:rPr>
          <w:rStyle w:val="FootnoteAnchor"/>
          <w:rtl w:val="true"/>
        </w:rPr>
        <w:footnoteReference w:id="1019"/>
      </w:r>
      <w:r>
        <w:rPr>
          <w:rFonts w:ascii="Amiri" w:hAnsi="Amiri" w:eastAsia="Amiri" w:cs="Amiri"/>
          <w:color w:val="111111"/>
          <w:sz w:val="28"/>
          <w:sz w:val="28"/>
          <w:szCs w:val="28"/>
          <w:rtl w:val="true"/>
          <w:lang w:bidi="ar-SA"/>
        </w:rPr>
        <w:t>و نقله المرتضى عن كثير من الأصحاب</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المشهور الاستحباب، و قول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Style w:val="FootnoteAnchor"/>
          <w:rtl w:val="true"/>
        </w:rPr>
        <w:footnoteReference w:id="1021"/>
      </w:r>
      <w:r>
        <w:rPr>
          <w:rFonts w:ascii="Amiri" w:hAnsi="Amiri" w:eastAsia="Amiri" w:cs="Amiri"/>
          <w:color w:val="111111"/>
          <w:sz w:val="28"/>
          <w:sz w:val="28"/>
          <w:szCs w:val="28"/>
          <w:rtl w:val="true"/>
          <w:lang w:bidi="ar-SA"/>
        </w:rPr>
        <w:t>يحمل على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أوجب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المصرية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الصلاح و سلاّر غسل الكسوف و الخسوف</w:t>
      </w:r>
      <w:r>
        <w:rPr>
          <w:rStyle w:val="FootnoteAnchor"/>
          <w:rtl w:val="true"/>
        </w:rPr>
        <w:footnoteReference w:id="1022"/>
      </w:r>
      <w:r>
        <w:rPr>
          <w:rFonts w:ascii="Amiri" w:hAnsi="Amiri" w:eastAsia="Amiri" w:cs="Amiri"/>
          <w:color w:val="111111"/>
          <w:sz w:val="28"/>
          <w:sz w:val="28"/>
          <w:szCs w:val="28"/>
          <w:rtl w:val="true"/>
          <w:lang w:bidi="ar-SA"/>
        </w:rPr>
        <w:t xml:space="preserve">، لظاهر الأمر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يندفع باحتمال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فيصار إليه لفتوى الأصحاب</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 الصلاح غسل المصلوب</w:t>
      </w:r>
      <w:r>
        <w:rPr>
          <w:rStyle w:val="FootnoteAnchor"/>
          <w:rtl w:val="true"/>
        </w:rPr>
        <w:footnoteReference w:id="1025"/>
      </w:r>
      <w:r>
        <w:rPr>
          <w:rFonts w:ascii="IRNazanin" w:hAnsi="IRNazanin" w:eastAsia="IRNazanin"/>
          <w:color w:val="111111"/>
          <w:sz w:val="28"/>
          <w:sz w:val="28"/>
          <w:szCs w:val="28"/>
          <w:rtl w:val="true"/>
          <w:lang w:bidi="fa-IR"/>
        </w:rPr>
        <w:t>و أرسله الصدوق</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أوجب ابن حمزة غسل المولود</w:t>
      </w:r>
      <w:r>
        <w:rPr>
          <w:rStyle w:val="FootnoteAnchor"/>
          <w:rtl w:val="true"/>
        </w:rPr>
        <w:footnoteReference w:id="1027"/>
      </w:r>
      <w:r>
        <w:rPr>
          <w:rFonts w:ascii="Amiri" w:hAnsi="Amiri" w:eastAsia="Amiri" w:cs="Amiri"/>
          <w:color w:val="111111"/>
          <w:sz w:val="28"/>
          <w:sz w:val="28"/>
          <w:szCs w:val="28"/>
          <w:rtl w:val="true"/>
          <w:lang w:bidi="ar-SA"/>
        </w:rPr>
        <w:t>لصيغة الوجوب، و هو من التأكيد</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4192087_2142443653"/>
      <w:bookmarkStart w:id="604" w:name="_Toc249"/>
      <w:bookmarkEnd w:id="603"/>
      <w:r>
        <w:rPr>
          <w:rtl w:val="true"/>
        </w:rPr>
        <w:t>الثالثة</w:t>
      </w:r>
      <w:r>
        <w:rPr>
          <w:rtl w:val="true"/>
        </w:rPr>
        <w:t xml:space="preserve">: </w:t>
      </w:r>
      <w:r>
        <w:rPr>
          <w:rtl w:val="true"/>
        </w:rPr>
        <w:t>قيل</w:t>
      </w:r>
      <w:r>
        <w:rPr>
          <w:rtl w:val="true"/>
        </w:rPr>
        <w:t xml:space="preserve">: </w:t>
      </w:r>
      <w:r>
        <w:rPr>
          <w:rtl w:val="true"/>
        </w:rPr>
        <w:t>لا تداخل في هذه الأغسال،</w:t>
      </w:r>
      <w:bookmarkEnd w:id="604"/>
    </w:p>
    <w:p>
      <w:pPr>
        <w:pStyle w:val="BookText"/>
        <w:rPr/>
      </w:pPr>
      <w:r>
        <w:rPr>
          <w:rFonts w:ascii="Amiri" w:hAnsi="Amiri" w:eastAsia="Amiri" w:cs="Amiri"/>
          <w:color w:val="111111"/>
          <w:sz w:val="28"/>
          <w:sz w:val="28"/>
          <w:szCs w:val="28"/>
          <w:rtl w:val="true"/>
          <w:lang w:bidi="ar-SA"/>
        </w:rPr>
        <w:t>لاعتبار نية السبب</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 إليها واجب تداخلت إذا نوى الجميع، أو نوى الجنابة</w:t>
      </w:r>
      <w:r>
        <w:rPr>
          <w:rStyle w:val="FootnoteAnchor"/>
          <w:rtl w:val="true"/>
        </w:rPr>
        <w:footnoteReference w:id="1028"/>
      </w:r>
      <w:r>
        <w:rPr>
          <w:rFonts w:ascii="Amiri" w:hAnsi="Amiri" w:eastAsia="Amiri" w:cs="Amiri"/>
          <w:color w:val="111111"/>
          <w:sz w:val="28"/>
          <w:sz w:val="28"/>
          <w:szCs w:val="28"/>
          <w:rtl w:val="true"/>
          <w:lang w:bidi="ar-SA"/>
        </w:rPr>
        <w:t xml:space="preserve">، لخبر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اجتمعت للّه عليك </w:t>
      </w:r>
    </w:p>
    <w:p>
      <w:pPr>
        <w:pStyle w:val="BookText"/>
        <w:rPr/>
      </w:pPr>
      <w:r>
        <w:rPr>
          <w:rFonts w:ascii="Amiri" w:hAnsi="Amiri" w:eastAsia="Amiri" w:cs="Amiri"/>
          <w:color w:val="111111"/>
          <w:sz w:val="28"/>
          <w:sz w:val="28"/>
          <w:szCs w:val="28"/>
          <w:rtl w:val="true"/>
          <w:lang w:bidi="ar-SA"/>
        </w:rPr>
        <w:t>حقوق أجزأك عنها غسل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المرأة يجزئها غسل واحد لجنابتها، و إحرامها، و جمعتها، و غسلها من حيضها، و عيدها</w:t>
      </w:r>
      <w:r>
        <w:rPr>
          <w:rFonts w:eastAsia="Amiri" w:cs="Amiri" w:ascii="Amiri" w:hAnsi="Amiri"/>
          <w:color w:val="111111"/>
          <w:sz w:val="28"/>
          <w:szCs w:val="28"/>
          <w:rtl w:val="true"/>
          <w:lang w:bidi="ar-SA"/>
        </w:rPr>
        <w:t>»</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قوي، لعموم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الخبرين دلالة على إجزاء الواحد و إن لم يجامع الواجب، و لأنّ الغرض مسمى الغسل و هو حاصل، و من قال برفعه الحدث فلا إشكال عنده في التداخل، و لو نوى البعض حصل و بقي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اشتراكها في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جامعها الواجب، فيشكل من حيث تضادّ وجهي الوجوب و الندب إن نواها معه، و وقوع عمل بغير نيّة إن لم ينوها،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الوجوب تستلزم نيّة الندب، لاشتراكهما في ترجيح الفعل، و لا يضر اعتقاد منع الترك، لأنّه مؤكّد للغاية، و مثله الصلاة على جنازتي بالغ و صبي لدون ست، بل مطلق الصلاة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المجنب و عليه غسل الجمعة الجميع، أو الجنابة، أجزأ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نوى الجمعة لم يجزئ عن أحدهما، لعدم نيّة ما يتضمّن رفع الحدث فلا ترتفع الجنابة، و لأنّ الغرض التنظيف و لا يصحّ مع وجود الحدث فلا يحصل غسل الجمعة</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نوقض بإجزاء غسل الإحرام من الحائض، للخبر</w:t>
      </w:r>
      <w:r>
        <w:rPr>
          <w:rStyle w:val="FootnoteAnchor"/>
          <w:rtl w:val="true"/>
        </w:rPr>
        <w:footnoteReference w:id="1032"/>
      </w:r>
      <w:r>
        <w:rPr>
          <w:rFonts w:ascii="IRNazanin" w:hAnsi="IRNazanin" w:eastAsia="IRNazanin"/>
          <w:color w:val="111111"/>
          <w:sz w:val="28"/>
          <w:sz w:val="28"/>
          <w:szCs w:val="28"/>
          <w:rtl w:val="true"/>
          <w:lang w:bidi="fa-IR"/>
        </w:rPr>
        <w:t>و فتوى الأصحاب</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عدم قبول الحيض للرفع بخلاف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605" w:name="pg15253_219718"/>
    </w:p>
    <w:p>
      <w:pPr>
        <w:pStyle w:val="BookText"/>
        <w:rPr/>
      </w:pPr>
      <w:bookmarkEnd w:id="605"/>
      <w:r>
        <w:rPr>
          <w:rFonts w:ascii="Amiri" w:hAnsi="Amiri" w:eastAsia="Amiri" w:cs="Amiri"/>
          <w:color w:val="111111"/>
          <w:sz w:val="28"/>
          <w:sz w:val="28"/>
          <w:szCs w:val="28"/>
          <w:rtl w:val="true"/>
          <w:lang w:bidi="ar-SA"/>
        </w:rPr>
        <w:t xml:space="preserve">و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القول بانّ الغسل المندوب لا يرفع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من كلّ محدث لحصول الغاية</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4192089_2142443653"/>
      <w:bookmarkStart w:id="607" w:name="_Toc250"/>
      <w:bookmarkEnd w:id="606"/>
      <w:r>
        <w:rPr>
          <w:rtl w:val="true"/>
        </w:rPr>
        <w:t>الرابعة</w:t>
      </w:r>
      <w:r>
        <w:rPr>
          <w:rtl w:val="true"/>
        </w:rPr>
        <w:t xml:space="preserve">: </w:t>
      </w:r>
      <w:r>
        <w:rPr>
          <w:rtl w:val="true"/>
        </w:rPr>
        <w:t>لو أجنبت ثم حاضت أخّرته،</w:t>
      </w:r>
      <w:bookmarkEnd w:id="607"/>
    </w:p>
    <w:p>
      <w:pPr>
        <w:pStyle w:val="Heading6"/>
        <w:numPr>
          <w:ilvl w:val="5"/>
          <w:numId w:val="1"/>
        </w:numPr>
        <w:rPr/>
      </w:pPr>
      <w:bookmarkStart w:id="608" w:name="__RefHeading___Toc4192091_2142443653"/>
      <w:bookmarkStart w:id="609" w:name="_Toc251"/>
      <w:bookmarkEnd w:id="608"/>
      <w:r>
        <w:rPr>
          <w:rtl w:val="true"/>
        </w:rPr>
        <w:t>اشارة</w:t>
      </w:r>
      <w:bookmarkEnd w:id="609"/>
    </w:p>
    <w:p>
      <w:pPr>
        <w:pStyle w:val="BookText"/>
        <w:rPr/>
      </w:pPr>
      <w:r>
        <w:rPr>
          <w:rFonts w:ascii="Amiri" w:hAnsi="Amiri" w:eastAsia="Amiri" w:cs="Amiri"/>
          <w:color w:val="111111"/>
          <w:sz w:val="28"/>
          <w:sz w:val="28"/>
          <w:szCs w:val="28"/>
          <w:rtl w:val="true"/>
          <w:lang w:bidi="ar-SA"/>
        </w:rPr>
        <w:t xml:space="preserve">إذ لا طهارة مع الحيض، و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جاءها ما يفسد صلاتها</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 و كذا لو نفست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استحيضت، لم يمنع الرفع مع بقاء حدث الاستحاضة، لأنّه غير مانع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التيمّم فيجب لما تجب له الطهارتان، تحقيقا للبدليّة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الصوم نظر، لعدم رفع الحدث به، و عدم اشتراط الطهارة فيه، و من وجوب الغسل المتعذر فلينتقل الى بدله، لعموم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 طهور المسلم</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و قوله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يكفيك الصعيد عشر سنين</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في تيمّم الحائض لإباحة الوطء ان شرطنا الغسل، لرواية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يزيد</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المسجدين للمجنب و الحائض، 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المحتلم في المسجدين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يمرّ إلاّ متيمّما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الحائض إذا أصابها الحيض تفعل ذلك، رواه أبو حمزة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الحائض و إن استحب، لأنّه لا سبيل لها إلى </w:t>
      </w:r>
      <w:bookmarkStart w:id="610" w:name="pg15253_219719"/>
    </w:p>
    <w:p>
      <w:pPr>
        <w:pStyle w:val="BookText"/>
        <w:rPr/>
      </w:pPr>
      <w:bookmarkEnd w:id="610"/>
      <w:r>
        <w:rPr>
          <w:rFonts w:ascii="Amiri" w:hAnsi="Amiri" w:eastAsia="Amiri" w:cs="Amiri"/>
          <w:color w:val="111111"/>
          <w:sz w:val="28"/>
          <w:sz w:val="28"/>
          <w:szCs w:val="28"/>
          <w:rtl w:val="true"/>
          <w:lang w:bidi="ar-SA"/>
        </w:rPr>
        <w:t>الطهارة بخلاف الجنب</w:t>
      </w:r>
      <w:r>
        <w:rPr>
          <w:rStyle w:val="FootnoteAnchor"/>
          <w:rtl w:val="true"/>
        </w:rPr>
        <w:footnoteReference w:id="1041"/>
      </w:r>
      <w:r>
        <w:rPr>
          <w:rFonts w:ascii="Amiri" w:hAnsi="Amiri" w:eastAsia="Amiri" w:cs="Amiri"/>
          <w:color w:val="111111"/>
          <w:sz w:val="28"/>
          <w:sz w:val="28"/>
          <w:szCs w:val="28"/>
          <w:rtl w:val="true"/>
          <w:lang w:bidi="ar-SA"/>
        </w:rPr>
        <w:t>و هو 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التيمّم لخروج الجنب</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الجنب أو الحائض إلى دخول المساجد تيمّما</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يبعد إرادة منقطعة الحيض في الخبر، و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جاز ان يكون التيمّم مبيحا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الحدث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يرفع الحدث في موضع إمكانه بالمائية، فكيف موضع استحالته؟</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4192093_2142443653"/>
      <w:bookmarkStart w:id="612" w:name="_Toc252"/>
      <w:bookmarkEnd w:id="611"/>
      <w:r>
        <w:rPr>
          <w:rtl w:val="true"/>
        </w:rPr>
        <w:t>فروع</w:t>
      </w:r>
      <w:r>
        <w:rPr>
          <w:rtl w:val="true"/>
        </w:rPr>
        <w:t>:</w:t>
      </w:r>
      <w:bookmarkEnd w:id="612"/>
    </w:p>
    <w:p>
      <w:pPr>
        <w:pStyle w:val="Heading6"/>
        <w:numPr>
          <w:ilvl w:val="5"/>
          <w:numId w:val="1"/>
        </w:numPr>
        <w:rPr/>
      </w:pPr>
      <w:bookmarkStart w:id="613" w:name="__RefHeading___Toc4192095_2142443653"/>
      <w:bookmarkStart w:id="614" w:name="_Toc253"/>
      <w:bookmarkEnd w:id="613"/>
      <w:r>
        <w:rPr>
          <w:rtl w:val="true"/>
        </w:rPr>
        <w:t>الأول</w:t>
      </w:r>
      <w:r>
        <w:rPr>
          <w:rtl w:val="true"/>
        </w:rPr>
        <w:t xml:space="preserve">: </w:t>
      </w:r>
      <w:r>
        <w:rPr>
          <w:rtl w:val="true"/>
        </w:rPr>
        <w:t>يجب على المجنب الذهاب بأقرب الطرق،</w:t>
      </w:r>
      <w:bookmarkEnd w:id="614"/>
    </w:p>
    <w:p>
      <w:pPr>
        <w:pStyle w:val="BookText"/>
        <w:rPr/>
      </w:pPr>
      <w:r>
        <w:rPr>
          <w:rFonts w:ascii="Amiri" w:hAnsi="Amiri" w:eastAsia="Amiri" w:cs="Amiri"/>
          <w:color w:val="111111"/>
          <w:sz w:val="28"/>
          <w:sz w:val="28"/>
          <w:szCs w:val="28"/>
          <w:rtl w:val="true"/>
          <w:lang w:bidi="ar-SA"/>
        </w:rPr>
        <w:t>تخفيفا للكون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قصر زمان الخروج عن زمان التيمّم،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للعموم</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5" w:name="__RefHeading___Toc4192097_2142443653"/>
      <w:bookmarkStart w:id="616" w:name="_Toc254"/>
      <w:bookmarkEnd w:id="615"/>
      <w:r>
        <w:rPr>
          <w:rtl w:val="true"/>
        </w:rPr>
        <w:t>الثاني</w:t>
      </w:r>
      <w:r>
        <w:rPr>
          <w:rtl w:val="true"/>
        </w:rPr>
        <w:t xml:space="preserve">: </w:t>
      </w:r>
      <w:r>
        <w:rPr>
          <w:rtl w:val="true"/>
        </w:rPr>
        <w:t>الأقرب</w:t>
      </w:r>
      <w:r>
        <w:rPr>
          <w:rtl w:val="true"/>
        </w:rPr>
        <w:t xml:space="preserve">: </w:t>
      </w:r>
      <w:r>
        <w:rPr>
          <w:rtl w:val="true"/>
        </w:rPr>
        <w:t>استحباب التيمّم لباقي المساجد،</w:t>
      </w:r>
      <w:bookmarkEnd w:id="616"/>
    </w:p>
    <w:p>
      <w:pPr>
        <w:pStyle w:val="BookText"/>
        <w:rPr/>
      </w:pPr>
      <w:r>
        <w:rPr>
          <w:rFonts w:ascii="Amiri" w:hAnsi="Amiri" w:eastAsia="Amiri" w:cs="Amiri"/>
          <w:color w:val="111111"/>
          <w:sz w:val="28"/>
          <w:sz w:val="28"/>
          <w:szCs w:val="28"/>
          <w:rtl w:val="true"/>
          <w:lang w:bidi="ar-SA"/>
        </w:rPr>
        <w:t>لما فيه من القرب إلى الطهارة، و لا يزيد الكون فيه عن الكون في التيمّم في المسجدين</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4192099_2142443653"/>
      <w:bookmarkStart w:id="618" w:name="_Toc255"/>
      <w:bookmarkEnd w:id="617"/>
      <w:r>
        <w:rPr>
          <w:rtl w:val="true"/>
        </w:rPr>
        <w:t>الثالث</w:t>
      </w:r>
      <w:r>
        <w:rPr>
          <w:rtl w:val="true"/>
        </w:rPr>
        <w:t xml:space="preserve">: </w:t>
      </w:r>
      <w:r>
        <w:rPr>
          <w:rtl w:val="true"/>
        </w:rPr>
        <w:t>الخبر ورد في المحتلم،</w:t>
      </w:r>
      <w:bookmarkEnd w:id="618"/>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لكلّ مجنب، لعدم تعقّل خصوصيّة الاحتلام، و لا فرق بين الرجل و المرأة</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4192101_2142443653"/>
      <w:bookmarkStart w:id="620" w:name="_Toc256"/>
      <w:bookmarkEnd w:id="619"/>
      <w:r>
        <w:rPr>
          <w:rtl w:val="true"/>
        </w:rPr>
        <w:t>الرابع</w:t>
      </w:r>
      <w:r>
        <w:rPr>
          <w:rtl w:val="true"/>
        </w:rPr>
        <w:t xml:space="preserve">: </w:t>
      </w:r>
      <w:r>
        <w:rPr>
          <w:rtl w:val="true"/>
        </w:rPr>
        <w:t>لو أمكنه الغسل في المسجد بماء كثير أو قليل، ففي جوازه نظر،</w:t>
      </w:r>
      <w:bookmarkEnd w:id="62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أمكنه الغسل في المسجد</w:t>
      </w:r>
      <w:r>
        <w:rPr>
          <w:rStyle w:val="FootnoteAnchor"/>
          <w:rtl w:val="true"/>
        </w:rPr>
        <w:footnoteReference w:id="1045"/>
      </w:r>
      <w:r>
        <w:rPr>
          <w:rFonts w:ascii="Amiri" w:hAnsi="Amiri" w:eastAsia="Amiri" w:cs="Amiri"/>
          <w:color w:val="111111"/>
          <w:sz w:val="28"/>
          <w:sz w:val="28"/>
          <w:szCs w:val="28"/>
          <w:rtl w:val="true"/>
          <w:lang w:bidi="ar-SA"/>
        </w:rPr>
        <w:t>بماء كثير أو قليل، ففي جوازه نظر، من تخصيص التيمّم بالذكر، مع حرمة الكون في المسجد، و قضية الأصل، و ذكر التيمم بناء على الغالب من عدم التمكّن من تعجيل الغسل في المسجد إعمالا للبدليّة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يمكن تعيّن الغسل، و لو ساوى زمان التيمم فالإجزاء أقوى، هذا مع عدم تنجيس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يستحبّ بدلا من الوضوء في كلّ مكان يكون الوضوء رافعا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استحبابه بدلا من وضوء غير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كنوم الجنب، و جماع المحتلم، و ذكر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بطريق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الغسل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للنوم مع وجود الماء، و في الجنازة على المشهور، بل ادّعى عليه الشيخ الإجماع</w:t>
      </w:r>
      <w:r>
        <w:rPr>
          <w:rStyle w:val="FootnoteAnchor"/>
          <w:rtl w:val="true"/>
        </w:rPr>
        <w:footnoteReference w:id="1046"/>
      </w:r>
      <w:r>
        <w:rPr>
          <w:rFonts w:ascii="Amiri" w:hAnsi="Amiri" w:eastAsia="Amiri" w:cs="Amiri"/>
          <w:color w:val="111111"/>
          <w:sz w:val="28"/>
          <w:sz w:val="28"/>
          <w:szCs w:val="28"/>
          <w:rtl w:val="true"/>
          <w:lang w:bidi="ar-SA"/>
        </w:rPr>
        <w:t>و هو في خبر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مرّت به جنازة و هو على غير طهر،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يديه على حائط لبن فيتيمم</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 و لم أر لها رادّا غير ابن الجنيد، حيث قيده بخوف الفوت</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لا نعلمه، و الخبر ضعيف المستند، و المتن مقطوع، فالتمسك بالأصل من اشتراط عدم الماء في التيمّم أولى ما لم يخف فوت الجنازة</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بحجّية الإجماع المنقول بخبر الواحد، و الحجة عمل الأصحاب بالرواية فلا يضرّ ضعفها، و هي ظاهرة في المراد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استحباب تجديده بحسب الصلوات وجه، مخرّج من الرواية الدالّة على التيمّم لكلّ صلاة، كما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 xml:space="preserve">و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 xml:space="preserve">و أبو همام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فحمله في التهذيب و المعتبر على الاستحباب</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21" w:name="pg15253_219721"/>
    </w:p>
    <w:p>
      <w:pPr>
        <w:pStyle w:val="Heading6"/>
        <w:numPr>
          <w:ilvl w:val="5"/>
          <w:numId w:val="1"/>
        </w:numPr>
        <w:rPr/>
      </w:pPr>
      <w:bookmarkStart w:id="622" w:name="__RefHeading___Toc4192103_2142443653"/>
      <w:bookmarkStart w:id="623" w:name="_Toc257"/>
      <w:bookmarkEnd w:id="621"/>
      <w:bookmarkEnd w:id="622"/>
      <w:r>
        <w:rPr>
          <w:rtl w:val="true"/>
        </w:rPr>
        <w:t>المطلب الثاني</w:t>
      </w:r>
      <w:r>
        <w:rPr>
          <w:rtl w:val="true"/>
        </w:rPr>
        <w:t xml:space="preserve">: </w:t>
      </w:r>
      <w:r>
        <w:rPr>
          <w:rtl w:val="true"/>
        </w:rPr>
        <w:t>في المستعمل منه</w:t>
      </w:r>
      <w:r>
        <w:rPr>
          <w:rtl w:val="true"/>
        </w:rPr>
        <w:t xml:space="preserve">. </w:t>
      </w:r>
      <w:r>
        <w:rPr>
          <w:rtl w:val="true"/>
        </w:rPr>
        <w:t>و هو الأسباب الموجبة للطهارة،</w:t>
      </w:r>
      <w:bookmarkEnd w:id="623"/>
    </w:p>
    <w:p>
      <w:pPr>
        <w:pStyle w:val="Heading6"/>
        <w:numPr>
          <w:ilvl w:val="5"/>
          <w:numId w:val="1"/>
        </w:numPr>
        <w:rPr/>
      </w:pPr>
      <w:bookmarkStart w:id="624" w:name="__RefHeading___Toc4192105_2142443653"/>
      <w:bookmarkStart w:id="625" w:name="_Toc258"/>
      <w:bookmarkEnd w:id="624"/>
      <w:r>
        <w:rPr>
          <w:rtl w:val="true"/>
        </w:rPr>
        <w:t>اشارة</w:t>
      </w:r>
      <w:bookmarkEnd w:id="625"/>
    </w:p>
    <w:p>
      <w:pPr>
        <w:pStyle w:val="BookText"/>
        <w:rPr/>
      </w:pPr>
      <w:r>
        <w:rPr>
          <w:rFonts w:ascii="Amiri" w:hAnsi="Amiri" w:eastAsia="Amiri" w:cs="Amiri"/>
          <w:color w:val="111111"/>
          <w:sz w:val="28"/>
          <w:sz w:val="28"/>
          <w:szCs w:val="28"/>
          <w:rtl w:val="true"/>
          <w:lang w:bidi="ar-SA"/>
        </w:rPr>
        <w:t>و هي تنقسم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الوضوء وحده، و موجب الغسل وحده، و موجبهما مجتمعين أو متفرّقين</w:t>
      </w:r>
      <w:r>
        <w:rPr>
          <w:rFonts w:eastAsia="Amiri" w:cs="Amiri" w:ascii="Amiri" w:hAnsi="Amiri"/>
          <w:color w:val="111111"/>
          <w:sz w:val="28"/>
          <w:szCs w:val="28"/>
          <w:rtl w:val="true"/>
          <w:lang w:bidi="ar-SA"/>
        </w:rPr>
        <w:t>.</w:t>
      </w:r>
    </w:p>
    <w:p>
      <w:pPr>
        <w:pStyle w:val="Heading6"/>
        <w:numPr>
          <w:ilvl w:val="5"/>
          <w:numId w:val="1"/>
        </w:numPr>
        <w:rPr/>
      </w:pPr>
      <w:bookmarkStart w:id="626" w:name="__RefHeading___Toc4192107_2142443653"/>
      <w:bookmarkStart w:id="627" w:name="_Toc259"/>
      <w:bookmarkEnd w:id="626"/>
      <w:r>
        <w:rPr>
          <w:rtl w:val="true"/>
        </w:rPr>
        <w:t>فالأول الموجبة للوضوء وحده</w:t>
      </w:r>
      <w:bookmarkEnd w:id="627"/>
    </w:p>
    <w:p>
      <w:pPr>
        <w:pStyle w:val="Heading6"/>
        <w:numPr>
          <w:ilvl w:val="5"/>
          <w:numId w:val="1"/>
        </w:numPr>
        <w:rPr/>
      </w:pPr>
      <w:bookmarkStart w:id="628" w:name="__RefHeading___Toc4192109_2142443653"/>
      <w:bookmarkStart w:id="629" w:name="_Toc260"/>
      <w:bookmarkEnd w:id="628"/>
      <w:r>
        <w:rPr>
          <w:rtl w:val="true"/>
        </w:rPr>
        <w:t>اشارة</w:t>
      </w:r>
      <w:bookmarkEnd w:id="629"/>
    </w:p>
    <w:p>
      <w:pPr>
        <w:pStyle w:val="BookText"/>
        <w:rPr/>
      </w:pP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البول و الغائط و الريح من الموضع المعتاد، و النوم الغالب على الحاسّتين تحقيقا أو تقديرا، و ما يزيل العقل، و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أنّ خروج هذه ينقض الطهارة</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لقوله تعالى أَوْ جاءَ أَحَدٌ مِنْكُمْ مِنَ اَلْغائِطِ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من بول أو غائط</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ينصرفنّ حتى يسمع صوتا أو يجد ريحا</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الوضوء إلاّ من بول، أو غائط، أو ضرطة، أو فسوة تجد ريحها</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وكاء السّه فمن نام فليتوضأ</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و 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الدبر</w:t>
      </w:r>
      <w:r>
        <w:rPr>
          <w:rFonts w:eastAsia="Amiri" w:cs="Amiri" w:ascii="Amiri" w:hAnsi="Amiri"/>
          <w:color w:val="111111"/>
          <w:sz w:val="28"/>
          <w:szCs w:val="28"/>
          <w:rtl w:val="true"/>
          <w:lang w:bidi="ar-SA"/>
        </w:rPr>
        <w:t xml:space="preserve">. </w:t>
      </w:r>
      <w:bookmarkStart w:id="630" w:name="pg15253_219722"/>
    </w:p>
    <w:p>
      <w:pPr>
        <w:pStyle w:val="BookText"/>
        <w:rPr/>
      </w:pPr>
      <w:bookmarkEnd w:id="630"/>
      <w:r>
        <w:rPr>
          <w:rFonts w:ascii="Amiri" w:hAnsi="Amiri" w:eastAsia="Amiri" w:cs="Amiri"/>
          <w:color w:val="111111"/>
          <w:sz w:val="28"/>
          <w:sz w:val="28"/>
          <w:szCs w:val="28"/>
          <w:rtl w:val="true"/>
          <w:lang w:bidi="ar-SA"/>
        </w:rPr>
        <w:t xml:space="preserve">و قال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النوم حتى يذهب العقل</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و منه يعلم مزيل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عليه الصوت وجب الوضوء</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تتوضّأ لكلّ صلاة</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 xml:space="preserve">و بمعناه كلام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1" w:name="__RefHeading___Toc4192111_2142443653"/>
      <w:bookmarkStart w:id="632" w:name="_Toc261"/>
      <w:bookmarkEnd w:id="631"/>
      <w:r>
        <w:rPr>
          <w:rtl w:val="true"/>
        </w:rPr>
        <w:t>مسائل</w:t>
      </w:r>
      <w:r>
        <w:rPr>
          <w:rtl w:val="true"/>
        </w:rPr>
        <w:t>:</w:t>
      </w:r>
      <w:bookmarkEnd w:id="632"/>
    </w:p>
    <w:p>
      <w:pPr>
        <w:pStyle w:val="Heading6"/>
        <w:numPr>
          <w:ilvl w:val="5"/>
          <w:numId w:val="1"/>
        </w:numPr>
        <w:rPr/>
      </w:pPr>
      <w:bookmarkStart w:id="633" w:name="__RefHeading___Toc4192113_2142443653"/>
      <w:bookmarkStart w:id="634" w:name="_Toc262"/>
      <w:bookmarkEnd w:id="633"/>
      <w:r>
        <w:rPr>
          <w:rtl w:val="true"/>
        </w:rPr>
        <w:t>الأولى</w:t>
      </w:r>
      <w:r>
        <w:rPr>
          <w:rtl w:val="true"/>
        </w:rPr>
        <w:t xml:space="preserve">: </w:t>
      </w:r>
      <w:r>
        <w:rPr>
          <w:rtl w:val="true"/>
        </w:rPr>
        <w:t>الخارج من الثلاثة من غير المخرج المعتاد ناقض ان اعتيد،</w:t>
      </w:r>
      <w:bookmarkEnd w:id="634"/>
    </w:p>
    <w:p>
      <w:pPr>
        <w:pStyle w:val="BookText"/>
        <w:rPr/>
      </w:pPr>
      <w:r>
        <w:rPr>
          <w:rFonts w:ascii="Amiri" w:hAnsi="Amiri" w:eastAsia="Amiri" w:cs="Amiri"/>
          <w:color w:val="111111"/>
          <w:sz w:val="28"/>
          <w:sz w:val="28"/>
          <w:szCs w:val="28"/>
          <w:rtl w:val="true"/>
          <w:lang w:bidi="ar-SA"/>
        </w:rPr>
        <w:t>سواء كان فوق المعدة أو تحتها،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مع العادة، فلعموم الآية</w:t>
      </w:r>
      <w:r>
        <w:rPr>
          <w:rStyle w:val="FootnoteAnchor"/>
          <w:rtl w:val="true"/>
        </w:rPr>
        <w:footnoteReference w:id="1064"/>
      </w:r>
      <w:r>
        <w:rPr>
          <w:rFonts w:ascii="Amiri" w:hAnsi="Amiri" w:eastAsia="Amiri" w:cs="Amiri"/>
          <w:color w:val="111111"/>
          <w:sz w:val="28"/>
          <w:sz w:val="28"/>
          <w:szCs w:val="28"/>
          <w:rtl w:val="true"/>
          <w:lang w:bidi="ar-SA"/>
        </w:rPr>
        <w:t>و الحديث</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ينقض الوضوء الا ما خرج من طرفيك، اللذين أنعم اللّه بهما عليك</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لتحقّق النعمة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 الندور، فللأصل و الخبر، إذ ليس من</w:t>
      </w:r>
      <w:r>
        <w:rPr>
          <w:rStyle w:val="FootnoteAnchor"/>
          <w:rtl w:val="true"/>
        </w:rPr>
        <w:footnoteReference w:id="1067"/>
      </w:r>
      <w:r>
        <w:rPr>
          <w:rFonts w:ascii="Amiri" w:hAnsi="Amiri" w:eastAsia="Amiri" w:cs="Amiri"/>
          <w:color w:val="111111"/>
          <w:sz w:val="28"/>
          <w:sz w:val="28"/>
          <w:szCs w:val="28"/>
          <w:rtl w:val="true"/>
          <w:lang w:bidi="ar-SA"/>
        </w:rPr>
        <w:t>الطرفين</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4192115_2142443653"/>
      <w:bookmarkStart w:id="636" w:name="_Toc263"/>
      <w:bookmarkEnd w:id="635"/>
      <w:r>
        <w:rPr>
          <w:rtl w:val="true"/>
        </w:rPr>
        <w:t>الثانية</w:t>
      </w:r>
      <w:r>
        <w:rPr>
          <w:rtl w:val="true"/>
        </w:rPr>
        <w:t xml:space="preserve">: </w:t>
      </w:r>
      <w:r>
        <w:rPr>
          <w:rtl w:val="true"/>
        </w:rPr>
        <w:t>لا ينقض ما يخرج منهما غير الثلاثة و الدماء الثلاثة،</w:t>
      </w:r>
      <w:bookmarkEnd w:id="63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لم يستصحب حدثا، للأصل، و الخبر، 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w:t>
      </w:r>
      <w:bookmarkStart w:id="637" w:name="pg15253_219723"/>
    </w:p>
    <w:p>
      <w:pPr>
        <w:pStyle w:val="BookText"/>
        <w:rPr/>
      </w:pPr>
      <w:bookmarkEnd w:id="637"/>
      <w:r>
        <w:rPr>
          <w:rFonts w:ascii="Amiri" w:hAnsi="Amiri" w:eastAsia="Amiri" w:cs="Amiri"/>
          <w:color w:val="111111"/>
          <w:sz w:val="28"/>
          <w:sz w:val="28"/>
          <w:szCs w:val="28"/>
          <w:rtl w:val="true"/>
          <w:lang w:bidi="ar-SA"/>
        </w:rPr>
        <w:t>حب القرع و الديدان الصغار وضوء</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 xml:space="preserve">و التقييد بالصغار لأن الكبيرة مظنة التلطّخ، و عليه يحمل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 من حب القرع</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8" w:name="__RefHeading___Toc4192117_2142443653"/>
      <w:bookmarkStart w:id="639" w:name="_Toc264"/>
      <w:bookmarkEnd w:id="638"/>
      <w:r>
        <w:rPr>
          <w:rtl w:val="true"/>
        </w:rPr>
        <w:t>الثالثة</w:t>
      </w:r>
      <w:r>
        <w:rPr>
          <w:rtl w:val="true"/>
        </w:rPr>
        <w:t xml:space="preserve">: </w:t>
      </w:r>
      <w:r>
        <w:rPr>
          <w:rtl w:val="true"/>
        </w:rPr>
        <w:t>لا ينقض خروج الريح من الذّكر،</w:t>
      </w:r>
      <w:bookmarkEnd w:id="639"/>
    </w:p>
    <w:p>
      <w:pPr>
        <w:pStyle w:val="BookText"/>
        <w:rPr/>
      </w:pPr>
      <w:r>
        <w:rPr>
          <w:rFonts w:ascii="IRNazanin" w:hAnsi="IRNazanin" w:eastAsia="IRNazanin"/>
          <w:color w:val="111111"/>
          <w:sz w:val="28"/>
          <w:sz w:val="28"/>
          <w:szCs w:val="28"/>
          <w:rtl w:val="true"/>
          <w:lang w:bidi="fa-IR"/>
        </w:rPr>
        <w:t>للأصل، و لعدم المنفذ الى الجوف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قبل المرأة، فقال الفاضلان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خروج الريح منه للمنفذ، و تسميته ريحا</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المعهود مع التمسك بالأصل حتى يعتاد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الجشاء، فلا ينقض إجماعا</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4192119_2142443653"/>
      <w:bookmarkStart w:id="641" w:name="_Toc265"/>
      <w:bookmarkEnd w:id="640"/>
      <w:r>
        <w:rPr>
          <w:rtl w:val="true"/>
        </w:rPr>
        <w:t>الرابعة</w:t>
      </w:r>
      <w:r>
        <w:rPr>
          <w:rtl w:val="true"/>
        </w:rPr>
        <w:t xml:space="preserve">: </w:t>
      </w:r>
      <w:r>
        <w:rPr>
          <w:rtl w:val="true"/>
        </w:rPr>
        <w:t>لا ينقض الدهن المستدخل و الحقنة إذا خرجا ما لم يستصحبا،</w:t>
      </w:r>
      <w:bookmarkEnd w:id="641"/>
    </w:p>
    <w:p>
      <w:pPr>
        <w:pStyle w:val="BookText"/>
        <w:rPr/>
      </w:pPr>
      <w:r>
        <w:rPr>
          <w:rFonts w:ascii="Amiri" w:hAnsi="Amiri" w:eastAsia="Amiri" w:cs="Amiri"/>
          <w:color w:val="111111"/>
          <w:sz w:val="28"/>
          <w:sz w:val="28"/>
          <w:szCs w:val="28"/>
          <w:rtl w:val="true"/>
          <w:lang w:bidi="ar-SA"/>
        </w:rPr>
        <w:t>خلافا لابن الجنيد في الحقنة</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خرجت المقعدة ملوّثة بالغائط، ثم عادت و لمّا ينفصل،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النقض، لعدم صدق الخروج المعهود</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4192121_2142443653"/>
      <w:bookmarkStart w:id="643" w:name="_Toc266"/>
      <w:bookmarkEnd w:id="642"/>
      <w:r>
        <w:rPr>
          <w:rtl w:val="true"/>
        </w:rPr>
        <w:t>الخامسة</w:t>
      </w:r>
      <w:r>
        <w:rPr>
          <w:rtl w:val="true"/>
        </w:rPr>
        <w:t xml:space="preserve">: </w:t>
      </w:r>
      <w:r>
        <w:rPr>
          <w:rtl w:val="true"/>
        </w:rPr>
        <w:t>الخنثى المشكل</w:t>
      </w:r>
      <w:bookmarkEnd w:id="643"/>
    </w:p>
    <w:p>
      <w:pPr>
        <w:pStyle w:val="BookText"/>
        <w:rPr/>
      </w:pPr>
      <w:r>
        <w:rPr>
          <w:rFonts w:ascii="Amiri" w:hAnsi="Amiri" w:eastAsia="Amiri" w:cs="Amiri"/>
          <w:color w:val="111111"/>
          <w:sz w:val="28"/>
          <w:sz w:val="28"/>
          <w:szCs w:val="28"/>
          <w:rtl w:val="true"/>
          <w:lang w:bidi="ar-SA"/>
        </w:rPr>
        <w:t>إذا اعتاد المخرجين نقضا، و إلاّ فالناقض المعتاد، و لا يشترط مع الاعتياد الخروج منهما بل يكفي أحدهما</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4192123_2142443653"/>
      <w:bookmarkStart w:id="645" w:name="_Toc267"/>
      <w:bookmarkEnd w:id="644"/>
      <w:r>
        <w:rPr>
          <w:rtl w:val="true"/>
        </w:rPr>
        <w:t>السادسة</w:t>
      </w:r>
      <w:r>
        <w:rPr>
          <w:rtl w:val="true"/>
        </w:rPr>
        <w:t xml:space="preserve">: </w:t>
      </w:r>
      <w:r>
        <w:rPr>
          <w:rtl w:val="true"/>
        </w:rPr>
        <w:t xml:space="preserve">لا تنقض السنة </w:t>
      </w:r>
      <w:r>
        <w:rPr>
          <w:rtl w:val="true"/>
        </w:rPr>
        <w:t>-</w:t>
      </w:r>
      <w:bookmarkEnd w:id="645"/>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النعاس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التسمية، و لعدم ذهاب العقل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بين حالات النائم، للعموم، و لحسن عبد الحميد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و هو راكع أو ساجد أو ماش، على أي الحالات، فعليه الوضوء</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bookmarkStart w:id="646" w:name="pg15253_219724"/>
    </w:p>
    <w:p>
      <w:pPr>
        <w:pStyle w:val="BookText"/>
        <w:rPr/>
      </w:pPr>
      <w:bookmarkEnd w:id="646"/>
      <w:r>
        <w:rPr>
          <w:rFonts w:ascii="Amiri" w:hAnsi="Amiri" w:eastAsia="Amiri" w:cs="Amiri"/>
          <w:color w:val="111111"/>
          <w:sz w:val="28"/>
          <w:sz w:val="28"/>
          <w:szCs w:val="28"/>
          <w:rtl w:val="true"/>
          <w:lang w:bidi="ar-SA"/>
        </w:rPr>
        <w:t>و الصدوق أورد خبر سماعة في الرجل يخفق رأسه و هو في الصلاة قائما أو راكعا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وضوء عليه</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 xml:space="preserve">و 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وضوء عليه ما دام قاعدا لم ينفرج</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أبوه لم يذكر النوم في النواقض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الخبران محمولان على السنة، مع قطع الأول، و عدم العلم بصحة سند الثاني</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4192125_2142443653"/>
      <w:bookmarkStart w:id="648" w:name="_Toc268"/>
      <w:bookmarkEnd w:id="647"/>
      <w:r>
        <w:rPr>
          <w:rtl w:val="true"/>
        </w:rPr>
        <w:t>السابعة</w:t>
      </w:r>
      <w:r>
        <w:rPr>
          <w:rtl w:val="true"/>
        </w:rPr>
        <w:t xml:space="preserve">: </w:t>
      </w:r>
      <w:r>
        <w:rPr>
          <w:rtl w:val="true"/>
        </w:rPr>
        <w:t>لا ينقض المذي مطلقا،</w:t>
      </w:r>
      <w:bookmarkEnd w:id="648"/>
    </w:p>
    <w:p>
      <w:pPr>
        <w:pStyle w:val="BookText"/>
        <w:rPr/>
      </w:pP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 xml:space="preserve">و لخبر عمر بن حنظلة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إلاّ كالنّخامة</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عقيب الشهوة</w:t>
      </w:r>
      <w:r>
        <w:rPr>
          <w:rStyle w:val="FootnoteAnchor"/>
          <w:rtl w:val="true"/>
        </w:rPr>
        <w:footnoteReference w:id="1077"/>
      </w:r>
      <w:r>
        <w:rPr>
          <w:rFonts w:ascii="Amiri" w:hAnsi="Amiri" w:eastAsia="Amiri" w:cs="Amiri"/>
          <w:color w:val="111111"/>
          <w:sz w:val="28"/>
          <w:sz w:val="28"/>
          <w:szCs w:val="28"/>
          <w:rtl w:val="true"/>
          <w:lang w:bidi="ar-SA"/>
        </w:rPr>
        <w:t xml:space="preserve">، لصحيح محمّد بن إسماعيل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078"/>
      </w:r>
      <w:r>
        <w:rPr>
          <w:rFonts w:ascii="IRNazanin" w:hAnsi="IRNazanin" w:eastAsia="IRNazanin"/>
          <w:color w:val="111111"/>
          <w:sz w:val="28"/>
          <w:sz w:val="28"/>
          <w:szCs w:val="28"/>
          <w:rtl w:val="true"/>
          <w:lang w:bidi="fa-IR"/>
        </w:rPr>
        <w:t>، و حملت على الندب</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الودي و القهقهة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حجة ابن الجنيد بخبر سماعة المقطوع</w:t>
      </w:r>
      <w:r>
        <w:rPr>
          <w:rStyle w:val="FootnoteAnchor"/>
          <w:rtl w:val="true"/>
        </w:rPr>
        <w:footnoteReference w:id="1080"/>
      </w:r>
      <w:r>
        <w:rPr>
          <w:rFonts w:ascii="Amiri" w:hAnsi="Amiri" w:eastAsia="Amiri" w:cs="Amiri"/>
          <w:color w:val="111111"/>
          <w:sz w:val="28"/>
          <w:sz w:val="28"/>
          <w:szCs w:val="28"/>
          <w:rtl w:val="true"/>
          <w:lang w:bidi="ar-SA"/>
        </w:rPr>
        <w:t>يحمل على الندب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دم من السبيل يشك في خلوّه من الحدث، لخبر أبي بصير عن الصادق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دم 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 وضوء</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 أوجبه، و وافق مع علم خلوّه في عدم الوضوء</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أبي عبيدة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الوضوء مع استكراهه الدم السائل</w:t>
      </w:r>
      <w:r>
        <w:rPr>
          <w:rStyle w:val="FootnoteAnchor"/>
          <w:rtl w:val="true"/>
        </w:rPr>
        <w:footnoteReference w:id="1083"/>
      </w:r>
      <w:r>
        <w:rPr>
          <w:rFonts w:ascii="Amiri" w:hAnsi="Amiri" w:eastAsia="Amiri" w:cs="Amiri"/>
          <w:color w:val="111111"/>
          <w:sz w:val="28"/>
          <w:sz w:val="28"/>
          <w:szCs w:val="28"/>
          <w:rtl w:val="true"/>
          <w:lang w:bidi="ar-SA"/>
        </w:rPr>
        <w:t>حمل على التقيّة أو الندب</w:t>
      </w:r>
      <w:r>
        <w:rPr>
          <w:rStyle w:val="FootnoteAnchor"/>
          <w:rtl w:val="true"/>
        </w:rPr>
        <w:footnoteReference w:id="1084"/>
      </w:r>
      <w:r>
        <w:rPr>
          <w:rFonts w:ascii="Amiri" w:hAnsi="Amiri" w:eastAsia="Amiri" w:cs="Amiri"/>
          <w:color w:val="111111"/>
          <w:sz w:val="28"/>
          <w:sz w:val="28"/>
          <w:szCs w:val="28"/>
          <w:rtl w:val="true"/>
          <w:lang w:bidi="ar-SA"/>
        </w:rPr>
        <w:t xml:space="preserve">و كذا خبر عبيد بن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مسّ قبل و 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باطنا و ظاهرا، محرّما أو محللا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قبلة،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ابن أبي عمير المرسل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المذي من الشهوة، و لا من الإنعاظ، و لا من القبلة، و لا من مسح الفرج، و لا من المضاجعة، وضوء</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القبلة و المباشرة، و لا مس الفرج، وضوء</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حجة ابن الجنيد</w:t>
      </w:r>
      <w:r>
        <w:rPr>
          <w:rStyle w:val="FootnoteAnchor"/>
          <w:rtl w:val="true"/>
        </w:rPr>
        <w:footnoteReference w:id="1088"/>
      </w:r>
      <w:r>
        <w:rPr>
          <w:rFonts w:ascii="Amiri" w:hAnsi="Amiri" w:eastAsia="Amiri" w:cs="Amiri"/>
          <w:color w:val="111111"/>
          <w:sz w:val="28"/>
          <w:sz w:val="28"/>
          <w:szCs w:val="28"/>
          <w:rtl w:val="true"/>
          <w:lang w:bidi="ar-SA"/>
        </w:rPr>
        <w:t xml:space="preserve">بخبر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قبّل الرجل المرأة من شهوة، أو مس فرجها، أعاد الوضوء</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و حجّة الصدوق</w:t>
      </w:r>
      <w:r>
        <w:rPr>
          <w:rStyle w:val="FootnoteAnchor"/>
          <w:rtl w:val="true"/>
        </w:rPr>
        <w:footnoteReference w:id="1090"/>
      </w:r>
      <w:r>
        <w:rPr>
          <w:rFonts w:ascii="Amiri" w:hAnsi="Amiri" w:eastAsia="Amiri" w:cs="Amiri"/>
          <w:color w:val="111111"/>
          <w:sz w:val="28"/>
          <w:sz w:val="28"/>
          <w:szCs w:val="28"/>
          <w:rtl w:val="true"/>
          <w:lang w:bidi="ar-SA"/>
        </w:rPr>
        <w:t xml:space="preserve">لخبر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مس باطن دبره و إحليله أعاد الوضوء</w:t>
      </w:r>
      <w:r>
        <w:rPr>
          <w:rFonts w:eastAsia="Amiri" w:cs="Amiri" w:ascii="Amiri" w:hAnsi="Amiri"/>
          <w:color w:val="111111"/>
          <w:sz w:val="28"/>
          <w:szCs w:val="28"/>
          <w:rtl w:val="true"/>
          <w:lang w:bidi="ar-SA"/>
        </w:rPr>
        <w:t>»</w:t>
      </w:r>
      <w:r>
        <w:rPr>
          <w:rStyle w:val="FootnoteAnchor"/>
          <w:rtl w:val="true"/>
        </w:rPr>
        <w:footnoteReference w:id="1091"/>
      </w:r>
      <w:r>
        <w:rPr>
          <w:rFonts w:ascii="IRNazanin" w:hAnsi="IRNazanin" w:eastAsia="IRNazanin"/>
          <w:color w:val="111111"/>
          <w:sz w:val="28"/>
          <w:sz w:val="28"/>
          <w:szCs w:val="28"/>
          <w:rtl w:val="true"/>
          <w:lang w:bidi="fa-IR"/>
        </w:rPr>
        <w:t>محمولان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الندب مع صحة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قيء و ان ملأ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إنشاد شعر كذب و ان زاد على أربعة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الشيخ رواية سماعة</w:t>
      </w:r>
      <w:r>
        <w:rPr>
          <w:rStyle w:val="FootnoteAnchor"/>
          <w:rtl w:val="true"/>
        </w:rPr>
        <w:footnoteReference w:id="1092"/>
      </w:r>
      <w:r>
        <w:rPr>
          <w:rFonts w:ascii="IRNazanin" w:hAnsi="IRNazanin" w:eastAsia="IRNazanin"/>
          <w:color w:val="111111"/>
          <w:sz w:val="28"/>
          <w:sz w:val="28"/>
          <w:szCs w:val="28"/>
          <w:rtl w:val="true"/>
          <w:lang w:bidi="fa-IR"/>
        </w:rPr>
        <w:t>به على الندب</w:t>
      </w:r>
      <w:r>
        <w:rPr>
          <w:rStyle w:val="FootnoteAnchor"/>
          <w:rtl w:val="true"/>
        </w:rPr>
        <w:footnoteReference w:id="1093"/>
      </w:r>
      <w:r>
        <w:rPr>
          <w:rFonts w:ascii="Amiri" w:hAnsi="Amiri" w:eastAsia="Amiri" w:cs="Amiri"/>
          <w:color w:val="111111"/>
          <w:sz w:val="28"/>
          <w:sz w:val="28"/>
          <w:szCs w:val="28"/>
          <w:rtl w:val="true"/>
          <w:lang w:bidi="ar-SA"/>
        </w:rPr>
        <w:t xml:space="preserve">، مع أنّها مقطوعة معارضة برواية معاوية بن ميسرة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بمس النساء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w:t>
      </w:r>
      <w:r>
        <w:rPr>
          <w:rStyle w:val="FootnoteAnchor"/>
          <w:rtl w:val="true"/>
        </w:rPr>
        <w:footnoteReference w:id="1095"/>
      </w:r>
      <w:r>
        <w:rPr>
          <w:rFonts w:ascii="Amiri" w:hAnsi="Amiri" w:eastAsia="Amiri" w:cs="Amiri"/>
          <w:color w:val="111111"/>
          <w:sz w:val="28"/>
          <w:sz w:val="28"/>
          <w:szCs w:val="28"/>
          <w:rtl w:val="true"/>
          <w:lang w:bidi="ar-SA"/>
        </w:rPr>
        <w:t>يراد بها الجماع، قضاء للعرف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مريم في لمس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ما بذا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فسّر الملامسة بالمواقعة</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أكل ما مسته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روي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توضئوا مما مسّته النار</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منسوخ بخبر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آخر الأمرين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الوضوء مما مسّته النار</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دم حجامة، لخبر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و صلّى و لم يتوضأ، و لم يزد على غسل محاجمه</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أكل لحم جزور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يثبت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توضئوا من لحوم الإبل</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49" w:name="pg15253_219727"/>
    </w:p>
    <w:p>
      <w:pPr>
        <w:pStyle w:val="BookText"/>
        <w:rPr/>
      </w:pPr>
      <w:bookmarkEnd w:id="649"/>
      <w:r>
        <w:rPr>
          <w:rFonts w:ascii="IRNazanin" w:hAnsi="IRNazanin" w:eastAsia="IRNazanin"/>
          <w:color w:val="111111"/>
          <w:sz w:val="28"/>
          <w:sz w:val="28"/>
          <w:szCs w:val="28"/>
          <w:rtl w:val="true"/>
          <w:lang w:bidi="fa-IR"/>
        </w:rPr>
        <w:t>فهو منسوخ بخبر جابر</w:t>
      </w:r>
      <w:r>
        <w:rPr>
          <w:rStyle w:val="FootnoteAnchor"/>
          <w:rtl w:val="true"/>
        </w:rPr>
        <w:footnoteReference w:id="1101"/>
      </w:r>
      <w:r>
        <w:rPr>
          <w:rFonts w:ascii="Amiri" w:hAnsi="Amiri" w:eastAsia="Amiri" w:cs="Amiri"/>
          <w:color w:val="111111"/>
          <w:sz w:val="28"/>
          <w:sz w:val="28"/>
          <w:szCs w:val="28"/>
          <w:rtl w:val="true"/>
          <w:lang w:bidi="ar-SA"/>
        </w:rPr>
        <w:t>، أو يحمل على غسل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قصّ شارب، و تقليم ظفر، و نتف إبط، لخبر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القلم و الجزّ، و الأخذ من اللّحية و الرأس، انه يزيده تطهيرا</w:t>
      </w:r>
      <w:r>
        <w:rPr>
          <w:rStyle w:val="FootnoteAnchor"/>
        </w:rPr>
        <w:footnoteReference w:id="1102"/>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الخلاف في الثلاثة عن مجاهد و الحكم و حماد من العامة بغير حجة</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القلم و أخذ الشعر بعد الوضوء انه يمسحهما بالماء</w:t>
      </w:r>
      <w:r>
        <w:rPr>
          <w:rStyle w:val="FootnoteAnchor"/>
          <w:rtl w:val="true"/>
        </w:rPr>
        <w:footnoteReference w:id="1104"/>
      </w:r>
      <w:r>
        <w:rPr>
          <w:rFonts w:ascii="IRNazanin" w:hAnsi="IRNazanin" w:eastAsia="IRNazanin"/>
          <w:color w:val="111111"/>
          <w:sz w:val="28"/>
          <w:sz w:val="28"/>
          <w:szCs w:val="28"/>
          <w:rtl w:val="true"/>
          <w:lang w:bidi="fa-IR"/>
        </w:rPr>
        <w:t>للندب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فتح الإحليل، خلافا للصدوق</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ارتداد و لَئِنْ أَشْرَكْتَ لَيَحْبَطَنَّ عَمَلُكَ </w:t>
      </w:r>
      <w:r>
        <w:rPr>
          <w:rStyle w:val="FootnoteAnchor"/>
          <w:rtl w:val="true"/>
        </w:rPr>
        <w:footnoteReference w:id="1106"/>
      </w:r>
      <w:r>
        <w:rPr>
          <w:rFonts w:ascii="Amiri" w:hAnsi="Amiri" w:eastAsia="Amiri" w:cs="Amiri"/>
          <w:color w:val="111111"/>
          <w:sz w:val="28"/>
          <w:sz w:val="28"/>
          <w:szCs w:val="28"/>
          <w:rtl w:val="true"/>
          <w:lang w:bidi="ar-SA"/>
        </w:rPr>
        <w:t>مقيّد بموته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بالوضوء من مصافحة المجوسي و مس الكلب</w:t>
      </w:r>
      <w:r>
        <w:rPr>
          <w:rStyle w:val="FootnoteAnchor"/>
          <w:rtl w:val="true"/>
        </w:rPr>
        <w:footnoteReference w:id="1107"/>
      </w:r>
      <w:r>
        <w:rPr>
          <w:rFonts w:ascii="Amiri" w:hAnsi="Amiri" w:eastAsia="Amiri" w:cs="Amiri"/>
          <w:color w:val="111111"/>
          <w:sz w:val="28"/>
          <w:sz w:val="28"/>
          <w:szCs w:val="28"/>
          <w:rtl w:val="true"/>
          <w:lang w:bidi="ar-SA"/>
        </w:rPr>
        <w:t>محمول على التنظيف</w:t>
      </w:r>
      <w:r>
        <w:rPr>
          <w:rFonts w:eastAsia="Amiri" w:cs="Amiri" w:ascii="Amiri" w:hAnsi="Amiri"/>
          <w:color w:val="111111"/>
          <w:sz w:val="28"/>
          <w:szCs w:val="28"/>
          <w:rtl w:val="true"/>
          <w:lang w:bidi="ar-SA"/>
        </w:rPr>
        <w:t>.</w:t>
      </w:r>
    </w:p>
    <w:p>
      <w:pPr>
        <w:pStyle w:val="Heading6"/>
        <w:numPr>
          <w:ilvl w:val="5"/>
          <w:numId w:val="1"/>
        </w:numPr>
        <w:rPr/>
      </w:pPr>
      <w:bookmarkStart w:id="650" w:name="__RefHeading___Toc4192127_2142443653"/>
      <w:bookmarkStart w:id="651" w:name="_Toc269"/>
      <w:bookmarkEnd w:id="650"/>
      <w:r>
        <w:rPr>
          <w:rtl w:val="true"/>
        </w:rPr>
        <w:t>القسم الثاني</w:t>
      </w:r>
      <w:r>
        <w:rPr>
          <w:rtl w:val="true"/>
        </w:rPr>
        <w:t xml:space="preserve">: </w:t>
      </w:r>
      <w:r>
        <w:rPr>
          <w:rtl w:val="true"/>
        </w:rPr>
        <w:t>موجب الغسل و حدّه</w:t>
      </w:r>
      <w:r>
        <w:rPr>
          <w:rtl w:val="true"/>
        </w:rPr>
        <w:t>.</w:t>
      </w:r>
      <w:bookmarkEnd w:id="65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الجنابة باتّفاقنا، لقوله تعالى فَاطَّهَّرُوا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قوله تعالى حَتَّى تَغْتَسِلُوا </w:t>
      </w:r>
      <w:r>
        <w:rPr>
          <w:rStyle w:val="FootnoteAnchor"/>
          <w:rtl w:val="true"/>
        </w:rPr>
        <w:footnoteReference w:id="1109"/>
      </w:r>
      <w:r>
        <w:rPr>
          <w:rFonts w:ascii="Amiri" w:hAnsi="Amiri" w:eastAsia="Amiri" w:cs="Amiri"/>
          <w:color w:val="111111"/>
          <w:sz w:val="28"/>
          <w:sz w:val="28"/>
          <w:szCs w:val="28"/>
          <w:rtl w:val="true"/>
          <w:lang w:bidi="ar-SA"/>
        </w:rPr>
        <w:t>غيّا المنع به فلا يتوقّف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للخبر عن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يتوضّأ بعد الغسل من الجنابة</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يأمر بالوضوء قبل غسل الجنابة،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وضوء عليه</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ثم يجزئ عن غيره، و الأقرب العكس أيضا و خصوصا مع الوضوء، لأنّ خصوصية السبب ملغاة، و المعتبر هو القدر المشترك، و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لرواية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و هي جنب أجزأها غسل واحد</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الحائض بعد الجنابة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تجعله غسلا واحدا</w:t>
      </w:r>
      <w:r>
        <w:rPr>
          <w:rFonts w:eastAsia="IRNazanin" w:cs="IRNazanin"/>
          <w:color w:val="111111"/>
          <w:sz w:val="28"/>
          <w:szCs w:val="28"/>
          <w:rtl w:val="true"/>
          <w:lang w:bidi="fa-IR"/>
        </w:rPr>
        <w:t>»</w:t>
      </w:r>
      <w:r>
        <w:rPr>
          <w:rStyle w:val="FootnoteAnchor"/>
          <w:rtl w:val="true"/>
        </w:rPr>
        <w:footnoteReference w:id="1114"/>
      </w:r>
      <w:r>
        <w:rPr>
          <w:rFonts w:ascii="Amiri" w:hAnsi="Amiri" w:eastAsia="Amiri" w:cs="Amiri"/>
          <w:color w:val="111111"/>
          <w:sz w:val="28"/>
          <w:sz w:val="28"/>
          <w:szCs w:val="28"/>
          <w:rtl w:val="true"/>
          <w:lang w:bidi="ar-SA"/>
        </w:rPr>
        <w:t xml:space="preserve">و مثله عن حجاج الخشاب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احتج مانع العكس بخبر سماعة عن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الحائض بعد الجماع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الجنابة عليها واجب</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مفهوم اللقب و ليس بحجة، و جاز ذكره ليعلم بقاء حدث الجنابة، فيكون الغسل بعد الحيض رافعا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652" w:name="pg15253_219729"/>
    </w:p>
    <w:p>
      <w:pPr>
        <w:pStyle w:val="BookText"/>
        <w:rPr/>
      </w:pPr>
      <w:bookmarkEnd w:id="652"/>
      <w:r>
        <w:rPr>
          <w:rFonts w:ascii="Amiri" w:hAnsi="Amiri" w:eastAsia="Amiri" w:cs="Amiri"/>
          <w:color w:val="111111"/>
          <w:sz w:val="28"/>
          <w:sz w:val="28"/>
          <w:szCs w:val="28"/>
          <w:rtl w:val="true"/>
          <w:lang w:bidi="ar-SA"/>
        </w:rPr>
        <w:t xml:space="preserve">و هذه الأخبار تدلّ على إجزاء الواحد، و هو شامل للنية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الرفع أو الاستباحة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للنية المخصصة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الإطلاق، أو تخصيص الجنابة لا وضوء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تخصيص غيره،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قوّى في المعتبر عدم الوضوء، لأنّه جنب</w:t>
      </w:r>
      <w:r>
        <w:rPr>
          <w:rStyle w:val="FootnoteAnchor"/>
          <w:rtl w:val="true"/>
        </w:rPr>
        <w:footnoteReference w:id="1117"/>
      </w:r>
      <w:r>
        <w:rPr>
          <w:rFonts w:ascii="IRNazanin" w:hAnsi="IRNazanin" w:eastAsia="IRNazanin"/>
          <w:color w:val="111111"/>
          <w:sz w:val="28"/>
          <w:sz w:val="28"/>
          <w:szCs w:val="28"/>
          <w:rtl w:val="true"/>
          <w:lang w:bidi="fa-IR"/>
        </w:rPr>
        <w:t>و لظاهر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غسل المستحاضة إذا جامع هذه، فان كانت منقطعة، و قلنا بوجوبه، تداخل و ان كان الدم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التخير أو التيقن، فالأحوط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 لبقاء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الاكتفاء بالقربة، لا بحث في التداخل في غير الاستحاضة</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4192129_2142443653"/>
      <w:bookmarkStart w:id="654" w:name="_Toc270"/>
      <w:bookmarkEnd w:id="653"/>
      <w:r>
        <w:rPr>
          <w:rtl w:val="true"/>
        </w:rPr>
        <w:t>القسم الثالث الموجبة للوضوء و الغسل مجتمعين أو متفرقين</w:t>
      </w:r>
      <w:bookmarkEnd w:id="654"/>
    </w:p>
    <w:p>
      <w:pPr>
        <w:pStyle w:val="Heading6"/>
        <w:numPr>
          <w:ilvl w:val="5"/>
          <w:numId w:val="1"/>
        </w:numPr>
        <w:rPr/>
      </w:pPr>
      <w:bookmarkStart w:id="655" w:name="__RefHeading___Toc4192131_2142443653"/>
      <w:bookmarkStart w:id="656" w:name="_Toc271"/>
      <w:bookmarkEnd w:id="655"/>
      <w:r>
        <w:rPr>
          <w:rtl w:val="true"/>
        </w:rPr>
        <w:t>اشارة</w:t>
      </w:r>
      <w:bookmarkEnd w:id="656"/>
    </w:p>
    <w:p>
      <w:pPr>
        <w:pStyle w:val="BookText"/>
        <w:rPr/>
      </w:pPr>
      <w:r>
        <w:rPr>
          <w:rFonts w:ascii="Amiri" w:hAnsi="Amiri" w:eastAsia="Amiri" w:cs="Amiri"/>
          <w:color w:val="111111"/>
          <w:sz w:val="28"/>
          <w:sz w:val="28"/>
          <w:szCs w:val="28"/>
          <w:rtl w:val="true"/>
          <w:lang w:bidi="ar-SA"/>
        </w:rPr>
        <w:t xml:space="preserve">الدماء الثلاثة، و مسّ ميت الآدمي النجس، و يجامعها الوضوء عند الأكثر، لعموم قوله تعالى إِذا قُمْتُمْ إِلَى اَلصَّلاةِ فَاغْسِلُوا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لصحيح ابن أبي عمير المرسل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 قبله وضوء، إلاّ غسل الجنابة</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لخبر حماد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غسل وضوء، إلاّ الجنابة</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بتقديم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Style w:val="FootnoteAnchor"/>
          <w:rtl w:val="true"/>
        </w:rPr>
        <w:footnoteReference w:id="1121"/>
      </w:r>
      <w:r>
        <w:rPr>
          <w:rFonts w:ascii="IRNazanin" w:hAnsi="IRNazanin" w:eastAsia="IRNazanin"/>
          <w:color w:val="111111"/>
          <w:sz w:val="28"/>
          <w:sz w:val="28"/>
          <w:szCs w:val="28"/>
          <w:rtl w:val="true"/>
          <w:lang w:bidi="fa-IR"/>
        </w:rPr>
        <w:t>و الصدوقان</w:t>
      </w:r>
      <w:r>
        <w:rPr>
          <w:rStyle w:val="FootnoteAnchor"/>
          <w:rtl w:val="true"/>
        </w:rPr>
        <w:footnoteReference w:id="1122"/>
      </w:r>
      <w:r>
        <w:rPr>
          <w:rFonts w:ascii="IRNazanin" w:hAnsi="IRNazanin" w:eastAsia="IRNazanin"/>
          <w:color w:val="111111"/>
          <w:sz w:val="28"/>
          <w:sz w:val="28"/>
          <w:szCs w:val="28"/>
          <w:rtl w:val="true"/>
          <w:lang w:bidi="fa-IR"/>
        </w:rPr>
        <w:t>و أبو الصلاح</w:t>
      </w:r>
      <w:r>
        <w:rPr>
          <w:rStyle w:val="FootnoteAnchor"/>
          <w:rtl w:val="true"/>
        </w:rPr>
        <w:footnoteReference w:id="1123"/>
      </w:r>
      <w:r>
        <w:rPr>
          <w:rFonts w:ascii="Amiri" w:hAnsi="Amiri" w:eastAsia="Amiri" w:cs="Amiri"/>
          <w:color w:val="111111"/>
          <w:sz w:val="28"/>
          <w:sz w:val="28"/>
          <w:szCs w:val="28"/>
          <w:rtl w:val="true"/>
          <w:lang w:bidi="ar-SA"/>
        </w:rPr>
        <w:t xml:space="preserve">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w:t>
      </w: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للخبر</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التأخير، و التقديم أفضل</w:t>
      </w:r>
      <w:r>
        <w:rPr>
          <w:rStyle w:val="FootnoteAnchor"/>
          <w:rtl w:val="true"/>
        </w:rPr>
        <w:footnoteReference w:id="1126"/>
      </w:r>
      <w:r>
        <w:rPr>
          <w:rFonts w:ascii="IRNazanin" w:hAnsi="IRNazanin" w:eastAsia="IRNazanin"/>
          <w:color w:val="111111"/>
          <w:sz w:val="28"/>
          <w:sz w:val="28"/>
          <w:szCs w:val="28"/>
          <w:rtl w:val="true"/>
          <w:lang w:bidi="fa-IR"/>
        </w:rPr>
        <w:t>للأصل، و لخبر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روى عبد اللّه بن سليمان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سليمان بن خالد عن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موجبات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 إن لم يسمّ حدثا، و هو كاف عن جميع الأغسال، لسقوط التكليف</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الجنابة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أشهرهما سقوط غسلها، و هي عن الباقر</w:t>
      </w:r>
      <w:r>
        <w:rPr>
          <w:rStyle w:val="FootnoteAnchor"/>
          <w:rtl w:val="true"/>
        </w:rPr>
        <w:footnoteReference w:id="1128"/>
      </w:r>
      <w:r>
        <w:rPr>
          <w:rFonts w:ascii="IRNazanin" w:hAnsi="IRNazanin" w:eastAsia="IRNazanin"/>
          <w:color w:val="111111"/>
          <w:sz w:val="28"/>
          <w:sz w:val="28"/>
          <w:szCs w:val="28"/>
          <w:rtl w:val="true"/>
          <w:lang w:bidi="fa-IR"/>
        </w:rPr>
        <w:t>و الصادق</w:t>
      </w:r>
      <w:r>
        <w:rPr>
          <w:rStyle w:val="FootnoteAnchor"/>
          <w:rtl w:val="true"/>
        </w:rPr>
        <w:footnoteReference w:id="1129"/>
      </w:r>
      <w:r>
        <w:rPr>
          <w:rFonts w:ascii="Amiri" w:hAnsi="Amiri" w:eastAsia="Amiri" w:cs="Amiri"/>
          <w:color w:val="111111"/>
          <w:sz w:val="28"/>
          <w:sz w:val="28"/>
          <w:szCs w:val="28"/>
          <w:rtl w:val="true"/>
          <w:lang w:bidi="ar-SA"/>
        </w:rPr>
        <w:t>و الكاظم</w:t>
      </w:r>
      <w:r>
        <w:rPr>
          <w:rStyle w:val="FootnoteAnchor"/>
          <w:rtl w:val="true"/>
        </w:rPr>
        <w:footnoteReference w:id="1130"/>
      </w:r>
      <w:r>
        <w:rPr>
          <w:rFonts w:ascii="IRNazanin" w:hAnsi="IRNazanin" w:eastAsia="IRNazanin"/>
          <w:color w:val="111111"/>
          <w:sz w:val="28"/>
          <w:sz w:val="28"/>
          <w:szCs w:val="28"/>
          <w:rtl w:val="true"/>
          <w:lang w:bidi="fa-IR"/>
        </w:rPr>
        <w:t>و الأخرى سبقت</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657" w:name="pg15253_219731"/>
    </w:p>
    <w:p>
      <w:pPr>
        <w:pStyle w:val="BookText"/>
        <w:rPr/>
      </w:pPr>
      <w:bookmarkEnd w:id="657"/>
      <w:r>
        <w:rPr>
          <w:rFonts w:ascii="Amiri" w:hAnsi="Amiri" w:eastAsia="Amiri" w:cs="Amiri"/>
          <w:color w:val="111111"/>
          <w:sz w:val="28"/>
          <w:sz w:val="28"/>
          <w:szCs w:val="28"/>
          <w:rtl w:val="true"/>
          <w:lang w:bidi="ar-SA"/>
        </w:rPr>
        <w:t>فهنا مقامات ستة</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4192133_2142443653"/>
      <w:bookmarkStart w:id="659" w:name="_Toc272"/>
      <w:bookmarkEnd w:id="658"/>
      <w:r>
        <w:rPr>
          <w:rtl w:val="true"/>
        </w:rPr>
        <w:t>المقام الأول</w:t>
      </w:r>
      <w:r>
        <w:rPr>
          <w:rtl w:val="true"/>
        </w:rPr>
        <w:t xml:space="preserve">: </w:t>
      </w:r>
      <w:r>
        <w:rPr>
          <w:rtl w:val="true"/>
        </w:rPr>
        <w:t>للجنابة سببان</w:t>
      </w:r>
      <w:r>
        <w:rPr>
          <w:rtl w:val="true"/>
        </w:rPr>
        <w:t>:</w:t>
      </w:r>
      <w:bookmarkEnd w:id="659"/>
    </w:p>
    <w:p>
      <w:pPr>
        <w:pStyle w:val="Heading6"/>
        <w:numPr>
          <w:ilvl w:val="5"/>
          <w:numId w:val="1"/>
        </w:numPr>
        <w:rPr/>
      </w:pPr>
      <w:bookmarkStart w:id="660" w:name="__RefHeading___Toc4192135_2142443653"/>
      <w:bookmarkStart w:id="661" w:name="_Toc273"/>
      <w:bookmarkEnd w:id="660"/>
      <w:r>
        <w:rPr>
          <w:rtl w:val="true"/>
        </w:rPr>
        <w:t>اشارة</w:t>
      </w:r>
      <w:bookmarkEnd w:id="661"/>
    </w:p>
    <w:p>
      <w:pPr>
        <w:pStyle w:val="BookText"/>
        <w:rPr/>
      </w:pPr>
      <w:r>
        <w:rPr>
          <w:rFonts w:ascii="Amiri" w:hAnsi="Amiri" w:eastAsia="Amiri" w:cs="Amiri"/>
          <w:color w:val="111111"/>
          <w:sz w:val="28"/>
          <w:sz w:val="28"/>
          <w:szCs w:val="28"/>
          <w:rtl w:val="true"/>
          <w:lang w:bidi="ar-SA"/>
        </w:rPr>
        <w:t xml:space="preserve">الإنزال مع علم كون الخارج منيّا، نوما كان أو يقظة، بشهوة أو غيرها، بإجماع المسلمين، و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من الماء</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خواص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 بدفق دفعات غالبا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عزّ و جلّ مِنْ ماءٍ دافِقٍ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مقارنة الشهوة له، و فتور الجسد و الشهوة بعده، و قرب رائحته من رائحة الطلع و العجين ما دام رطبا، و من بياض البيض جافّا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لمنيّ الرجل الثخانة و البياض، و يشاركه فيهما الوذي، و لمني المرأة الصفرة و الرقة، و يشاركه فيهما المذي، كلّ ذلك حال اعتدال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التقاء الختانين، لقول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وجب الغسل</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أدخله فقد وجب الغسل، و المهر، و الرجم</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يعبر عنه بالشعب، فعن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جلس بين شعبها الأربع فقد وجب الغسل</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رجلاها و فرجاها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مرويّ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 أنا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فاغتسلنا</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حدّه غيبوبة الحشفة، كما رواه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الالتقاء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تحاذيهما، لا انضمامهما، لعدم إمكانه، فإنّ مدخل الذكر أسفل الفرج و هو مخرج الولد و الحيض، و موضع الختان أعلاه، و بينهما ثقبة البول و الأسكتان</w:t>
      </w:r>
      <w:r>
        <w:rPr>
          <w:rStyle w:val="FootnoteAnchor"/>
          <w:rtl w:val="true"/>
        </w:rPr>
        <w:footnoteReference w:id="1140"/>
      </w:r>
      <w:r>
        <w:rPr>
          <w:rFonts w:ascii="Amiri" w:hAnsi="Amiri" w:eastAsia="Amiri" w:cs="Amiri"/>
          <w:color w:val="111111"/>
          <w:sz w:val="28"/>
          <w:sz w:val="28"/>
          <w:szCs w:val="28"/>
          <w:rtl w:val="true"/>
          <w:lang w:bidi="ar-SA"/>
        </w:rPr>
        <w:t>، تحيطان بهما جميعا لا يصل إليه شيء من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كان عند إحاطة الشفرين بأول الحشفة، لاقى بعض الحشفة ذلك الموضع، كان التضامّ ممكنا، و يمكن ان يراد بالخبر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يعتبر موضع الختان بعينه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الرجل، ففي المقطوع إذا غيّب بقدر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المرأة، فلوجوب الغسل بالإيلاج في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 المرتضى الإجماع</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أحد المأتيّين فيه الغسل</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لفحوى إنكار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الأنصار</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 الغسل على الإنزال فيما دون الفرج</w:t>
      </w:r>
      <w:r>
        <w:rPr>
          <w:rStyle w:val="FootnoteAnchor"/>
          <w:rtl w:val="true"/>
        </w:rPr>
        <w:footnoteReference w:id="1144"/>
      </w:r>
      <w:r>
        <w:rPr>
          <w:rFonts w:ascii="Amiri" w:hAnsi="Amiri" w:eastAsia="Amiri" w:cs="Amiri"/>
          <w:color w:val="111111"/>
          <w:sz w:val="28"/>
          <w:sz w:val="28"/>
          <w:szCs w:val="28"/>
          <w:rtl w:val="true"/>
          <w:lang w:bidi="ar-SA"/>
        </w:rPr>
        <w:t xml:space="preserve">و رواية ابن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إتيانها في الدبر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غسل عليهما</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غير صريحين، لأنّ الدبر فرج، و الإتيان لا يستلزم الإيقاب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دبري الذكر و الأنثى، للإجماع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نقل عن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قال بإيجاب الغسل في دبرها قال به في دبر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أتحقّق إلى الآن ما ادّعاه، فالأولى التمسّك فيه بالأصل</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فرج البهيمة فلا نصّ فيه، و الحمل على ختان المرأة قوي، و لفحوى قضيّة الأنصار</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المفعول كالفاعل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الميتة كغيرها، 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حرمة الميت كحرمة الحي</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و صدق الختان و غيره من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واجد المني على بدنه أو ثوبه أو فراشه المختصّ به جنب، و ان لم يذكر احتلاما و لا شهوة،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عمّن يجد البلل و لا يذكر احتلاما،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 xml:space="preserve">، و لخبر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يعيد كلّ صلاة لا يمكن سبقها بالنظر الى الحدث، و بالنظر الى الخبث يعيد ما كان في وقته لا ما خرج</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الشيخ في المبسوط بإعادة كل ما صلاّه بعد آخر غسل رافع للحدث</w:t>
      </w:r>
      <w:r>
        <w:rPr>
          <w:rStyle w:val="FootnoteAnchor"/>
          <w:rtl w:val="true"/>
        </w:rPr>
        <w:footnoteReference w:id="1151"/>
      </w:r>
      <w:r>
        <w:rPr>
          <w:rFonts w:ascii="Amiri" w:hAnsi="Amiri" w:eastAsia="Amiri" w:cs="Amiri"/>
          <w:color w:val="111111"/>
          <w:sz w:val="28"/>
          <w:sz w:val="28"/>
          <w:szCs w:val="28"/>
          <w:rtl w:val="true"/>
          <w:lang w:bidi="ar-SA"/>
        </w:rPr>
        <w:t>للاحتياط، أو لأنّه نزع الثوب و صلّى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62" w:name="pg15253_219734"/>
    </w:p>
    <w:p>
      <w:pPr>
        <w:pStyle w:val="BookText"/>
        <w:rPr/>
      </w:pPr>
      <w:bookmarkEnd w:id="662"/>
      <w:r>
        <w:rPr>
          <w:rFonts w:ascii="Amiri" w:hAnsi="Amiri" w:eastAsia="Amiri" w:cs="Amiri"/>
          <w:color w:val="111111"/>
          <w:sz w:val="28"/>
          <w:sz w:val="28"/>
          <w:szCs w:val="28"/>
          <w:rtl w:val="true"/>
          <w:lang w:bidi="ar-SA"/>
        </w:rPr>
        <w:t>و مع الاشتراك، لا غسل عليهما،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الشركة بعد قيامه من موضعه عند الشيخ</w:t>
      </w:r>
      <w:r>
        <w:rPr>
          <w:rStyle w:val="FootnoteAnchor"/>
          <w:rtl w:val="true"/>
        </w:rPr>
        <w:footnoteReference w:id="1152"/>
      </w:r>
      <w:r>
        <w:rPr>
          <w:rFonts w:ascii="Amiri" w:hAnsi="Amiri" w:eastAsia="Amiri" w:cs="Amiri"/>
          <w:color w:val="111111"/>
          <w:sz w:val="28"/>
          <w:sz w:val="28"/>
          <w:szCs w:val="28"/>
          <w:rtl w:val="true"/>
          <w:lang w:bidi="ar-SA"/>
        </w:rPr>
        <w:t>،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لهما الغسل الرافع للحدث، و كذا لو تعدّوا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سقوط اعتبار الجنابة عن الجميع نظر، من القطع بجنب، و من أصالة عدم تعلّق تكليف مكلّف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في الائتمام، و انعقاد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قطع المحقّق بالأول</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3" w:name="__RefHeading___Toc4192137_2142443653"/>
      <w:bookmarkStart w:id="664" w:name="_Toc274"/>
      <w:bookmarkEnd w:id="663"/>
      <w:r>
        <w:rPr>
          <w:rtl w:val="true"/>
        </w:rPr>
        <w:t>مسائل</w:t>
      </w:r>
      <w:r>
        <w:rPr>
          <w:rtl w:val="true"/>
        </w:rPr>
        <w:t>:</w:t>
      </w:r>
      <w:bookmarkEnd w:id="664"/>
    </w:p>
    <w:p>
      <w:pPr>
        <w:pStyle w:val="Heading6"/>
        <w:numPr>
          <w:ilvl w:val="5"/>
          <w:numId w:val="1"/>
        </w:numPr>
        <w:rPr/>
      </w:pPr>
      <w:bookmarkStart w:id="665" w:name="__RefHeading___Toc4192139_2142443653"/>
      <w:bookmarkStart w:id="666" w:name="_Toc275"/>
      <w:bookmarkEnd w:id="665"/>
      <w:r>
        <w:rPr>
          <w:rtl w:val="true"/>
        </w:rPr>
        <w:t>الأولى</w:t>
      </w:r>
      <w:r>
        <w:rPr>
          <w:rtl w:val="true"/>
        </w:rPr>
        <w:t xml:space="preserve">: </w:t>
      </w:r>
      <w:r>
        <w:rPr>
          <w:rtl w:val="true"/>
        </w:rPr>
        <w:t>مراعاة صفات المنيّ إنّما هي مع الاشتباه،</w:t>
      </w:r>
      <w:bookmarkEnd w:id="666"/>
    </w:p>
    <w:p>
      <w:pPr>
        <w:pStyle w:val="BookText"/>
        <w:rPr/>
      </w:pPr>
      <w:r>
        <w:rPr>
          <w:rFonts w:ascii="Amiri" w:hAnsi="Amiri" w:eastAsia="Amiri" w:cs="Amiri"/>
          <w:color w:val="111111"/>
          <w:sz w:val="28"/>
          <w:sz w:val="28"/>
          <w:szCs w:val="28"/>
          <w:rtl w:val="true"/>
          <w:lang w:bidi="ar-SA"/>
        </w:rPr>
        <w:t xml:space="preserve">فلو تيقّن المني فلا عبرة بها،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من الماء</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 xml:space="preserve">، و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الغسل من الماء الأكبر</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تحتلم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تجد لذة؟</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محمول على الاشتباه، لأنّ اللذة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أحسّ بخروجه فأمسك، ثم خرج بعد بغير شهوة و لا فتور، وجب الغسل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لم يستبرئ و اغتسل، ثم وجد بللا معلوما أو مشتبها، بناء على أنّه من الأول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الاشتباه يعتبر الصفات، لخبر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شهوة، و لا فتور، فلا بأس</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يكفي في المريض الشهوة وحدها، لخبر ابن أبي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667" w:name="pg15253_219735"/>
    </w:p>
    <w:p>
      <w:pPr>
        <w:pStyle w:val="BookText"/>
        <w:rPr/>
      </w:pPr>
      <w:bookmarkEnd w:id="667"/>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8" w:name="__RefHeading___Toc4192141_2142443653"/>
      <w:bookmarkStart w:id="669" w:name="_Toc276"/>
      <w:bookmarkEnd w:id="668"/>
      <w:r>
        <w:rPr>
          <w:rtl w:val="true"/>
        </w:rPr>
        <w:t>الثانية</w:t>
      </w:r>
      <w:r>
        <w:rPr>
          <w:rtl w:val="true"/>
        </w:rPr>
        <w:t xml:space="preserve">: </w:t>
      </w:r>
      <w:r>
        <w:rPr>
          <w:rtl w:val="true"/>
        </w:rPr>
        <w:t>لا عبرة بالشهوة و الفتور من غير أمناء</w:t>
      </w:r>
      <w:bookmarkEnd w:id="6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احتلم بالجماع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لخبر الحسين بن أبي العلاء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شك في كونه منيّا، و لم يتميّز بالصفة، فالأصل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4192143_2142443653"/>
      <w:bookmarkStart w:id="671" w:name="_Toc277"/>
      <w:bookmarkEnd w:id="670"/>
      <w:r>
        <w:rPr>
          <w:rtl w:val="true"/>
        </w:rPr>
        <w:t>الثالثة</w:t>
      </w:r>
      <w:r>
        <w:rPr>
          <w:rtl w:val="true"/>
        </w:rPr>
        <w:t xml:space="preserve">: </w:t>
      </w:r>
      <w:r>
        <w:rPr>
          <w:rtl w:val="true"/>
        </w:rPr>
        <w:t xml:space="preserve">روى عبد الرحمن بن أبي عبد اللّه، عن الصادق </w:t>
      </w:r>
      <w:r>
        <w:rPr>
          <w:rtl w:val="true"/>
        </w:rPr>
        <w:t>(</w:t>
      </w:r>
      <w:r>
        <w:rPr>
          <w:rtl w:val="true"/>
        </w:rPr>
        <w:t>عليه السلام</w:t>
      </w:r>
      <w:r>
        <w:rPr>
          <w:rtl w:val="true"/>
        </w:rPr>
        <w:t xml:space="preserve">): </w:t>
      </w:r>
      <w:r>
        <w:rPr>
          <w:rtl w:val="true"/>
        </w:rPr>
        <w:t xml:space="preserve">عدم وجوب الغسل على المرأة بخروج نطفة الرجل </w:t>
      </w:r>
      <w:r>
        <w:rPr>
          <w:rtl w:val="true"/>
        </w:rPr>
        <w:t>.</w:t>
      </w:r>
      <w:bookmarkEnd w:id="671"/>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الرحمن بن أبي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الغسل على المرأة بخروج نطفة الرجل</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علمت الاختلاط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شكّت، فالأحوط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للاختلاط المظنون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سليمان ابن خالد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يخرج منها إنّما هو من ماء الرجل</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2" w:name="__RefHeading___Toc4192145_2142443653"/>
      <w:bookmarkStart w:id="673" w:name="_Toc278"/>
      <w:bookmarkEnd w:id="672"/>
      <w:r>
        <w:rPr>
          <w:rtl w:val="true"/>
        </w:rPr>
        <w:t>الرابعة</w:t>
      </w:r>
      <w:r>
        <w:rPr>
          <w:rtl w:val="true"/>
        </w:rPr>
        <w:t xml:space="preserve">: </w:t>
      </w:r>
      <w:r>
        <w:rPr>
          <w:rtl w:val="true"/>
        </w:rPr>
        <w:t>لا يكفي في الإيلاج غيبوبة بعض الحشفة،</w:t>
      </w:r>
      <w:bookmarkEnd w:id="673"/>
    </w:p>
    <w:p>
      <w:pPr>
        <w:pStyle w:val="BookText"/>
        <w:rPr/>
      </w:pPr>
      <w:r>
        <w:rPr>
          <w:rFonts w:ascii="Amiri" w:hAnsi="Amiri" w:eastAsia="Amiri" w:cs="Amiri"/>
          <w:color w:val="111111"/>
          <w:sz w:val="28"/>
          <w:sz w:val="28"/>
          <w:szCs w:val="28"/>
          <w:rtl w:val="true"/>
          <w:lang w:bidi="ar-SA"/>
        </w:rPr>
        <w:t>للخبرين السالفين</w:t>
      </w:r>
      <w:r>
        <w:rPr>
          <w:rStyle w:val="FootnoteAnchor"/>
          <w:rtl w:val="true"/>
        </w:rPr>
        <w:footnoteReference w:id="1161"/>
      </w:r>
      <w:r>
        <w:rPr>
          <w:rFonts w:ascii="Amiri" w:hAnsi="Amiri" w:eastAsia="Amiri" w:cs="Amiri"/>
          <w:color w:val="111111"/>
          <w:sz w:val="28"/>
          <w:sz w:val="28"/>
          <w:szCs w:val="28"/>
          <w:rtl w:val="true"/>
          <w:lang w:bidi="ar-SA"/>
        </w:rPr>
        <w:t>، و لا إيلاج الخنثى فرجه، لجواز زيادته، و لا إيلاج الخنثى في 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أولج فيه الواضح دبرا وجب، و قبلا لم يجب،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لصدق التقاء الختانين، و وجوب الحدّ به</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يلزمه الوجوب و لو علم رجولية المولج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أولج رجل في قبل الخنثى، و أولجت في فرج امرأة، وجب الغسل على الخنثى، لامتناع الخلو عن الموجب، و الرجل و المرأة كواجدي المني على الثوب المشترك، لأنّه إن كان الخنثى امرأة فالرجل جنب، و إن كان رجلا فالمرأة جنب</w:t>
      </w:r>
      <w:r>
        <w:rPr>
          <w:rFonts w:eastAsia="Amiri" w:cs="Amiri" w:ascii="Amiri" w:hAnsi="Amiri"/>
          <w:color w:val="111111"/>
          <w:sz w:val="28"/>
          <w:szCs w:val="28"/>
          <w:rtl w:val="true"/>
          <w:lang w:bidi="ar-SA"/>
        </w:rPr>
        <w:t>.</w:t>
      </w:r>
    </w:p>
    <w:p>
      <w:pPr>
        <w:pStyle w:val="Heading6"/>
        <w:numPr>
          <w:ilvl w:val="5"/>
          <w:numId w:val="1"/>
        </w:numPr>
        <w:rPr/>
      </w:pPr>
      <w:bookmarkStart w:id="674" w:name="__RefHeading___Toc4192147_2142443653"/>
      <w:bookmarkStart w:id="675" w:name="_Toc279"/>
      <w:bookmarkEnd w:id="674"/>
      <w:r>
        <w:rPr>
          <w:rtl w:val="true"/>
        </w:rPr>
        <w:t>الخامسة</w:t>
      </w:r>
      <w:r>
        <w:rPr>
          <w:rtl w:val="true"/>
        </w:rPr>
        <w:t xml:space="preserve">: </w:t>
      </w:r>
      <w:r>
        <w:rPr>
          <w:rtl w:val="true"/>
        </w:rPr>
        <w:t>إيلاج الصبي في البالغة، و بالعكس،</w:t>
      </w:r>
      <w:bookmarkEnd w:id="67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موجب للغسل على البالغ </w:t>
      </w:r>
      <w:bookmarkStart w:id="676" w:name="pg15253_219736"/>
    </w:p>
    <w:p>
      <w:pPr>
        <w:pStyle w:val="BookText"/>
        <w:rPr/>
      </w:pPr>
      <w:bookmarkEnd w:id="676"/>
      <w:r>
        <w:rPr>
          <w:rFonts w:ascii="Amiri" w:hAnsi="Amiri" w:eastAsia="Amiri" w:cs="Amiri"/>
          <w:color w:val="111111"/>
          <w:sz w:val="28"/>
          <w:sz w:val="28"/>
          <w:szCs w:val="28"/>
          <w:rtl w:val="true"/>
          <w:lang w:bidi="ar-SA"/>
        </w:rPr>
        <w:t>منهما، و في الآخر نظر، و كذا الصبي في الصبيّة، من أنّه من باب الأسباب أو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في منعه عن المساجد، و العزائم، و مسّ كتابة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استباحتها بغسله الآن وجهان، و كذا في اكتفائه به لو بلغ، و الأقرب تجديده</w:t>
      </w:r>
      <w:r>
        <w:rPr>
          <w:rFonts w:eastAsia="Amiri" w:cs="Amiri" w:ascii="Amiri" w:hAnsi="Amiri"/>
          <w:color w:val="111111"/>
          <w:sz w:val="28"/>
          <w:szCs w:val="28"/>
          <w:rtl w:val="true"/>
          <w:lang w:bidi="ar-SA"/>
        </w:rPr>
        <w:t>.</w:t>
      </w:r>
    </w:p>
    <w:p>
      <w:pPr>
        <w:pStyle w:val="Heading6"/>
        <w:numPr>
          <w:ilvl w:val="5"/>
          <w:numId w:val="1"/>
        </w:numPr>
        <w:rPr/>
      </w:pPr>
      <w:bookmarkStart w:id="677" w:name="__RefHeading___Toc4192149_2142443653"/>
      <w:bookmarkStart w:id="678" w:name="_Toc280"/>
      <w:bookmarkEnd w:id="677"/>
      <w:r>
        <w:rPr>
          <w:rtl w:val="true"/>
        </w:rPr>
        <w:t>السادسة</w:t>
      </w:r>
      <w:r>
        <w:rPr>
          <w:rtl w:val="true"/>
        </w:rPr>
        <w:t xml:space="preserve">: </w:t>
      </w:r>
      <w:r>
        <w:rPr>
          <w:rtl w:val="true"/>
        </w:rPr>
        <w:t>الملفوف كغيره</w:t>
      </w:r>
      <w:bookmarkEnd w:id="678"/>
    </w:p>
    <w:p>
      <w:pPr>
        <w:pStyle w:val="BookText"/>
        <w:rPr/>
      </w:pPr>
      <w:r>
        <w:rPr>
          <w:rFonts w:ascii="Amiri" w:hAnsi="Amiri" w:eastAsia="Amiri" w:cs="Amiri"/>
          <w:color w:val="111111"/>
          <w:sz w:val="28"/>
          <w:sz w:val="28"/>
          <w:szCs w:val="28"/>
          <w:rtl w:val="true"/>
          <w:lang w:bidi="ar-SA"/>
        </w:rPr>
        <w:t>و إن غلظت اللفافة، لالتقاء الختانين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الفاضل السقوط، لأنّ اللذة إنّما تحصل بارتفاع الحجاب</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غير اللينة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المانعة من الحرارة و البلل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باقي أحكام الإيلاج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كالمصاهرة، و التحليل، و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المقطوع، و آلة الميت، و البهيمة، نظر، للأصل، و صدق الالتقاء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استدخال آلة النائم، أو الإيلاج في النائمة، فتتعلق بهما الأحكام قطعا، و لا يقبل إخبار كلّ منهما على صاحبه إلاّ مع علم صدقه</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4192151_2142443653"/>
      <w:bookmarkStart w:id="680" w:name="_Toc281"/>
      <w:bookmarkEnd w:id="679"/>
      <w:r>
        <w:rPr>
          <w:rtl w:val="true"/>
        </w:rPr>
        <w:t>السابعة</w:t>
      </w:r>
      <w:r>
        <w:rPr>
          <w:rtl w:val="true"/>
        </w:rPr>
        <w:t xml:space="preserve">: </w:t>
      </w:r>
      <w:r>
        <w:rPr>
          <w:rtl w:val="true"/>
        </w:rPr>
        <w:t>لا فرق بين العضو الأشلّ و غيره</w:t>
      </w:r>
      <w:r>
        <w:rPr>
          <w:rtl w:val="true"/>
        </w:rPr>
        <w:t>.</w:t>
      </w:r>
      <w:bookmarkEnd w:id="680"/>
    </w:p>
    <w:p>
      <w:pPr>
        <w:pStyle w:val="BookText"/>
        <w:rPr/>
      </w:pPr>
      <w:r>
        <w:rPr>
          <w:rFonts w:ascii="Amiri" w:hAnsi="Amiri" w:eastAsia="Amiri" w:cs="Amiri"/>
          <w:color w:val="111111"/>
          <w:sz w:val="28"/>
          <w:sz w:val="28"/>
          <w:szCs w:val="28"/>
          <w:rtl w:val="true"/>
          <w:lang w:bidi="ar-SA"/>
        </w:rPr>
        <w:t>و لو قطع بعض الحشفة كفى الباقي، إلاّ أن يذهب المعظم، فيغيّب بقدرها</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4192153_2142443653"/>
      <w:bookmarkStart w:id="682" w:name="_Toc282"/>
      <w:bookmarkEnd w:id="681"/>
      <w:r>
        <w:rPr>
          <w:rtl w:val="true"/>
        </w:rPr>
        <w:t>الثامنة</w:t>
      </w:r>
      <w:r>
        <w:rPr>
          <w:rtl w:val="true"/>
        </w:rPr>
        <w:t xml:space="preserve">: </w:t>
      </w:r>
      <w:r>
        <w:rPr>
          <w:rtl w:val="true"/>
        </w:rPr>
        <w:t>لو خرج المني من ثقبة اعتبر الاعتياد</w:t>
      </w:r>
      <w:r>
        <w:rPr>
          <w:rtl w:val="true"/>
        </w:rPr>
        <w:t>.</w:t>
      </w:r>
      <w:bookmarkEnd w:id="682"/>
    </w:p>
    <w:p>
      <w:pPr>
        <w:pStyle w:val="BookText"/>
        <w:rPr/>
      </w:pPr>
      <w:r>
        <w:rPr>
          <w:rFonts w:ascii="Amiri" w:hAnsi="Amiri" w:eastAsia="Amiri" w:cs="Amiri"/>
          <w:color w:val="111111"/>
          <w:sz w:val="28"/>
          <w:sz w:val="28"/>
          <w:szCs w:val="28"/>
          <w:rtl w:val="true"/>
          <w:lang w:bidi="ar-SA"/>
        </w:rPr>
        <w:t>و الخروج من الصلب فما دونه و من فوقه وجه، عملا بالعادة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بلون الدم لكثرة الوقاع،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تغليبا للخواص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المني دم في الأصل، فلما لم يستحلّ الحق بالدّماء</w:t>
      </w:r>
      <w:r>
        <w:rPr>
          <w:rFonts w:eastAsia="Amiri" w:cs="Amiri" w:ascii="Amiri" w:hAnsi="Amiri"/>
          <w:color w:val="111111"/>
          <w:sz w:val="28"/>
          <w:szCs w:val="28"/>
          <w:rtl w:val="true"/>
          <w:lang w:bidi="ar-SA"/>
        </w:rPr>
        <w:t>.</w:t>
      </w:r>
    </w:p>
    <w:p>
      <w:pPr>
        <w:pStyle w:val="Heading6"/>
        <w:numPr>
          <w:ilvl w:val="5"/>
          <w:numId w:val="1"/>
        </w:numPr>
        <w:rPr/>
      </w:pPr>
      <w:bookmarkStart w:id="683" w:name="__RefHeading___Toc4192155_2142443653"/>
      <w:bookmarkStart w:id="684" w:name="_Toc283"/>
      <w:bookmarkEnd w:id="683"/>
      <w:r>
        <w:rPr>
          <w:rtl w:val="true"/>
        </w:rPr>
        <w:t>التاسعة</w:t>
      </w:r>
      <w:r>
        <w:rPr>
          <w:rtl w:val="true"/>
        </w:rPr>
        <w:t xml:space="preserve">: </w:t>
      </w:r>
      <w:r>
        <w:rPr>
          <w:rtl w:val="true"/>
        </w:rPr>
        <w:t>لا فرق بين الرجل و المرأة في خروج المني،</w:t>
      </w:r>
      <w:bookmarkEnd w:id="684"/>
    </w:p>
    <w:p>
      <w:pPr>
        <w:pStyle w:val="BookText"/>
        <w:rPr/>
      </w:pP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سليم لمّا سألته عن الغسل لاحتلام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رأت الماء</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و هو يشعر باشتراط الانفصال عن الفرج</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 معاوية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أمنت من شهوة في نوم </w:t>
      </w:r>
      <w:bookmarkStart w:id="685" w:name="pg15253_219737"/>
    </w:p>
    <w:p>
      <w:pPr>
        <w:pStyle w:val="BookText"/>
        <w:rPr/>
      </w:pPr>
      <w:bookmarkEnd w:id="685"/>
      <w:r>
        <w:rPr>
          <w:rFonts w:ascii="Amiri" w:hAnsi="Amiri" w:eastAsia="Amiri" w:cs="Amiri"/>
          <w:color w:val="111111"/>
          <w:sz w:val="28"/>
          <w:sz w:val="28"/>
          <w:szCs w:val="28"/>
          <w:rtl w:val="true"/>
          <w:lang w:bidi="ar-SA"/>
        </w:rPr>
        <w:t>أو يقظة، جامعها أو لا، فعليها الغسل</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و مثله عن الكاظم</w:t>
      </w:r>
      <w:r>
        <w:rPr>
          <w:rStyle w:val="FootnoteAnchor"/>
          <w:rtl w:val="true"/>
        </w:rPr>
        <w:footnoteReference w:id="1166"/>
      </w:r>
      <w:r>
        <w:rPr>
          <w:rFonts w:ascii="Amiri" w:hAnsi="Amiri" w:eastAsia="Amiri" w:cs="Amiri"/>
          <w:color w:val="111111"/>
          <w:sz w:val="28"/>
          <w:sz w:val="28"/>
          <w:szCs w:val="28"/>
          <w:rtl w:val="true"/>
          <w:lang w:bidi="ar-SA"/>
        </w:rPr>
        <w:t>و الرضا عليهما السلام</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يعارضه خبر عمر بن أذينة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 و مقطوع زرارة</w:t>
      </w:r>
      <w:r>
        <w:rPr>
          <w:rStyle w:val="FootnoteAnchor"/>
          <w:rtl w:val="true"/>
        </w:rPr>
        <w:footnoteReference w:id="1169"/>
      </w:r>
      <w:r>
        <w:rPr>
          <w:rFonts w:ascii="Amiri" w:hAnsi="Amiri" w:eastAsia="Amiri" w:cs="Amiri"/>
          <w:color w:val="111111"/>
          <w:sz w:val="28"/>
          <w:sz w:val="28"/>
          <w:szCs w:val="28"/>
          <w:rtl w:val="true"/>
          <w:lang w:bidi="ar-SA"/>
        </w:rPr>
        <w:t>بعدم الغسل عليها، لشهرة الأول، و أوّل الثاني باحتمال رؤيتها الماء مناما لا غير</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4192157_2142443653"/>
      <w:bookmarkStart w:id="687" w:name="_Toc284"/>
      <w:bookmarkEnd w:id="686"/>
      <w:r>
        <w:rPr>
          <w:rtl w:val="true"/>
        </w:rPr>
        <w:t>العاشرة</w:t>
      </w:r>
      <w:r>
        <w:rPr>
          <w:rtl w:val="true"/>
        </w:rPr>
        <w:t xml:space="preserve">: </w:t>
      </w:r>
      <w:r>
        <w:rPr>
          <w:rtl w:val="true"/>
        </w:rPr>
        <w:t>الغسل يجب على الكافر كسائر العبادات،</w:t>
      </w:r>
      <w:bookmarkEnd w:id="68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يسقط بإسلامه، لبقاء سببه كالحدث الأصغر، و لا يقع منه في حال كفره، لاشتراط النّية الممتنعة منه</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8" w:name="pg15253_219739"/>
      <w:bookmarkStart w:id="689" w:name="pg15253_219739"/>
      <w:bookmarkEnd w:id="689"/>
    </w:p>
    <w:p>
      <w:pPr>
        <w:pStyle w:val="Heading6"/>
        <w:numPr>
          <w:ilvl w:val="5"/>
          <w:numId w:val="1"/>
        </w:numPr>
        <w:rPr/>
      </w:pPr>
      <w:bookmarkStart w:id="690" w:name="pg15253_219739"/>
      <w:bookmarkStart w:id="691" w:name="__RefHeading___Toc4192159_2142443653"/>
      <w:bookmarkStart w:id="692" w:name="_Toc285"/>
      <w:bookmarkEnd w:id="690"/>
      <w:bookmarkEnd w:id="691"/>
      <w:r>
        <w:rPr>
          <w:rtl w:val="true"/>
        </w:rPr>
        <w:t>المقام الثاني</w:t>
      </w:r>
      <w:r>
        <w:rPr>
          <w:rtl w:val="true"/>
        </w:rPr>
        <w:t xml:space="preserve">: </w:t>
      </w:r>
      <w:r>
        <w:rPr>
          <w:rtl w:val="true"/>
        </w:rPr>
        <w:t>في الحيض</w:t>
      </w:r>
      <w:r>
        <w:rPr>
          <w:rtl w:val="true"/>
        </w:rPr>
        <w:t>.</w:t>
      </w:r>
      <w:bookmarkEnd w:id="692"/>
    </w:p>
    <w:p>
      <w:pPr>
        <w:pStyle w:val="Heading6"/>
        <w:numPr>
          <w:ilvl w:val="5"/>
          <w:numId w:val="1"/>
        </w:numPr>
        <w:rPr/>
      </w:pPr>
      <w:bookmarkStart w:id="693" w:name="__RefHeading___Toc4192161_2142443653"/>
      <w:bookmarkStart w:id="694" w:name="_Toc286"/>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و 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 بقوة،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 الوادي، إذا سال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للآية</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طمثا، و هو كثير في الأخبار</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الدم الذي له تعلّق بانقضاء العدّة على وجه، اما بظهوره أو انقطاعه</w:t>
      </w:r>
      <w:r>
        <w:rPr>
          <w:rStyle w:val="FootnoteAnchor"/>
          <w:rtl w:val="true"/>
        </w:rPr>
        <w:footnoteReference w:id="1172"/>
      </w:r>
      <w:r>
        <w:rPr>
          <w:rFonts w:ascii="Amiri" w:hAnsi="Amiri" w:eastAsia="Amiri" w:cs="Amiri"/>
          <w:color w:val="111111"/>
          <w:sz w:val="28"/>
          <w:sz w:val="28"/>
          <w:szCs w:val="28"/>
          <w:rtl w:val="true"/>
          <w:lang w:bidi="ar-SA"/>
        </w:rPr>
        <w:t>و عنى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تفسيري 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مانع، لمشاركة النفاس إيّاه في هذه الخاصة، في مثل المطلقة و هي حامل من الزنا، فإنّه ربّما رأت قرءين في الحمل، بناء على حيض الحامل، ثم ترى قرءا بعد الوضع، فيكون بظهور دم النفاس أو انقطاعه انقضاء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حذف شطره الأخير المحقّق</w:t>
      </w:r>
      <w:r>
        <w:rPr>
          <w:rStyle w:val="FootnoteAnchor"/>
          <w:rtl w:val="true"/>
        </w:rPr>
        <w:footnoteReference w:id="1173"/>
      </w:r>
      <w:r>
        <w:rPr>
          <w:rFonts w:ascii="Amiri" w:hAnsi="Amiri" w:eastAsia="Amiri" w:cs="Amiri"/>
          <w:color w:val="111111"/>
          <w:sz w:val="28"/>
          <w:sz w:val="28"/>
          <w:szCs w:val="28"/>
          <w:rtl w:val="true"/>
          <w:lang w:bidi="ar-SA"/>
        </w:rPr>
        <w:t>لأنّ التعلّق مشعر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حذف الانقضاء أمكن، لأنّ العدّة بالأقراء،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الحيض أو الطهر المنتهى به، فله في الجملة تعلّق بالعدّة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عرّفه الشيخ أيضا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الأسود الخارج بحرارة على وجه</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مأخوذ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الحيض حار عبيط أسود</w:t>
      </w:r>
      <w:r>
        <w:rPr>
          <w:rStyle w:val="FootnoteAnchor"/>
          <w:rtl w:val="true"/>
        </w:rPr>
        <w:footnoteReference w:id="1175"/>
      </w:r>
      <w:r>
        <w:rPr>
          <w:rFonts w:ascii="Amiri" w:hAnsi="Amiri" w:eastAsia="Amiri" w:cs="Amiri"/>
          <w:color w:val="111111"/>
          <w:sz w:val="28"/>
          <w:sz w:val="28"/>
          <w:szCs w:val="28"/>
          <w:rtl w:val="true"/>
          <w:lang w:bidi="ar-SA"/>
        </w:rPr>
        <w:t>و العبيط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الخالص الطري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الحكمة فيه تربية الولد، لإعداده الرحم للحمل، و اغتذائه جنينا و رضيعا مخلوعا عنه صورة الدم، و من ثم قلّ حيض المرضع</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الحامل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ادّعى الشيخ الإجماع على عدم الحيض إذا استبان </w:t>
      </w:r>
    </w:p>
    <w:p>
      <w:pPr>
        <w:pStyle w:val="BookText"/>
        <w:rPr/>
      </w:pPr>
      <w:r>
        <w:rPr>
          <w:rFonts w:ascii="IRNazanin" w:hAnsi="IRNazanin" w:eastAsia="IRNazanin"/>
          <w:color w:val="111111"/>
          <w:sz w:val="28"/>
          <w:sz w:val="28"/>
          <w:szCs w:val="28"/>
          <w:rtl w:val="true"/>
          <w:lang w:bidi="fa-IR"/>
        </w:rPr>
        <w:t>الحمل</w:t>
      </w:r>
      <w:r>
        <w:rPr>
          <w:rStyle w:val="FootnoteAnchor"/>
          <w:rtl w:val="true"/>
        </w:rPr>
        <w:footnoteReference w:id="1176"/>
      </w:r>
      <w:r>
        <w:rPr>
          <w:rFonts w:ascii="Amiri" w:hAnsi="Amiri" w:eastAsia="Amiri" w:cs="Amiri"/>
          <w:color w:val="111111"/>
          <w:sz w:val="28"/>
          <w:sz w:val="28"/>
          <w:szCs w:val="28"/>
          <w:rtl w:val="true"/>
          <w:lang w:bidi="ar-SA"/>
        </w:rPr>
        <w:t>، و يمكن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الأخبار الصحيحة المشهورة عن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حيضها</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الصدوقان</w:t>
      </w:r>
      <w:r>
        <w:rPr>
          <w:rStyle w:val="FootnoteAnchor"/>
          <w:rtl w:val="true"/>
        </w:rPr>
        <w:footnoteReference w:id="1178"/>
      </w:r>
      <w:r>
        <w:rPr>
          <w:rFonts w:ascii="IRNazanin" w:hAnsi="IRNazanin" w:eastAsia="IRNazanin"/>
          <w:color w:val="111111"/>
          <w:sz w:val="28"/>
          <w:sz w:val="28"/>
          <w:szCs w:val="28"/>
          <w:rtl w:val="true"/>
          <w:lang w:bidi="fa-IR"/>
        </w:rPr>
        <w:t>و المرتضى</w:t>
      </w:r>
      <w:r>
        <w:rPr>
          <w:rStyle w:val="FootnoteAnchor"/>
          <w:rtl w:val="true"/>
        </w:rPr>
        <w:footnoteReference w:id="1179"/>
      </w:r>
      <w:r>
        <w:rPr>
          <w:rFonts w:ascii="IRNazanin" w:hAnsi="IRNazanin" w:eastAsia="IRNazanin"/>
          <w:color w:val="111111"/>
          <w:sz w:val="28"/>
          <w:sz w:val="28"/>
          <w:szCs w:val="28"/>
          <w:rtl w:val="true"/>
          <w:lang w:bidi="fa-IR"/>
        </w:rPr>
        <w:t>و الفاضل</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السكوني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ليجعل حيضا مع حبل</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توطأ حامل حتى تضع، و لا حائل حتى تستبرأ بحيضة</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فهي علم لبراءة الرحم من الحمل، فكيف يجامعه؟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Style w:val="FootnoteAnchor"/>
          <w:rtl w:val="true"/>
        </w:rPr>
        <w:footnoteReference w:id="1183"/>
      </w:r>
      <w:r>
        <w:rPr>
          <w:rFonts w:ascii="Amiri" w:hAnsi="Amiri" w:eastAsia="Amiri" w:cs="Amiri"/>
          <w:color w:val="111111"/>
          <w:sz w:val="28"/>
          <w:sz w:val="28"/>
          <w:szCs w:val="28"/>
          <w:rtl w:val="true"/>
          <w:lang w:bidi="ar-SA"/>
        </w:rPr>
        <w:t>و ابن الجنيد</w:t>
      </w:r>
      <w:r>
        <w:rPr>
          <w:rStyle w:val="FootnoteAnchor"/>
          <w:rtl w:val="true"/>
        </w:rPr>
        <w:footnoteReference w:id="1184"/>
      </w:r>
      <w:r>
        <w:rPr>
          <w:rFonts w:ascii="Amiri" w:hAnsi="Amiri" w:eastAsia="Amiri" w:cs="Amiri"/>
          <w:color w:val="111111"/>
          <w:sz w:val="28"/>
          <w:sz w:val="28"/>
          <w:szCs w:val="28"/>
          <w:rtl w:val="true"/>
          <w:lang w:bidi="ar-SA"/>
        </w:rPr>
        <w:t>و ابن إدريس</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الحسين بن نعيم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العادة أو قبلها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 لا بعدها بعشرين يوما</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النهاية</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على عدم الشرائط غالبا بعد العادة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ثم لا تحيض الناقصة عن تسع إجماعا، و لا الزائدة عن ستين سنة إن كانت قرشية أو نبطية، أو خمسين لغيرهما، لمرسل ابن أبي عمير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خمسين لم تر حمرة، إلاّ القرشية</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خبري عبد الرحمن بن الحجاج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الستين و الخمسين</w:t>
      </w:r>
      <w:r>
        <w:rPr>
          <w:rStyle w:val="FootnoteAnchor"/>
          <w:rtl w:val="true"/>
        </w:rPr>
        <w:footnoteReference w:id="1189"/>
      </w:r>
      <w:r>
        <w:rPr>
          <w:rFonts w:ascii="Amiri" w:hAnsi="Amiri" w:eastAsia="Amiri" w:cs="Amiri"/>
          <w:color w:val="111111"/>
          <w:sz w:val="28"/>
          <w:sz w:val="28"/>
          <w:szCs w:val="28"/>
          <w:rtl w:val="true"/>
          <w:lang w:bidi="ar-SA"/>
        </w:rPr>
        <w:t>فجمع بينهما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النبطيّة فذكره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 من تبعه</w:t>
      </w:r>
      <w:r>
        <w:rPr>
          <w:rStyle w:val="FootnoteAnchor"/>
          <w:rtl w:val="true"/>
        </w:rPr>
        <w:footnoteReference w:id="1190"/>
      </w:r>
      <w:r>
        <w:rPr>
          <w:rFonts w:ascii="IRNazanin" w:hAnsi="IRNazanin" w:eastAsia="IRNazanin"/>
          <w:color w:val="111111"/>
          <w:sz w:val="28"/>
          <w:sz w:val="28"/>
          <w:szCs w:val="28"/>
          <w:rtl w:val="true"/>
          <w:lang w:bidi="fa-IR"/>
        </w:rPr>
        <w:t>و لم أجد به خبرا مسندا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طمثت البكر و اشتبه بالطمث، فتطوّق القطنة ينفي الحيض، لخبر زياد بن سوقة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91"/>
      </w:r>
      <w:r>
        <w:rPr>
          <w:rFonts w:ascii="Amiri" w:hAnsi="Amiri" w:eastAsia="Amiri" w:cs="Amiri"/>
          <w:color w:val="111111"/>
          <w:sz w:val="28"/>
          <w:sz w:val="28"/>
          <w:szCs w:val="28"/>
          <w:rtl w:val="true"/>
          <w:lang w:bidi="ar-SA"/>
        </w:rPr>
        <w:t xml:space="preserve">و خلف بن حماد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اللّه فلا تذيعوه، و لا تعلّم هذا الخلق أصول دين اللّه</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انتفاعها يثبته، للخبرين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الانتفاع محتمل</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الحيض فيه إنّما هو بالشرائط المعلومة، و مفهوم الخبرين انه ملتبس بالعذرة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اشتبه بالقرح، استلقت و أدخلت إصبعها، فمن الأيمن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محمد بن يحيى الى أبان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الكليني</w:t>
      </w:r>
      <w:r>
        <w:rPr>
          <w:rStyle w:val="FootnoteAnchor"/>
          <w:rtl w:val="true"/>
        </w:rPr>
        <w:footnoteReference w:id="1194"/>
      </w:r>
      <w:r>
        <w:rPr>
          <w:rFonts w:ascii="Amiri" w:hAnsi="Amiri" w:eastAsia="Amiri" w:cs="Amiri"/>
          <w:color w:val="111111"/>
          <w:sz w:val="28"/>
          <w:sz w:val="28"/>
          <w:szCs w:val="28"/>
          <w:rtl w:val="true"/>
          <w:lang w:bidi="ar-SA"/>
        </w:rPr>
        <w:t>و أفتى به ابن الجنيد</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كثير من نسخ التهذيب الرواية بلفظها بعينه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الصدوق 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من الأيسر</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بعض نسخ التهذيب الجديدة</w:t>
      </w:r>
      <w:r>
        <w:rPr>
          <w:rStyle w:val="FootnoteAnchor"/>
          <w:rtl w:val="true"/>
        </w:rPr>
        <w:footnoteReference w:id="1197"/>
      </w:r>
      <w:r>
        <w:rPr>
          <w:rFonts w:ascii="Amiri" w:hAnsi="Amiri" w:eastAsia="Amiri" w:cs="Amiri"/>
          <w:color w:val="111111"/>
          <w:sz w:val="28"/>
          <w:sz w:val="28"/>
          <w:szCs w:val="28"/>
          <w:rtl w:val="true"/>
          <w:lang w:bidi="ar-SA"/>
        </w:rPr>
        <w:t>، و قطع بأنّه تدليس، إلاّ أنّ الرواية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اشتبه بالاستحاضة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بالسواد و الحمرة و الغلظ و الحرارة و أضدادها،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دم الحيض فإنّه أسود يعرف فأمسكي عن الصلاة، و إذا كان الآخر فتوضّئي</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دم حار تجد له حرقة، و دم الاستحاضة فاسد بارد</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بالثلاثة و العشرة، اللذين هما أقلّه و أكثره باتفاقنا،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أمامة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الحيض ثلاثة و أكثره عشرة</w:t>
      </w:r>
      <w:r>
        <w:rPr>
          <w:rFonts w:eastAsia="Amiri" w:cs="Amiri" w:ascii="Amiri" w:hAnsi="Amiri"/>
          <w:color w:val="111111"/>
          <w:sz w:val="28"/>
          <w:szCs w:val="28"/>
          <w:rtl w:val="true"/>
          <w:lang w:bidi="ar-SA"/>
        </w:rPr>
        <w:t>»</w:t>
      </w:r>
      <w:r>
        <w:rPr>
          <w:rStyle w:val="FootnoteAnchor"/>
          <w:rtl w:val="true"/>
        </w:rPr>
        <w:footnoteReference w:id="1200"/>
      </w:r>
      <w:r>
        <w:rPr>
          <w:rFonts w:ascii="Amiri" w:hAnsi="Amiri" w:eastAsia="Amiri" w:cs="Amiri"/>
          <w:color w:val="111111"/>
          <w:sz w:val="28"/>
          <w:sz w:val="28"/>
          <w:szCs w:val="28"/>
          <w:rtl w:val="true"/>
          <w:lang w:bidi="ar-SA"/>
        </w:rPr>
        <w:t>، و بمعناه قول الصادق و الرضا عليهما السلام</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بالثمانية في أكثره</w:t>
      </w:r>
      <w:r>
        <w:rPr>
          <w:rStyle w:val="FootnoteAnchor"/>
          <w:rtl w:val="true"/>
        </w:rPr>
        <w:footnoteReference w:id="1202"/>
      </w:r>
      <w:r>
        <w:rPr>
          <w:rFonts w:ascii="Amiri" w:hAnsi="Amiri" w:eastAsia="Amiri" w:cs="Amiri"/>
          <w:color w:val="111111"/>
          <w:sz w:val="28"/>
          <w:sz w:val="28"/>
          <w:szCs w:val="28"/>
          <w:rtl w:val="true"/>
          <w:lang w:bidi="ar-SA"/>
        </w:rPr>
        <w:t>محمول على من عادتها ذلك و استمرّ بها الدم، لمخالفته الإجماع، كما قاله الشيخ في التهذيب</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يشترط التوالي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بالمتيقّن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يونس</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في العشرة، و قد تركه الأكثر</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ما بين الأقل و الأكثر حيض مع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اختلف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لخبر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تستدخل الكرسف، فإن خرج دم لم تطهر</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لو لم تر هذه العاشر، أو رأته متفرّقا بعد الثلاثة، لخبر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رأته قبل عشرة أيام فهو من الحيضة الاولى</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أقلّ الطهر عشرة أيام باتفاقنا، للنص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تلبث شطر دهرها لا تصوم و لا تصلي</w:t>
      </w:r>
      <w:r>
        <w:rPr>
          <w:rFonts w:eastAsia="Amiri" w:cs="Amiri" w:ascii="Amiri" w:hAnsi="Amiri"/>
          <w:color w:val="111111"/>
          <w:sz w:val="28"/>
          <w:szCs w:val="28"/>
          <w:rtl w:val="true"/>
          <w:lang w:bidi="ar-SA"/>
        </w:rPr>
        <w:t>»</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أنّ أكثر الحيض عشرة فالشرط الآخر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قالون</w:t>
      </w:r>
      <w:r>
        <w:rPr>
          <w:rFonts w:eastAsia="Amiri" w:cs="Amiri" w:ascii="Amiri" w:hAnsi="Amiri"/>
          <w:color w:val="111111"/>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لمن قال فيمن ادّعت ثلاث حيض في شهر تأتي ببيّنة من أهلها</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علي بذلك</w:t>
      </w:r>
      <w:r>
        <w:rPr>
          <w:rStyle w:val="FootnoteAnchor"/>
          <w:rtl w:val="true"/>
        </w:rPr>
        <w:footnoteReference w:id="1212"/>
      </w:r>
      <w:r>
        <w:rPr>
          <w:rFonts w:ascii="Amiri" w:hAnsi="Amiri" w:eastAsia="Amiri" w:cs="Amiri"/>
          <w:color w:val="111111"/>
          <w:sz w:val="28"/>
          <w:sz w:val="28"/>
          <w:szCs w:val="28"/>
          <w:rtl w:val="true"/>
          <w:lang w:bidi="ar-SA"/>
        </w:rPr>
        <w:t>، و لا يتم مع كون الطهر خمسة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حدّ لأكثره إجماعا، قاله الفاضل، و حمل قول أبي الصلاح في تحديده بثلاثة أشهر على الغالب</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الأغلب في الحيض الستة و السبعة، و الطهر باقي الشهر للوجدان في كثير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يختلف بحسب السن، فينقص عدده عند الكبر، كما في مرسلة يونس عن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695" w:name="pg15253_219744"/>
    </w:p>
    <w:p>
      <w:pPr>
        <w:pStyle w:val="BookText"/>
        <w:rPr/>
      </w:pPr>
      <w:bookmarkEnd w:id="695"/>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6" w:name="__RefHeading___Toc4192163_2142443653"/>
      <w:bookmarkStart w:id="697" w:name="_Toc287"/>
      <w:bookmarkEnd w:id="696"/>
      <w:r>
        <w:rPr>
          <w:rtl w:val="true"/>
        </w:rPr>
        <w:t>مسائل</w:t>
      </w:r>
      <w:r>
        <w:rPr>
          <w:rtl w:val="true"/>
        </w:rPr>
        <w:t>:</w:t>
      </w:r>
      <w:bookmarkEnd w:id="697"/>
    </w:p>
    <w:p>
      <w:pPr>
        <w:pStyle w:val="Heading6"/>
        <w:numPr>
          <w:ilvl w:val="5"/>
          <w:numId w:val="1"/>
        </w:numPr>
        <w:rPr/>
      </w:pPr>
      <w:bookmarkStart w:id="698" w:name="__RefHeading___Toc4192165_2142443653"/>
      <w:bookmarkStart w:id="699" w:name="_Toc288"/>
      <w:bookmarkEnd w:id="698"/>
      <w:r>
        <w:rPr>
          <w:rtl w:val="true"/>
        </w:rPr>
        <w:t>الأولى</w:t>
      </w:r>
      <w:r>
        <w:rPr>
          <w:rtl w:val="true"/>
        </w:rPr>
        <w:t xml:space="preserve">: </w:t>
      </w:r>
      <w:r>
        <w:rPr>
          <w:rtl w:val="true"/>
        </w:rPr>
        <w:t>تثبت العادة بمرتين متساويتين عددا و وقتا،</w:t>
      </w:r>
      <w:bookmarkEnd w:id="699"/>
    </w:p>
    <w:p>
      <w:pPr>
        <w:pStyle w:val="BookText"/>
        <w:rPr/>
      </w:pPr>
      <w:r>
        <w:rPr>
          <w:rFonts w:ascii="Amiri" w:hAnsi="Amiri" w:eastAsia="Amiri" w:cs="Amiri"/>
          <w:color w:val="111111"/>
          <w:sz w:val="28"/>
          <w:sz w:val="28"/>
          <w:szCs w:val="28"/>
          <w:rtl w:val="true"/>
          <w:lang w:bidi="ar-SA"/>
        </w:rPr>
        <w:t>ففي الثالثة ترد إليها، لأنّ العود لا يحصل إلاّ بالتكرار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 و لا يصدق الجمع على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مقطوع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اتفق شهران عدة أيام سواء فتلك أيامها</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تشترط الثلاث باتفاقنا، لأنّ الجمع يصدق على الاثنين، و قد حصل المشتق منه</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4192167_2142443653"/>
      <w:bookmarkStart w:id="701" w:name="_Toc289"/>
      <w:bookmarkEnd w:id="700"/>
      <w:r>
        <w:rPr>
          <w:rtl w:val="true"/>
        </w:rPr>
        <w:t>الثانية</w:t>
      </w:r>
      <w:r>
        <w:rPr>
          <w:rtl w:val="true"/>
        </w:rPr>
        <w:t xml:space="preserve">: </w:t>
      </w:r>
      <w:r>
        <w:rPr>
          <w:rtl w:val="true"/>
        </w:rPr>
        <w:t>لا يشترط في العادة تعدّد الشهر،</w:t>
      </w:r>
      <w:bookmarkEnd w:id="701"/>
    </w:p>
    <w:p>
      <w:pPr>
        <w:pStyle w:val="BookText"/>
        <w:rPr/>
      </w:pPr>
      <w:r>
        <w:rPr>
          <w:rFonts w:ascii="Amiri" w:hAnsi="Amiri" w:eastAsia="Amiri" w:cs="Amiri"/>
          <w:color w:val="111111"/>
          <w:sz w:val="28"/>
          <w:sz w:val="28"/>
          <w:szCs w:val="28"/>
          <w:rtl w:val="true"/>
          <w:lang w:bidi="ar-SA"/>
        </w:rPr>
        <w:t>و ما ذكره في الخبر من الشهر بناء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تساوى الحيضان في شهر واحد كفى في العددية، صرّح به في المبسوط و الخلاف</w:t>
      </w:r>
      <w:r>
        <w:rPr>
          <w:rStyle w:val="FootnoteAnchor"/>
          <w:rtl w:val="true"/>
        </w:rPr>
        <w:footnoteReference w:id="1217"/>
      </w:r>
      <w:r>
        <w:rPr>
          <w:rFonts w:ascii="Amiri" w:hAnsi="Amiri" w:eastAsia="Amiri" w:cs="Amiri"/>
          <w:color w:val="111111"/>
          <w:sz w:val="28"/>
          <w:sz w:val="28"/>
          <w:szCs w:val="28"/>
          <w:rtl w:val="true"/>
          <w:lang w:bidi="ar-SA"/>
        </w:rPr>
        <w:t>، و كذا لو تساويا في زيادة على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الوقتية،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تكرّر الطهرين متساويين 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تساويا عددا و اختلفا وقتا، استقرّ العدد لا غير، فحينئذ تستظهر برؤية الدم الثالث إلى ثلاثة أيام، و لو عبر العشرة رجعت الى العدد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استقرّا وقتا و اختلفا عددا، اعتبر الوقت و أقلّ العددين، لتكرّره، و لعموم خبر الأقراء</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 xml:space="preserve">. </w:t>
      </w:r>
      <w:bookmarkStart w:id="702" w:name="pg15253_219745"/>
    </w:p>
    <w:p>
      <w:pPr>
        <w:pStyle w:val="BookText"/>
        <w:rPr/>
      </w:pPr>
      <w:bookmarkEnd w:id="702"/>
      <w:r>
        <w:rPr>
          <w:rFonts w:ascii="Amiri" w:hAnsi="Amiri" w:eastAsia="Amiri" w:cs="Amiri"/>
          <w:color w:val="111111"/>
          <w:sz w:val="28"/>
          <w:sz w:val="28"/>
          <w:szCs w:val="28"/>
          <w:rtl w:val="true"/>
          <w:lang w:bidi="ar-SA"/>
        </w:rPr>
        <w:t>و يمكن أن تكون وقتية لا غير، لعدم عود العدد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اختلف العدد، و لم يستقرّ الطهر بتكراره متساويا مرتين، فلا وقت هنا قطعا، و في العدد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كلام الفاضل انه لا عبرة باستقرار الطهر</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تظهر فائدته لو تغاير الوقت في الثالث، فإن لم نعتبر استقرار الطهر جلست لرؤية الدم، و إن اعتبرناه فبعد الثلاثة أو حضور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ان تقدم على الوقت، و لو تأخر أمكن ذلك استظهارا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القطع بالحيض هنا، إذ وجوده في الجملة مقطوع به، و تأخر وقته يزيده انبعاثا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اتحاد الوقت إنّما يؤثر في الجلوس برؤية الدم فيه، و قلّما يتفق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استقرت العادة، ثم تقدمها أو تأخّر عنها الدم بيوم أو يومين إلى العشرة حكم بأنه حيض، و إن زاد على العشرة فلا</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3" w:name="__RefHeading___Toc4192169_2142443653"/>
      <w:bookmarkStart w:id="704" w:name="_Toc290"/>
      <w:bookmarkEnd w:id="703"/>
      <w:r>
        <w:rPr>
          <w:rtl w:val="true"/>
        </w:rPr>
        <w:t>الثالثة</w:t>
      </w:r>
      <w:r>
        <w:rPr>
          <w:rtl w:val="true"/>
        </w:rPr>
        <w:t xml:space="preserve">: </w:t>
      </w:r>
      <w:r>
        <w:rPr>
          <w:rtl w:val="true"/>
        </w:rPr>
        <w:t>لو اتفقت أيام التمييز</w:t>
      </w:r>
      <w:bookmarkEnd w:id="704"/>
    </w:p>
    <w:p>
      <w:pPr>
        <w:pStyle w:val="BookText"/>
        <w:rPr/>
      </w:pPr>
      <w:r>
        <w:rPr>
          <w:rFonts w:ascii="Amiri" w:hAnsi="Amiri" w:eastAsia="Amiri" w:cs="Amiri"/>
          <w:color w:val="111111"/>
          <w:sz w:val="28"/>
          <w:sz w:val="28"/>
          <w:szCs w:val="28"/>
          <w:rtl w:val="true"/>
          <w:lang w:bidi="ar-SA"/>
        </w:rPr>
        <w:t>عددا و وقتا و صفة مرتين استقرّت العادة، للحكم بأنّها أقراء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اختلفت الصفة، أمكن ذلك إذا حكمنا بكونه حيضا كالأسود و الأحمر، و يمكن عدم العادة هنا</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4192171_2142443653"/>
      <w:bookmarkStart w:id="706" w:name="_Toc291"/>
      <w:bookmarkEnd w:id="705"/>
      <w:r>
        <w:rPr>
          <w:rtl w:val="true"/>
        </w:rPr>
        <w:t>الرابعة</w:t>
      </w:r>
      <w:r>
        <w:rPr>
          <w:rtl w:val="true"/>
        </w:rPr>
        <w:t xml:space="preserve">: </w:t>
      </w:r>
      <w:r>
        <w:rPr>
          <w:rtl w:val="true"/>
        </w:rPr>
        <w:t>قد تتعدّد العادة على نظام طبيعي،</w:t>
      </w:r>
      <w:bookmarkEnd w:id="706"/>
    </w:p>
    <w:p>
      <w:pPr>
        <w:pStyle w:val="BookText"/>
        <w:rPr/>
      </w:pPr>
      <w:r>
        <w:rPr>
          <w:rFonts w:ascii="Amiri" w:hAnsi="Amiri" w:eastAsia="Amiri" w:cs="Amiri"/>
          <w:color w:val="111111"/>
          <w:sz w:val="28"/>
          <w:sz w:val="28"/>
          <w:szCs w:val="28"/>
          <w:rtl w:val="true"/>
          <w:lang w:bidi="ar-SA"/>
        </w:rPr>
        <w:t>كالثلاثة، و الأربعة، و الخمسة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لا، كعكسه إذا حصل التكرار المعتبر في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 يكون تكرّرها على التوالي، كما لو رأت كلّ واحدة شهرين متواليين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كما لو رأت الأعداد في ثلاثة أشهر، ثم رأتها على الترتيب الأول في ثلاثة أشهر أخرى، لأنّ </w:t>
      </w:r>
      <w:bookmarkStart w:id="707" w:name="pg15253_219746"/>
    </w:p>
    <w:p>
      <w:pPr>
        <w:pStyle w:val="BookText"/>
        <w:rPr/>
      </w:pPr>
      <w:bookmarkEnd w:id="707"/>
      <w:r>
        <w:rPr>
          <w:rFonts w:ascii="Amiri" w:hAnsi="Amiri" w:eastAsia="Amiri" w:cs="Amiri"/>
          <w:color w:val="111111"/>
          <w:sz w:val="28"/>
          <w:sz w:val="28"/>
          <w:szCs w:val="28"/>
          <w:rtl w:val="true"/>
          <w:lang w:bidi="ar-SA"/>
        </w:rPr>
        <w:t>تعاقب الأقدار المختلفة قد صار عادة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منع تعدّد العادة، لأنّ كلّ مقدار ناسخ لما قبله، فيخرجه عن الاعتبار، فحينئذ لو نسيت المستحاضة النوبة أخذت أقلّ المحتملات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الفرض الأول تأخذ الثلاثة دائما، و لو علمت عدمها أخذت أربعة ثم ثلاثة ثم ثلاثة، و كذا في كلّ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عكسه إن اتسق فالحكم كذلك، و ان لم يتسق فالثلاثة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العود الى التمييز، فإن فقد فإلى الروايات، لما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يتعيّنان لو منعنا تعدّد العادة</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4192173_2142443653"/>
      <w:bookmarkStart w:id="709" w:name="_Toc292"/>
      <w:bookmarkEnd w:id="708"/>
      <w:r>
        <w:rPr>
          <w:rtl w:val="true"/>
        </w:rPr>
        <w:t>الخامسة</w:t>
      </w:r>
      <w:r>
        <w:rPr>
          <w:rtl w:val="true"/>
        </w:rPr>
        <w:t xml:space="preserve">: </w:t>
      </w:r>
      <w:r>
        <w:rPr>
          <w:rtl w:val="true"/>
        </w:rPr>
        <w:t>قد تترك ذات التمييز الصلاة و الصوم عشرين يوما متوالية،</w:t>
      </w:r>
      <w:bookmarkEnd w:id="709"/>
    </w:p>
    <w:p>
      <w:pPr>
        <w:pStyle w:val="BookText"/>
        <w:rPr/>
      </w:pPr>
      <w:r>
        <w:rPr>
          <w:rFonts w:ascii="Amiri" w:hAnsi="Amiri" w:eastAsia="Amiri" w:cs="Amiri"/>
          <w:color w:val="111111"/>
          <w:sz w:val="28"/>
          <w:sz w:val="28"/>
          <w:szCs w:val="28"/>
          <w:rtl w:val="true"/>
          <w:lang w:bidi="ar-SA"/>
        </w:rPr>
        <w:t xml:space="preserve">بأن ترى الأحمر عشرة، فإنّها تجلس فيها، لإمكان كونه حيضا على القول بعدم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ترى الأسود بعده عشرة، فإنّها تعمل بأقوى الدمين، و تبيّن أنّ الأول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قوة الدم الثالث انتقلت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يتعدّد الجلوس في ناسية العادة لو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تحتاط في العشرة الثانية بالعبادة، فإن انقطع عليها أو قبلها قضت الصوم</w:t>
      </w:r>
      <w:r>
        <w:rPr>
          <w:rStyle w:val="FootnoteAnchor"/>
          <w:rtl w:val="true"/>
        </w:rPr>
        <w:footnoteReference w:id="1221"/>
      </w:r>
      <w:r>
        <w:rPr>
          <w:rFonts w:ascii="Amiri" w:hAnsi="Amiri" w:eastAsia="Amiri" w:cs="Amiri"/>
          <w:color w:val="111111"/>
          <w:sz w:val="28"/>
          <w:sz w:val="28"/>
          <w:szCs w:val="28"/>
          <w:rtl w:val="true"/>
          <w:lang w:bidi="ar-SA"/>
        </w:rPr>
        <w:t>، و إلاّ صحّ، لأنّه مع تجاوز العشرة فات شرط التمييز</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4192175_2142443653"/>
      <w:bookmarkStart w:id="711" w:name="_Toc293"/>
      <w:bookmarkEnd w:id="710"/>
      <w:r>
        <w:rPr>
          <w:rtl w:val="true"/>
        </w:rPr>
        <w:t>السادسة</w:t>
      </w:r>
      <w:r>
        <w:rPr>
          <w:rtl w:val="true"/>
        </w:rPr>
        <w:t xml:space="preserve">: </w:t>
      </w:r>
      <w:r>
        <w:rPr>
          <w:rtl w:val="true"/>
        </w:rPr>
        <w:t>هل يشترط في التمييز بلوغ الدم الضعيف أقلّ الطهر؟</w:t>
      </w:r>
      <w:bookmarkEnd w:id="711"/>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لأنّا إذا جعلنا القوي حيضا جعلنا الضعيف طهرا، لأنّه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لعموم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الحيض أسود يعرف</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رأت خمسة أسود، ثم تسعة أصفر، ثم عاد الأسود ثلاثة فصاعدا، فعلى الأول لا تمييز لها، و هو ظاهر المعتبر</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حيضها خمسة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المبسوط أنّ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العائد، إن لم يتجاوز العشرة</w:t>
      </w:r>
      <w:r>
        <w:rPr>
          <w:rStyle w:val="FootnoteAnchor"/>
          <w:rtl w:val="true"/>
        </w:rPr>
        <w:footnoteReference w:id="1224"/>
      </w:r>
      <w:r>
        <w:rPr>
          <w:rFonts w:ascii="Amiri" w:hAnsi="Amiri" w:eastAsia="Amiri" w:cs="Amiri"/>
          <w:color w:val="111111"/>
          <w:sz w:val="28"/>
          <w:sz w:val="28"/>
          <w:szCs w:val="28"/>
          <w:rtl w:val="true"/>
          <w:lang w:bidi="ar-SA"/>
        </w:rPr>
        <w:t xml:space="preserve">، لأنّ الصفرة </w:t>
      </w:r>
      <w:bookmarkStart w:id="712" w:name="pg15253_219747"/>
    </w:p>
    <w:p>
      <w:pPr>
        <w:pStyle w:val="BookText"/>
        <w:rPr/>
      </w:pPr>
      <w:bookmarkEnd w:id="712"/>
      <w:r>
        <w:rPr>
          <w:rFonts w:ascii="Amiri" w:hAnsi="Amiri" w:eastAsia="Amiri" w:cs="Amiri"/>
          <w:color w:val="111111"/>
          <w:sz w:val="28"/>
          <w:sz w:val="28"/>
          <w:szCs w:val="28"/>
          <w:rtl w:val="true"/>
          <w:lang w:bidi="ar-SA"/>
        </w:rPr>
        <w:t>لمّا خرجت عن الحيض خرج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يونس بن يعقوب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الدم ثلاثة أو خمسة يتعقّبه طهر خمسة، ثم يعود الدم أربعة إن رأت الدم لم تصلّ، و إن رأت الطهر صلّت الى ثلاثين يوما، فإذا انصبّ الدم فهي مستحاضة</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حمله الشيخ على مضطربة اختلط حيضها، أو مستحاضة استمرّ بها الدم، و اشتبهت عادتها، ففرضها أن تجعل ما يشبه دم الحيض حيضها، و الآخر 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صفرة كان أو 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ليستبين حالها</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تصريح بعدم اشتراط كون الضعيف أقلّ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اختلط عليها أيامها فلا تستقرّ على وجه واحد، تركت العبادة كلّما رأت الدم، و صلّت كلّما رأت الطهر، الى أن تستقرّ عادتها</w:t>
      </w:r>
      <w:r>
        <w:rPr>
          <w:rStyle w:val="FootnoteAnchor"/>
          <w:rtl w:val="true"/>
        </w:rPr>
        <w:footnoteReference w:id="1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مطابق بظاهره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كذلك لأنّه ليس هنا طهر و لا حيض على اليقين، بل هو دم مشتبه تعمل فيه بالاحتياط</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3" w:name="__RefHeading___Toc4192177_2142443653"/>
      <w:bookmarkStart w:id="714" w:name="_Toc294"/>
      <w:bookmarkEnd w:id="713"/>
      <w:r>
        <w:rPr>
          <w:rtl w:val="true"/>
        </w:rPr>
        <w:t>السابعة</w:t>
      </w:r>
      <w:r>
        <w:rPr>
          <w:rtl w:val="true"/>
        </w:rPr>
        <w:t xml:space="preserve">: </w:t>
      </w:r>
      <w:r>
        <w:rPr>
          <w:rtl w:val="true"/>
        </w:rPr>
        <w:t>قال في المبسوط</w:t>
      </w:r>
      <w:r>
        <w:rPr>
          <w:rtl w:val="true"/>
        </w:rPr>
        <w:t xml:space="preserve">: </w:t>
      </w:r>
      <w:r>
        <w:rPr>
          <w:rtl w:val="true"/>
        </w:rPr>
        <w:t xml:space="preserve">روي عنهم </w:t>
      </w:r>
      <w:r>
        <w:rPr>
          <w:rtl w:val="true"/>
        </w:rPr>
        <w:t>(</w:t>
      </w:r>
      <w:r>
        <w:rPr>
          <w:rtl w:val="true"/>
        </w:rPr>
        <w:t>عليهم السلام</w:t>
      </w:r>
      <w:r>
        <w:rPr>
          <w:rtl w:val="true"/>
        </w:rPr>
        <w:t>): «</w:t>
      </w:r>
      <w:r>
        <w:rPr>
          <w:rtl w:val="true"/>
        </w:rPr>
        <w:t>انّ الصفرة في أيام الحيض حيض،</w:t>
      </w:r>
      <w:bookmarkEnd w:id="714"/>
    </w:p>
    <w:p>
      <w:pPr>
        <w:pStyle w:val="BookText"/>
        <w:rPr/>
      </w:pPr>
      <w:r>
        <w:rPr>
          <w:rFonts w:ascii="Amiri" w:hAnsi="Amiri" w:eastAsia="Amiri" w:cs="Amiri"/>
          <w:color w:val="111111"/>
          <w:sz w:val="28"/>
          <w:sz w:val="28"/>
          <w:szCs w:val="28"/>
          <w:rtl w:val="true"/>
          <w:lang w:bidi="ar-SA"/>
        </w:rPr>
        <w:t>و في أيام الطهر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أيام الحيض بالعادة، أو بما يمكن فيه ذلك كالمبتدأة، و التي تعقب عادتها دم بعد أقلّ الطهر، حملا للخبر على عمومه</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رأت المرأة في أيام </w:t>
      </w:r>
      <w:bookmarkStart w:id="715" w:name="pg15253_219748"/>
    </w:p>
    <w:p>
      <w:pPr>
        <w:pStyle w:val="BookText"/>
        <w:rPr/>
      </w:pPr>
      <w:bookmarkEnd w:id="715"/>
      <w:r>
        <w:rPr>
          <w:rFonts w:ascii="Amiri" w:hAnsi="Amiri" w:eastAsia="Amiri" w:cs="Amiri"/>
          <w:color w:val="111111"/>
          <w:sz w:val="28"/>
          <w:sz w:val="28"/>
          <w:szCs w:val="28"/>
          <w:rtl w:val="true"/>
          <w:lang w:bidi="ar-SA"/>
        </w:rPr>
        <w:t>حيضها من صفرة أو حمرة فهو من الحيض، و كلّما رأته بعد حيضها فليس من الحيض</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في الحيض أن تكون الصفرة و الكدرة فما فوقها في أيام الحيض إذا عرفت حيضا كلّه</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6" w:name="__RefHeading___Toc4192179_2142443653"/>
      <w:bookmarkStart w:id="717" w:name="_Toc295"/>
      <w:bookmarkEnd w:id="716"/>
      <w:r>
        <w:rPr>
          <w:rtl w:val="true"/>
        </w:rPr>
        <w:t>الثامنة</w:t>
      </w:r>
      <w:r>
        <w:rPr>
          <w:rtl w:val="true"/>
        </w:rPr>
        <w:t xml:space="preserve">: </w:t>
      </w:r>
      <w:r>
        <w:rPr>
          <w:rtl w:val="true"/>
        </w:rPr>
        <w:t>ذات العادة المستقرة تترك العبادة بالرؤية</w:t>
      </w:r>
      <w:bookmarkEnd w:id="717"/>
    </w:p>
    <w:p>
      <w:pPr>
        <w:pStyle w:val="BookText"/>
        <w:rPr/>
      </w:pPr>
      <w:r>
        <w:rPr>
          <w:rFonts w:ascii="Amiri" w:hAnsi="Amiri" w:eastAsia="Amiri" w:cs="Amiri"/>
          <w:color w:val="111111"/>
          <w:sz w:val="28"/>
          <w:sz w:val="28"/>
          <w:szCs w:val="28"/>
          <w:rtl w:val="true"/>
          <w:lang w:bidi="ar-SA"/>
        </w:rPr>
        <w:t>حسب ما مرّ، لأنّ المعتاد كالمتيقّن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لخبر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ترى الصفرة في أيام حيضها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الدم أيام حيضها تركت الصلاة</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المبتدأة أيضا عند الشيخ</w:t>
      </w:r>
      <w:r>
        <w:rPr>
          <w:rStyle w:val="FootnoteAnchor"/>
          <w:rtl w:val="true"/>
        </w:rPr>
        <w:footnoteReference w:id="1234"/>
      </w:r>
      <w:r>
        <w:rPr>
          <w:rFonts w:ascii="Amiri" w:hAnsi="Amiri" w:eastAsia="Amiri" w:cs="Amiri"/>
          <w:color w:val="111111"/>
          <w:sz w:val="28"/>
          <w:sz w:val="28"/>
          <w:szCs w:val="28"/>
          <w:rtl w:val="true"/>
          <w:lang w:bidi="ar-SA"/>
        </w:rPr>
        <w:t>، لظاهر الخبر السالف بناء على ما فسّر به الأيام، و ما تلوناه من الخبرين ظاهرهما المعتادة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لخبر منصور بن حازم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ساعة رأت الصائمة الدم تفطر</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تفطر، إنّما فطرها من الدم</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ردّه في المعتبر بحمل الدم على المعهود، و هو دم الحيض، و إنّما يكون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رجّح قول ابن الجنيد و المرتضى بالتعبّد إلى الثلاثة، لتيقن الأمر بالعبادة فلا يزول إلاّ بمثله</w:t>
      </w:r>
      <w:r>
        <w:rPr>
          <w:rFonts w:eastAsia="Amiri" w:cs="Amiri" w:ascii="Amiri" w:hAnsi="Amiri"/>
          <w:color w:val="111111"/>
          <w:sz w:val="28"/>
          <w:szCs w:val="28"/>
          <w:rtl w:val="true"/>
          <w:lang w:bidi="ar-SA"/>
        </w:rPr>
        <w:t xml:space="preserve">. </w:t>
      </w:r>
      <w:bookmarkStart w:id="718" w:name="pg15253_219749"/>
    </w:p>
    <w:p>
      <w:pPr>
        <w:pStyle w:val="BookText"/>
        <w:rPr/>
      </w:pPr>
      <w:bookmarkEnd w:id="718"/>
      <w:r>
        <w:rPr>
          <w:rFonts w:ascii="Amiri" w:hAnsi="Amiri" w:eastAsia="Amiri" w:cs="Amiri"/>
          <w:color w:val="111111"/>
          <w:sz w:val="28"/>
          <w:sz w:val="28"/>
          <w:szCs w:val="28"/>
          <w:rtl w:val="true"/>
          <w:lang w:bidi="ar-SA"/>
        </w:rPr>
        <w:t>و لا يعارض بالمعتادة، و بأنّ الاحتمال قائم بعد الثلاثة، لجواز وجود دم أقوى بعدها ناقل لحكم الحيض إليه،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الأصل عدم دم طارئ</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المختلف احتجّ على الأول 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دم الحيض 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الوصف بالحرارة مسلّط على الحكم بالحيض حيث وجدت</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الخبرين في المستحاضة مع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الدليل أخصّ من الدعوى، فإنّه إن سلّم كان المصير إلى الحيض إذا حصل الشرط، و المدّعى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قوّة قول الشيخ، و إن كان الاستظهار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المضطربة كالمبتدأة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ترى الدم قبل وقت حيضها،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قبل وقتها فلتدع الصلاة، فإنّه ربّما تعجّل الوقت</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ترى الصفرة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قبل الحيض بيومين فهو من الحيض</w:t>
      </w:r>
      <w:r>
        <w:rPr>
          <w:rFonts w:eastAsia="Amiri" w:cs="Amiri" w:ascii="Amiri" w:hAnsi="Amiri"/>
          <w:color w:val="111111"/>
          <w:sz w:val="28"/>
          <w:szCs w:val="28"/>
          <w:rtl w:val="true"/>
          <w:lang w:bidi="ar-SA"/>
        </w:rPr>
        <w:t>»</w:t>
      </w:r>
      <w:r>
        <w:rPr>
          <w:rStyle w:val="FootnoteAnchor"/>
          <w:rtl w:val="true"/>
        </w:rPr>
        <w:footnoteReference w:id="1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يرجّحان مذهب الشيخ</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اتفاق الوقت دائما نادر</w:t>
      </w:r>
      <w:r>
        <w:rPr>
          <w:rFonts w:eastAsia="IRNazanin" w:cs="IRNazanin"/>
          <w:color w:val="111111"/>
          <w:sz w:val="28"/>
          <w:szCs w:val="28"/>
          <w:rtl w:val="true"/>
          <w:lang w:bidi="fa-IR"/>
        </w:rPr>
        <w:t>.</w:t>
      </w:r>
    </w:p>
    <w:p>
      <w:pPr>
        <w:pStyle w:val="Heading6"/>
        <w:numPr>
          <w:ilvl w:val="5"/>
          <w:numId w:val="1"/>
        </w:numPr>
        <w:rPr/>
      </w:pPr>
      <w:bookmarkStart w:id="719" w:name="__RefHeading___Toc4192181_2142443653"/>
      <w:bookmarkStart w:id="720" w:name="_Toc296"/>
      <w:bookmarkEnd w:id="719"/>
      <w:r>
        <w:rPr>
          <w:rtl w:val="true"/>
        </w:rPr>
        <w:t>التاسعة</w:t>
      </w:r>
      <w:r>
        <w:rPr>
          <w:rtl w:val="true"/>
        </w:rPr>
        <w:t xml:space="preserve">: </w:t>
      </w:r>
      <w:r>
        <w:rPr>
          <w:rtl w:val="true"/>
        </w:rPr>
        <w:t>المعتادة دون العشرة مع الدم المستمر،</w:t>
      </w:r>
      <w:bookmarkEnd w:id="72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تستظهر بترك العبادة يوما أو يومين، ثم تغتسل للحيض و تأتي بأفعال المستحاضة مع المراعاة، فتستدرك ما ظهر فيه الخلل في المشهور، لخبر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دما بعد أيامها، فلتقعد عن الصلاة يوما أو يومين</w:t>
      </w:r>
      <w:r>
        <w:rPr>
          <w:rFonts w:eastAsia="Amiri" w:cs="Amiri" w:ascii="Amiri" w:hAnsi="Amiri"/>
          <w:color w:val="111111"/>
          <w:sz w:val="28"/>
          <w:szCs w:val="28"/>
          <w:rtl w:val="true"/>
          <w:lang w:bidi="ar-SA"/>
        </w:rPr>
        <w:t>»</w:t>
      </w:r>
      <w:r>
        <w:rPr>
          <w:rStyle w:val="FootnoteAnchor"/>
          <w:rtl w:val="true"/>
        </w:rPr>
        <w:footnoteReference w:id="1242"/>
      </w:r>
      <w:r>
        <w:rPr>
          <w:rFonts w:ascii="Amiri" w:hAnsi="Amiri" w:eastAsia="Amiri" w:cs="Amiri"/>
          <w:color w:val="111111"/>
          <w:sz w:val="28"/>
          <w:sz w:val="28"/>
          <w:szCs w:val="28"/>
          <w:rtl w:val="true"/>
          <w:lang w:bidi="ar-SA"/>
        </w:rPr>
        <w:t xml:space="preserve">و مثله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المرتضى و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إلى العشرة</w:t>
      </w:r>
      <w:r>
        <w:rPr>
          <w:rStyle w:val="FootnoteAnchor"/>
          <w:rtl w:val="true"/>
        </w:rPr>
        <w:footnoteReference w:id="1244"/>
      </w:r>
      <w:r>
        <w:rPr>
          <w:rFonts w:ascii="Amiri" w:hAnsi="Amiri" w:eastAsia="Amiri" w:cs="Amiri"/>
          <w:color w:val="111111"/>
          <w:sz w:val="28"/>
          <w:sz w:val="28"/>
          <w:szCs w:val="28"/>
          <w:rtl w:val="true"/>
          <w:lang w:bidi="ar-SA"/>
        </w:rPr>
        <w:t>، لأنّها أيام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لخبر يونس بن يعقوب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تنتظر عدتها، ثم تستظهر بعشرة أيام</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التخيير وجه قوي، لأنّه في خبر سعيد بن يسار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46"/>
      </w:r>
      <w:r>
        <w:rPr>
          <w:rFonts w:ascii="Amiri" w:hAnsi="Amiri" w:eastAsia="Amiri" w:cs="Amiri"/>
          <w:color w:val="111111"/>
          <w:sz w:val="28"/>
          <w:sz w:val="28"/>
          <w:szCs w:val="28"/>
          <w:rtl w:val="true"/>
          <w:lang w:bidi="ar-SA"/>
        </w:rPr>
        <w:t xml:space="preserve">و خبر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ثلاثة</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و إن كان الاقتصار أحوط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الاستظهار جائز و إن كان ظاهر الشيخ و المرتضى وجوبه</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قطع به ابن إدريس رحمه اللّه</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w:t>
      </w:r>
      <w:r>
        <w:rPr>
          <w:rStyle w:val="FootnoteAnchor"/>
          <w:rtl w:val="true"/>
        </w:rPr>
        <w:footnoteReference w:id="1250"/>
      </w:r>
      <w:r>
        <w:rPr>
          <w:rFonts w:ascii="Amiri" w:hAnsi="Amiri" w:eastAsia="Amiri" w:cs="Amiri"/>
          <w:color w:val="111111"/>
          <w:sz w:val="28"/>
          <w:sz w:val="28"/>
          <w:szCs w:val="28"/>
          <w:rtl w:val="true"/>
          <w:lang w:bidi="ar-SA"/>
        </w:rPr>
        <w:t>و مفهومه الصلاة بعدها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لخبر ابن أبي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إذا مضى أيام أقرائها اغتسلت</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721" w:name="pg15253_219751"/>
    </w:p>
    <w:p>
      <w:pPr>
        <w:pStyle w:val="BookText"/>
        <w:rPr/>
      </w:pPr>
      <w:bookmarkEnd w:id="721"/>
      <w:r>
        <w:rPr>
          <w:rFonts w:ascii="Amiri" w:hAnsi="Amiri" w:eastAsia="Amiri" w:cs="Amiri"/>
          <w:color w:val="111111"/>
          <w:sz w:val="28"/>
          <w:sz w:val="28"/>
          <w:szCs w:val="28"/>
          <w:rtl w:val="true"/>
          <w:lang w:bidi="ar-SA"/>
        </w:rPr>
        <w:t xml:space="preserve">و لخبر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جاوزت أيامها و رأت دمها يثقب الكرسف اغتسلت</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أن تتطهّر بعد عادتها، و تسبّح بقدر صلاتها إلى العشرة، مع حكمه بالاستظهار إلى العشرة، و كذا تصنع من يقدم الدم عادتها بيوم أو يومين عنده</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كلاهما يخالف المشهور، و إن أراد بالتطهّر الاغتسال اشتدت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الاستظهار و الرجوع الى العادة بين تقدّمها و تأخّرها، أو أن ترى قبلها و بعدها و فيها، و لو لم يتجاوز فالجميع 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الاستظهار إنّما هو مع بقاء الدم بأيّ لون اتّفق، لمنطوق الأخبار، و احتمال الحيض، امّا مع النقاء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المختلف عمومه، و حجته غير ظاهرة الدلالة</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 قطع بما قلناه</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تستظهر المبتدأة إذا رجعت الى عادة نسائها بيوم، رواه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2" w:name="__RefHeading___Toc4192183_2142443653"/>
      <w:bookmarkStart w:id="723" w:name="_Toc297"/>
      <w:bookmarkEnd w:id="722"/>
      <w:r>
        <w:rPr>
          <w:rtl w:val="true"/>
        </w:rPr>
        <w:t>العاشرة</w:t>
      </w:r>
      <w:r>
        <w:rPr>
          <w:rtl w:val="true"/>
        </w:rPr>
        <w:t xml:space="preserve">: </w:t>
      </w:r>
      <w:r>
        <w:rPr>
          <w:rtl w:val="true"/>
        </w:rPr>
        <w:t xml:space="preserve">لو عارض التمييز العادة </w:t>
      </w:r>
      <w:r>
        <w:rPr>
          <w:rtl w:val="true"/>
        </w:rPr>
        <w:t>-</w:t>
      </w:r>
      <w:bookmarkEnd w:id="72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على العادة في المشهور، لعموم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Style w:val="FootnoteAnchor"/>
          <w:rtl w:val="true"/>
        </w:rPr>
        <w:footnoteReference w:id="1257"/>
      </w:r>
      <w:r>
        <w:rPr>
          <w:rFonts w:ascii="Amiri" w:hAnsi="Amiri" w:eastAsia="Amiri" w:cs="Amiri"/>
          <w:color w:val="111111"/>
          <w:sz w:val="28"/>
          <w:sz w:val="28"/>
          <w:szCs w:val="28"/>
          <w:rtl w:val="true"/>
          <w:lang w:bidi="ar-SA"/>
        </w:rPr>
        <w:t>و عموم خبري الصفرة</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النهاية على التمييز</w:t>
      </w:r>
      <w:r>
        <w:rPr>
          <w:rStyle w:val="FootnoteAnchor"/>
          <w:rtl w:val="true"/>
        </w:rPr>
        <w:footnoteReference w:id="1259"/>
      </w:r>
      <w:r>
        <w:rPr>
          <w:rFonts w:ascii="Amiri" w:hAnsi="Amiri" w:eastAsia="Amiri" w:cs="Amiri"/>
          <w:color w:val="111111"/>
          <w:sz w:val="28"/>
          <w:sz w:val="28"/>
          <w:szCs w:val="28"/>
          <w:rtl w:val="true"/>
          <w:lang w:bidi="ar-SA"/>
        </w:rPr>
        <w:t>، لصحيح معاوية 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الحيض حار</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حسن حفص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الحيض حارّ عبيط أسود، له دفع و حرارة</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الأخبار بحمل هذه على غير المعتادة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724" w:name="pg15253_219753"/>
    </w:p>
    <w:p>
      <w:pPr>
        <w:pStyle w:val="Heading6"/>
        <w:numPr>
          <w:ilvl w:val="5"/>
          <w:numId w:val="1"/>
        </w:numPr>
        <w:rPr/>
      </w:pPr>
      <w:bookmarkStart w:id="725" w:name="__RefHeading___Toc4192185_2142443653"/>
      <w:bookmarkStart w:id="726" w:name="_Toc298"/>
      <w:bookmarkEnd w:id="724"/>
      <w:bookmarkEnd w:id="725"/>
      <w:r>
        <w:rPr>
          <w:rtl w:val="true"/>
        </w:rPr>
        <w:t>المقام الثالث</w:t>
      </w:r>
      <w:r>
        <w:rPr>
          <w:rtl w:val="true"/>
        </w:rPr>
        <w:t xml:space="preserve">: </w:t>
      </w:r>
      <w:r>
        <w:rPr>
          <w:rtl w:val="true"/>
        </w:rPr>
        <w:t>في الاستحاضة</w:t>
      </w:r>
      <w:r>
        <w:rPr>
          <w:rtl w:val="true"/>
        </w:rPr>
        <w:t>.</w:t>
      </w:r>
      <w:bookmarkEnd w:id="726"/>
    </w:p>
    <w:p>
      <w:pPr>
        <w:pStyle w:val="Heading6"/>
        <w:numPr>
          <w:ilvl w:val="5"/>
          <w:numId w:val="1"/>
        </w:numPr>
        <w:rPr/>
      </w:pPr>
      <w:bookmarkStart w:id="727" w:name="__RefHeading___Toc4192187_2142443653"/>
      <w:bookmarkStart w:id="728" w:name="_Toc299"/>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 xml:space="preserve">و دمها غالبا أصفر بارد،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حفص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 الاستحاضة أصفر بارد</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الشيخان الرقة</w:t>
      </w:r>
      <w:r>
        <w:rPr>
          <w:rStyle w:val="FootnoteAnchor"/>
          <w:rtl w:val="true"/>
        </w:rPr>
        <w:footnoteReference w:id="1263"/>
      </w:r>
      <w:r>
        <w:rPr>
          <w:rFonts w:ascii="Amiri" w:hAnsi="Amiri" w:eastAsia="Amiri" w:cs="Amiri"/>
          <w:color w:val="111111"/>
          <w:sz w:val="28"/>
          <w:sz w:val="28"/>
          <w:szCs w:val="28"/>
          <w:rtl w:val="true"/>
          <w:lang w:bidi="ar-SA"/>
        </w:rPr>
        <w:t>كما زادا الغلظ في الحيض</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سعيد بن يسار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تحيض ثم تطهر، و ربما رأت بعده الدم الرقيق</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علي بن يقطين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 الصلاة ما دامت ترى الدم العبيط، فإذا رقّ و كانت صفرة اغتسلت</w:t>
      </w:r>
      <w:r>
        <w:rPr>
          <w:rFonts w:eastAsia="Amiri" w:cs="Amiri" w:ascii="Amiri" w:hAnsi="Amiri"/>
          <w:color w:val="111111"/>
          <w:sz w:val="28"/>
          <w:szCs w:val="28"/>
          <w:rtl w:val="true"/>
          <w:lang w:bidi="ar-SA"/>
        </w:rPr>
        <w:t>»</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العبيط يشعر بالغلظ، و الرقّة 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تراه الصبية، أو اليائسة، أو دون الثلاثة، أو غير متوالية، أو أزيد من العادة و يتجاوز العشرة، أو بعد أكثر النفاس، أو بعد التمييز أو قبله إذا كان الدم التالي أقوى و ليس بينهما عشرة، أو بعد ردّها إلى عادة النساء أو الأقران، أو إحدى الروايات الآتية، و يستمرّ، فهو استحاضة ما لم تعلم أنّه لعذرة أو قرح و شبهه، و قد مرّ و سيجيء تقريره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اعتبار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لطخ باطن الكرسف و لم يثقبه، و لا ظهر عليه، فعليها إبدالها أو 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إزالة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الوضوء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ثقبه و لم يسل، فعليها مع ذلك تغيير الخرقة أو غسلها، و غسل للصبح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سال، فمع ذلك غسلان للظهرين و العشاءين، مع الجمع بينهما بتأخير الأولى حتى يدخل </w:t>
      </w:r>
    </w:p>
    <w:p>
      <w:pPr>
        <w:pStyle w:val="BookText"/>
        <w:rPr/>
      </w:pPr>
      <w:r>
        <w:rPr>
          <w:rFonts w:ascii="Amiri" w:hAnsi="Amiri" w:eastAsia="Amiri" w:cs="Amiri"/>
          <w:color w:val="111111"/>
          <w:sz w:val="28"/>
          <w:sz w:val="28"/>
          <w:szCs w:val="28"/>
          <w:rtl w:val="true"/>
          <w:lang w:bidi="ar-SA"/>
        </w:rPr>
        <w:t>وقت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أبي عقيل جعل القسم الأول غير ناقض للطهارة، و سوّى بين القسمين الآخرين في وجوب الغسل ثلاثا، و لم يذكر الوضوء</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فالإجماع حاصل في الثلاثة على القسم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ظهر لي أنّه إن ظهر على الكرسف وجب ثلاثة أغسال، و إن لم يظهر فالوضوءات، و هو ظاهر صاحب الفاخر</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المرتضى على أصله في أن لا وضوء مع الغسل</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ثقب الكرسف فالأغسال الثلاثة، و إلاّ فغسل في اليوم و الليلة</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فروى الصحّاف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فلتغتسل و تصلّي الظهرين، ثم لتنظر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الدم لا يسيل فيما بينها و بين المغرب، فلتتوضّأ لكل صلاة ما لم تطرح الكرسف، فإن طرحته و سال وجب عليها الغسل، و إن طرحته و لم يسل فلتتوضّأ و لا غسل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إذا أمسكت الكرسف يسيل من خلفه صبيبا، فعليها الغسل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فعلت ذلك أذهب اللّه الدم عنها</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 ابن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تفعله امرأة قط احتسابا، إلاّ عوفيت من ذلك</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مشعر بأنّ الاعتبار بوقت الصلاة، فلا أثر لما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 أنّ السيل ينبغي أن يكون واقعا، فلو كان مقدّر الوقوع فلا أثر له،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تطرح الكرسف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فلتغتسل، و تستوثق من نفسها، و تصلّي كلّ صلاة بوضوء ما لم ينفذ الدم، فإذا نفذ اغتسلت و صلّت</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ثقب الكرسف اغتسلت للظهرين، تؤخّر هذه و تعجّل هذه، و للعشاءين تؤخّر هذه و تعجّل هذه، و تغتسل للصبح، و تحتشي و تستثفر و تضمّ فخذيها في المسجد، و لا يأتيها بعلها أيّام قرئها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يثقب توضأت لكلّ صلاة و دخلت المسجد</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حجة المعتبر، و فيها تصريح بجواز دخول المستحاضة المسجد، و تلويح بأنّ التلويث مانع من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تغتسل ثلاثا</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 و لم يذكر الوضوء و لا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حجة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يحمل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إذا ثقب الكرسف اغتسلت الثلاثة، و إن لم يجز الدم الكرسف فالغسل لكلّ يوم مرة، و الوضوء لكلّ صلاة</w:t>
      </w:r>
      <w:r>
        <w:rPr>
          <w:rFonts w:eastAsia="Amiri" w:cs="Amiri" w:ascii="Amiri" w:hAnsi="Amiri"/>
          <w:color w:val="111111"/>
          <w:sz w:val="28"/>
          <w:szCs w:val="28"/>
          <w:rtl w:val="true"/>
          <w:lang w:bidi="ar-SA"/>
        </w:rPr>
        <w:t>»</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لابن الجنيد، و حمل على النفوذ و عدم السيل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 المشهور في سنن الحيض الثلاث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فاطمة بنت أبي حبيش أن تدع الصلاة قدر أقرائها، ثم تغتسل</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كلام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تغتسل و تتوضّأ لكلّ صلاة</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الناسية وقتها و عددها بترك الصلاة عند إقبال الحيض، و بالاغتسال عند إدباره، و فسّر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و الإدبار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بتغيّر اللون من السواد الى غيره، لأن دم الحيض اسود يعرف</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حمنة بنت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مبتدأة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بالتلجّم و التحيّض في كلّ شهر في علم اللّه ستة أيّام أو سبعة، ثم الغسل للفجر، ثم للظهرين، ثم للعشاءين، تؤخّر الاولى و تعجّل الثانية</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الجمع بين هذه بالقول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منها أنّها لا تجمع بين صلاتين بوضوء و إن كان الدم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المفيد في ذات الأغسال الاكتفاء بوضوء واحد لصلاتي الجمع</w:t>
      </w:r>
      <w:r>
        <w:rPr>
          <w:rStyle w:val="FootnoteAnchor"/>
          <w:rtl w:val="true"/>
        </w:rPr>
        <w:footnoteReference w:id="1281"/>
      </w:r>
      <w:r>
        <w:rPr>
          <w:rFonts w:ascii="IRNazanin" w:hAnsi="IRNazanin" w:eastAsia="IRNazanin"/>
          <w:color w:val="111111"/>
          <w:sz w:val="28"/>
          <w:sz w:val="28"/>
          <w:szCs w:val="28"/>
          <w:rtl w:val="true"/>
          <w:lang w:bidi="fa-IR"/>
        </w:rPr>
        <w:t>، و قطع به ابن طاوس و المحقّق بظاهر الخبر</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وجب الوضوء الواحد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احتياج ما عدا غسل الجنابة إلى الوضوء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المستحاضة تتوضّأ لكلّ صلاة</w:t>
      </w:r>
      <w:r>
        <w:rPr>
          <w:rFonts w:eastAsia="Amiri" w:cs="Amiri" w:ascii="Amiri" w:hAnsi="Amiri"/>
          <w:color w:val="111111"/>
          <w:sz w:val="28"/>
          <w:szCs w:val="28"/>
          <w:rtl w:val="true"/>
          <w:lang w:bidi="ar-SA"/>
        </w:rPr>
        <w:t>»</w:t>
      </w:r>
      <w:r>
        <w:rPr>
          <w:rStyle w:val="FootnoteAnchor"/>
          <w:rtl w:val="true"/>
        </w:rPr>
        <w:footnoteReference w:id="1283"/>
      </w:r>
      <w:r>
        <w:rPr>
          <w:rFonts w:ascii="IRNazanin" w:hAnsi="IRNazanin" w:eastAsia="IRNazanin"/>
          <w:color w:val="111111"/>
          <w:sz w:val="28"/>
          <w:sz w:val="28"/>
          <w:szCs w:val="28"/>
          <w:rtl w:val="true"/>
          <w:lang w:bidi="fa-IR"/>
        </w:rPr>
        <w:t>محمول على عدم نفوذ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قطع في المختلف بوجوب الوضوءين، لعموم الآية السالم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الغسل رافعا للحدث</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علمه باللّه، إذ لا حيض لها معلوم عندها،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علّمك اللّه من عادات النساء، فإنّه القدر الغالب عليهن، و يكون كخبر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المستحاضة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تنظر بعض نسائها فتقتدي بأقرائها</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سماعة أنّه سأله عن المبتدأة،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أقراؤها مثل أقراء نسائها، فإن اختلفن فأكثر جلوسها عشرة أيام، و أقلّه ثلاثة</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الشيخ على صحة الرواية بالإجماع</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عبد اللّه بن بكير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الجارية المستحاضة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عشرة من الشهر الأول، و ثلاثة من الثاني و ما بعده</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حكم المبتدأة إذا فقدت التمييز، أمّا المضطربة فتشاركها في التمييز، ثم لا ترجع إلى النساء، لأنّه قد سبق لها عادة، بل تشاركها في الجلوس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في المبسوط بين الثلاثة و العشرة في الشهرين و بين السبعة فيهما</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طهر و عشرة حيض، لأنّه دم يمكن أن يكون حيضا</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729" w:name="pg15253_219758"/>
    </w:p>
    <w:p>
      <w:pPr>
        <w:pStyle w:val="BookText"/>
        <w:rPr/>
      </w:pPr>
      <w:bookmarkEnd w:id="729"/>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أو سبعة</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عشرة ثم ثلاثة</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جلوسها عشرة لكل شهر</w:t>
      </w:r>
      <w:r>
        <w:rPr>
          <w:rStyle w:val="FootnoteAnchor"/>
          <w:rtl w:val="true"/>
        </w:rPr>
        <w:footnoteReference w:id="1293"/>
      </w:r>
      <w:r>
        <w:rPr>
          <w:rFonts w:ascii="Amiri" w:hAnsi="Amiri" w:eastAsia="Amiri" w:cs="Amiri"/>
          <w:color w:val="111111"/>
          <w:sz w:val="28"/>
          <w:sz w:val="28"/>
          <w:szCs w:val="28"/>
          <w:rtl w:val="true"/>
          <w:lang w:bidi="ar-SA"/>
        </w:rPr>
        <w:t>، و هو ظاهر المرتضى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إلى عشرة</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متقارب</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4192189_2142443653"/>
      <w:bookmarkStart w:id="731" w:name="_Toc300"/>
      <w:bookmarkEnd w:id="730"/>
      <w:r>
        <w:rPr>
          <w:rtl w:val="true"/>
        </w:rPr>
        <w:t>فروع</w:t>
      </w:r>
      <w:r>
        <w:rPr>
          <w:rtl w:val="true"/>
        </w:rPr>
        <w:t>:</w:t>
      </w:r>
      <w:bookmarkEnd w:id="731"/>
    </w:p>
    <w:p>
      <w:pPr>
        <w:pStyle w:val="Heading6"/>
        <w:numPr>
          <w:ilvl w:val="5"/>
          <w:numId w:val="1"/>
        </w:numPr>
        <w:rPr/>
      </w:pPr>
      <w:bookmarkStart w:id="732" w:name="__RefHeading___Toc4192191_2142443653"/>
      <w:bookmarkStart w:id="733" w:name="_Toc301"/>
      <w:bookmarkEnd w:id="732"/>
      <w:r>
        <w:rPr>
          <w:rtl w:val="true"/>
        </w:rPr>
        <w:t>الأول</w:t>
      </w:r>
      <w:r>
        <w:rPr>
          <w:rtl w:val="true"/>
        </w:rPr>
        <w:t xml:space="preserve">: </w:t>
      </w:r>
      <w:r>
        <w:rPr>
          <w:rtl w:val="true"/>
        </w:rPr>
        <w:t>ظاهر الخبر التخيير بين الستة و السبعة،</w:t>
      </w:r>
      <w:bookmarkEnd w:id="733"/>
    </w:p>
    <w:p>
      <w:pPr>
        <w:pStyle w:val="BookText"/>
        <w:rPr/>
      </w:pPr>
      <w:r>
        <w:rPr>
          <w:rFonts w:ascii="Amiri" w:hAnsi="Amiri" w:eastAsia="Amiri" w:cs="Amiri"/>
          <w:color w:val="111111"/>
          <w:sz w:val="28"/>
          <w:sz w:val="28"/>
          <w:szCs w:val="28"/>
          <w:rtl w:val="true"/>
          <w:lang w:bidi="ar-SA"/>
        </w:rPr>
        <w:t>و لا محذور في التخيير بين فعل الواجب و تركه، لوجود مثله في الصلاة في الأماكن الأربعة، و التسبيح بدل الحمد في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عودها إلى ما يغلّب على ظنها، لقوة طرف الظن، و وجوب العمل بالراجح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التفسير الثاني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تجتهد في النساء، و تأخذ عادة الأقرب إليها من جهة الأبوين، و لا اختصاص للعصبة هنا، لأنّ المعتبر الطبيعة و هي جاذبة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فأقرانها، قاله في المبسوط</w:t>
      </w:r>
      <w:r>
        <w:rPr>
          <w:rStyle w:val="FootnoteAnchor"/>
          <w:rtl w:val="true"/>
        </w:rPr>
        <w:footnoteReference w:id="1295"/>
      </w:r>
      <w:r>
        <w:rPr>
          <w:rFonts w:ascii="Amiri" w:hAnsi="Amiri" w:eastAsia="Amiri" w:cs="Amiri"/>
          <w:color w:val="111111"/>
          <w:sz w:val="28"/>
          <w:sz w:val="28"/>
          <w:szCs w:val="28"/>
          <w:rtl w:val="true"/>
          <w:lang w:bidi="ar-SA"/>
        </w:rPr>
        <w:t>، و تبعه جماعة من الأصحاب</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فحينئذ إن كان عادة الأقرب ستة فهي المأخوذة، و إن كانت عادتهن سبعة فهي المأخوذة،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أو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للتنويع،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 يحضن ستة فتحيّضي ستة، و إن كنّ يحضن سبعة فتحيّضي سبعة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زدن عن السبع أو نقصن عن الست، فالمعتبر عادتهن، لأن الأمر بالستة أو السبعة بناء على الغالب</w:t>
      </w:r>
      <w:r>
        <w:rPr>
          <w:rFonts w:eastAsia="Amiri" w:cs="Amiri" w:ascii="Amiri" w:hAnsi="Amiri"/>
          <w:color w:val="111111"/>
          <w:sz w:val="28"/>
          <w:szCs w:val="28"/>
          <w:rtl w:val="true"/>
          <w:lang w:bidi="ar-SA"/>
        </w:rPr>
        <w:t xml:space="preserve">. </w:t>
      </w:r>
      <w:bookmarkStart w:id="734" w:name="pg15253_219759"/>
    </w:p>
    <w:p>
      <w:pPr>
        <w:pStyle w:val="BookText"/>
        <w:rPr/>
      </w:pPr>
      <w:bookmarkEnd w:id="734"/>
      <w:r>
        <w:rPr>
          <w:rFonts w:ascii="Amiri" w:hAnsi="Amiri" w:eastAsia="Amiri" w:cs="Amiri"/>
          <w:color w:val="111111"/>
          <w:sz w:val="28"/>
          <w:sz w:val="28"/>
          <w:szCs w:val="28"/>
          <w:rtl w:val="true"/>
          <w:lang w:bidi="ar-SA"/>
        </w:rPr>
        <w:t>و يمكن أخذ الستة إن نقصن، و السبعة إن زدن، عملا بالأقرب إلى عادتهن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كلام الأصحاب</w:t>
      </w:r>
      <w:r>
        <w:rPr>
          <w:rStyle w:val="FootnoteAnchor"/>
          <w:rtl w:val="true"/>
        </w:rPr>
        <w:footnoteReference w:id="1297"/>
      </w:r>
      <w:r>
        <w:rPr>
          <w:rFonts w:ascii="Amiri" w:hAnsi="Amiri" w:eastAsia="Amiri" w:cs="Amiri"/>
          <w:color w:val="111111"/>
          <w:sz w:val="28"/>
          <w:sz w:val="28"/>
          <w:szCs w:val="28"/>
          <w:rtl w:val="true"/>
          <w:lang w:bidi="ar-SA"/>
        </w:rPr>
        <w:t>أنّ عادة النساء و الأقران مقدّمة على هذين العددين، و أنّها لا ترجع إليهما إلاّ عند عدم النساء و الأقران، أو اختلاف عادتهن من غير أن يكون فيهنّ أغلب، إذ لو كان الأغلب عليهن عددا تحيّضت به</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4192193_2142443653"/>
      <w:bookmarkStart w:id="736" w:name="_Toc302"/>
      <w:bookmarkEnd w:id="735"/>
      <w:r>
        <w:rPr>
          <w:rtl w:val="true"/>
        </w:rPr>
        <w:t>الثاني</w:t>
      </w:r>
      <w:r>
        <w:rPr>
          <w:rtl w:val="true"/>
        </w:rPr>
        <w:t xml:space="preserve">: </w:t>
      </w:r>
      <w:r>
        <w:rPr>
          <w:rtl w:val="true"/>
        </w:rPr>
        <w:t>خبر محمد بن مسلم يدل على التمسّك و لو بواحدة،</w:t>
      </w:r>
      <w:bookmarkEnd w:id="736"/>
    </w:p>
    <w:p>
      <w:pPr>
        <w:pStyle w:val="BookText"/>
        <w:rPr/>
      </w:pPr>
      <w:r>
        <w:rPr>
          <w:rFonts w:ascii="Amiri" w:hAnsi="Amiri" w:eastAsia="Amiri" w:cs="Amiri"/>
          <w:color w:val="111111"/>
          <w:sz w:val="28"/>
          <w:sz w:val="28"/>
          <w:szCs w:val="28"/>
          <w:rtl w:val="true"/>
          <w:lang w:bidi="ar-SA"/>
        </w:rPr>
        <w:t>قضية للبعض، و هو خلاف الفتوى</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حملها على غير المتمكنة من معرفة عادات جميع نسائها، فتكتفي بالبعض الممكن، و لأنّ تتبّع جميع نسائها فيه عسر غالبا</w:t>
      </w:r>
      <w:r>
        <w:rPr>
          <w:rFonts w:eastAsia="Amiri" w:cs="Amiri" w:ascii="Amiri" w:hAnsi="Amiri"/>
          <w:color w:val="111111"/>
          <w:sz w:val="28"/>
          <w:szCs w:val="28"/>
          <w:rtl w:val="true"/>
          <w:lang w:bidi="ar-SA"/>
        </w:rPr>
        <w:t>.</w:t>
      </w:r>
    </w:p>
    <w:p>
      <w:pPr>
        <w:pStyle w:val="Heading6"/>
        <w:numPr>
          <w:ilvl w:val="5"/>
          <w:numId w:val="1"/>
        </w:numPr>
        <w:rPr/>
      </w:pPr>
      <w:bookmarkStart w:id="737" w:name="__RefHeading___Toc4192195_2142443653"/>
      <w:bookmarkStart w:id="738" w:name="_Toc303"/>
      <w:bookmarkEnd w:id="737"/>
      <w:r>
        <w:rPr>
          <w:rtl w:val="true"/>
        </w:rPr>
        <w:t>الثالث</w:t>
      </w:r>
      <w:r>
        <w:rPr>
          <w:rtl w:val="true"/>
        </w:rPr>
        <w:t xml:space="preserve">: </w:t>
      </w:r>
      <w:r>
        <w:rPr>
          <w:rtl w:val="true"/>
        </w:rPr>
        <w:t>أنكر في المعتبر العود إلى الأقران</w:t>
      </w:r>
      <w:bookmarkEnd w:id="738"/>
    </w:p>
    <w:p>
      <w:pPr>
        <w:pStyle w:val="BookText"/>
        <w:rPr/>
      </w:pPr>
      <w:r>
        <w:rPr>
          <w:rFonts w:ascii="Amiri" w:hAnsi="Amiri" w:eastAsia="Amiri" w:cs="Amiri"/>
          <w:color w:val="111111"/>
          <w:sz w:val="28"/>
          <w:sz w:val="28"/>
          <w:szCs w:val="28"/>
          <w:rtl w:val="true"/>
          <w:lang w:bidi="ar-SA"/>
        </w:rPr>
        <w:t>مطالبا بالدليل، و فارقا بالمشاكلة في الطباع و الجنسية في نسائها دون الأقران</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عليه، فان الإضافة تصدق بأدنى ملابسة، و لما لابسنها في السن و البلد صدق عليهن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المشاكلة فمع السن و اتحاد البلد تحصل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ليس في كلام الأصحاب منع منه، و ان لم يكن فيه 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اعتبار اتحاد البلد في الجميع، لأنّ للبلدان أثرا ظاهرا في تخالف الأمزجة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فسّرنا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يقوى ذلك، و قرينته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الأغلبية لا تختصّ بنسائها دون غيرهن</w:t>
      </w:r>
      <w:r>
        <w:rPr>
          <w:rFonts w:eastAsia="Amiri" w:cs="Amiri" w:ascii="Amiri" w:hAnsi="Amiri"/>
          <w:color w:val="111111"/>
          <w:sz w:val="28"/>
          <w:szCs w:val="28"/>
          <w:rtl w:val="true"/>
          <w:lang w:bidi="ar-SA"/>
        </w:rPr>
        <w:t>.</w:t>
      </w:r>
    </w:p>
    <w:p>
      <w:pPr>
        <w:pStyle w:val="Heading6"/>
        <w:numPr>
          <w:ilvl w:val="5"/>
          <w:numId w:val="1"/>
        </w:numPr>
        <w:rPr/>
      </w:pPr>
      <w:bookmarkStart w:id="739" w:name="__RefHeading___Toc4192197_2142443653"/>
      <w:bookmarkStart w:id="740" w:name="_Toc304"/>
      <w:bookmarkEnd w:id="739"/>
      <w:r>
        <w:rPr>
          <w:rtl w:val="true"/>
        </w:rPr>
        <w:t>الرابع</w:t>
      </w:r>
      <w:r>
        <w:rPr>
          <w:rtl w:val="true"/>
        </w:rPr>
        <w:t xml:space="preserve">: </w:t>
      </w:r>
      <w:r>
        <w:rPr>
          <w:rtl w:val="true"/>
        </w:rPr>
        <w:t>حكم أبو الصلاح برجوع المضطربة الى النساء،</w:t>
      </w:r>
      <w:bookmarkEnd w:id="74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التمييز، ثم السبعة</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مخالف للمشهور رواية و فتوى</w:t>
      </w:r>
      <w:r>
        <w:rPr>
          <w:rFonts w:eastAsia="Amiri" w:cs="Amiri" w:ascii="Amiri" w:hAnsi="Amiri"/>
          <w:color w:val="111111"/>
          <w:sz w:val="28"/>
          <w:szCs w:val="28"/>
          <w:rtl w:val="true"/>
          <w:lang w:bidi="ar-SA"/>
        </w:rPr>
        <w:t xml:space="preserve">. </w:t>
      </w:r>
      <w:bookmarkStart w:id="741" w:name="pg15253_219760"/>
    </w:p>
    <w:p>
      <w:pPr>
        <w:pStyle w:val="BookText"/>
        <w:rPr/>
      </w:pPr>
      <w:bookmarkEnd w:id="741"/>
      <w:r>
        <w:rPr>
          <w:rFonts w:ascii="Amiri" w:hAnsi="Amiri" w:eastAsia="Amiri" w:cs="Amiri"/>
          <w:color w:val="111111"/>
          <w:sz w:val="28"/>
          <w:sz w:val="28"/>
          <w:szCs w:val="28"/>
          <w:rtl w:val="true"/>
          <w:lang w:bidi="ar-SA"/>
        </w:rPr>
        <w:t>و حكم ابن الجنيد في المبتدأة و المضطربة بعشرة أولا، ثم ثلاثة فيما بعد، و بقضاء عشرة من شهر رمضان، للاحتياط</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2" w:name="__RefHeading___Toc4192199_2142443653"/>
      <w:bookmarkStart w:id="743" w:name="_Toc305"/>
      <w:bookmarkEnd w:id="742"/>
      <w:r>
        <w:rPr>
          <w:rtl w:val="true"/>
        </w:rPr>
        <w:t>الخامس</w:t>
      </w:r>
      <w:r>
        <w:rPr>
          <w:rtl w:val="true"/>
        </w:rPr>
        <w:t xml:space="preserve">: </w:t>
      </w:r>
      <w:r>
        <w:rPr>
          <w:rtl w:val="true"/>
        </w:rPr>
        <w:t>لا تصح طهارتها قبل الوقت،</w:t>
      </w:r>
      <w:bookmarkEnd w:id="743"/>
    </w:p>
    <w:p>
      <w:pPr>
        <w:pStyle w:val="BookText"/>
        <w:rPr/>
      </w:pPr>
      <w:r>
        <w:rPr>
          <w:rFonts w:ascii="Amiri" w:hAnsi="Amiri" w:eastAsia="Amiri" w:cs="Amiri"/>
          <w:color w:val="111111"/>
          <w:sz w:val="28"/>
          <w:sz w:val="28"/>
          <w:szCs w:val="28"/>
          <w:rtl w:val="true"/>
          <w:lang w:bidi="ar-SA"/>
        </w:rPr>
        <w:t xml:space="preserve">لعدم الحاجة إليه، و للخبر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تتوضّأ لكلّ صلاة</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و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إدريس بتوقّف صحة الصلاة على معاقبة الطهارة، فلو لم تتشاغل بها ثم صلّت لم تصح، لأنّ فرضها الوضوء عند الصلاة، و هي تقتضي التعقيب</w:t>
      </w:r>
      <w:r>
        <w:rPr>
          <w:rStyle w:val="FootnoteAnchor"/>
          <w:rtl w:val="true"/>
        </w:rPr>
        <w:footnoteReference w:id="1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أكثر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في خبر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 ثلاثا</w:t>
      </w:r>
      <w:r>
        <w:rPr>
          <w:rStyle w:val="FootnoteAnchor"/>
          <w:rtl w:val="true"/>
        </w:rPr>
        <w:footnoteReference w:id="1304"/>
      </w:r>
      <w:r>
        <w:rPr>
          <w:rFonts w:ascii="Amiri" w:hAnsi="Amiri" w:eastAsia="Amiri" w:cs="Amiri"/>
          <w:color w:val="111111"/>
          <w:sz w:val="28"/>
          <w:sz w:val="28"/>
          <w:szCs w:val="28"/>
          <w:rtl w:val="true"/>
          <w:lang w:bidi="ar-SA"/>
        </w:rPr>
        <w:t>، و في خبر الصحّاف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فلتتوضّأ، و لتصلّ عند وقت كل صلاة</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الأصل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الفاضلان</w:t>
      </w:r>
      <w:r>
        <w:rPr>
          <w:rStyle w:val="FootnoteAnchor"/>
          <w:rtl w:val="true"/>
        </w:rPr>
        <w:footnoteReference w:id="1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بالحدث مخالف للأصل، فيجب تقليله ما أمكن، و هو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يضرّ اشتغالها بمقدّمات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كالستر، و الاجتهاد في القبلة، و انتظار الجماعة، قاله الفاضل</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الخلاف المنع في ذلك</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الأذان و الإقامة، فلا يقدحان قطعا، نظرا إلى فعلهما على الوجه الأكمل</w:t>
      </w:r>
      <w:r>
        <w:rPr>
          <w:rFonts w:eastAsia="Amiri" w:cs="Amiri" w:ascii="Amiri" w:hAnsi="Amiri"/>
          <w:color w:val="111111"/>
          <w:sz w:val="28"/>
          <w:szCs w:val="28"/>
          <w:rtl w:val="true"/>
          <w:lang w:bidi="ar-SA"/>
        </w:rPr>
        <w:t xml:space="preserve">. </w:t>
      </w:r>
      <w:bookmarkStart w:id="744" w:name="pg15253_219761"/>
    </w:p>
    <w:p>
      <w:pPr>
        <w:pStyle w:val="Heading6"/>
        <w:numPr>
          <w:ilvl w:val="5"/>
          <w:numId w:val="1"/>
        </w:numPr>
        <w:rPr/>
      </w:pPr>
      <w:bookmarkStart w:id="745" w:name="__RefHeading___Toc4192201_2142443653"/>
      <w:bookmarkStart w:id="746" w:name="_Toc306"/>
      <w:bookmarkEnd w:id="744"/>
      <w:bookmarkEnd w:id="745"/>
      <w:r>
        <w:rPr>
          <w:rtl w:val="true"/>
        </w:rPr>
        <w:t>السادس</w:t>
      </w:r>
      <w:r>
        <w:rPr>
          <w:rtl w:val="true"/>
        </w:rPr>
        <w:t xml:space="preserve">: </w:t>
      </w:r>
      <w:r>
        <w:rPr>
          <w:rtl w:val="true"/>
        </w:rPr>
        <w:t>الأجود تجديد الوضوء لصلاة النافلة،</w:t>
      </w:r>
      <w:bookmarkEnd w:id="746"/>
    </w:p>
    <w:p>
      <w:pPr>
        <w:pStyle w:val="BookText"/>
        <w:rPr/>
      </w:pPr>
      <w:r>
        <w:rPr>
          <w:rFonts w:ascii="IRNazanin" w:hAnsi="IRNazanin" w:eastAsia="IRNazanin"/>
          <w:color w:val="111111"/>
          <w:sz w:val="28"/>
          <w:sz w:val="28"/>
          <w:szCs w:val="28"/>
          <w:rtl w:val="true"/>
          <w:lang w:bidi="fa-IR"/>
        </w:rPr>
        <w:t>لما قلناه من الحدث، و لظاهر الخبر</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جوّز الشيخ صلاة ما شاءت من النافلة بوضوء الفريضة</w:t>
      </w:r>
      <w:r>
        <w:rPr>
          <w:rStyle w:val="FootnoteAnchor"/>
          <w:rtl w:val="true"/>
        </w:rPr>
        <w:footnoteReference w:id="1310"/>
      </w:r>
      <w:r>
        <w:rPr>
          <w:rFonts w:ascii="Amiri" w:hAnsi="Amiri" w:eastAsia="Amiri" w:cs="Amiri"/>
          <w:color w:val="111111"/>
          <w:sz w:val="28"/>
          <w:sz w:val="28"/>
          <w:szCs w:val="28"/>
          <w:rtl w:val="true"/>
          <w:lang w:bidi="ar-SA"/>
        </w:rPr>
        <w:t>، فكأنّه يحمل الصلاة المأمور بالوضوء لها على المعهودة، و هي اليومية أو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جوزنا لها فعل القضاء انسحب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يجوز لها الجمع بين الفرائض و النوافل بغسل واحد لوقته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تجمع بين صلاتي الليل و الصبح بغسل، فتؤخّر صلاة الليل و تقدّم صلاة الفجر لأول وقتها، لأنّ الغسل لا يتعدّد إلاّ بحسب الوقت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تتنفّل ليلا اغتسلت بعد الفجر، و لو كانت صائمة قدّمته على الفجر كغسل منقطعة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طاهرا بالأفعال إجماعا</w:t>
      </w:r>
      <w:r>
        <w:rPr>
          <w:rStyle w:val="FootnoteAnchor"/>
          <w:rtl w:val="true"/>
        </w:rPr>
        <w:footnoteReference w:id="1311"/>
      </w:r>
      <w:r>
        <w:rPr>
          <w:rFonts w:ascii="Amiri" w:hAnsi="Amiri" w:eastAsia="Amiri" w:cs="Amiri"/>
          <w:color w:val="111111"/>
          <w:sz w:val="28"/>
          <w:sz w:val="28"/>
          <w:szCs w:val="28"/>
          <w:rtl w:val="true"/>
          <w:lang w:bidi="ar-SA"/>
        </w:rPr>
        <w:t>، و صحة الصلاة موقوفة على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الصوم، فيكفي فيه الغسل، و لو أخلّت به قضت لا غير، للخبر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المبسوط يشعر بتوقفه في القضاء، حيث أسنده إلى رواية الأصحاب</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يشترط في صحة صوم يوم غسل الليلة المستقبلة قطعا، لسبق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فيه غسل ليلته؟ فيه كلام يأتي ان شاء اللّه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استثنى ابن حمزة مما يحل للمستحاضة دخول الكعبة</w:t>
      </w:r>
      <w:r>
        <w:rPr>
          <w:rStyle w:val="FootnoteAnchor"/>
          <w:rtl w:val="true"/>
        </w:rPr>
        <w:footnoteReference w:id="1313"/>
      </w:r>
      <w:r>
        <w:rPr>
          <w:rFonts w:ascii="Amiri" w:hAnsi="Amiri" w:eastAsia="Amiri" w:cs="Amiri"/>
          <w:color w:val="111111"/>
          <w:sz w:val="28"/>
          <w:sz w:val="28"/>
          <w:szCs w:val="28"/>
          <w:rtl w:val="true"/>
          <w:lang w:bidi="ar-SA"/>
        </w:rPr>
        <w:t xml:space="preserve">، حراسة عن مظنة </w:t>
      </w:r>
      <w:bookmarkStart w:id="747" w:name="pg15253_219762"/>
    </w:p>
    <w:p>
      <w:pPr>
        <w:pStyle w:val="BookText"/>
        <w:rPr/>
      </w:pPr>
      <w:bookmarkEnd w:id="747"/>
      <w:r>
        <w:rPr>
          <w:rFonts w:ascii="Amiri" w:hAnsi="Amiri" w:eastAsia="Amiri" w:cs="Amiri"/>
          <w:color w:val="111111"/>
          <w:sz w:val="28"/>
          <w:sz w:val="28"/>
          <w:szCs w:val="28"/>
          <w:rtl w:val="true"/>
          <w:lang w:bidi="ar-SA"/>
        </w:rPr>
        <w:t>التلويث</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4192203_2142443653"/>
      <w:bookmarkStart w:id="749" w:name="_Toc307"/>
      <w:bookmarkEnd w:id="748"/>
      <w:r>
        <w:rPr>
          <w:rtl w:val="true"/>
        </w:rPr>
        <w:t>السابع</w:t>
      </w:r>
      <w:r>
        <w:rPr>
          <w:rtl w:val="true"/>
        </w:rPr>
        <w:t xml:space="preserve">: </w:t>
      </w:r>
      <w:r>
        <w:rPr>
          <w:rtl w:val="true"/>
        </w:rPr>
        <w:t>ظاهر الأصحاب توقّف حلّ الوطء</w:t>
      </w:r>
      <w:bookmarkEnd w:id="749"/>
    </w:p>
    <w:p>
      <w:pPr>
        <w:pStyle w:val="BookText"/>
        <w:rPr/>
      </w:pPr>
      <w:r>
        <w:rPr>
          <w:rFonts w:ascii="Amiri" w:hAnsi="Amiri" w:eastAsia="Amiri" w:cs="Amiri"/>
          <w:color w:val="111111"/>
          <w:sz w:val="28"/>
          <w:sz w:val="28"/>
          <w:szCs w:val="28"/>
          <w:rtl w:val="true"/>
          <w:lang w:bidi="ar-SA"/>
        </w:rPr>
        <w:t>على ما توقّف عليه الصلاة و الصوم، من الوضوء و الغسل،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وطؤها إذا فعلت ما تفعله المستحاضة،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Style w:val="FootnoteAnchor"/>
          <w:rtl w:val="true"/>
        </w:rPr>
        <w:footnoteReference w:id="1314"/>
      </w:r>
      <w:r>
        <w:rPr>
          <w:rFonts w:ascii="Amiri" w:hAnsi="Amiri" w:eastAsia="Amiri" w:cs="Amiri"/>
          <w:color w:val="111111"/>
          <w:sz w:val="28"/>
          <w:sz w:val="28"/>
          <w:szCs w:val="28"/>
          <w:rtl w:val="true"/>
          <w:lang w:bidi="ar-SA"/>
        </w:rPr>
        <w:t>و ابن الجنيد</w:t>
      </w:r>
      <w:r>
        <w:rPr>
          <w:rStyle w:val="FootnoteAnchor"/>
          <w:rtl w:val="true"/>
        </w:rPr>
        <w:footnoteReference w:id="1315"/>
      </w:r>
      <w:r>
        <w:rPr>
          <w:rFonts w:ascii="IRNazanin" w:hAnsi="IRNazanin" w:eastAsia="IRNazanin"/>
          <w:color w:val="111111"/>
          <w:sz w:val="28"/>
          <w:sz w:val="28"/>
          <w:szCs w:val="28"/>
          <w:rtl w:val="true"/>
          <w:lang w:bidi="fa-IR"/>
        </w:rPr>
        <w:t>و المرتضى</w:t>
      </w:r>
      <w:r>
        <w:rPr>
          <w:rStyle w:val="FootnoteAnchor"/>
          <w:rtl w:val="true"/>
        </w:rPr>
        <w:footnoteReference w:id="1316"/>
      </w:r>
      <w:r>
        <w:rPr>
          <w:rFonts w:ascii="Amiri" w:hAnsi="Amiri" w:eastAsia="Amiri" w:cs="Amiri"/>
          <w:color w:val="111111"/>
          <w:sz w:val="28"/>
          <w:sz w:val="28"/>
          <w:szCs w:val="28"/>
          <w:rtl w:val="true"/>
          <w:lang w:bidi="ar-SA"/>
        </w:rPr>
        <w:t>و الشيخ</w:t>
      </w:r>
      <w:r>
        <w:rPr>
          <w:rStyle w:val="FootnoteAnchor"/>
          <w:rtl w:val="true"/>
        </w:rPr>
        <w:footnoteReference w:id="1317"/>
      </w:r>
      <w:r>
        <w:rPr>
          <w:rFonts w:ascii="Amiri" w:hAnsi="Amiri" w:eastAsia="Amiri" w:cs="Amiri"/>
          <w:color w:val="111111"/>
          <w:sz w:val="28"/>
          <w:sz w:val="28"/>
          <w:szCs w:val="28"/>
          <w:rtl w:val="true"/>
          <w:lang w:bidi="ar-SA"/>
        </w:rPr>
        <w:t>لوجود الأذى فيه كالحيض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لخبر عبد الملك بن أعين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يغشاها، حتى يأمرها فتغتسل</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جعله المحقق في المعتبر مكروها مغلظا قبل الإفعال، لأنّه دم مرض و أذى، فالامتناع فيه أولى و ليس بمحرم، لعموم فَإِذا تَطَهَّرْنَ فَأْتُوهُنَّ ، و نِساؤُكُمْ حَرْثٌ لَكُمْ فَأْتُوا حَرْثَكُمْ أَنّى شِئْتُمْ ، و إِلاّ عَلى أَزْواجِهِمْ أَوْ ما مَلَكَتْ أَيْمانُهُمْ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حمنة بنت جحش كان زوجها يجامعها مستحاضة، و كذا أم حبيبة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لا بأس أن يأتيها بعلها متى شاء إلاّ أيام أقرائها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خبر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مطلقة، فاشتراط الأفعال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الوطء لا يشترط فيه الخلو من الحدث كالحائض المنقطعة الدم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لأصالة الحل السالم عن المعارض الشرعي</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xml:space="preserve">. </w:t>
      </w:r>
      <w:bookmarkStart w:id="750" w:name="pg15253_219763"/>
    </w:p>
    <w:p>
      <w:pPr>
        <w:pStyle w:val="BookText"/>
        <w:rPr/>
      </w:pPr>
      <w:bookmarkEnd w:id="750"/>
      <w:r>
        <w:rPr>
          <w:rFonts w:ascii="Amiri" w:hAnsi="Amiri" w:eastAsia="Amiri" w:cs="Amiri"/>
          <w:color w:val="111111"/>
          <w:sz w:val="28"/>
          <w:sz w:val="28"/>
          <w:szCs w:val="28"/>
          <w:rtl w:val="true"/>
          <w:lang w:bidi="ar-SA"/>
        </w:rPr>
        <w:t>و أجيب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قياس، و عن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إرادة غسل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أقرب الخلاف هنا من الخلاف في وطء الحائض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علق المفيد حل الوطء على الأفعال، أتبعه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يجوز إلاّ بعد نزع الخرق و غسل الفرج بالماء</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1" w:name="__RefHeading___Toc4192205_2142443653"/>
      <w:bookmarkStart w:id="752" w:name="_Toc308"/>
      <w:bookmarkEnd w:id="751"/>
      <w:r>
        <w:rPr>
          <w:rtl w:val="true"/>
        </w:rPr>
        <w:t>الثامن</w:t>
      </w:r>
      <w:r>
        <w:rPr>
          <w:rtl w:val="true"/>
        </w:rPr>
        <w:t xml:space="preserve">: </w:t>
      </w:r>
      <w:r>
        <w:rPr>
          <w:rtl w:val="true"/>
        </w:rPr>
        <w:t>حكم الشيخ بأنّ انقطاع دمها بعد الوضوء يوجب الوضوء ،</w:t>
      </w:r>
      <w:bookmarkEnd w:id="752"/>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الشيخ بأنّ انقطاع دمها بعد الوضوء يوجب الوضوء</w:t>
      </w:r>
      <w:r>
        <w:rPr>
          <w:rStyle w:val="FootnoteAnchor"/>
          <w:rtl w:val="true"/>
        </w:rPr>
        <w:footnoteReference w:id="1321"/>
      </w:r>
      <w:r>
        <w:rPr>
          <w:rFonts w:ascii="Amiri" w:hAnsi="Amiri" w:eastAsia="Amiri" w:cs="Amiri"/>
          <w:color w:val="111111"/>
          <w:sz w:val="28"/>
          <w:sz w:val="28"/>
          <w:szCs w:val="28"/>
          <w:rtl w:val="true"/>
          <w:lang w:bidi="ar-SA"/>
        </w:rPr>
        <w:t>، و لم يذكر البرء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قيّده بعض الأصحاب بالبرء</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انقطاع الدم يظهر معه حكم الحدث، أو ان الصلاة أبيحت مع الدم للضرورة و قد زالت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دم الاستحاضة في نفسه حدث يوجب الوضوء وحده تارة، و الغسل أخرى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امتثلت، فإن كان حال الطهارة منقطعا و استمرّ الانقطاع، فلا وضوء و لا غسل، لأنّها فعلت 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خرج بعدهما أو في أثنائهما دم، ثم انقطع إما في الأثناء أو بعده، فان كان انقطاع فترة فلا أثر له، لأنّه بعوده كالموجود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انقطاع برء، فالأجود وجوب ما كان يوجبه الدم، لأن الشارع علّق على دم الاستحاضة الوضوء و الغسل و هذا دم استحاضة، و الطهارة الأولى كانت لما سلف قبلها من الدم، و لا يلزم من صحة الصلاة مع الدم عدم تأثيره في الحدث</w:t>
      </w:r>
      <w:r>
        <w:rPr>
          <w:rFonts w:eastAsia="Amiri" w:cs="Amiri" w:ascii="Amiri" w:hAnsi="Amiri"/>
          <w:color w:val="111111"/>
          <w:sz w:val="28"/>
          <w:szCs w:val="28"/>
          <w:rtl w:val="true"/>
          <w:lang w:bidi="ar-SA"/>
        </w:rPr>
        <w:t xml:space="preserve">. </w:t>
      </w:r>
      <w:bookmarkStart w:id="753" w:name="pg15253_219764"/>
    </w:p>
    <w:p>
      <w:pPr>
        <w:pStyle w:val="BookText"/>
        <w:rPr/>
      </w:pPr>
      <w:bookmarkEnd w:id="753"/>
      <w:r>
        <w:rPr>
          <w:rFonts w:ascii="Amiri" w:hAnsi="Amiri" w:eastAsia="Amiri" w:cs="Amiri"/>
          <w:color w:val="111111"/>
          <w:sz w:val="28"/>
          <w:sz w:val="28"/>
          <w:szCs w:val="28"/>
          <w:rtl w:val="true"/>
          <w:lang w:bidi="ar-SA"/>
        </w:rPr>
        <w:t>و هذه المسألة لم نظفر فيها بنص من قبل أهل البيت عليهم السلام، و لكن ما أفتى به الشيخ هو قول العامة</w:t>
      </w:r>
      <w:r>
        <w:rPr>
          <w:rStyle w:val="FootnoteAnchor"/>
          <w:rtl w:val="true"/>
        </w:rPr>
        <w:footnoteReference w:id="1323"/>
      </w:r>
      <w:r>
        <w:rPr>
          <w:rFonts w:ascii="Amiri" w:hAnsi="Amiri" w:eastAsia="Amiri" w:cs="Amiri"/>
          <w:color w:val="111111"/>
          <w:sz w:val="28"/>
          <w:sz w:val="28"/>
          <w:szCs w:val="28"/>
          <w:rtl w:val="true"/>
          <w:lang w:bidi="ar-SA"/>
        </w:rPr>
        <w:t>بناء منهم على أنّ حدث الاستحاضة يوجب الوضوء لا غير، فإذا انقطع بقي على ما كان عليه، و لما كان الأصحاب يوجبون به الغسل فليكن مستمرا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لو لم تغتسل مع الكثرة للصبح مثلا ثم دخل وقت الظهر، فان كان باقيا أجزأها غسل الظهرين، لأنّه يرفع ما مضى من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منقطعا، فالأجود وجوب الغسل، و كذا لو أهملت غسلي النهار و دخل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أهملت غسل الليل، و اغتسلت للصبح و صامت، أجزأ، لأنّه يأتي على 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الدم قد انقطع قبله، وجب فعله على ما قلناه، فلو أخلّت به بطل الصوم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نهاية الفاضل قرّب وجوب الغسل لو انقطع الدم قبل فعله، إمّا بجنوبها أو لإخلالها</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4" w:name="__RefHeading___Toc4192207_2142443653"/>
      <w:bookmarkStart w:id="755" w:name="_Toc309"/>
      <w:bookmarkEnd w:id="754"/>
      <w:r>
        <w:rPr>
          <w:rtl w:val="true"/>
        </w:rPr>
        <w:t>التاسع</w:t>
      </w:r>
      <w:r>
        <w:rPr>
          <w:rtl w:val="true"/>
        </w:rPr>
        <w:t xml:space="preserve">: </w:t>
      </w:r>
      <w:r>
        <w:rPr>
          <w:rtl w:val="true"/>
        </w:rPr>
        <w:t>لو انقطع الدم في أثناء الصلاة،</w:t>
      </w:r>
      <w:bookmarkEnd w:id="755"/>
    </w:p>
    <w:p>
      <w:pPr>
        <w:pStyle w:val="BookText"/>
        <w:rPr/>
      </w:pPr>
      <w:r>
        <w:rPr>
          <w:rFonts w:ascii="Amiri" w:hAnsi="Amiri" w:eastAsia="Amiri" w:cs="Amiri"/>
          <w:color w:val="111111"/>
          <w:sz w:val="28"/>
          <w:sz w:val="28"/>
          <w:szCs w:val="28"/>
          <w:rtl w:val="true"/>
          <w:lang w:bidi="ar-SA"/>
        </w:rPr>
        <w:t>حكم في المبسوط و الخلاف بإتمامها</w:t>
      </w:r>
      <w:r>
        <w:rPr>
          <w:rStyle w:val="FootnoteAnchor"/>
          <w:rtl w:val="true"/>
        </w:rPr>
        <w:footnoteReference w:id="1325"/>
      </w:r>
      <w:r>
        <w:rPr>
          <w:rFonts w:ascii="Amiri" w:hAnsi="Amiri" w:eastAsia="Amiri" w:cs="Amiri"/>
          <w:color w:val="111111"/>
          <w:sz w:val="28"/>
          <w:sz w:val="28"/>
          <w:szCs w:val="28"/>
          <w:rtl w:val="true"/>
          <w:lang w:bidi="ar-SA"/>
        </w:rPr>
        <w:t>، لأنّها دخلت دخولا مشروعا فلا تبطل عملها للنهي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لحظ ابن إدريس و المحقق المنافاة، لأن الحدث كما يمنع من الدخول في الصلاة يمنع من الاستمرار فيها</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دمها بعد الطهارة معفو عنه، فلم يكن مؤثرا في نفس الطهارة، و الانقطاع ليس بحدث، أمكن، لكن يلزم التسوية في جواز الصلاة بين انقطاعه قبل الشروع في الصلاة، و انقطاعه في أثنائها</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bookmarkStart w:id="756" w:name="pg15253_219765"/>
    </w:p>
    <w:p>
      <w:pPr>
        <w:pStyle w:val="BookText"/>
        <w:rPr/>
      </w:pPr>
      <w:bookmarkEnd w:id="75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أحدا قال بالعفو عن هذا الدم الخارج بعد الطهارة مع تعقّب الانقطاع، انما العفو عنه مع قيد الاستمرار، فلا يتم الاعتراض</w:t>
      </w:r>
      <w:r>
        <w:rPr>
          <w:rFonts w:eastAsia="Amiri" w:cs="Amiri" w:ascii="Amiri" w:hAnsi="Amiri"/>
          <w:color w:val="111111"/>
          <w:sz w:val="28"/>
          <w:szCs w:val="28"/>
          <w:rtl w:val="true"/>
          <w:lang w:bidi="ar-SA"/>
        </w:rPr>
        <w:t>.</w:t>
      </w:r>
    </w:p>
    <w:p>
      <w:pPr>
        <w:pStyle w:val="Heading6"/>
        <w:numPr>
          <w:ilvl w:val="5"/>
          <w:numId w:val="1"/>
        </w:numPr>
        <w:rPr/>
      </w:pPr>
      <w:bookmarkStart w:id="757" w:name="__RefHeading___Toc4192209_2142443653"/>
      <w:bookmarkStart w:id="758" w:name="_Toc310"/>
      <w:bookmarkEnd w:id="757"/>
      <w:r>
        <w:rPr>
          <w:rtl w:val="true"/>
        </w:rPr>
        <w:t>العاشر</w:t>
      </w:r>
      <w:r>
        <w:rPr>
          <w:rtl w:val="true"/>
        </w:rPr>
        <w:t xml:space="preserve">: </w:t>
      </w:r>
      <w:r>
        <w:rPr>
          <w:rtl w:val="true"/>
        </w:rPr>
        <w:t>قيل</w:t>
      </w:r>
      <w:r>
        <w:rPr>
          <w:rtl w:val="true"/>
        </w:rPr>
        <w:t xml:space="preserve">: </w:t>
      </w:r>
      <w:r>
        <w:rPr>
          <w:rtl w:val="true"/>
        </w:rPr>
        <w:t>الاعتبار في الكثرة و القلة بأوقات الصلوات،</w:t>
      </w:r>
      <w:bookmarkEnd w:id="758"/>
    </w:p>
    <w:p>
      <w:pPr>
        <w:pStyle w:val="BookText"/>
        <w:rPr/>
      </w:pPr>
      <w:r>
        <w:rPr>
          <w:rFonts w:ascii="Amiri" w:hAnsi="Amiri" w:eastAsia="Amiri" w:cs="Amiri"/>
          <w:color w:val="111111"/>
          <w:sz w:val="28"/>
          <w:sz w:val="28"/>
          <w:szCs w:val="28"/>
          <w:rtl w:val="true"/>
          <w:lang w:bidi="ar-SA"/>
        </w:rPr>
        <w:t>فلو سبقت القلة و طرأت الكثرة انتقل الحكم، فلو كانت الكثرة بعد الصبح اغتسلت للظهرين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يتوقّف عليه صحة الصوم؟ نظر، من سبق انعقاده، و من الحكم على المستحاضة بوجوب الأغسال و جعلها شرطا في صحة الصوم، و هو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الصوم بين كثرته قبل فعل الظهرين، أو بعد فعلهما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إلى الظهرين فلا يجب ان كثر بعدهما غسل لهما، بل إن استمر الى العشاءين اغتسلت لهما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ان انقطع مظنونا عوده أو مشكوكا فيه، لأصالة البقاء، و ان شفيت منه بني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سبقت الكثرة في الصبح اغتسلت له، فلو قلّ عند الظهر توضّأت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جوّزت عود الكثرة، فالأجود الغسل، لأنه كالحاصل، و ان علمت الشفاء كفاها الوضوء، و الطريق الى علم الشفاء إما اعتياده أو إخبار العارف، و يكفي غلبة الظن</w:t>
      </w:r>
      <w:r>
        <w:rPr>
          <w:rFonts w:eastAsia="Amiri" w:cs="Amiri" w:ascii="Amiri" w:hAnsi="Amiri"/>
          <w:color w:val="111111"/>
          <w:sz w:val="28"/>
          <w:szCs w:val="28"/>
          <w:rtl w:val="true"/>
          <w:lang w:bidi="ar-SA"/>
        </w:rPr>
        <w:t>.</w:t>
      </w:r>
    </w:p>
    <w:p>
      <w:pPr>
        <w:pStyle w:val="Heading6"/>
        <w:numPr>
          <w:ilvl w:val="5"/>
          <w:numId w:val="1"/>
        </w:numPr>
        <w:rPr/>
      </w:pPr>
      <w:bookmarkStart w:id="759" w:name="__RefHeading___Toc4192211_2142443653"/>
      <w:bookmarkStart w:id="760" w:name="_Toc311"/>
      <w:bookmarkEnd w:id="759"/>
      <w:r>
        <w:rPr>
          <w:rtl w:val="true"/>
        </w:rPr>
        <w:t>الحادي عشر</w:t>
      </w:r>
      <w:r>
        <w:rPr>
          <w:rtl w:val="true"/>
        </w:rPr>
        <w:t xml:space="preserve">: </w:t>
      </w:r>
      <w:r>
        <w:rPr>
          <w:rtl w:val="true"/>
        </w:rPr>
        <w:t>الأجود انه إذا انقطع الدم بعد الطهارة إعادتها</w:t>
      </w:r>
      <w:bookmarkEnd w:id="760"/>
    </w:p>
    <w:p>
      <w:pPr>
        <w:pStyle w:val="BookText"/>
        <w:rPr/>
      </w:pPr>
      <w:r>
        <w:rPr>
          <w:rFonts w:ascii="Amiri" w:hAnsi="Amiri" w:eastAsia="Amiri" w:cs="Amiri"/>
          <w:color w:val="111111"/>
          <w:sz w:val="28"/>
          <w:sz w:val="28"/>
          <w:szCs w:val="28"/>
          <w:rtl w:val="true"/>
          <w:lang w:bidi="ar-SA"/>
        </w:rPr>
        <w:t>و ان لم تعلم الشفاء، لأنّه يمكنها ان تصلي بطهارة رافعة للحدث، سواء ظنّت عدم الشفاء أو شكّت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ظنّت قصور الزمان عن الطهارة و الصلاة، فلا اعادة و لو صحب الانقطاع الصلاة، للامتثال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في الأول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جزم في الخلاف بوجوب اعادة الوضوء إذا انقطع الدم قبل دخولها في الصلاة، و ببطلان الصلاة لو لم تفعل</w:t>
      </w:r>
      <w:r>
        <w:rPr>
          <w:rStyle w:val="FootnoteAnchor"/>
          <w:rtl w:val="true"/>
        </w:rPr>
        <w:footnoteReference w:id="1328"/>
      </w:r>
      <w:r>
        <w:rPr>
          <w:rFonts w:ascii="Amiri" w:hAnsi="Amiri" w:eastAsia="Amiri" w:cs="Amiri"/>
          <w:color w:val="111111"/>
          <w:sz w:val="28"/>
          <w:sz w:val="28"/>
          <w:szCs w:val="28"/>
          <w:rtl w:val="true"/>
          <w:lang w:bidi="ar-SA"/>
        </w:rPr>
        <w:t>، و لم يفصّل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ذات عادة مستقيمة معلومة، أو مبتدأة، و قد ذكرتا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مضطربة ذات تمييز، فتعمل عليه</w:t>
      </w:r>
      <w:r>
        <w:rPr>
          <w:rFonts w:eastAsia="Amiri" w:cs="Amiri" w:ascii="Amiri" w:hAnsi="Amiri"/>
          <w:color w:val="111111"/>
          <w:sz w:val="28"/>
          <w:szCs w:val="28"/>
          <w:rtl w:val="true"/>
          <w:lang w:bidi="ar-SA"/>
        </w:rPr>
        <w:t xml:space="preserve">. </w:t>
      </w:r>
      <w:bookmarkStart w:id="761" w:name="pg15253_219766"/>
    </w:p>
    <w:p>
      <w:pPr>
        <w:pStyle w:val="Heading6"/>
        <w:numPr>
          <w:ilvl w:val="5"/>
          <w:numId w:val="1"/>
        </w:numPr>
        <w:rPr/>
      </w:pPr>
      <w:bookmarkStart w:id="762" w:name="__RefHeading___Toc4192213_2142443653"/>
      <w:bookmarkStart w:id="763" w:name="_Toc312"/>
      <w:bookmarkEnd w:id="761"/>
      <w:bookmarkEnd w:id="762"/>
      <w:r>
        <w:rPr>
          <w:rtl w:val="true"/>
        </w:rPr>
        <w:t>حكم مضطربة فاقد التمييز في المرأة المستحاضة</w:t>
      </w:r>
      <w:bookmarkEnd w:id="763"/>
    </w:p>
    <w:p>
      <w:pPr>
        <w:pStyle w:val="Heading6"/>
        <w:numPr>
          <w:ilvl w:val="5"/>
          <w:numId w:val="1"/>
        </w:numPr>
        <w:rPr/>
      </w:pPr>
      <w:bookmarkStart w:id="764" w:name="__RefHeading___Toc4192215_2142443653"/>
      <w:bookmarkStart w:id="765" w:name="_Toc313"/>
      <w:bookmarkEnd w:id="764"/>
      <w:r>
        <w:rPr>
          <w:rtl w:val="true"/>
        </w:rPr>
        <w:t>اشارة</w:t>
      </w:r>
      <w:bookmarkEnd w:id="765"/>
    </w:p>
    <w:p>
      <w:pPr>
        <w:pStyle w:val="BookText"/>
        <w:rPr/>
      </w:pPr>
      <w:r>
        <w:rPr>
          <w:rFonts w:ascii="Amiri" w:hAnsi="Amiri" w:eastAsia="Amiri" w:cs="Amiri"/>
          <w:color w:val="111111"/>
          <w:sz w:val="28"/>
          <w:sz w:val="28"/>
          <w:szCs w:val="28"/>
          <w:rtl w:val="true"/>
          <w:lang w:bidi="ar-SA"/>
        </w:rPr>
        <w:t>و إمّا فاقدته، و هي ثلاث</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4192217_2142443653"/>
      <w:bookmarkStart w:id="767" w:name="_Toc314"/>
      <w:bookmarkEnd w:id="766"/>
      <w:r>
        <w:rPr>
          <w:rtl w:val="true"/>
        </w:rPr>
        <w:t>الأولى</w:t>
      </w:r>
      <w:r>
        <w:rPr>
          <w:rtl w:val="true"/>
        </w:rPr>
        <w:t xml:space="preserve">: </w:t>
      </w:r>
      <w:r>
        <w:rPr>
          <w:rtl w:val="true"/>
        </w:rPr>
        <w:t>ذكرت العدد و نسيت الوقت،</w:t>
      </w:r>
      <w:bookmarkEnd w:id="767"/>
    </w:p>
    <w:p>
      <w:pPr>
        <w:pStyle w:val="BookText"/>
        <w:rPr/>
      </w:pPr>
      <w:r>
        <w:rPr>
          <w:rFonts w:ascii="Amiri" w:hAnsi="Amiri" w:eastAsia="Amiri" w:cs="Amiri"/>
          <w:color w:val="111111"/>
          <w:sz w:val="28"/>
          <w:sz w:val="28"/>
          <w:szCs w:val="28"/>
          <w:rtl w:val="true"/>
          <w:lang w:bidi="ar-SA"/>
        </w:rPr>
        <w:t xml:space="preserve">فتخصص بالاجتهاد أيامها و لا اعتراض للزوج، و مع عدم الامارة تتخيّر، و أول الشهر أولى، لإمكان الحيض فيه مع سبقه، و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تترك الصلاة عشرة أيام ثم تصلّي عشرين يوما</w:t>
      </w:r>
      <w:r>
        <w:rPr>
          <w:rFonts w:eastAsia="Amiri" w:cs="Amiri" w:ascii="Amiri" w:hAnsi="Amiri"/>
          <w:color w:val="111111"/>
          <w:sz w:val="28"/>
          <w:szCs w:val="28"/>
          <w:rtl w:val="true"/>
          <w:lang w:bidi="ar-SA"/>
        </w:rPr>
        <w:t>»</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في التذكرة</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تقصر عن ناسيتهما، و هو منصوص ابن الجنيد و الفاضل رحمهما اللّه</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بالاحتياط عسر منفي بالآية</w:t>
      </w:r>
      <w:r>
        <w:rPr>
          <w:rStyle w:val="FootnoteAnchor"/>
          <w:rtl w:val="true"/>
        </w:rPr>
        <w:footnoteReference w:id="1332"/>
      </w:r>
      <w:r>
        <w:rPr>
          <w:rFonts w:ascii="IRNazanin" w:hAnsi="IRNazanin" w:eastAsia="IRNazanin"/>
          <w:color w:val="111111"/>
          <w:sz w:val="28"/>
          <w:sz w:val="28"/>
          <w:szCs w:val="28"/>
          <w:rtl w:val="true"/>
          <w:lang w:bidi="fa-IR"/>
        </w:rPr>
        <w:t>و الخبر</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جلست العدد، ثم ذكرت وقت العادة و تبيّن الخطأ، استدركت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أن يكون الوقت المنسي فيه ينقص نصفه عن العدد أو لا، إلاّ في تيقّن الحيض في الزائد على النصف و مثله، و تتخير في الباقي من العدد فتضعه قبل المتيقن أو بعده أو تفرّقه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حيضي عشرة و الثاني عشر حيض بيقين، فالمضلة تسعة عشر يوما، و هي ما عدا الأولين و التسعة الأخيرة، فنصفها زائدة عنه العشرة بنصف يوم فيوم كامل حيض و هو الثاني عشر، فقد تطابقت القاعدة و علمها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في كل شهر حيضتان كل واحدة ثمانية، فلا بدّ بينهما من الطهر، فالمضلة ما عدا ستة أيام من الثالث عشر إلى الثامن عشر، لأنّه لا يمكن تأخير الحيض الأول عن أول الخامس، و لا تأخير مبدأ الحيض الثاني عن الثالث و العشرين، و المتيقن في الحيضة الاولى من أول الخامس الى آخر الثامن، و في الثانية </w:t>
      </w:r>
      <w:bookmarkStart w:id="768" w:name="pg15253_219767"/>
    </w:p>
    <w:p>
      <w:pPr>
        <w:pStyle w:val="BookText"/>
        <w:rPr/>
      </w:pPr>
      <w:bookmarkEnd w:id="768"/>
      <w:r>
        <w:rPr>
          <w:rFonts w:ascii="Amiri" w:hAnsi="Amiri" w:eastAsia="Amiri" w:cs="Amiri"/>
          <w:color w:val="111111"/>
          <w:sz w:val="28"/>
          <w:sz w:val="28"/>
          <w:szCs w:val="28"/>
          <w:rtl w:val="true"/>
          <w:lang w:bidi="ar-SA"/>
        </w:rPr>
        <w:t>من الثالث و العشرين الى السادس و العشرين، و الضال ثمانية تضعها حيث شاءت مما لا يدخل في الطهر المتيقن،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 إلى آخر الرابع، و من التاسع الى آخر الثاني عشر، و من التاسع عشر الى آخر الثاني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يعلم مسائل الامتزاج، المشهورة عند العامة بمسائل الخلط، و به سماها الشيخ رحمه اللّه</w:t>
      </w:r>
      <w:r>
        <w:rPr>
          <w:rStyle w:val="FootnoteAnchor"/>
          <w:rtl w:val="true"/>
        </w:rPr>
        <w:footnoteReference w:id="1334"/>
      </w:r>
      <w:r>
        <w:rPr>
          <w:rFonts w:ascii="Amiri" w:hAnsi="Amiri" w:eastAsia="Amiri" w:cs="Amiri"/>
          <w:color w:val="111111"/>
          <w:sz w:val="28"/>
          <w:sz w:val="28"/>
          <w:szCs w:val="28"/>
          <w:rtl w:val="true"/>
          <w:lang w:bidi="ar-SA"/>
        </w:rPr>
        <w:t>كأن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حيضي عشرة، و كنت أمزج شهرا بشهر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آخر الشهر و أول ما بعده حائضا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فالمتيقن من الحيض لحظة من آخر كل شهر و لحظة من أوله، و المتيقن من الطهر من اللحظة الأخيرة من اليوم العاشر إلى أول لحظة من اليوم الحادي و العشرين، فتضل العشرة في عشرين يوما بنقص لحظتين، و هي ما بين اللحظة من أول الشهر و اللحظة من آخر العاشر، و ما بين اللحظة من أول ليلة الحادي و العشرين و اللحظة من آخر الشهر، فتزيد عن نصفها بلحظة فلحظتان متيقنتان، و تضم إليها الباقي كيف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تعلم عدد حيضها في هذه الصورة، فلحظتا الحيض بحالهما، و الطهر المتيقن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المشتبه، ففي العشر الأول الناقص لحظة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 الطهر و الانقطاع، و في العشر الأخير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 الطهر لا غير، و يسمى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المزج المطلق، و هو من باب القسم الآتي</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4192219_2142443653"/>
      <w:bookmarkStart w:id="770" w:name="_Toc315"/>
      <w:bookmarkEnd w:id="769"/>
      <w:r>
        <w:rPr>
          <w:rtl w:val="true"/>
        </w:rPr>
        <w:t>الثانية</w:t>
      </w:r>
      <w:r>
        <w:rPr>
          <w:rtl w:val="true"/>
        </w:rPr>
        <w:t xml:space="preserve">: </w:t>
      </w:r>
      <w:r>
        <w:rPr>
          <w:rtl w:val="true"/>
        </w:rPr>
        <w:t>ذكرت الوقت و نسيت العدد،</w:t>
      </w:r>
      <w:bookmarkEnd w:id="770"/>
    </w:p>
    <w:p>
      <w:pPr>
        <w:pStyle w:val="BookText"/>
        <w:rPr/>
      </w:pPr>
      <w:r>
        <w:rPr>
          <w:rFonts w:ascii="Amiri" w:hAnsi="Amiri" w:eastAsia="Amiri" w:cs="Amiri"/>
          <w:color w:val="111111"/>
          <w:sz w:val="28"/>
          <w:sz w:val="28"/>
          <w:szCs w:val="28"/>
          <w:rtl w:val="true"/>
          <w:lang w:bidi="ar-SA"/>
        </w:rPr>
        <w:t>فان ذكرت أوّله أكملته ثلاثة لتيقنها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في الباقي ان يجعل طهرا بيقين، بناء على ان تلك الثلاثة هي وظيفة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ان تكون على التخيير بين الروايات السابقة، فلها جعله عشرة أو سبعة أو ستة، لصدق</w:t>
      </w:r>
      <w:r>
        <w:rPr>
          <w:rStyle w:val="FootnoteAnchor"/>
          <w:rtl w:val="true"/>
        </w:rPr>
        <w:footnoteReference w:id="1335"/>
      </w:r>
      <w:r>
        <w:rPr>
          <w:rFonts w:ascii="Amiri" w:hAnsi="Amiri" w:eastAsia="Amiri" w:cs="Amiri"/>
          <w:color w:val="111111"/>
          <w:sz w:val="28"/>
          <w:sz w:val="28"/>
          <w:szCs w:val="28"/>
          <w:rtl w:val="true"/>
          <w:lang w:bidi="ar-SA"/>
        </w:rPr>
        <w:t>الاختلاط، و عدم علم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ذكرت آخره، جعلته نهاية الثلاثة، أو تلك الأعداد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ذكرت أنه أثناء حيض، فهو و يوم قبله و يوم بعده حيض بيقين</w:t>
      </w:r>
      <w:r>
        <w:rPr>
          <w:rFonts w:eastAsia="Amiri" w:cs="Amiri" w:ascii="Amiri" w:hAnsi="Amiri"/>
          <w:color w:val="111111"/>
          <w:sz w:val="28"/>
          <w:szCs w:val="28"/>
          <w:rtl w:val="true"/>
          <w:lang w:bidi="ar-SA"/>
        </w:rPr>
        <w:t xml:space="preserve">. </w:t>
      </w:r>
      <w:bookmarkStart w:id="771" w:name="pg15253_219768"/>
    </w:p>
    <w:p>
      <w:pPr>
        <w:pStyle w:val="BookText"/>
        <w:rPr/>
      </w:pPr>
      <w:bookmarkEnd w:id="771"/>
      <w:r>
        <w:rPr>
          <w:rFonts w:ascii="Amiri" w:hAnsi="Amiri" w:eastAsia="Amiri" w:cs="Amiri"/>
          <w:color w:val="111111"/>
          <w:sz w:val="28"/>
          <w:sz w:val="28"/>
          <w:szCs w:val="28"/>
          <w:rtl w:val="true"/>
          <w:lang w:bidi="ar-SA"/>
        </w:rPr>
        <w:t>و احتمل مراعاة تلك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علمت انه وسط، غير انها لا تأخذ عددا زوجا، بل تأخذ إمّا السبعة أو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ذكرته خاصة و لم تعلم حاله، فهو حيض بيقين، و تضم اليه إمّا تمام الثلاثة أو غيرها من أعداد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الاحتياط، فمشهور في جميع هذه المواضع، و هي الجمع بين تكليف الحائض و المستحاضة، و الغسل للحيض في أوقات إمكان الانقطاع</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4192221_2142443653"/>
      <w:bookmarkStart w:id="773" w:name="_Toc316"/>
      <w:bookmarkEnd w:id="772"/>
      <w:r>
        <w:rPr>
          <w:rtl w:val="true"/>
        </w:rPr>
        <w:t>الثالثة</w:t>
      </w:r>
      <w:r>
        <w:rPr>
          <w:rtl w:val="true"/>
        </w:rPr>
        <w:t xml:space="preserve">: </w:t>
      </w:r>
      <w:r>
        <w:rPr>
          <w:rtl w:val="true"/>
        </w:rPr>
        <w:t>نسيتهما جميعا،</w:t>
      </w:r>
      <w:bookmarkEnd w:id="773"/>
    </w:p>
    <w:p>
      <w:pPr>
        <w:pStyle w:val="BookText"/>
        <w:rPr/>
      </w:pPr>
      <w:r>
        <w:rPr>
          <w:rFonts w:ascii="Amiri" w:hAnsi="Amiri" w:eastAsia="Amiri" w:cs="Amiri"/>
          <w:color w:val="111111"/>
          <w:sz w:val="28"/>
          <w:sz w:val="28"/>
          <w:szCs w:val="28"/>
          <w:rtl w:val="true"/>
          <w:lang w:bidi="ar-SA"/>
        </w:rPr>
        <w:t>فظاهر الأصحاب العمل بالروايات في هذه، و ادّعى عليه في الخلاف إجماعهم</w:t>
      </w:r>
      <w:r>
        <w:rPr>
          <w:rStyle w:val="FootnoteAnchor"/>
          <w:rtl w:val="true"/>
        </w:rPr>
        <w:footnoteReference w:id="1336"/>
      </w:r>
      <w:r>
        <w:rPr>
          <w:rFonts w:ascii="Amiri" w:hAnsi="Amiri" w:eastAsia="Amiri" w:cs="Amiri"/>
          <w:color w:val="111111"/>
          <w:sz w:val="28"/>
          <w:sz w:val="28"/>
          <w:szCs w:val="28"/>
          <w:rtl w:val="true"/>
          <w:lang w:bidi="ar-SA"/>
        </w:rPr>
        <w:t>، إلاّ أنّه في المبسوط حكم بمقتضى الاحتياط المذكور</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هو و الكليني و غيره من خبر السنن الثلاث المتقدم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في الحيض ثلاث سنن، بيّن</w:t>
      </w:r>
      <w:r>
        <w:rPr>
          <w:rStyle w:val="FootnoteAnchor"/>
          <w:rtl w:val="true"/>
        </w:rPr>
        <w:footnoteReference w:id="1338"/>
      </w:r>
      <w:r>
        <w:rPr>
          <w:rFonts w:ascii="Amiri" w:hAnsi="Amiri" w:eastAsia="Amiri" w:cs="Amiri"/>
          <w:color w:val="111111"/>
          <w:sz w:val="28"/>
          <w:sz w:val="28"/>
          <w:szCs w:val="28"/>
          <w:rtl w:val="true"/>
          <w:lang w:bidi="ar-SA"/>
        </w:rPr>
        <w:t>فيها كل مشكل لمن سمعها و فهمها، حتى لم يدع لأحد مقالا فيه بالرأي</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 الخبر في المعتبر بأنّه من مرويات محمد بن عيسى 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استثناء الصدوق له</w:t>
      </w:r>
      <w:r>
        <w:rPr>
          <w:rStyle w:val="FootnoteAnchor"/>
          <w:rtl w:val="true"/>
        </w:rPr>
        <w:footnoteReference w:id="1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بإرساله</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الشهرة في النقل، و الإفتاء بمضمونه حتى عدّ إجماعا، يدفعهما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أنّ حكمة الباري أجلّ من أن يدع أمرا مبهما، تعمّ به البلوى في كل زمان و مكان، و لم يبيّنه على لسان صاحب الشرع، مع لزوم العسر و الحرج فيما قالوه، و هما منفيان بالآي و الأخبار، و غير مناسبين للشريعة السمحة السهلة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المستحاضة منع الدم بحسب المكنة، لما مرّ من الأمر بالتلجّم و الاستثفار</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فوق، و الثاء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فتغسل الفرج قبل الوضوء، و تحشوه بقطنة أو خرقة، فان احتبس و إلاّ تلجمت، بأن تشدّ على وسطها خرقة كالتكة، و تأخذ خرقة أخرى مشقوقة الرأسين تجعل أحدهما قدّامها و الأخرى خلفها، و تشدهما بالتكة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ذلك، إلاّ مع الضرر باحتباس الدم و شبهه، للحرج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الاستثفار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التلجّم، من ثغر الدابة،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استثفر الرجل بثوبه، إذا ردّ طرفه بين رجليه الى حجزته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خرقة الاستثفار للمرأة حيضة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السلس و المبطون يستظهر، فيتخذ السلس كيسا، و يجعل فيه قطنا و يدخل الذكر فيه، و كذا لو كان يقطر منه دم، لنص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في البول و الدم</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أمكن حشو الإحليل بقطن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تغيير ذلك عند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لوجوب تقليل النجاسة عند تعذّر إزالتها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وجوبه في المعتبر، قصرا على موضع النص في المستحاضة</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الجرح الذي لا يرقأ دمه، فلا يجب شدّه بل يصلّى و ان كان سائلا، و نقل الشيخ فيه إجماعنا، و أورد خبر محمد بن مسلم عن أحدهما، و خبر ليث المرادي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خرج دم المستحاضة بعد الطهارة، أعيدت بعد الغسل و الاستظهار ان كان لتقصير فيه، و ان كان لغلبة الدم فلا، للحرج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الاستظهار يمتدّ الى فراغ الصلاة، و لو كانت صائمة فالظاهر وجوبه جميع النهار، لأنّ توقّف الصوم على الغسل يشعر بتأثره بالدم، و به قطع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774" w:name="pg15253_219771"/>
    </w:p>
    <w:p>
      <w:pPr>
        <w:pStyle w:val="Heading6"/>
        <w:numPr>
          <w:ilvl w:val="5"/>
          <w:numId w:val="1"/>
        </w:numPr>
        <w:rPr/>
      </w:pPr>
      <w:bookmarkStart w:id="775" w:name="__RefHeading___Toc4192223_2142443653"/>
      <w:bookmarkStart w:id="776" w:name="_Toc317"/>
      <w:bookmarkEnd w:id="774"/>
      <w:bookmarkEnd w:id="775"/>
      <w:r>
        <w:rPr>
          <w:rtl w:val="true"/>
        </w:rPr>
        <w:t>المقام الرابع</w:t>
      </w:r>
      <w:r>
        <w:rPr>
          <w:rtl w:val="true"/>
        </w:rPr>
        <w:t xml:space="preserve">: </w:t>
      </w:r>
      <w:r>
        <w:rPr>
          <w:rtl w:val="true"/>
        </w:rPr>
        <w:t>في النفاس</w:t>
      </w:r>
      <w:r>
        <w:rPr>
          <w:rtl w:val="true"/>
        </w:rPr>
        <w:t>.</w:t>
      </w:r>
      <w:bookmarkEnd w:id="776"/>
    </w:p>
    <w:p>
      <w:pPr>
        <w:pStyle w:val="Heading6"/>
        <w:numPr>
          <w:ilvl w:val="5"/>
          <w:numId w:val="1"/>
        </w:numPr>
        <w:rPr/>
      </w:pPr>
      <w:bookmarkStart w:id="777" w:name="__RefHeading___Toc4192225_2142443653"/>
      <w:bookmarkStart w:id="778" w:name="_Toc318"/>
      <w:bookmarkEnd w:id="777"/>
      <w:r>
        <w:rPr>
          <w:rtl w:val="true"/>
        </w:rPr>
        <w:t>اشارة</w:t>
      </w:r>
      <w:bookmarkEnd w:id="778"/>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الولادة معها أو بعدها،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نفست المرأة بفتح النون و ضمها، و في الحيض تستعمل بفتح النون لا غير، و منه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سلمة رضي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أنفست</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مأخوذ من النفس التي هي الولد، لخروجه عقيبه، أو من النفس التي هي الدم، لتنفّس الرحم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الولد منفوس، و المرأة نفساء، و الجمع نفاس بكسر النون، مثل عشراء و عشار و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أيضا على نفساوات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تراه في الطلق ليس بنفاس، لخبر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ما لم تلد</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تكفي المضغة مع اليقين، لصدق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العلقة فلا، لعدم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فرض العلم بأنه مبدأ نشوء إنسان بقول أربع من القوابل كان نفاسا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النطفة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على ان المتعقب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المرتضى و أبو الصلاح المصاحب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الشيخان</w:t>
      </w:r>
      <w:r>
        <w:rPr>
          <w:rStyle w:val="FootnoteAnchor"/>
          <w:rtl w:val="true"/>
        </w:rPr>
        <w:footnoteReference w:id="1349"/>
      </w:r>
      <w:r>
        <w:rPr>
          <w:rFonts w:ascii="Amiri" w:hAnsi="Amiri" w:eastAsia="Amiri" w:cs="Amiri"/>
          <w:color w:val="111111"/>
          <w:sz w:val="28"/>
          <w:sz w:val="28"/>
          <w:szCs w:val="28"/>
          <w:rtl w:val="true"/>
          <w:lang w:bidi="ar-SA"/>
        </w:rPr>
        <w:t>، لحصول المعنى المشتق منه، و لخروجه بسبب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تر دما فلا نفاس، بل و لا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حدّ لأقلّه باتفاقنا، لجواز عدمه، كالمرأة التي ولدت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 الجفوف</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أقله انقطاع الدم</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أكثره عشرة 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للمفيد قول بثمانية عشر</w:t>
      </w:r>
      <w:r>
        <w:rPr>
          <w:rStyle w:val="FootnoteAnchor"/>
          <w:rtl w:val="true"/>
        </w:rPr>
        <w:footnoteReference w:id="1352"/>
      </w:r>
      <w:r>
        <w:rPr>
          <w:rFonts w:ascii="IRNazanin" w:hAnsi="IRNazanin" w:eastAsia="IRNazanin"/>
          <w:color w:val="111111"/>
          <w:sz w:val="28"/>
          <w:sz w:val="28"/>
          <w:szCs w:val="28"/>
          <w:rtl w:val="true"/>
          <w:lang w:bidi="fa-IR"/>
        </w:rPr>
        <w:t>و هو قول الصدوق</w:t>
      </w:r>
      <w:r>
        <w:rPr>
          <w:rStyle w:val="FootnoteAnchor"/>
          <w:rtl w:val="true"/>
        </w:rPr>
        <w:footnoteReference w:id="1353"/>
      </w:r>
      <w:r>
        <w:rPr>
          <w:rFonts w:ascii="Amiri" w:hAnsi="Amiri" w:eastAsia="Amiri" w:cs="Amiri"/>
          <w:color w:val="111111"/>
          <w:sz w:val="28"/>
          <w:sz w:val="28"/>
          <w:szCs w:val="28"/>
          <w:rtl w:val="true"/>
          <w:lang w:bidi="ar-SA"/>
        </w:rPr>
        <w:t>و ابن الجنيد</w:t>
      </w:r>
      <w:r>
        <w:rPr>
          <w:rStyle w:val="FootnoteAnchor"/>
          <w:rtl w:val="true"/>
        </w:rPr>
        <w:footnoteReference w:id="1354"/>
      </w:r>
      <w:r>
        <w:rPr>
          <w:rFonts w:ascii="IRNazanin" w:hAnsi="IRNazanin" w:eastAsia="IRNazanin"/>
          <w:color w:val="111111"/>
          <w:sz w:val="28"/>
          <w:sz w:val="28"/>
          <w:szCs w:val="28"/>
          <w:rtl w:val="true"/>
          <w:lang w:bidi="fa-IR"/>
        </w:rPr>
        <w:t>و المرتضى</w:t>
      </w:r>
      <w:r>
        <w:rPr>
          <w:rStyle w:val="FootnoteAnchor"/>
          <w:rtl w:val="true"/>
        </w:rPr>
        <w:footnoteReference w:id="1355"/>
      </w:r>
      <w:r>
        <w:rPr>
          <w:rFonts w:ascii="IRNazanin" w:hAnsi="IRNazanin" w:eastAsia="IRNazanin"/>
          <w:color w:val="111111"/>
          <w:sz w:val="28"/>
          <w:sz w:val="28"/>
          <w:szCs w:val="28"/>
          <w:rtl w:val="true"/>
          <w:lang w:bidi="fa-IR"/>
        </w:rPr>
        <w:t>و سلار</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ابن أبي عقيل أحدا و عشرين يوما</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عادتها، و المبتدأة ثمانية عشر يوما</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النفساء تكفّ عن الصلاة أيام أقرائها التي كانت تمكث فيها</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يونس بن يعقوب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النفساء تجلس أيام حيضها التي كانت تحيض</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61"/>
      </w:r>
      <w:r>
        <w:rPr>
          <w:rFonts w:ascii="Amiri" w:hAnsi="Amiri" w:eastAsia="Amiri" w:cs="Amiri"/>
          <w:color w:val="111111"/>
          <w:sz w:val="28"/>
          <w:sz w:val="28"/>
          <w:szCs w:val="28"/>
          <w:rtl w:val="true"/>
          <w:lang w:bidi="ar-SA"/>
        </w:rPr>
        <w:t xml:space="preserve">، و خبر مالك بن أعين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تستظهر بيوم أو يومين</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قعود النفساء</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عشرة و سبع عشرة</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صحيح محمد أيضا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أسماء بنت عميس 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تغتسل لثمان عشرة، و لا بأس ان تستظهر بيوم أو يومين</w:t>
      </w:r>
      <w:r>
        <w:rPr>
          <w:rFonts w:eastAsia="Amiri" w:cs="Amiri" w:ascii="Amiri" w:hAnsi="Amiri"/>
          <w:color w:val="111111"/>
          <w:sz w:val="28"/>
          <w:szCs w:val="28"/>
          <w:rtl w:val="true"/>
          <w:lang w:bidi="ar-SA"/>
        </w:rPr>
        <w:t>»</w:t>
      </w:r>
      <w:r>
        <w:rPr>
          <w:rStyle w:val="FootnoteAnchor"/>
          <w:rtl w:val="true"/>
        </w:rPr>
        <w:footnoteReference w:id="1365"/>
      </w:r>
      <w:r>
        <w:rPr>
          <w:rFonts w:ascii="Amiri" w:hAnsi="Amiri" w:eastAsia="Amiri" w:cs="Amiri"/>
          <w:color w:val="111111"/>
          <w:sz w:val="28"/>
          <w:sz w:val="28"/>
          <w:szCs w:val="28"/>
          <w:rtl w:val="true"/>
          <w:lang w:bidi="ar-SA"/>
        </w:rPr>
        <w:t>و ربّما تمسك بهذا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يقطين عن أبي الحسن الماضي ثلاثين يوما</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حفص بن غياث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محمّد بن يحيى الخثعمي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الأربعين إلى خمسين</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اطّرحها الشيخ من حيث التضاد، و حملها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أسماء متأوّل بأنّ سؤالها كان عقيب الثمانية عشر فأمرها بالغسل، و لو سألته قبلها لأمرها</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 تستظهر بيوم أو يومين</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بأربعين فما زاد معلولة</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الصحيحة المشهورة تشهد برجوعها الى عادتها في الحيض، و الأصحاب يفتون بالعشرة، و بينهما تناف ظاهر، و لعلّهم ظفروا بأخبار غيرها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أخبار معتمدة في أنّ أقصى مدة النفاس عشرة،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79" w:name="pg15253_219774"/>
    </w:p>
    <w:p>
      <w:pPr>
        <w:pStyle w:val="BookText"/>
        <w:rPr/>
      </w:pPr>
      <w:bookmarkEnd w:id="779"/>
      <w:r>
        <w:rPr>
          <w:rFonts w:ascii="Amiri" w:hAnsi="Amiri" w:eastAsia="Amiri" w:cs="Amiri"/>
          <w:color w:val="111111"/>
          <w:sz w:val="28"/>
          <w:sz w:val="28"/>
          <w:szCs w:val="28"/>
          <w:rtl w:val="true"/>
          <w:lang w:bidi="ar-SA"/>
        </w:rPr>
        <w:t>و عليها أعمل، لوضوحها عندي</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الأخبار الاولى و نحوها، حتى أنّ في بعضها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فلتقعد أيام قرئها التي كانت تجلس، ثم تستظهر بعشرة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عشرة، إقامة لبعض الحروف مقام بعض</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تصريح بأن أيامها أيام عادتها لا العشرة، و حينئذ فالرجوع الى 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الجعفي في الفاخر، و ابن طاوس، و الفاضل</w:t>
      </w:r>
      <w:r>
        <w:rPr>
          <w:rStyle w:val="FootnoteAnchor"/>
          <w:rtl w:val="true"/>
        </w:rPr>
        <w:footnoteReference w:id="1375"/>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و كذا الاستظهار كما هو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المسلمين ان عشرة أيام إذا رأت المرأة الدم من النفاس، و الذمة مرتهنة بالعبادة قبل نفاسها فلا يخرج عنها إلاّ بدلالة، و الزائد على العشرة مختلف فيه</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صحّ الإجماع فهو الحجة، و لكن فيه طرح للأخبار الصحيحة، أو تأويلها بالبعيد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النفساء كالحائض في جميع المحرمات و المكروهات و الغسل، لأنّه في الحقيقة دم الحيض احتبس، و تعتبر حالها كما قلناه هناك</w:t>
      </w:r>
      <w:r>
        <w:rPr>
          <w:rFonts w:eastAsia="Amiri" w:cs="Amiri" w:ascii="Amiri" w:hAnsi="Amiri"/>
          <w:color w:val="111111"/>
          <w:sz w:val="28"/>
          <w:szCs w:val="28"/>
          <w:rtl w:val="true"/>
          <w:lang w:bidi="ar-SA"/>
        </w:rPr>
        <w:t>.</w:t>
      </w:r>
    </w:p>
    <w:p>
      <w:pPr>
        <w:pStyle w:val="Heading6"/>
        <w:numPr>
          <w:ilvl w:val="5"/>
          <w:numId w:val="1"/>
        </w:numPr>
        <w:rPr/>
      </w:pPr>
      <w:bookmarkStart w:id="780" w:name="__RefHeading___Toc4192227_2142443653"/>
      <w:bookmarkStart w:id="781" w:name="_Toc319"/>
      <w:bookmarkEnd w:id="780"/>
      <w:r>
        <w:rPr>
          <w:rtl w:val="true"/>
        </w:rPr>
        <w:t>مسائل</w:t>
      </w:r>
      <w:r>
        <w:rPr>
          <w:rtl w:val="true"/>
        </w:rPr>
        <w:t>:</w:t>
      </w:r>
      <w:bookmarkEnd w:id="781"/>
    </w:p>
    <w:p>
      <w:pPr>
        <w:pStyle w:val="Heading6"/>
        <w:numPr>
          <w:ilvl w:val="5"/>
          <w:numId w:val="1"/>
        </w:numPr>
        <w:rPr/>
      </w:pPr>
      <w:bookmarkStart w:id="782" w:name="__RefHeading___Toc4192229_2142443653"/>
      <w:bookmarkStart w:id="783" w:name="_Toc320"/>
      <w:bookmarkEnd w:id="782"/>
      <w:r>
        <w:rPr>
          <w:rtl w:val="true"/>
        </w:rPr>
        <w:t>الأولى</w:t>
      </w:r>
      <w:r>
        <w:rPr>
          <w:rtl w:val="true"/>
        </w:rPr>
        <w:t xml:space="preserve">: </w:t>
      </w:r>
      <w:r>
        <w:rPr>
          <w:rtl w:val="true"/>
        </w:rPr>
        <w:t>ما تراه بعد الأكثر استحاضة،</w:t>
      </w:r>
      <w:bookmarkEnd w:id="783"/>
    </w:p>
    <w:p>
      <w:pPr>
        <w:pStyle w:val="BookText"/>
        <w:rPr/>
      </w:pPr>
      <w:r>
        <w:rPr>
          <w:rFonts w:ascii="Amiri" w:hAnsi="Amiri" w:eastAsia="Amiri" w:cs="Amiri"/>
          <w:color w:val="111111"/>
          <w:sz w:val="28"/>
          <w:sz w:val="28"/>
          <w:szCs w:val="28"/>
          <w:rtl w:val="true"/>
          <w:lang w:bidi="ar-SA"/>
        </w:rPr>
        <w:t>لأنّ الحيض لا يتعقّب النفاس إلاّ بطهر متخلّل، فلو تخلّل ثم رأت فهو حيض إن أمكن، و لو استمر فحكمها حكم الحائض إذا استحيضت، إلاّ انّ المشهور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المبتدأة و المضطربة إلى العشرة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النفساء تجلس مثل أيامها التي كانت تجلس قبل ذلك، و استظهرت بثلثي أيامها، ثم تغتسل و تصنع صنع </w:t>
      </w:r>
      <w:bookmarkStart w:id="784" w:name="pg15253_219775"/>
    </w:p>
    <w:p>
      <w:pPr>
        <w:pStyle w:val="BookText"/>
        <w:rPr/>
      </w:pPr>
      <w:bookmarkEnd w:id="784"/>
      <w:r>
        <w:rPr>
          <w:rFonts w:ascii="Amiri" w:hAnsi="Amiri" w:eastAsia="Amiri" w:cs="Amiri"/>
          <w:color w:val="111111"/>
          <w:sz w:val="28"/>
          <w:sz w:val="28"/>
          <w:szCs w:val="28"/>
          <w:rtl w:val="true"/>
          <w:lang w:bidi="ar-SA"/>
        </w:rPr>
        <w:t>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لا تعرف أيام نفاسها، جلست مثل أيام أمها أو أختها أو خالتها، و استظهرت بثلثي ذلك، ثم صنعت صنع المستحاضة</w:t>
      </w:r>
      <w:r>
        <w:rPr>
          <w:rFonts w:eastAsia="Amiri" w:cs="Amiri" w:ascii="Amiri" w:hAnsi="Amiri"/>
          <w:color w:val="111111"/>
          <w:sz w:val="28"/>
          <w:szCs w:val="28"/>
          <w:rtl w:val="true"/>
          <w:lang w:bidi="ar-SA"/>
        </w:rPr>
        <w:t>»</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العود الى نفاسها و نسائها، و هو غير مشهور مع ضعف سنده و شذوذه، كذا قال في المعتبر</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في خبر محمد بن يحيى الخثعمي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عودها الى أيام نفاسها السابق</w:t>
      </w:r>
      <w:r>
        <w:rPr>
          <w:rStyle w:val="FootnoteAnchor"/>
          <w:rtl w:val="true"/>
        </w:rPr>
        <w:footnoteReference w:id="1379"/>
      </w:r>
      <w:r>
        <w:rPr>
          <w:rFonts w:ascii="Amiri" w:hAnsi="Amiri" w:eastAsia="Amiri" w:cs="Amiri"/>
          <w:color w:val="111111"/>
          <w:sz w:val="28"/>
          <w:sz w:val="28"/>
          <w:szCs w:val="28"/>
          <w:rtl w:val="true"/>
          <w:lang w:bidi="ar-SA"/>
        </w:rPr>
        <w:t>، و هو في الشذوذ كالأول</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4192231_2142443653"/>
      <w:bookmarkStart w:id="786" w:name="_Toc321"/>
      <w:bookmarkEnd w:id="785"/>
      <w:r>
        <w:rPr>
          <w:rtl w:val="true"/>
        </w:rPr>
        <w:t>الثانية</w:t>
      </w:r>
      <w:r>
        <w:rPr>
          <w:rtl w:val="true"/>
        </w:rPr>
        <w:t xml:space="preserve">: </w:t>
      </w:r>
      <w:r>
        <w:rPr>
          <w:rtl w:val="true"/>
        </w:rPr>
        <w:t>لو لم تر دما حتى انقضى الأكثر فلا نفاس،</w:t>
      </w:r>
      <w:bookmarkEnd w:id="786"/>
    </w:p>
    <w:p>
      <w:pPr>
        <w:pStyle w:val="BookText"/>
        <w:rPr/>
      </w:pPr>
      <w:r>
        <w:rPr>
          <w:rFonts w:ascii="Amiri" w:hAnsi="Amiri" w:eastAsia="Amiri" w:cs="Amiri"/>
          <w:color w:val="111111"/>
          <w:sz w:val="28"/>
          <w:sz w:val="28"/>
          <w:szCs w:val="28"/>
          <w:rtl w:val="true"/>
          <w:lang w:bidi="ar-SA"/>
        </w:rPr>
        <w:t>و يمكن ان يكون حيضا مع اجتماع شرائطه،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رأت العاشر لا غير فهو النفاس، لأنّه في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اعتبار العادة، ينبغي ان يكون ما صادفها نفاسا دون ما زاد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اعتبار العشرة هنا إذا لم يتجاوز، كما لو انقطع دم المعتادة على العشرة، أمّا مع التجاوز فالرجوع إلى العادة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رأت مرتين في العشرة، فهما و ما بينهما نفاس، لأن الطهر لا ينقص عن عشرة، و كذا لو تعدد متفرقا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رأت الأول لا غير فهو النفاس</w:t>
      </w:r>
      <w:r>
        <w:rPr>
          <w:rFonts w:eastAsia="Amiri" w:cs="Amiri" w:ascii="Amiri" w:hAnsi="Amiri"/>
          <w:color w:val="111111"/>
          <w:sz w:val="28"/>
          <w:szCs w:val="28"/>
          <w:rtl w:val="true"/>
          <w:lang w:bidi="ar-SA"/>
        </w:rPr>
        <w:t>.</w:t>
      </w:r>
    </w:p>
    <w:p>
      <w:pPr>
        <w:pStyle w:val="Heading6"/>
        <w:numPr>
          <w:ilvl w:val="5"/>
          <w:numId w:val="1"/>
        </w:numPr>
        <w:rPr/>
      </w:pPr>
      <w:bookmarkStart w:id="787" w:name="__RefHeading___Toc4192233_2142443653"/>
      <w:bookmarkStart w:id="788" w:name="_Toc322"/>
      <w:bookmarkEnd w:id="787"/>
      <w:r>
        <w:rPr>
          <w:rtl w:val="true"/>
        </w:rPr>
        <w:t>الثالثة</w:t>
      </w:r>
      <w:r>
        <w:rPr>
          <w:rtl w:val="true"/>
        </w:rPr>
        <w:t xml:space="preserve">: </w:t>
      </w:r>
      <w:r>
        <w:rPr>
          <w:rtl w:val="true"/>
        </w:rPr>
        <w:t>ذات التوأمين فصاعدا يتعدّد نفاسها عملا بالعلة،</w:t>
      </w:r>
      <w:bookmarkEnd w:id="788"/>
    </w:p>
    <w:p>
      <w:pPr>
        <w:pStyle w:val="BookText"/>
        <w:rPr/>
      </w:pPr>
      <w:r>
        <w:rPr>
          <w:rFonts w:ascii="Amiri" w:hAnsi="Amiri" w:eastAsia="Amiri" w:cs="Amiri"/>
          <w:color w:val="111111"/>
          <w:sz w:val="28"/>
          <w:sz w:val="28"/>
          <w:szCs w:val="28"/>
          <w:rtl w:val="true"/>
          <w:lang w:bidi="ar-SA"/>
        </w:rPr>
        <w:t>فلكلّ نفاس حكم نفسه، و ان تجاوز العشرة فالباقي طهر حسب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تردّد في المعتبر في الأول، من حيث إنّها حامل و لا نفاس مع الحمل، ثم قوّى أنه نفاس</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9" w:name="__RefHeading___Toc4192235_2142443653"/>
      <w:bookmarkStart w:id="790" w:name="_Toc323"/>
      <w:bookmarkEnd w:id="789"/>
      <w:r>
        <w:rPr>
          <w:rtl w:val="true"/>
        </w:rPr>
        <w:t>الرابعة</w:t>
      </w:r>
      <w:r>
        <w:rPr>
          <w:rtl w:val="true"/>
        </w:rPr>
        <w:t xml:space="preserve">: </w:t>
      </w:r>
      <w:r>
        <w:rPr>
          <w:rtl w:val="true"/>
        </w:rPr>
        <w:t>لو نفست ذات العادة عشرا،</w:t>
      </w:r>
      <w:bookmarkEnd w:id="79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طهرت شهرين ثم استحيضت، رجعت الى عادتها في كل شهر، و لا يصير حيضها في شهرين مرة بسبب تغير الطهر</w:t>
      </w:r>
      <w:r>
        <w:rPr>
          <w:rFonts w:eastAsia="Amiri" w:cs="Amiri" w:ascii="Amiri" w:hAnsi="Amiri"/>
          <w:color w:val="111111"/>
          <w:sz w:val="28"/>
          <w:szCs w:val="28"/>
          <w:rtl w:val="true"/>
          <w:lang w:bidi="ar-SA"/>
        </w:rPr>
        <w:t xml:space="preserve">. </w:t>
      </w:r>
      <w:bookmarkStart w:id="791" w:name="pg15253_219776"/>
    </w:p>
    <w:p>
      <w:pPr>
        <w:pStyle w:val="BookText"/>
        <w:rPr/>
      </w:pPr>
      <w:bookmarkEnd w:id="791"/>
      <w:r>
        <w:rPr>
          <w:rFonts w:ascii="Amiri" w:hAnsi="Amiri" w:eastAsia="Amiri" w:cs="Amiri"/>
          <w:color w:val="111111"/>
          <w:sz w:val="28"/>
          <w:sz w:val="28"/>
          <w:szCs w:val="28"/>
          <w:rtl w:val="true"/>
          <w:lang w:bidi="ar-SA"/>
        </w:rPr>
        <w:t>نعم، لو حصل ذلك مرة أخرى في حيضة أخرى أمكن النقل، لأنّ النفاس كحيضة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نفست أزيد عن عادتها أو أنقص، ثم حاضت بعدد النفاس، أمكن الانتقال الى الثاني، كالحيضتين الناسختين لما قبلهما</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4192237_2142443653"/>
      <w:bookmarkStart w:id="793" w:name="_Toc324"/>
      <w:bookmarkEnd w:id="792"/>
      <w:r>
        <w:rPr>
          <w:rtl w:val="true"/>
        </w:rPr>
        <w:t>الخامسة</w:t>
      </w:r>
      <w:r>
        <w:rPr>
          <w:rtl w:val="true"/>
        </w:rPr>
        <w:t xml:space="preserve">: </w:t>
      </w:r>
      <w:r>
        <w:rPr>
          <w:rtl w:val="true"/>
        </w:rPr>
        <w:t>لو سقط عضو من الولد و تخلف الباقي،</w:t>
      </w:r>
      <w:bookmarkEnd w:id="793"/>
    </w:p>
    <w:p>
      <w:pPr>
        <w:pStyle w:val="BookText"/>
        <w:rPr/>
      </w:pPr>
      <w:r>
        <w:rPr>
          <w:rFonts w:ascii="Amiri" w:hAnsi="Amiri" w:eastAsia="Amiri" w:cs="Amiri"/>
          <w:color w:val="111111"/>
          <w:sz w:val="28"/>
          <w:sz w:val="28"/>
          <w:szCs w:val="28"/>
          <w:rtl w:val="true"/>
          <w:lang w:bidi="ar-SA"/>
        </w:rPr>
        <w:t>فالدم نفاس على الأقرب و لو وضعت الباقي بعد العشرة أمكن جعله نفاسا آخر، كالتوأمين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لو تقطّع بفترات تعدّد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فيه على كلام سابق</w:t>
      </w:r>
      <w:r>
        <w:rPr>
          <w:rFonts w:eastAsia="Amiri" w:cs="Amiri" w:ascii="Amiri" w:hAnsi="Amiri"/>
          <w:color w:val="111111"/>
          <w:sz w:val="28"/>
          <w:szCs w:val="28"/>
          <w:rtl w:val="true"/>
          <w:lang w:bidi="ar-SA"/>
        </w:rPr>
        <w:t>.</w:t>
      </w:r>
    </w:p>
    <w:p>
      <w:pPr>
        <w:pStyle w:val="Heading6"/>
        <w:numPr>
          <w:ilvl w:val="5"/>
          <w:numId w:val="1"/>
        </w:numPr>
        <w:rPr/>
      </w:pPr>
      <w:bookmarkStart w:id="794" w:name="__RefHeading___Toc4192239_2142443653"/>
      <w:bookmarkStart w:id="795" w:name="_Toc325"/>
      <w:bookmarkEnd w:id="794"/>
      <w:r>
        <w:rPr>
          <w:rtl w:val="true"/>
        </w:rPr>
        <w:t>السادسة</w:t>
      </w:r>
      <w:r>
        <w:rPr>
          <w:rtl w:val="true"/>
        </w:rPr>
        <w:t xml:space="preserve">: </w:t>
      </w:r>
      <w:r>
        <w:rPr>
          <w:rtl w:val="true"/>
        </w:rPr>
        <w:t>لو رأت ثلاثة ثم ولدت قبل مضيّ طهر،</w:t>
      </w:r>
      <w:bookmarkEnd w:id="795"/>
    </w:p>
    <w:p>
      <w:pPr>
        <w:pStyle w:val="BookText"/>
        <w:rPr/>
      </w:pPr>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الأول استحاضة، لفقد شرط ما بين الحيضتين، و فصل الولادة لم يثبت انه كاف عن الطهر</w:t>
      </w:r>
      <w:r>
        <w:rPr>
          <w:rFonts w:eastAsia="Amiri" w:cs="Amiri" w:ascii="Amiri" w:hAnsi="Amiri"/>
          <w:color w:val="111111"/>
          <w:sz w:val="28"/>
          <w:szCs w:val="28"/>
          <w:rtl w:val="true"/>
          <w:lang w:bidi="ar-SA"/>
        </w:rPr>
        <w:t>.</w:t>
      </w:r>
    </w:p>
    <w:p>
      <w:pPr>
        <w:pStyle w:val="Heading6"/>
        <w:numPr>
          <w:ilvl w:val="5"/>
          <w:numId w:val="1"/>
        </w:numPr>
        <w:rPr/>
      </w:pPr>
      <w:bookmarkStart w:id="796" w:name="__RefHeading___Toc4192241_2142443653"/>
      <w:bookmarkStart w:id="797" w:name="_Toc326"/>
      <w:bookmarkEnd w:id="796"/>
      <w:r>
        <w:rPr>
          <w:rtl w:val="true"/>
        </w:rPr>
        <w:t>السابعة</w:t>
      </w:r>
      <w:r>
        <w:rPr>
          <w:rtl w:val="true"/>
        </w:rPr>
        <w:t xml:space="preserve">: </w:t>
      </w:r>
      <w:r>
        <w:rPr>
          <w:rtl w:val="true"/>
        </w:rPr>
        <w:t>يفترق الحيض و النفاس في الأقل قطعا</w:t>
      </w:r>
      <w:r>
        <w:rPr>
          <w:rtl w:val="true"/>
        </w:rPr>
        <w:t>.</w:t>
      </w:r>
      <w:bookmarkEnd w:id="797"/>
    </w:p>
    <w:p>
      <w:pPr>
        <w:pStyle w:val="BookText"/>
        <w:rPr/>
      </w:pPr>
      <w:r>
        <w:rPr>
          <w:rFonts w:ascii="Amiri" w:hAnsi="Amiri" w:eastAsia="Amiri" w:cs="Amiri"/>
          <w:color w:val="111111"/>
          <w:sz w:val="28"/>
          <w:sz w:val="28"/>
          <w:szCs w:val="28"/>
          <w:rtl w:val="true"/>
          <w:lang w:bidi="ar-SA"/>
        </w:rPr>
        <w:t>و في الأكثر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الدلالة على البلوغ، و انقضاء العدة، لحصولهما بالحمل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حاملا من زنا، و رأت قرءين في زمان الحمل، حسب النفاس قراء آخر، و انقضت به العدة بظهوره أو انقطاعه، كما سبق</w:t>
      </w:r>
      <w:r>
        <w:rPr>
          <w:rFonts w:eastAsia="Amiri" w:cs="Amiri" w:ascii="Amiri" w:hAnsi="Amiri"/>
          <w:color w:val="111111"/>
          <w:sz w:val="28"/>
          <w:szCs w:val="28"/>
          <w:rtl w:val="true"/>
          <w:lang w:bidi="ar-SA"/>
        </w:rPr>
        <w:t>.</w:t>
      </w:r>
    </w:p>
    <w:p>
      <w:pPr>
        <w:pStyle w:val="Heading6"/>
        <w:numPr>
          <w:ilvl w:val="5"/>
          <w:numId w:val="1"/>
        </w:numPr>
        <w:rPr/>
      </w:pPr>
      <w:bookmarkStart w:id="798" w:name="__RefHeading___Toc4192243_2142443653"/>
      <w:bookmarkStart w:id="799" w:name="_Toc327"/>
      <w:bookmarkEnd w:id="798"/>
      <w:r>
        <w:rPr>
          <w:rtl w:val="true"/>
        </w:rPr>
        <w:t>و يلحق بذلك أحكام المحدث،</w:t>
      </w:r>
      <w:bookmarkEnd w:id="799"/>
    </w:p>
    <w:p>
      <w:pPr>
        <w:pStyle w:val="Heading6"/>
        <w:numPr>
          <w:ilvl w:val="5"/>
          <w:numId w:val="1"/>
        </w:numPr>
        <w:rPr/>
      </w:pPr>
      <w:bookmarkStart w:id="800" w:name="__RefHeading___Toc4192245_2142443653"/>
      <w:bookmarkStart w:id="801" w:name="_Toc328"/>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و هي قسمان</w:t>
      </w:r>
      <w:r>
        <w:rPr>
          <w:rFonts w:eastAsia="Amiri" w:cs="Amiri" w:ascii="Amiri" w:hAnsi="Amiri"/>
          <w:color w:val="111111"/>
          <w:sz w:val="28"/>
          <w:szCs w:val="28"/>
          <w:rtl w:val="true"/>
          <w:lang w:bidi="ar-SA"/>
        </w:rPr>
        <w:t>:</w:t>
      </w:r>
    </w:p>
    <w:p>
      <w:pPr>
        <w:pStyle w:val="Heading6"/>
        <w:numPr>
          <w:ilvl w:val="5"/>
          <w:numId w:val="1"/>
        </w:numPr>
        <w:rPr/>
      </w:pPr>
      <w:bookmarkStart w:id="802" w:name="__RefHeading___Toc4192247_2142443653"/>
      <w:bookmarkStart w:id="803" w:name="_Toc329"/>
      <w:bookmarkEnd w:id="802"/>
      <w:r>
        <w:rPr>
          <w:rtl w:val="true"/>
        </w:rPr>
        <w:t>أحدهما</w:t>
      </w:r>
      <w:r>
        <w:rPr>
          <w:rtl w:val="true"/>
        </w:rPr>
        <w:t xml:space="preserve">: </w:t>
      </w:r>
      <w:r>
        <w:rPr>
          <w:rtl w:val="true"/>
        </w:rPr>
        <w:t>حكم الأصغر،</w:t>
      </w:r>
      <w:bookmarkEnd w:id="803"/>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حرمة الصلاة مطلقا، و أبعاضها المفعولة بعدها، و المرغمتين</w:t>
      </w:r>
      <w:r>
        <w:rPr>
          <w:rStyle w:val="FootnoteAnchor"/>
          <w:rtl w:val="true"/>
        </w:rPr>
        <w:footnoteReference w:id="1381"/>
      </w:r>
      <w:r>
        <w:rPr>
          <w:rFonts w:ascii="Amiri" w:hAnsi="Amiri" w:eastAsia="Amiri" w:cs="Amiri"/>
          <w:color w:val="111111"/>
          <w:sz w:val="28"/>
          <w:sz w:val="28"/>
          <w:szCs w:val="28"/>
          <w:rtl w:val="true"/>
          <w:lang w:bidi="ar-SA"/>
        </w:rPr>
        <w:t>، للآية</w:t>
      </w:r>
      <w:r>
        <w:rPr>
          <w:rStyle w:val="FootnoteAnchor"/>
          <w:rtl w:val="true"/>
        </w:rPr>
        <w:footnoteReference w:id="1382"/>
      </w:r>
      <w:r>
        <w:rPr>
          <w:rFonts w:ascii="IRNazanin" w:hAnsi="IRNazanin" w:eastAsia="IRNazanin"/>
          <w:color w:val="111111"/>
          <w:sz w:val="28"/>
          <w:sz w:val="28"/>
          <w:szCs w:val="28"/>
          <w:rtl w:val="true"/>
          <w:lang w:bidi="fa-IR"/>
        </w:rPr>
        <w:t>و الخبر</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الطواف الواجب، للخبر</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مس القرآن، للآية،</w:t>
      </w:r>
      <w:r>
        <w:rPr>
          <w:rStyle w:val="FootnoteAnchor"/>
          <w:rtl w:val="true"/>
        </w:rPr>
        <w:footnoteReference w:id="1385"/>
      </w:r>
      <w:r>
        <w:rPr>
          <w:rFonts w:ascii="Amiri" w:hAnsi="Amiri" w:eastAsia="Amiri" w:cs="Amiri"/>
          <w:color w:val="111111"/>
          <w:sz w:val="28"/>
          <w:sz w:val="28"/>
          <w:szCs w:val="28"/>
          <w:rtl w:val="true"/>
          <w:lang w:bidi="ar-SA"/>
        </w:rPr>
        <w:t>و هو خبر معناه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لحكيم بن حزام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 المصحف إلاّ طاهرا</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غير وضوء</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ادّعى الشيخ عليه الإجماع</w:t>
      </w:r>
      <w:r>
        <w:rPr>
          <w:rStyle w:val="FootnoteAnchor"/>
          <w:rtl w:val="true"/>
        </w:rPr>
        <w:footnoteReference w:id="1388"/>
      </w:r>
      <w:r>
        <w:rPr>
          <w:rFonts w:ascii="Amiri" w:hAnsi="Amiri" w:eastAsia="Amiri" w:cs="Amiri"/>
          <w:color w:val="111111"/>
          <w:sz w:val="28"/>
          <w:sz w:val="28"/>
          <w:szCs w:val="28"/>
          <w:rtl w:val="true"/>
          <w:lang w:bidi="ar-SA"/>
        </w:rPr>
        <w:t>مع قوله في المبسوط يكره</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يلزم ابن الجنيد الكراهية، لأنّه كره ذلك للجنب و الحائض و حدثهما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يريدان بالكراهية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منع الصبي من مسّ القرآن و ان تطهّر وجه، لعدم ارتفاع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الصلاة له بطهره، و لعدم التكليف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قبل الطهارة، فالمنع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للمحدث حمل المصحف، و مسّ خيطه</w:t>
      </w:r>
      <w:r>
        <w:rPr>
          <w:rStyle w:val="FootnoteAnchor"/>
          <w:rtl w:val="true"/>
        </w:rPr>
        <w:footnoteReference w:id="1390"/>
      </w:r>
      <w:r>
        <w:rPr>
          <w:rFonts w:ascii="Amiri" w:hAnsi="Amiri" w:eastAsia="Amiri" w:cs="Amiri"/>
          <w:color w:val="111111"/>
          <w:sz w:val="28"/>
          <w:sz w:val="28"/>
          <w:szCs w:val="28"/>
          <w:rtl w:val="true"/>
          <w:lang w:bidi="ar-SA"/>
        </w:rPr>
        <w:t xml:space="preserve">و تعليقه، و كتابته، لنهي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 تلا الآية</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يمنع من مسّ كتب الحديث، و لا الدراهم الخالية من القرآن، أو المكتوب عليها القرآن، ففي خبر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لأوتى بالدرهم، فآخذه و إنّي 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ان عليه سورة من القرآن</w:t>
      </w:r>
      <w:r>
        <w:rPr>
          <w:rStyle w:val="FootnoteAnchor"/>
          <w:rtl w:val="true"/>
        </w:rPr>
        <w:footnoteReference w:id="1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804" w:name="pg15253_219778"/>
    </w:p>
    <w:p>
      <w:pPr>
        <w:pStyle w:val="BookText"/>
        <w:rPr/>
      </w:pPr>
      <w:bookmarkEnd w:id="804"/>
      <w:r>
        <w:rPr>
          <w:rFonts w:ascii="Amiri" w:hAnsi="Amiri" w:eastAsia="Amiri" w:cs="Amiri"/>
          <w:color w:val="111111"/>
          <w:sz w:val="28"/>
          <w:sz w:val="28"/>
          <w:szCs w:val="28"/>
          <w:rtl w:val="true"/>
          <w:lang w:bidi="ar-SA"/>
        </w:rPr>
        <w:t xml:space="preserve">و في خبر أبي الربيع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الجنب يمسّ الدراهم و فيها اسم اللّه، أو اسم رسوله،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ربما فعلت ذلك</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قلنا بذلك فالمحدث أولى، و لعلّ الوجه سلب اسم المصحف أو الكتاب عنها، أو لزوم الحرج بلزوم تجنّب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يمنع من مسّ الكتب المنسوخة، و لا ممّا نسخ تلاوته، و لا من سجود الشكر، و لا سجود التلاوة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اللمس يعمّ جميع أجزاء البدن مصيرا إلى اللغة، فلا يختص بباطن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تكره المسافرة بالمصحف إلى أرض العدو، خوفا من نيل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يحرم مسّ ما بين السطور من البياض، و لا الحاشية، و لا مسّ جلده، و لا صندوقه، و لا تقليب ورقه بقضيب</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4192249_2142443653"/>
      <w:bookmarkStart w:id="806" w:name="_Toc330"/>
      <w:bookmarkEnd w:id="805"/>
      <w:r>
        <w:rPr>
          <w:rtl w:val="true"/>
        </w:rPr>
        <w:t>الثاني</w:t>
      </w:r>
      <w:r>
        <w:rPr>
          <w:rtl w:val="true"/>
        </w:rPr>
        <w:t xml:space="preserve">: </w:t>
      </w:r>
      <w:r>
        <w:rPr>
          <w:rtl w:val="true"/>
        </w:rPr>
        <w:t>حكم الأكبر،</w:t>
      </w:r>
      <w:bookmarkEnd w:id="806"/>
    </w:p>
    <w:p>
      <w:pPr>
        <w:pStyle w:val="BookText"/>
        <w:rPr/>
      </w:pPr>
      <w:r>
        <w:rPr>
          <w:rFonts w:ascii="Amiri" w:hAnsi="Amiri" w:eastAsia="Amiri" w:cs="Amiri"/>
          <w:color w:val="111111"/>
          <w:sz w:val="28"/>
          <w:sz w:val="28"/>
          <w:szCs w:val="28"/>
          <w:rtl w:val="true"/>
          <w:lang w:bidi="ar-SA"/>
        </w:rPr>
        <w:t xml:space="preserve">و هو ما ذكر في الأصغر، لقوله تعالى وَ لا جُنُباً إِلاّ عابِرِي سَبِيلٍ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الطامث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لها الصلاة</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قراءة العزائم الأربع إجماعا، و اللبث في المساجد، و الجواز في المسجدين، كلّ ذلك رواه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لقوله تعالى وَ لا جُنُباً إِلاّ عابِرِي سَبِيلٍ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أحلّ المسجد لحائض، و لا جنب</w:t>
      </w:r>
      <w:r>
        <w:rPr>
          <w:rFonts w:eastAsia="Amiri" w:cs="Amiri" w:ascii="Amiri" w:hAnsi="Amiri"/>
          <w:color w:val="111111"/>
          <w:sz w:val="28"/>
          <w:szCs w:val="28"/>
          <w:rtl w:val="true"/>
          <w:lang w:bidi="ar-SA"/>
        </w:rPr>
        <w:t>»</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تحريم الاعتكاف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رواية جميل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الجنب يجلس في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لكن يمرّ فيها إلاّ المسجد الحرام 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الصدوقان و المفيد أطلقوا المنع من دخول المساجد إلاّ اجتيازا</w:t>
      </w:r>
      <w:r>
        <w:rPr>
          <w:rStyle w:val="FootnoteAnchor"/>
          <w:rtl w:val="true"/>
        </w:rPr>
        <w:footnoteReference w:id="1400"/>
      </w:r>
      <w:r>
        <w:rPr>
          <w:rFonts w:ascii="Amiri" w:hAnsi="Amiri" w:eastAsia="Amiri" w:cs="Amiri"/>
          <w:color w:val="111111"/>
          <w:sz w:val="28"/>
          <w:sz w:val="28"/>
          <w:szCs w:val="28"/>
          <w:rtl w:val="true"/>
          <w:lang w:bidi="ar-SA"/>
        </w:rPr>
        <w:t>، و خبر محمد بن مسلم مخصّص غير المسجدين</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وضع شيء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الجنب و الحائض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يضعان في المسجد شيئا، و يجوز أخذهما منه</w:t>
      </w:r>
      <w:r>
        <w:rPr>
          <w:rFonts w:eastAsia="Amiri" w:cs="Amiri" w:ascii="Amiri" w:hAnsi="Amiri"/>
          <w:color w:val="111111"/>
          <w:sz w:val="28"/>
          <w:szCs w:val="28"/>
          <w:rtl w:val="true"/>
          <w:lang w:bidi="ar-SA"/>
        </w:rPr>
        <w:t>»</w:t>
      </w:r>
      <w:r>
        <w:rPr>
          <w:rStyle w:val="FootnoteAnchor"/>
          <w:rtl w:val="true"/>
        </w:rPr>
        <w:footnoteReference w:id="1402"/>
      </w:r>
      <w:r>
        <w:rPr>
          <w:rFonts w:ascii="Amiri" w:hAnsi="Amiri" w:eastAsia="Amiri" w:cs="Amiri"/>
          <w:color w:val="111111"/>
          <w:sz w:val="28"/>
          <w:sz w:val="28"/>
          <w:szCs w:val="28"/>
          <w:rtl w:val="true"/>
          <w:lang w:bidi="ar-SA"/>
        </w:rPr>
        <w:t xml:space="preserve">بنصّه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سلار اللّبث في المساجد للجنب و الحائض و وضع شيء فيها ممّا يستحب تركه</w:t>
      </w:r>
      <w:r>
        <w:rPr>
          <w:rStyle w:val="FootnoteAnchor"/>
          <w:rtl w:val="true"/>
        </w:rPr>
        <w:footnoteReference w:id="1403"/>
      </w:r>
      <w:r>
        <w:rPr>
          <w:rFonts w:ascii="Amiri" w:hAnsi="Amiri" w:eastAsia="Amiri" w:cs="Amiri"/>
          <w:color w:val="111111"/>
          <w:sz w:val="28"/>
          <w:sz w:val="28"/>
          <w:szCs w:val="28"/>
          <w:rtl w:val="true"/>
          <w:lang w:bidi="ar-SA"/>
        </w:rPr>
        <w:t>، و لم يفرّق بين المسجدين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مرّ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الفضيل بن يسار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يتلو الجنب و الحائض القرآن</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استثنى في خبر محمد بن مسلم السابق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يجوز السجود إلاّ لطاهر من النجاسات، و حمل خبر أبي عبيدة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سجود الطامث إذا سمعت على الندب</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بمناقضة الندب الحرام، إلاّ أن يخصّ التحريم بالسجدة الواجبة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المشهور عدم تحريم السجود، لرواية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قرئ شيء من العزائم الأربع و سمعتها، فاسجد و إن كنت على غير وضوء، و ان كنت جنبا، و ان كانت المرأة لا تصلي</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الرحمن في الحائض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 و لا تسجد</w:t>
      </w:r>
      <w:r>
        <w:rPr>
          <w:rFonts w:eastAsia="Amiri" w:cs="Amiri" w:ascii="Amiri" w:hAnsi="Amiri"/>
          <w:color w:val="111111"/>
          <w:sz w:val="28"/>
          <w:szCs w:val="28"/>
          <w:rtl w:val="true"/>
          <w:lang w:bidi="ar-SA"/>
        </w:rPr>
        <w:t>»</w:t>
      </w:r>
      <w:r>
        <w:rPr>
          <w:rStyle w:val="FootnoteAnchor"/>
          <w:rtl w:val="true"/>
        </w:rPr>
        <w:footnoteReference w:id="1407"/>
      </w:r>
      <w:r>
        <w:rPr>
          <w:rFonts w:ascii="Amiri" w:hAnsi="Amiri" w:eastAsia="Amiri" w:cs="Amiri"/>
          <w:color w:val="111111"/>
          <w:sz w:val="28"/>
          <w:sz w:val="28"/>
          <w:szCs w:val="28"/>
          <w:rtl w:val="true"/>
          <w:lang w:bidi="ar-SA"/>
        </w:rPr>
        <w:t>يحمل على السجدات المستحبة فتؤخّر إلى الطهر، أو نهي عن السبب بلفظ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القرآن إلاّ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السجدة جزء صلاة حتى تدخل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صلاة بغير طهور</w:t>
      </w:r>
      <w:r>
        <w:rPr>
          <w:rFonts w:eastAsia="Amiri" w:cs="Amiri" w:ascii="Amiri" w:hAnsi="Amiri"/>
          <w:color w:val="111111"/>
          <w:sz w:val="28"/>
          <w:szCs w:val="28"/>
          <w:rtl w:val="true"/>
          <w:lang w:bidi="ar-SA"/>
        </w:rPr>
        <w:t>»</w:t>
      </w: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فالحجة على تحريم قراءة العزيمة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غير العزائم، فالصدوقان و الجعفي و المفيد و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الجواز</w:t>
      </w:r>
      <w:r>
        <w:rPr>
          <w:rStyle w:val="FootnoteAnchor"/>
          <w:rtl w:val="true"/>
        </w:rPr>
        <w:footnoteReference w:id="1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سلاّر</w:t>
      </w:r>
      <w:r>
        <w:rPr>
          <w:rStyle w:val="FootnoteAnchor"/>
          <w:rtl w:val="true"/>
        </w:rPr>
        <w:footnoteReference w:id="1410"/>
      </w:r>
      <w:r>
        <w:rPr>
          <w:rFonts w:ascii="Amiri" w:hAnsi="Amiri" w:eastAsia="Amiri" w:cs="Amiri"/>
          <w:color w:val="111111"/>
          <w:sz w:val="28"/>
          <w:sz w:val="28"/>
          <w:szCs w:val="28"/>
          <w:rtl w:val="true"/>
          <w:lang w:bidi="ar-SA"/>
        </w:rPr>
        <w:t>و ابن زهرة</w:t>
      </w:r>
      <w:r>
        <w:rPr>
          <w:rStyle w:val="FootnoteAnchor"/>
          <w:rtl w:val="true"/>
        </w:rPr>
        <w:footnoteReference w:id="1411"/>
      </w:r>
      <w:r>
        <w:rPr>
          <w:rFonts w:ascii="Amiri" w:hAnsi="Amiri" w:eastAsia="Amiri" w:cs="Amiri"/>
          <w:color w:val="111111"/>
          <w:sz w:val="28"/>
          <w:sz w:val="28"/>
          <w:szCs w:val="28"/>
          <w:rtl w:val="true"/>
          <w:lang w:bidi="ar-SA"/>
        </w:rPr>
        <w:t>و ابن إدريس</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كتابي الحديث إشعار بتحريم ما عدا السبع أو السبعين، جمعا بين الأخبار الدالة على قراءة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الحلبي الآتي</w:t>
      </w:r>
      <w:r>
        <w:rPr>
          <w:rStyle w:val="FootnoteAnchor"/>
          <w:rtl w:val="true"/>
        </w:rPr>
        <w:footnoteReference w:id="1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مقطوعي سماعة، الدال أحدهما على السبع و الآخر على السبعين</w:t>
      </w:r>
      <w:r>
        <w:rPr>
          <w:rStyle w:val="FootnoteAnchor"/>
          <w:rtl w:val="true"/>
        </w:rPr>
        <w:footnoteReference w:id="1414"/>
      </w:r>
      <w:r>
        <w:rPr>
          <w:rFonts w:ascii="Amiri" w:hAnsi="Amiri" w:eastAsia="Amiri" w:cs="Amiri"/>
          <w:color w:val="111111"/>
          <w:sz w:val="28"/>
          <w:sz w:val="28"/>
          <w:szCs w:val="28"/>
          <w:rtl w:val="true"/>
          <w:lang w:bidi="ar-SA"/>
        </w:rPr>
        <w:t>فجعل المشيّة</w:t>
      </w:r>
      <w:r>
        <w:rPr>
          <w:rStyle w:val="FootnoteAnchor"/>
          <w:rtl w:val="true"/>
        </w:rPr>
        <w:footnoteReference w:id="1415"/>
      </w:r>
      <w:r>
        <w:rPr>
          <w:rFonts w:ascii="Amiri" w:hAnsi="Amiri" w:eastAsia="Amiri" w:cs="Amiri"/>
          <w:color w:val="111111"/>
          <w:sz w:val="28"/>
          <w:sz w:val="28"/>
          <w:szCs w:val="28"/>
          <w:rtl w:val="true"/>
          <w:lang w:bidi="ar-SA"/>
        </w:rPr>
        <w:t>المطلقة في القرآن مخصوصة بهذا العدد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جمع بينهما أيضا بحمل الاقتصار على العدد على الندب و الباقي على الجواز</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انّه غير جازم بالتحريم، و ليس في تأويله الثاني تصريح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بالكراهية، غايته انّه ترك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لعموم قوله تعالى فَاقْرَؤُا ما تَيَسَّرَ مِنْهُ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لصحيح الفضيل بن يسار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تتلو الحائض و الجنب القرآن</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الحائض و الجنب و المتغوط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يقرءون ما شاءوا</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سلار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القراءة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الزيادة على السبع</w:t>
      </w:r>
      <w:r>
        <w:rPr>
          <w:rStyle w:val="FootnoteAnchor"/>
          <w:rtl w:val="true"/>
        </w:rPr>
        <w:footnoteReference w:id="1420"/>
      </w:r>
      <w:r>
        <w:rPr>
          <w:rFonts w:ascii="Amiri" w:hAnsi="Amiri" w:eastAsia="Amiri" w:cs="Amiri"/>
          <w:color w:val="111111"/>
          <w:sz w:val="28"/>
          <w:sz w:val="28"/>
          <w:szCs w:val="28"/>
          <w:rtl w:val="true"/>
          <w:lang w:bidi="ar-SA"/>
        </w:rPr>
        <w:t xml:space="preserve">، لاشتهار النهي عن قراءة القرآن للجنب و الحائض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الرجال و النساء، و من ثم تخلّص عبد اللّه بن رواحة من تهمة امرأته بشعر موهما القراءة،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 كذب بصري،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حتى بدت نواجذه</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يحجب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قراءة القرآن شيء سوى الجنابة</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يقرأ الجنب و لا الحائض شيئا من القرآن</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807" w:name="pg15253_219782"/>
    </w:p>
    <w:p>
      <w:pPr>
        <w:pStyle w:val="BookText"/>
        <w:rPr/>
      </w:pPr>
      <w:bookmarkEnd w:id="807"/>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الكراهية إن صحّ، جمعا بين الأخبار، و لهذا عدّه متأخّرو الأصحاب مكروها</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يحرم أيضا عليهما مسّ اسم اللّه تعالى،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يمسّ الجنب دينارا و لا درهما عليه اسم اللّه تعالى</w:t>
      </w:r>
      <w:r>
        <w:rPr>
          <w:rFonts w:eastAsia="Amiri" w:cs="Amiri" w:ascii="Amiri" w:hAnsi="Amiri"/>
          <w:color w:val="111111"/>
          <w:sz w:val="28"/>
          <w:szCs w:val="28"/>
          <w:rtl w:val="true"/>
          <w:lang w:bidi="ar-SA"/>
        </w:rPr>
        <w:t>»</w:t>
      </w:r>
      <w:r>
        <w:rPr>
          <w:rStyle w:val="FootnoteAnchor"/>
          <w:rtl w:val="true"/>
        </w:rPr>
        <w:footnoteReference w:id="1425"/>
      </w:r>
      <w:r>
        <w:rPr>
          <w:rFonts w:ascii="Amiri" w:hAnsi="Amiri" w:eastAsia="Amiri" w:cs="Amiri"/>
          <w:color w:val="111111"/>
          <w:sz w:val="28"/>
          <w:sz w:val="28"/>
          <w:szCs w:val="28"/>
          <w:rtl w:val="true"/>
          <w:lang w:bidi="ar-SA"/>
        </w:rPr>
        <w:t>أو أسماء الأنبياء أو الأئمة، للتعظيم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الصوم على ما 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للجنب الأكل و الشرب ما لم يتمضمض و يستنشق في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اليد و المضمضة و غسل الوجه للأكل</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يأكل و لم يشرب حتى يتوضأ</w:t>
      </w:r>
      <w:r>
        <w:rPr>
          <w:rFonts w:eastAsia="Amiri" w:cs="Amiri" w:ascii="Amiri" w:hAnsi="Amiri"/>
          <w:color w:val="111111"/>
          <w:sz w:val="28"/>
          <w:szCs w:val="28"/>
          <w:rtl w:val="true"/>
          <w:lang w:bidi="ar-SA"/>
        </w:rPr>
        <w:t>»</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فاقتصر في المعتبر على غسل يده و المضمضة</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النوم ما لم يتوضأ، و هو 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طرقنا</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رويناه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30"/>
      </w:r>
      <w:r>
        <w:rPr>
          <w:rFonts w:ascii="Amiri" w:hAnsi="Amiri" w:eastAsia="Amiri" w:cs="Amiri"/>
          <w:color w:val="111111"/>
          <w:sz w:val="28"/>
          <w:sz w:val="28"/>
          <w:szCs w:val="28"/>
          <w:rtl w:val="true"/>
          <w:lang w:bidi="ar-SA"/>
        </w:rPr>
        <w:t>و يعارضه حديثان بالنوم بغير وضوء</w:t>
      </w:r>
      <w:r>
        <w:rPr>
          <w:rStyle w:val="FootnoteAnchor"/>
          <w:rtl w:val="true"/>
        </w:rPr>
        <w:footnoteReference w:id="1431"/>
      </w:r>
      <w:r>
        <w:rPr>
          <w:rFonts w:ascii="IRNazanin" w:hAnsi="IRNazanin" w:eastAsia="IRNazanin"/>
          <w:color w:val="111111"/>
          <w:sz w:val="28"/>
          <w:sz w:val="28"/>
          <w:szCs w:val="28"/>
          <w:rtl w:val="true"/>
          <w:lang w:bidi="fa-IR"/>
        </w:rPr>
        <w:t>، فحمل على الندب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حكم الأكبر بقول مطلق،</w:t>
      </w:r>
    </w:p>
    <w:p>
      <w:pPr>
        <w:pStyle w:val="Heading6"/>
        <w:numPr>
          <w:ilvl w:val="5"/>
          <w:numId w:val="1"/>
        </w:numPr>
        <w:rPr/>
      </w:pPr>
      <w:bookmarkStart w:id="808" w:name="__RefHeading___Toc4192251_2142443653"/>
      <w:bookmarkStart w:id="809" w:name="_Toc331"/>
      <w:bookmarkEnd w:id="808"/>
      <w:r>
        <w:rPr>
          <w:rtl w:val="true"/>
        </w:rPr>
        <w:t>و أمّا حكم الحائض و النفساء</w:t>
      </w:r>
      <w:bookmarkEnd w:id="809"/>
    </w:p>
    <w:p>
      <w:pPr>
        <w:pStyle w:val="Heading6"/>
        <w:numPr>
          <w:ilvl w:val="5"/>
          <w:numId w:val="1"/>
        </w:numPr>
        <w:rPr/>
      </w:pPr>
      <w:bookmarkStart w:id="810" w:name="__RefHeading___Toc4192253_2142443653"/>
      <w:bookmarkStart w:id="811" w:name="_Toc332"/>
      <w:bookmarkEnd w:id="810"/>
      <w:r>
        <w:rPr>
          <w:rtl w:val="true"/>
        </w:rPr>
        <w:t>ففيه مسائل</w:t>
      </w:r>
      <w:r>
        <w:rPr>
          <w:rtl w:val="true"/>
        </w:rPr>
        <w:t>:</w:t>
      </w:r>
      <w:bookmarkEnd w:id="81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12" w:name="__RefHeading___Toc4192255_2142443653"/>
      <w:bookmarkStart w:id="813" w:name="_Toc333"/>
      <w:bookmarkEnd w:id="812"/>
      <w:r>
        <w:rPr>
          <w:rtl w:val="true"/>
        </w:rPr>
        <w:t>اشارة</w:t>
      </w:r>
      <w:bookmarkStart w:id="814" w:name="pg15253_219783"/>
      <w:bookmarkEnd w:id="813"/>
    </w:p>
    <w:p>
      <w:pPr>
        <w:pStyle w:val="Heading6"/>
        <w:numPr>
          <w:ilvl w:val="5"/>
          <w:numId w:val="1"/>
        </w:numPr>
        <w:rPr/>
      </w:pPr>
      <w:bookmarkStart w:id="815" w:name="__RefHeading___Toc4192257_2142443653"/>
      <w:bookmarkStart w:id="816" w:name="_Toc334"/>
      <w:bookmarkEnd w:id="814"/>
      <w:bookmarkEnd w:id="815"/>
      <w:r>
        <w:rPr>
          <w:rtl w:val="true"/>
        </w:rPr>
        <w:t>الأولى</w:t>
      </w:r>
      <w:r>
        <w:rPr>
          <w:rtl w:val="true"/>
        </w:rPr>
        <w:t xml:space="preserve">: </w:t>
      </w:r>
      <w:r>
        <w:rPr>
          <w:rtl w:val="true"/>
        </w:rPr>
        <w:t xml:space="preserve">يحرم منها موضع الدم </w:t>
      </w:r>
      <w:r>
        <w:rPr>
          <w:rtl w:val="true"/>
        </w:rPr>
        <w:t xml:space="preserve">- </w:t>
      </w:r>
      <w:r>
        <w:rPr>
          <w:rtl w:val="true"/>
        </w:rPr>
        <w:t>إجماعا،</w:t>
      </w:r>
      <w:bookmarkEnd w:id="816"/>
    </w:p>
    <w:p>
      <w:pPr>
        <w:pStyle w:val="BookText"/>
        <w:rPr/>
      </w:pPr>
      <w:r>
        <w:rPr>
          <w:rFonts w:ascii="Amiri" w:hAnsi="Amiri" w:eastAsia="Amiri" w:cs="Amiri"/>
          <w:color w:val="111111"/>
          <w:sz w:val="28"/>
          <w:sz w:val="28"/>
          <w:szCs w:val="28"/>
          <w:rtl w:val="true"/>
          <w:lang w:bidi="ar-SA"/>
        </w:rPr>
        <w:t>و للآية</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غيره،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افعلوا كلّ شيء إلاّ الجماع</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لإباحة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عدا القبل</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حرّم المرتضى الاستمتاع إلاّ بما فوق المئزر</w:t>
      </w:r>
      <w:r>
        <w:rPr>
          <w:rStyle w:val="FootnoteAnchor"/>
          <w:rtl w:val="true"/>
        </w:rPr>
        <w:footnoteReference w:id="1435"/>
      </w:r>
      <w:r>
        <w:rPr>
          <w:rFonts w:ascii="Amiri" w:hAnsi="Amiri" w:eastAsia="Amiri" w:cs="Amiri"/>
          <w:color w:val="111111"/>
          <w:sz w:val="28"/>
          <w:sz w:val="28"/>
          <w:szCs w:val="28"/>
          <w:rtl w:val="true"/>
          <w:lang w:bidi="ar-SA"/>
        </w:rPr>
        <w:t xml:space="preserve">،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تتزر الى الركبتين و تخرج سرّتها، ثم له ما فوق الإزار</w:t>
      </w:r>
      <w:r>
        <w:rPr>
          <w:rFonts w:eastAsia="Amiri" w:cs="Amiri" w:ascii="Amiri" w:hAnsi="Amiri"/>
          <w:color w:val="111111"/>
          <w:sz w:val="28"/>
          <w:szCs w:val="28"/>
          <w:rtl w:val="true"/>
          <w:lang w:bidi="ar-SA"/>
        </w:rPr>
        <w:t>»</w:t>
      </w:r>
      <w:r>
        <w:rPr>
          <w:rStyle w:val="FootnoteAnchor"/>
          <w:rtl w:val="true"/>
        </w:rPr>
        <w:footnoteReference w:id="1436"/>
      </w:r>
      <w:r>
        <w:rPr>
          <w:rFonts w:ascii="Amiri" w:hAnsi="Amiri" w:eastAsia="Amiri" w:cs="Amiri"/>
          <w:color w:val="111111"/>
          <w:sz w:val="28"/>
          <w:sz w:val="28"/>
          <w:szCs w:val="28"/>
          <w:rtl w:val="true"/>
          <w:lang w:bidi="ar-SA"/>
        </w:rPr>
        <w:t>و هو من مفهوم الاسم، و غايته انّه ليس له، و المكروه يصدق عليه ذلك و نحن نقول به جمعا بين الأخبار، و لقول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يرتع حول الحمى يوشك أن يقع فيه</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تجب الكفارة بالتعمّد و العلم في قول الأكثر، و نقل الشيخ فيه الإجماع</w:t>
      </w:r>
      <w:r>
        <w:rPr>
          <w:rStyle w:val="FootnoteAnchor"/>
          <w:rtl w:val="true"/>
        </w:rPr>
        <w:footnoteReference w:id="1438"/>
      </w:r>
      <w:r>
        <w:rPr>
          <w:rFonts w:ascii="IRNazanin" w:hAnsi="IRNazanin" w:eastAsia="IRNazanin"/>
          <w:color w:val="111111"/>
          <w:sz w:val="28"/>
          <w:sz w:val="28"/>
          <w:szCs w:val="28"/>
          <w:rtl w:val="true"/>
          <w:lang w:bidi="fa-IR"/>
        </w:rPr>
        <w:t>، لمقطوع محمد بن مسلم</w:t>
      </w:r>
      <w:r>
        <w:rPr>
          <w:rStyle w:val="FootnoteAnchor"/>
          <w:rtl w:val="true"/>
        </w:rPr>
        <w:footnoteReference w:id="1439"/>
      </w:r>
      <w:r>
        <w:rPr>
          <w:rFonts w:ascii="Amiri" w:hAnsi="Amiri" w:eastAsia="Amiri" w:cs="Amiri"/>
          <w:color w:val="111111"/>
          <w:sz w:val="28"/>
          <w:sz w:val="28"/>
          <w:szCs w:val="28"/>
          <w:rtl w:val="true"/>
          <w:lang w:bidi="ar-SA"/>
        </w:rPr>
        <w:t xml:space="preserve">و خبرين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40"/>
      </w:r>
      <w:r>
        <w:rPr>
          <w:rFonts w:ascii="Amiri" w:hAnsi="Amiri" w:eastAsia="Amiri" w:cs="Amiri"/>
          <w:color w:val="111111"/>
          <w:sz w:val="28"/>
          <w:sz w:val="28"/>
          <w:szCs w:val="28"/>
          <w:rtl w:val="true"/>
          <w:lang w:bidi="ar-SA"/>
        </w:rPr>
        <w:t>و العمدة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العدم أصحّ إسنادا، و عليه النهاية و الفاضلان، و حملوا تلك الأخبار على الاستحباب جمعا</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التفصيل بالمضطرّ و غيره، أو الشاب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الراوندي</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عبرة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قدرها دينار أو نصفه أو ربعه، بحسب أول الحيض و وسطه و آخره، لخبر داود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عدّه المرتضى إجماعا</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مع العجز الصدقة على مسكين واحد و إلاّ استغفر اللّه</w:t>
      </w:r>
      <w:r>
        <w:rPr>
          <w:rStyle w:val="FootnoteAnchor"/>
          <w:rtl w:val="true"/>
        </w:rPr>
        <w:footnoteReference w:id="1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 في سنده إرسال إلاّ أنّ الشهرة تؤيّده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الصدوق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ما يشبع مسكينا</w:t>
      </w:r>
      <w:r>
        <w:rPr>
          <w:rStyle w:val="FootnoteAnchor"/>
          <w:rtl w:val="true"/>
        </w:rPr>
        <w:footnoteReference w:id="1445"/>
      </w:r>
      <w:r>
        <w:rPr>
          <w:rFonts w:ascii="Amiri" w:hAnsi="Amiri" w:eastAsia="Amiri" w:cs="Amiri"/>
          <w:color w:val="111111"/>
          <w:sz w:val="28"/>
          <w:sz w:val="28"/>
          <w:szCs w:val="28"/>
          <w:rtl w:val="true"/>
          <w:lang w:bidi="ar-SA"/>
        </w:rPr>
        <w:t xml:space="preserve">لخبر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أمته، ثلاثة أمداد طعام، ذكره الصدوق و الشيخ في النهاية</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وطؤها بعد الطهر قبل الغسل، فالأشهر جوازه و إن كره، للآية</w:t>
      </w:r>
      <w:r>
        <w:rPr>
          <w:rStyle w:val="FootnoteAnchor"/>
          <w:rtl w:val="true"/>
        </w:rPr>
        <w:footnoteReference w:id="1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دلالة من لفظ المحيض و من الغاية، و قراءة التشديد لا تنافيه، لأنّ تفعل تجيء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كالمتكبر في أسماء اللّه تعالى،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تطعمت الطعام، بمعنى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طعمته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الجواز مروي عن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لتغسل فرجها ندبا، 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الشبق</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أبي بصير و سعيد بن يسار بالمنع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51"/>
      </w:r>
      <w:r>
        <w:rPr>
          <w:rFonts w:ascii="Amiri" w:hAnsi="Amiri" w:eastAsia="Amiri" w:cs="Amiri"/>
          <w:color w:val="111111"/>
          <w:sz w:val="28"/>
          <w:sz w:val="28"/>
          <w:szCs w:val="28"/>
          <w:rtl w:val="true"/>
          <w:lang w:bidi="ar-SA"/>
        </w:rPr>
        <w:t>يحمل على الكراهية توفيقا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قلنا بالوجوب و تعذّر الماء، فالتيمم، لخبر أبي عبيدة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17" w:name="pg15253_219785"/>
    </w:p>
    <w:p>
      <w:pPr>
        <w:pStyle w:val="BookText"/>
        <w:rPr/>
      </w:pPr>
      <w:bookmarkEnd w:id="817"/>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8" w:name="__RefHeading___Toc4192259_2142443653"/>
      <w:bookmarkStart w:id="819" w:name="_Toc335"/>
      <w:bookmarkEnd w:id="818"/>
      <w:r>
        <w:rPr>
          <w:rtl w:val="true"/>
        </w:rPr>
        <w:t>الثانية</w:t>
      </w:r>
      <w:r>
        <w:rPr>
          <w:rtl w:val="true"/>
        </w:rPr>
        <w:t xml:space="preserve">: </w:t>
      </w:r>
      <w:r>
        <w:rPr>
          <w:rtl w:val="true"/>
        </w:rPr>
        <w:t>يحرم طلاقها مع الدخول،</w:t>
      </w:r>
      <w:bookmarkEnd w:id="819"/>
    </w:p>
    <w:p>
      <w:pPr>
        <w:pStyle w:val="BookText"/>
        <w:rPr/>
      </w:pPr>
      <w:r>
        <w:rPr>
          <w:rFonts w:ascii="Amiri" w:hAnsi="Amiri" w:eastAsia="Amiri" w:cs="Amiri"/>
          <w:color w:val="111111"/>
          <w:sz w:val="28"/>
          <w:sz w:val="28"/>
          <w:szCs w:val="28"/>
          <w:rtl w:val="true"/>
          <w:lang w:bidi="ar-SA"/>
        </w:rPr>
        <w:t>و الحضور أو حكمه، و عدم الحمل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يقع اتفاقا منّا، للأخبار، و لردّ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ابن عمر لما طلّقت في الحيض و لم يره شيئا</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0" w:name="__RefHeading___Toc4192261_2142443653"/>
      <w:bookmarkStart w:id="821" w:name="_Toc336"/>
      <w:bookmarkEnd w:id="820"/>
      <w:r>
        <w:rPr>
          <w:rtl w:val="true"/>
        </w:rPr>
        <w:t>الثالثة</w:t>
      </w:r>
      <w:r>
        <w:rPr>
          <w:rtl w:val="true"/>
        </w:rPr>
        <w:t xml:space="preserve">: </w:t>
      </w:r>
      <w:r>
        <w:rPr>
          <w:rtl w:val="true"/>
        </w:rPr>
        <w:t>لا يرتفع حدثها لو تطهّرت،</w:t>
      </w:r>
      <w:bookmarkEnd w:id="821"/>
    </w:p>
    <w:p>
      <w:pPr>
        <w:pStyle w:val="BookText"/>
        <w:rPr/>
      </w:pPr>
      <w:r>
        <w:rPr>
          <w:rFonts w:ascii="Amiri" w:hAnsi="Amiri" w:eastAsia="Amiri" w:cs="Amiri"/>
          <w:color w:val="111111"/>
          <w:sz w:val="28"/>
          <w:sz w:val="28"/>
          <w:szCs w:val="28"/>
          <w:rtl w:val="true"/>
          <w:lang w:bidi="ar-SA"/>
        </w:rPr>
        <w:t>للمانع، و خبر الكاهلي</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انقطع وجب الغسل إجماعا، لوجوب ما هو مشترط به، و هو الصلاة و الطواف بإجماعنا،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امكثي مقدار ما كانت تجيئك حيضتك، ثم اغتسلي و صلّي</w:t>
      </w:r>
      <w:r>
        <w:rPr>
          <w:rFonts w:eastAsia="Amiri" w:cs="Amiri" w:ascii="Amiri" w:hAnsi="Amiri"/>
          <w:color w:val="111111"/>
          <w:sz w:val="28"/>
          <w:szCs w:val="28"/>
          <w:rtl w:val="true"/>
          <w:lang w:bidi="ar-SA"/>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تر شيئا فلتغتسل</w:t>
      </w:r>
      <w:r>
        <w:rPr>
          <w:rFonts w:eastAsia="Amiri" w:cs="Amiri" w:ascii="Amiri" w:hAnsi="Amiri"/>
          <w:color w:val="111111"/>
          <w:sz w:val="28"/>
          <w:szCs w:val="28"/>
          <w:rtl w:val="true"/>
          <w:lang w:bidi="ar-SA"/>
        </w:rPr>
        <w:t>»</w:t>
      </w:r>
      <w:r>
        <w:rPr>
          <w:rStyle w:val="FootnoteAnchor"/>
          <w:rtl w:val="true"/>
        </w:rPr>
        <w:footnoteReference w:id="1456"/>
      </w:r>
      <w:r>
        <w:rPr>
          <w:rFonts w:ascii="Amiri" w:hAnsi="Amiri" w:eastAsia="Amiri" w:cs="Amiri"/>
          <w:color w:val="111111"/>
          <w:sz w:val="28"/>
          <w:sz w:val="28"/>
          <w:szCs w:val="28"/>
          <w:rtl w:val="true"/>
          <w:lang w:bidi="ar-SA"/>
        </w:rPr>
        <w:t>و فيه دلالة على أنّ وجوب الغسل بالانقطاع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أدبرت فاغتسلي</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يجب بالدم عند الانقطاع لاستباحة الصلاة مثلا، كما انّ البول و المني يوجبان الوضوء و الغسل بالخروج عند القيام إلى الصلاة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الصوم، فنصّ ابن أبي عقيل على فساد الصوم بترك غسل الحيض و النفاس</w:t>
      </w:r>
      <w:r>
        <w:rPr>
          <w:rStyle w:val="FootnoteAnchor"/>
          <w:rtl w:val="true"/>
        </w:rPr>
        <w:footnoteReference w:id="1458"/>
      </w:r>
      <w:r>
        <w:rPr>
          <w:rFonts w:ascii="Amiri" w:hAnsi="Amiri" w:eastAsia="Amiri" w:cs="Amiri"/>
          <w:color w:val="111111"/>
          <w:sz w:val="28"/>
          <w:sz w:val="28"/>
          <w:szCs w:val="28"/>
          <w:rtl w:val="true"/>
          <w:lang w:bidi="ar-SA"/>
        </w:rPr>
        <w:t xml:space="preserve">، لخبر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طهرت من حيضها، </w:t>
      </w:r>
      <w:bookmarkStart w:id="822" w:name="pg15253_219786"/>
    </w:p>
    <w:p>
      <w:pPr>
        <w:pStyle w:val="BookText"/>
        <w:rPr/>
      </w:pPr>
      <w:bookmarkEnd w:id="822"/>
      <w:r>
        <w:rPr>
          <w:rFonts w:ascii="Amiri" w:hAnsi="Amiri" w:eastAsia="Amiri" w:cs="Amiri"/>
          <w:color w:val="111111"/>
          <w:sz w:val="28"/>
          <w:sz w:val="28"/>
          <w:szCs w:val="28"/>
          <w:rtl w:val="true"/>
          <w:lang w:bidi="ar-SA"/>
        </w:rPr>
        <w:t>ثم توانت أن تغتسل حتى أصبحت، عليها قضاء ذلك اليوم</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قرّبه الفاضل، حتى أوجب في المختلف الكفارة</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تردّد في المعتبر، لضعف سند الرواية</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3" w:name="__RefHeading___Toc4192263_2142443653"/>
      <w:bookmarkStart w:id="824" w:name="_Toc337"/>
      <w:bookmarkEnd w:id="823"/>
      <w:r>
        <w:rPr>
          <w:rtl w:val="true"/>
        </w:rPr>
        <w:t>الرابعة</w:t>
      </w:r>
      <w:r>
        <w:rPr>
          <w:rtl w:val="true"/>
        </w:rPr>
        <w:t xml:space="preserve">: </w:t>
      </w:r>
      <w:r>
        <w:rPr>
          <w:rtl w:val="true"/>
        </w:rPr>
        <w:t>لو حاضت بعد إمكان الأداء قضت،</w:t>
      </w:r>
      <w:bookmarkEnd w:id="824"/>
    </w:p>
    <w:p>
      <w:pPr>
        <w:pStyle w:val="BookText"/>
        <w:rPr/>
      </w:pPr>
      <w:r>
        <w:rPr>
          <w:rFonts w:ascii="Amiri" w:hAnsi="Amiri" w:eastAsia="Amiri" w:cs="Amiri"/>
          <w:color w:val="111111"/>
          <w:sz w:val="28"/>
          <w:sz w:val="28"/>
          <w:szCs w:val="28"/>
          <w:rtl w:val="true"/>
          <w:lang w:bidi="ar-SA"/>
        </w:rPr>
        <w:t xml:space="preserve">لخبر أبي عبيدة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طهرت و بقي قدر الطهارة و ركعة أدّت، و إلاّ قضت مع الإهمال، للخبر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قضاء الظهر لو طهرت قبل مضي أربعة أقدام</w:t>
      </w:r>
      <w:r>
        <w:rPr>
          <w:rStyle w:val="FootnoteAnchor"/>
          <w:rtl w:val="true"/>
        </w:rPr>
        <w:footnoteReference w:id="1464"/>
      </w:r>
      <w:r>
        <w:rPr>
          <w:rFonts w:ascii="Amiri" w:hAnsi="Amiri" w:eastAsia="Amiri" w:cs="Amiri"/>
          <w:color w:val="111111"/>
          <w:sz w:val="28"/>
          <w:sz w:val="28"/>
          <w:szCs w:val="28"/>
          <w:rtl w:val="true"/>
          <w:lang w:bidi="ar-SA"/>
        </w:rPr>
        <w:t xml:space="preserve">، و رواه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يونس</w:t>
      </w:r>
      <w:r>
        <w:rPr>
          <w:rStyle w:val="FootnoteAnchor"/>
          <w:rtl w:val="true"/>
        </w:rPr>
        <w:footnoteReference w:id="1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حاضت بعد صلاة ركعتين من المغرب قضت الركعة، و بعد صلاة ركعتين من الظهرين لا قضاء</w:t>
      </w:r>
      <w:r>
        <w:rPr>
          <w:rStyle w:val="FootnoteAnchor"/>
          <w:rtl w:val="true"/>
        </w:rPr>
        <w:footnoteReference w:id="1466"/>
      </w:r>
      <w:r>
        <w:rPr>
          <w:rFonts w:ascii="Amiri" w:hAnsi="Amiri" w:eastAsia="Amiri" w:cs="Amiri"/>
          <w:color w:val="111111"/>
          <w:sz w:val="28"/>
          <w:sz w:val="28"/>
          <w:szCs w:val="28"/>
          <w:rtl w:val="true"/>
          <w:lang w:bidi="ar-SA"/>
        </w:rPr>
        <w:t xml:space="preserve">، لخبر أبي الورد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حملت على مضي ما يسع المغرب فيجب قضاؤها، و يعبّر بالركعة عن الصلاة</w:t>
      </w:r>
      <w:r>
        <w:rPr>
          <w:rFonts w:eastAsia="Amiri" w:cs="Amiri" w:ascii="Amiri" w:hAnsi="Amiri"/>
          <w:color w:val="111111"/>
          <w:sz w:val="28"/>
          <w:szCs w:val="28"/>
          <w:rtl w:val="true"/>
          <w:lang w:bidi="ar-SA"/>
        </w:rPr>
        <w:t>.</w:t>
      </w:r>
    </w:p>
    <w:p>
      <w:pPr>
        <w:pStyle w:val="Heading6"/>
        <w:numPr>
          <w:ilvl w:val="5"/>
          <w:numId w:val="1"/>
        </w:numPr>
        <w:rPr/>
      </w:pPr>
      <w:bookmarkStart w:id="825" w:name="__RefHeading___Toc4192265_2142443653"/>
      <w:bookmarkStart w:id="826" w:name="_Toc338"/>
      <w:bookmarkEnd w:id="825"/>
      <w:r>
        <w:rPr>
          <w:rtl w:val="true"/>
        </w:rPr>
        <w:t>الخامسة</w:t>
      </w:r>
      <w:r>
        <w:rPr>
          <w:rtl w:val="true"/>
        </w:rPr>
        <w:t xml:space="preserve">: </w:t>
      </w:r>
      <w:r>
        <w:rPr>
          <w:rtl w:val="true"/>
        </w:rPr>
        <w:t>يكره للجنب و الحائض الخضاب،</w:t>
      </w:r>
      <w:bookmarkEnd w:id="82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توفيقا بين أخبار المنع و الجواز،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علّل في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بخوف الشيطان على الحائض</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علّله المفيد بمنعه وصول الماء</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باقتضائه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المحرّم المنع التام، و الأجزاء الحاملة للّون خفيفة لا تمنع منعا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اعتراف بمنع الماء بالجملة، و هو غير جائز،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عنه لخفته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الجنابة للمختضب من الرجل و المرأة</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مأخذه فجامع</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يحرج في الجنابة بعد الخضاب، و لا الحيض بعده</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اتفاق الجنابة لا على القصد إليها، لأنّ تعليله الأول يقتضي المنع مع الرواية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اطّرحها لضعف سندها، و نحن لا نراها تقصر عن الكراهية</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الفرق تعلّق الوجوب في الأول بالبدن خاليا عن الحائل، بخلاف الثاني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للجنب الدهن، قاله ابن الجنيد، لخبر حريز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827" w:name="pg15253_219788"/>
    </w:p>
    <w:p>
      <w:pPr>
        <w:pStyle w:val="BookText"/>
        <w:rPr/>
      </w:pPr>
      <w:bookmarkEnd w:id="827"/>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الجماع للمحتلم، و لا يكره بعد جماع، لفعل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8" w:name="__RefHeading___Toc4192267_2142443653"/>
      <w:bookmarkStart w:id="829" w:name="_Toc339"/>
      <w:bookmarkEnd w:id="828"/>
      <w:r>
        <w:rPr>
          <w:rtl w:val="true"/>
        </w:rPr>
        <w:t>السادسة</w:t>
      </w:r>
      <w:r>
        <w:rPr>
          <w:rtl w:val="true"/>
        </w:rPr>
        <w:t xml:space="preserve">: </w:t>
      </w:r>
      <w:r>
        <w:rPr>
          <w:rtl w:val="true"/>
        </w:rPr>
        <w:t>يستحبّ الوضوء لوقت الصلاة،</w:t>
      </w:r>
      <w:bookmarkEnd w:id="829"/>
    </w:p>
    <w:p>
      <w:pPr>
        <w:pStyle w:val="BookText"/>
        <w:rPr/>
      </w:pPr>
      <w:r>
        <w:rPr>
          <w:rFonts w:ascii="Amiri" w:hAnsi="Amiri" w:eastAsia="Amiri" w:cs="Amiri"/>
          <w:color w:val="111111"/>
          <w:sz w:val="28"/>
          <w:sz w:val="28"/>
          <w:szCs w:val="28"/>
          <w:rtl w:val="true"/>
          <w:lang w:bidi="ar-SA"/>
        </w:rPr>
        <w:t xml:space="preserve">و الكون في مصلاّها لذكر اللّه تعالى بقدر الصلاة، لخبر زيد الشحّام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أن تتوضأ، ثم تقعد في موضع طاهر</w:t>
      </w:r>
      <w:r>
        <w:rPr>
          <w:rFonts w:eastAsia="Amiri" w:cs="Amiri" w:ascii="Amiri" w:hAnsi="Amiri"/>
          <w:color w:val="111111"/>
          <w:sz w:val="28"/>
          <w:szCs w:val="28"/>
          <w:rtl w:val="true"/>
          <w:lang w:bidi="ar-SA"/>
        </w:rPr>
        <w:t>»</w:t>
      </w:r>
      <w:r>
        <w:rPr>
          <w:rStyle w:val="FootnoteAnchor"/>
          <w:rtl w:val="true"/>
        </w:rPr>
        <w:footnoteReference w:id="1478"/>
      </w:r>
      <w:r>
        <w:rPr>
          <w:rFonts w:ascii="Amiri" w:hAnsi="Amiri" w:eastAsia="Amiri" w:cs="Amiri"/>
          <w:color w:val="111111"/>
          <w:sz w:val="28"/>
          <w:sz w:val="28"/>
          <w:szCs w:val="28"/>
          <w:rtl w:val="true"/>
          <w:lang w:bidi="ar-SA"/>
        </w:rPr>
        <w:t>لتأكيد الندب، لا للوجوب الذي قاله الشيخ أبو الحسن بن بابويه رحمه اللّه</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ناحية من مصلاّها</w:t>
      </w:r>
      <w:r>
        <w:rPr>
          <w:rStyle w:val="FootnoteAnchor"/>
          <w:rtl w:val="true"/>
        </w:rPr>
        <w:footnoteReference w:id="1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الروايتان خاليتان عن تعيين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علّله أيضا بالتمرين على العبادة بقدر المكنة فيصير عادة،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عادة</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من تفرّدات الإمامية رحمهم اللّه</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4192269_2142443653"/>
      <w:bookmarkStart w:id="831" w:name="_Toc340"/>
      <w:bookmarkEnd w:id="830"/>
      <w:r>
        <w:rPr>
          <w:rtl w:val="true"/>
        </w:rPr>
        <w:t>السابعة</w:t>
      </w:r>
      <w:r>
        <w:rPr>
          <w:rtl w:val="true"/>
        </w:rPr>
        <w:t xml:space="preserve">: </w:t>
      </w:r>
      <w:r>
        <w:rPr>
          <w:rtl w:val="true"/>
        </w:rPr>
        <w:t>يجب قضاء الصوم دون الصلاة إجماعا،</w:t>
      </w:r>
      <w:bookmarkEnd w:id="83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لقول بعض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نحيض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832" w:name="pg15253_219789"/>
    </w:p>
    <w:p>
      <w:pPr>
        <w:pStyle w:val="BookText"/>
        <w:rPr/>
      </w:pPr>
      <w:bookmarkEnd w:id="832"/>
      <w:r>
        <w:rPr>
          <w:rFonts w:ascii="Amiri" w:hAnsi="Amiri" w:eastAsia="Amiri" w:cs="Amiri"/>
          <w:color w:val="111111"/>
          <w:sz w:val="28"/>
          <w:sz w:val="28"/>
          <w:szCs w:val="28"/>
          <w:rtl w:val="true"/>
          <w:lang w:bidi="ar-SA"/>
        </w:rPr>
        <w:t>فنؤمر بقضاء الصوم، و لا نؤمر بقضاء الصلاة</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فاطمة بذلك و المؤمنات</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3" w:name="__RefHeading___Toc4192271_2142443653"/>
      <w:bookmarkStart w:id="834" w:name="_Toc341"/>
      <w:bookmarkEnd w:id="833"/>
      <w:r>
        <w:rPr>
          <w:rtl w:val="true"/>
        </w:rPr>
        <w:t>الثامنة</w:t>
      </w:r>
      <w:r>
        <w:rPr>
          <w:rtl w:val="true"/>
        </w:rPr>
        <w:t xml:space="preserve">: </w:t>
      </w:r>
      <w:r>
        <w:rPr>
          <w:rtl w:val="true"/>
        </w:rPr>
        <w:t>يجب عليها الاستبراء بقطنة عند الانقطاع</w:t>
      </w:r>
      <w:bookmarkEnd w:id="834"/>
    </w:p>
    <w:p>
      <w:pPr>
        <w:pStyle w:val="BookText"/>
        <w:rPr/>
      </w:pPr>
      <w:r>
        <w:rPr>
          <w:rFonts w:ascii="Amiri" w:hAnsi="Amiri" w:eastAsia="Amiri" w:cs="Amiri"/>
          <w:color w:val="111111"/>
          <w:sz w:val="28"/>
          <w:sz w:val="28"/>
          <w:szCs w:val="28"/>
          <w:rtl w:val="true"/>
          <w:lang w:bidi="ar-SA"/>
        </w:rPr>
        <w:t xml:space="preserve">لدون الأكثر لتغتسل إن نقيت، لخبر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لتقم و تلصق بطنها إلى الحائط، و ترفع رجلها اليسرى إلى الحائط، ثم تدخل الكرسف بيدها اليمنى</w:t>
      </w:r>
      <w:r>
        <w:rPr>
          <w:rFonts w:eastAsia="Amiri" w:cs="Amiri" w:ascii="Amiri" w:hAnsi="Amiri"/>
          <w:color w:val="111111"/>
          <w:sz w:val="28"/>
          <w:szCs w:val="28"/>
          <w:rtl w:val="true"/>
          <w:lang w:bidi="ar-SA"/>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يصرّح أكثر القدماء بوجوب الاستبراء، و هو من باب وجوب 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بعض العزيمة حتى الآي المشتركة بالنية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كالبسملة، و مَنْ عَمِلَ صالِحاً فَلِنَفْسِهِ </w:t>
      </w:r>
      <w:r>
        <w:rPr>
          <w:rStyle w:val="FootnoteAnchor"/>
          <w:rtl w:val="true"/>
        </w:rPr>
        <w:footnoteReference w:id="1487"/>
      </w:r>
      <w:r>
        <w:rPr>
          <w:rFonts w:ascii="Amiri" w:hAnsi="Amiri" w:eastAsia="Amiri" w:cs="Amiri"/>
          <w:color w:val="111111"/>
          <w:sz w:val="28"/>
          <w:sz w:val="28"/>
          <w:szCs w:val="28"/>
          <w:rtl w:val="true"/>
          <w:lang w:bidi="ar-SA"/>
        </w:rPr>
        <w:t>و يباح بالتيمّم المسوّغ للصلاة،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تمنع من ذكر اللّه تعالى، 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زرارة و محمد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الحائض و الجنب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يقرءان ما شاءا إلاّ السجدة، و يذكران اللّه على كلّ حال</w:t>
      </w:r>
      <w:r>
        <w:rPr>
          <w:rFonts w:eastAsia="Amiri" w:cs="Amiri" w:ascii="Amiri" w:hAnsi="Amiri"/>
          <w:color w:val="111111"/>
          <w:sz w:val="28"/>
          <w:szCs w:val="28"/>
          <w:rtl w:val="true"/>
          <w:lang w:bidi="ar-SA"/>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الاجتياز في المساجد للجنب و الحائض مع أمن التلويث،</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للتعظيم، 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السلس، و المبطون، و المجروح، و الصبي المنجّس، و الدابة التي لا تؤكل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التلويث حرم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ألحق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الجنيد المشاهد المشرّفة بالمساجد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لتحقق معنى المسجديّة فيها 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يعزّر الواطئ العالم بالتحريم و الحيض، لانتهاكه حرمة، و كذا المرأة إن طاوعت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في التذكرة بفسق الواطئ</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استحلّه كفر، للإجماع على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القبول منها لو أخبرت بالحيض أو الطهر، لقوله تعالى وَ لا يَحِلُّ لَهُنَّ أَنْ يَكْتُمْنَ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لا يمكن فيه إقامة البيّنة، لأنّ مشاهدة الدم لا تكفي في الحكم بأنّه حيض، لجواز كونه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الخبر المتقدم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سماع البينة</w:t>
      </w:r>
      <w:r>
        <w:rPr>
          <w:rStyle w:val="FootnoteAnchor"/>
          <w:rtl w:val="true"/>
        </w:rPr>
        <w:footnoteReference w:id="1491"/>
      </w:r>
      <w:r>
        <w:rPr>
          <w:rFonts w:ascii="Amiri" w:hAnsi="Amiri" w:eastAsia="Amiri" w:cs="Amiri"/>
          <w:color w:val="111111"/>
          <w:sz w:val="28"/>
          <w:sz w:val="28"/>
          <w:szCs w:val="28"/>
          <w:rtl w:val="true"/>
          <w:lang w:bidi="ar-SA"/>
        </w:rPr>
        <w:t>فيه، و ذكر ذلك في العدد أيضا مرويا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حمله الشيخ في الاستبصار على كونها متهمة، لخبر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و الحيض إلى النساء</w:t>
      </w:r>
      <w:r>
        <w:rPr>
          <w:rFonts w:eastAsia="Amiri" w:cs="Amiri" w:ascii="Amiri" w:hAnsi="Amiri"/>
          <w:color w:val="111111"/>
          <w:sz w:val="28"/>
          <w:szCs w:val="28"/>
          <w:rtl w:val="true"/>
          <w:lang w:bidi="ar-SA"/>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اشتبه الحال فيها، إمّا لتحيرها أو لغلبة ظن كذبها، اجتنبت احتياطا، لأنّه إقدام على ما لا يؤمن قبحه، و نبّه عليه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آتي الطامث خطأ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عصى اللّه</w:t>
      </w:r>
      <w:r>
        <w:rPr>
          <w:rFonts w:eastAsia="Amiri" w:cs="Amiri" w:ascii="Amiri" w:hAnsi="Amiri"/>
          <w:color w:val="111111"/>
          <w:sz w:val="28"/>
          <w:szCs w:val="28"/>
          <w:rtl w:val="true"/>
          <w:lang w:bidi="ar-SA"/>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كرّر الوطء تكرّرت الكفارة، مع تخلّل التكفير أو تغاير المقدّر و إلاّ فلا، أخذا بالعموم، و أصل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يختلف الزمان المقدّر له بحسب العادة، قاله المفيد</w:t>
      </w:r>
      <w:r>
        <w:rPr>
          <w:rStyle w:val="FootnoteAnchor"/>
          <w:rtl w:val="true"/>
        </w:rPr>
        <w:footnoteReference w:id="1494"/>
      </w:r>
      <w:r>
        <w:rPr>
          <w:rFonts w:ascii="IRNazanin" w:hAnsi="IRNazanin" w:eastAsia="IRNazanin"/>
          <w:color w:val="111111"/>
          <w:sz w:val="28"/>
          <w:sz w:val="28"/>
          <w:szCs w:val="28"/>
          <w:rtl w:val="true"/>
          <w:lang w:bidi="fa-IR"/>
        </w:rPr>
        <w:t>و هو ظاهر الخبر</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ما بين الخمسة إلى السبعة</w:t>
      </w:r>
      <w:r>
        <w:rPr>
          <w:rStyle w:val="FootnoteAnchor"/>
          <w:rtl w:val="true"/>
        </w:rPr>
        <w:footnoteReference w:id="1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الراوندي اعتبر العشرة و أسقط العادة</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فظاهرهما إمكان خلو بعض العادات عن الوسط 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صادف الواطئ زمانين أو ثلاثة كما يتفق في النفساء، فالظاهر التعدّد، و لا كفارة عليها، و لا على الواطئ صبيا، لعدم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الزوجة و الأجنبية، للعموم، أو الإطلاق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الشيخان الدينار بعشرة دراهم</w:t>
      </w:r>
      <w:r>
        <w:rPr>
          <w:rStyle w:val="FootnoteAnchor"/>
          <w:rtl w:val="true"/>
        </w:rPr>
        <w:footnoteReference w:id="1498"/>
      </w:r>
      <w:r>
        <w:rPr>
          <w:rFonts w:ascii="Amiri" w:hAnsi="Amiri" w:eastAsia="Amiri" w:cs="Amiri"/>
          <w:color w:val="111111"/>
          <w:sz w:val="28"/>
          <w:sz w:val="28"/>
          <w:szCs w:val="28"/>
          <w:rtl w:val="true"/>
          <w:lang w:bidi="ar-SA"/>
        </w:rPr>
        <w:t>و الخبر خال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نقل به، ففي جواز إخراج القيمة نظر، التفاتا الى عدم إجزاء القيم في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قولهما لا يجزئ دينار قيمته أقل من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به المضروب فلا يجتزئ التبر، لأنّه المفهوم من الدينار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مصرفه مستحق الزكاة، لحاجته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5" w:name="pg15253_219793"/>
      <w:bookmarkStart w:id="836" w:name="pg15253_219793"/>
      <w:bookmarkEnd w:id="836"/>
    </w:p>
    <w:p>
      <w:pPr>
        <w:pStyle w:val="Heading6"/>
        <w:numPr>
          <w:ilvl w:val="5"/>
          <w:numId w:val="1"/>
        </w:numPr>
        <w:rPr/>
      </w:pPr>
      <w:bookmarkStart w:id="837" w:name="pg15253_219793"/>
      <w:bookmarkStart w:id="838" w:name="__RefHeading___Toc4192273_2142443653"/>
      <w:bookmarkStart w:id="839" w:name="_Toc342"/>
      <w:bookmarkEnd w:id="837"/>
      <w:bookmarkEnd w:id="838"/>
      <w:r>
        <w:rPr>
          <w:rtl w:val="true"/>
        </w:rPr>
        <w:t>المقام الخامس</w:t>
      </w:r>
      <w:r>
        <w:rPr>
          <w:rtl w:val="true"/>
        </w:rPr>
        <w:t xml:space="preserve">: </w:t>
      </w:r>
      <w:r>
        <w:rPr>
          <w:rtl w:val="true"/>
        </w:rPr>
        <w:t>في أحكام الميت</w:t>
      </w:r>
      <w:r>
        <w:rPr>
          <w:rtl w:val="true"/>
        </w:rPr>
        <w:t>:</w:t>
      </w:r>
      <w:bookmarkEnd w:id="839"/>
    </w:p>
    <w:p>
      <w:pPr>
        <w:pStyle w:val="Heading6"/>
        <w:numPr>
          <w:ilvl w:val="5"/>
          <w:numId w:val="1"/>
        </w:numPr>
        <w:rPr/>
      </w:pPr>
      <w:bookmarkStart w:id="840" w:name="__RefHeading___Toc4192275_2142443653"/>
      <w:bookmarkStart w:id="841" w:name="_Toc343"/>
      <w:bookmarkEnd w:id="840"/>
      <w:r>
        <w:rPr>
          <w:rtl w:val="true"/>
        </w:rPr>
        <w:t>اشارة</w:t>
      </w:r>
      <w:bookmarkEnd w:id="841"/>
    </w:p>
    <w:p>
      <w:pPr>
        <w:pStyle w:val="BookText"/>
        <w:rPr/>
      </w:pPr>
      <w:r>
        <w:rPr>
          <w:rFonts w:ascii="Amiri" w:hAnsi="Amiri" w:eastAsia="Amiri" w:cs="Amiri"/>
          <w:color w:val="111111"/>
          <w:sz w:val="28"/>
          <w:sz w:val="28"/>
          <w:szCs w:val="28"/>
          <w:rtl w:val="true"/>
          <w:lang w:bidi="ar-SA"/>
        </w:rPr>
        <w:t>و هي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احتضاره، و لنقدّم أخبارا نافعة لطالب الآخرة منقولة بالمعنى من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الناس يعتبطون اعتباطا، فسأل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علّة يعرف بها الموت، فنزل البرسام ثم الداء بعده</w:t>
      </w:r>
      <w:r>
        <w:rPr>
          <w:rFonts w:eastAsia="Amiri" w:cs="Amiri" w:ascii="Amiri" w:hAnsi="Amiri"/>
          <w:color w:val="111111"/>
          <w:sz w:val="28"/>
          <w:szCs w:val="28"/>
          <w:rtl w:val="true"/>
          <w:lang w:bidi="ar-SA"/>
        </w:rPr>
        <w:t>»</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بغير علّة، و مات عبطة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صحيحا شابا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 الفجأة تخفيف على المؤمن، و أخذه أسف على الكافر</w:t>
      </w:r>
      <w:r>
        <w:rPr>
          <w:rFonts w:eastAsia="Amiri" w:cs="Amiri" w:ascii="Amiri" w:hAnsi="Amiri"/>
          <w:color w:val="111111"/>
          <w:sz w:val="28"/>
          <w:szCs w:val="28"/>
          <w:rtl w:val="true"/>
          <w:lang w:bidi="ar-SA"/>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الحمّى رائد الموت، و هي سجن اللّه في الأرض، و حظ المؤمن من النار</w:t>
      </w:r>
      <w:r>
        <w:rPr>
          <w:rFonts w:eastAsia="Amiri" w:cs="Amiri" w:ascii="Amiri" w:hAnsi="Amiri"/>
          <w:color w:val="111111"/>
          <w:sz w:val="28"/>
          <w:szCs w:val="28"/>
          <w:rtl w:val="true"/>
          <w:lang w:bidi="ar-SA"/>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يموت من موالينا بالبطن الذريع</w:t>
      </w:r>
      <w:r>
        <w:rPr>
          <w:rFonts w:eastAsia="Amiri" w:cs="Amiri" w:ascii="Amiri" w:hAnsi="Amiri"/>
          <w:color w:val="111111"/>
          <w:sz w:val="28"/>
          <w:szCs w:val="28"/>
          <w:rtl w:val="true"/>
          <w:lang w:bidi="ar-SA"/>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يبتلى بكلّ بليّة، و يموت بكل ميتة، إلاّ أنّه لا يقتل نفسه</w:t>
      </w:r>
      <w:r>
        <w:rPr>
          <w:rFonts w:eastAsia="Amiri" w:cs="Amiri" w:ascii="Amiri" w:hAnsi="Amiri"/>
          <w:color w:val="111111"/>
          <w:sz w:val="28"/>
          <w:szCs w:val="28"/>
          <w:rtl w:val="true"/>
          <w:lang w:bidi="ar-SA"/>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يبتليه بذهاب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المؤمن يمرض يقول اللّه للملكين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اكتبا لعبدي مثل ما كان يعمله في صحته من الخير في يومه و ليلته</w:t>
      </w:r>
      <w:r>
        <w:rPr>
          <w:rFonts w:eastAsia="Amiri" w:cs="Amiri" w:ascii="Amiri" w:hAnsi="Amiri"/>
          <w:color w:val="111111"/>
          <w:sz w:val="28"/>
          <w:szCs w:val="28"/>
          <w:rtl w:val="true"/>
          <w:lang w:bidi="ar-SA"/>
        </w:rPr>
        <w:t>»</w:t>
      </w:r>
      <w:r>
        <w:rPr>
          <w:rStyle w:val="FootnoteAnchor"/>
          <w:rtl w:val="true"/>
        </w:rPr>
        <w:footnoteReference w:id="1505"/>
      </w:r>
      <w:r>
        <w:rPr>
          <w:rFonts w:ascii="Amiri" w:hAnsi="Amiri" w:eastAsia="Amiri" w:cs="Amiri"/>
          <w:color w:val="111111"/>
          <w:sz w:val="28"/>
          <w:sz w:val="28"/>
          <w:szCs w:val="28"/>
          <w:rtl w:val="true"/>
          <w:lang w:bidi="ar-SA"/>
        </w:rPr>
        <w:t>و كذلك من غلبه كبر أو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سهر ليلة من مرض أو وجع أفضل من عبادة سنة</w:t>
      </w:r>
      <w:r>
        <w:rPr>
          <w:rFonts w:eastAsia="Amiri" w:cs="Amiri" w:ascii="Amiri" w:hAnsi="Amiri"/>
          <w:color w:val="111111"/>
          <w:sz w:val="28"/>
          <w:szCs w:val="28"/>
          <w:rtl w:val="true"/>
          <w:lang w:bidi="ar-SA"/>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ليلة تعدل عبادة سنة، و حمّى ليلتين عبادة سنتين، و حمّى ثلاث عبادة سبعين سنة</w:t>
      </w:r>
      <w:r>
        <w:rPr>
          <w:rFonts w:eastAsia="Amiri" w:cs="Amiri" w:ascii="Amiri" w:hAnsi="Amiri"/>
          <w:color w:val="111111"/>
          <w:sz w:val="28"/>
          <w:szCs w:val="28"/>
          <w:rtl w:val="true"/>
          <w:lang w:bidi="ar-SA"/>
        </w:rPr>
        <w:t>»</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اشتكى ليلة فقبلها بقبولها،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يشكو ما أصابه الى أحد، كتب اللّه عز و جلّ له عبادة ستين سنة</w:t>
      </w:r>
      <w:r>
        <w:rPr>
          <w:rFonts w:eastAsia="Amiri" w:cs="Amiri" w:ascii="Amiri" w:hAnsi="Amiri"/>
          <w:color w:val="111111"/>
          <w:sz w:val="28"/>
          <w:szCs w:val="28"/>
          <w:rtl w:val="true"/>
          <w:lang w:bidi="ar-SA"/>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جميل بن صالح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حممت اليوم و سهرت البارحة ليس شكاية، إنّما الشكوى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ابتليت بما لم يبتل به أحد، أو أصابني ما لم يصب أحدا</w:t>
      </w:r>
      <w:r>
        <w:rPr>
          <w:rFonts w:eastAsia="Amiri" w:cs="Amiri" w:ascii="Amiri" w:hAnsi="Amiri"/>
          <w:color w:val="111111"/>
          <w:sz w:val="28"/>
          <w:szCs w:val="28"/>
          <w:rtl w:val="true"/>
          <w:lang w:bidi="ar-SA"/>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للمريض أن يؤذن إخوانه بمرضه فيعودونه، فيؤجر فيهم و يؤجرون فيه، فيكتب له بذلك الحسنات، و ترفع له بها عشر درجات، و تمحى عنه بها عشر سيئات</w:t>
      </w:r>
      <w:r>
        <w:rPr>
          <w:rFonts w:eastAsia="Amiri" w:cs="Amiri" w:ascii="Amiri" w:hAnsi="Amiri"/>
          <w:color w:val="111111"/>
          <w:sz w:val="28"/>
          <w:szCs w:val="28"/>
          <w:rtl w:val="true"/>
          <w:lang w:bidi="ar-SA"/>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فليأذن للناس يدخلون عليه، فإنّه ليس من أحد إلاّ و له دعوة مستجابة</w:t>
      </w:r>
      <w:r>
        <w:rPr>
          <w:rFonts w:eastAsia="Amiri" w:cs="Amiri" w:ascii="Amiri" w:hAnsi="Amiri"/>
          <w:color w:val="111111"/>
          <w:sz w:val="28"/>
          <w:szCs w:val="28"/>
          <w:rtl w:val="true"/>
          <w:lang w:bidi="ar-SA"/>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أحدكم على أخيه عائدا له، فليسأله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يدعو له، فإنّ دعاءه مثل دعاء الملائكة</w:t>
      </w:r>
      <w:r>
        <w:rPr>
          <w:rFonts w:eastAsia="Amiri" w:cs="Amiri" w:ascii="Amiri" w:hAnsi="Amiri"/>
          <w:color w:val="111111"/>
          <w:sz w:val="28"/>
          <w:szCs w:val="28"/>
          <w:rtl w:val="true"/>
          <w:lang w:bidi="ar-SA"/>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عيادة في وجع العين، و لا تكون عيادة في أقلّ من ثلاثة أيام، فإذا وجبت فيوم و يوم لا و يومين لا، فإذا طالت العلّة ترك العليل و عياله</w:t>
      </w:r>
      <w:r>
        <w:rPr>
          <w:rFonts w:eastAsia="Amiri" w:cs="Amiri" w:ascii="Amiri" w:hAnsi="Amiri"/>
          <w:color w:val="111111"/>
          <w:sz w:val="28"/>
          <w:szCs w:val="28"/>
          <w:rtl w:val="true"/>
          <w:lang w:bidi="ar-SA"/>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العيادة قدر فواق ناقة أو حلب ناقة</w:t>
      </w:r>
      <w:r>
        <w:rPr>
          <w:rFonts w:eastAsia="Amiri" w:cs="Amiri" w:ascii="Amiri" w:hAnsi="Amiri"/>
          <w:color w:val="111111"/>
          <w:sz w:val="28"/>
          <w:szCs w:val="28"/>
          <w:rtl w:val="true"/>
          <w:lang w:bidi="ar-SA"/>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العائد هدية الى المريض كتفاحة أو سفرجلة، أو أترجة أو طيب، أو قطعة عود بخور،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المريض ليستريح الى كلّ ما أدخل به عليه</w:t>
      </w:r>
      <w:r>
        <w:rPr>
          <w:rFonts w:eastAsia="Amiri" w:cs="Amiri" w:ascii="Amiri" w:hAnsi="Amiri"/>
          <w:color w:val="111111"/>
          <w:sz w:val="28"/>
          <w:szCs w:val="28"/>
          <w:rtl w:val="true"/>
          <w:lang w:bidi="ar-SA"/>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عيادة المريض أن تضع يدك على ذراعه، و تعجّل القيام من عنده، فإن عيادة النوكي أشدّ على المريض من وجعه</w:t>
      </w:r>
      <w:r>
        <w:rPr>
          <w:rFonts w:eastAsia="Amiri" w:cs="Amiri" w:ascii="Amiri" w:hAnsi="Amiri"/>
          <w:color w:val="111111"/>
          <w:sz w:val="28"/>
          <w:szCs w:val="28"/>
          <w:rtl w:val="true"/>
          <w:lang w:bidi="ar-SA"/>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العيادة أن تضع يدك على المريض إذا دخلت عليه</w:t>
      </w:r>
      <w:r>
        <w:rPr>
          <w:rFonts w:eastAsia="Amiri" w:cs="Amiri" w:ascii="Amiri" w:hAnsi="Amiri"/>
          <w:color w:val="111111"/>
          <w:sz w:val="28"/>
          <w:szCs w:val="28"/>
          <w:rtl w:val="true"/>
          <w:lang w:bidi="ar-SA"/>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أعظم العوّاد أجرا عند اللّه عزّ و جلّ لمن إذا عاد أخاه خفّف، إلاّ أن يكون المريض يحبّ ذلك و يريده و يسأله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العيادة أن يضع العائد إحدى يديه على الأخرى، أو على جبهته</w:t>
      </w:r>
      <w:r>
        <w:rPr>
          <w:rFonts w:eastAsia="Amiri" w:cs="Amiri" w:ascii="Amiri" w:hAnsi="Amiri"/>
          <w:color w:val="111111"/>
          <w:sz w:val="28"/>
          <w:szCs w:val="28"/>
          <w:rtl w:val="true"/>
          <w:lang w:bidi="ar-SA"/>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دون الأربعين فقد اخترم، و من مات دون أربعة عشر يوما فموته موت فجأة</w:t>
      </w:r>
      <w:r>
        <w:rPr>
          <w:rFonts w:eastAsia="Amiri" w:cs="Amiri" w:ascii="Amiri" w:hAnsi="Amiri"/>
          <w:color w:val="111111"/>
          <w:sz w:val="28"/>
          <w:szCs w:val="28"/>
          <w:rtl w:val="true"/>
          <w:lang w:bidi="ar-SA"/>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في أقلّ من أربعة عشر يوما كان موته موت فجأة</w:t>
      </w:r>
      <w:r>
        <w:rPr>
          <w:rFonts w:eastAsia="Amiri" w:cs="Amiri" w:ascii="Amiri" w:hAnsi="Amiri"/>
          <w:color w:val="111111"/>
          <w:sz w:val="28"/>
          <w:szCs w:val="28"/>
          <w:rtl w:val="true"/>
          <w:lang w:bidi="ar-SA"/>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 مريضا نادى مناد من السماء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طبت و طاب ممشاك، أبشر بثواب اللّه عزّ و جلّ</w:t>
      </w:r>
      <w:r>
        <w:rPr>
          <w:rFonts w:eastAsia="Amiri" w:cs="Amiri" w:ascii="Amiri" w:hAnsi="Amiri"/>
          <w:color w:val="111111"/>
          <w:sz w:val="28"/>
          <w:szCs w:val="28"/>
          <w:rtl w:val="true"/>
          <w:lang w:bidi="ar-SA"/>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 امرءا مسلما في مرضه، صلى عليه يومئذ سبعون ألف ملك إذا كان صباحا حتى يمسوا، و إن كان مساء حتى يصبحوا، مع أنّ له خريفا في الجنة</w:t>
      </w:r>
      <w:r>
        <w:rPr>
          <w:rFonts w:eastAsia="Amiri" w:cs="Amiri" w:ascii="Amiri" w:hAnsi="Amiri"/>
          <w:color w:val="111111"/>
          <w:sz w:val="28"/>
          <w:szCs w:val="28"/>
          <w:rtl w:val="true"/>
          <w:lang w:bidi="ar-SA"/>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 مريضا شيّعه سبعون ألف ملك يستغفرون له حتى يرجع الى منزله</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عاد مؤمنا خاض الرحمة خوضا، فإذا جلس غمرته الرحمة، فإذا انصرف و كلّ اللّه عزّ و جلّ به سبعين ألف ملك يستغفرون له و يسترحمون عليه،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و طابت لك الجنة إلى تلك الساعة من الغد، و كان له خريف في الجنة،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زاوية يسير الراكب فيها أربعين عاما</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 مؤمنا في اللّه عزّ و جلّ في مرضه، و كلّ اللّه عزّ و جلّ به ملكا من العوّاد، يعوده في قبره و يستغفر له الى يوم القيامة</w:t>
      </w:r>
      <w:r>
        <w:rPr>
          <w:rFonts w:eastAsia="Amiri" w:cs="Amiri" w:ascii="Amiri" w:hAnsi="Amiri"/>
          <w:color w:val="111111"/>
          <w:sz w:val="28"/>
          <w:szCs w:val="28"/>
          <w:rtl w:val="true"/>
          <w:lang w:bidi="ar-SA"/>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 مريضا من المسلمين، و كلّ اللّه جلّ و عزّ به سبعين ألفا من الملائكة، يغشون رحله يسبّحون فيه و يقدّسون و يهلّلون و يكبّرون الى يوم القيامة، نصف صلاتهم لعائد المريض</w:t>
      </w:r>
      <w:r>
        <w:rPr>
          <w:rFonts w:eastAsia="Amiri" w:cs="Amiri" w:ascii="Amiri" w:hAnsi="Amiri"/>
          <w:color w:val="111111"/>
          <w:sz w:val="28"/>
          <w:szCs w:val="28"/>
          <w:rtl w:val="true"/>
          <w:lang w:bidi="ar-SA"/>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فيما ناجى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عزّ و جلّ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بلغ من عيادة المريض من الأجر؟ فقال عزّ و جلّ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أوكّل به ملكا يعوده في قبره الى محشره</w:t>
      </w:r>
      <w:r>
        <w:rPr>
          <w:rFonts w:eastAsia="Amiri" w:cs="Amiri" w:ascii="Amiri" w:hAnsi="Amiri"/>
          <w:color w:val="111111"/>
          <w:sz w:val="28"/>
          <w:szCs w:val="28"/>
          <w:rtl w:val="true"/>
          <w:lang w:bidi="ar-SA"/>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آدم إذا كان في آخر يوم من الدنيا و أول يوم من الآخرة مثّل له ماله و ولده و عمله، فيلتفت الى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عليك لحريصا شحيحا فما لي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كفنك، و يلتفت الى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لكم محبّا و إنّي كنت عليكم لمحاميا، فما ذا عندكم؟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نؤدّيك إلى حفرتك نواريك فيها، فيلتفت الى 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فيك لزاهد و إن كنت عليّ لثقيلا، فما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في قبرك و يوم نشرك حتى أعرض أنا و أنت على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للّه عزّ و جلّ وليّا، أتاه أطيب الناس ريحا و أحسنهم منظرا و أحسنهم رياشا،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بروح و ريحان و جنة نعيم، و مقدمك خير مقدم، 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الصالح، ارتحل من الدنيا إلى الجنة، و إنّه ليعرف غاسله و يناشد حامله ان يعجّله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أدخل قبره أتاه ملكا القبر يجرّان إشعارهما و يخدّان الأرض بأنيابهما، أصواتهما كالرعد القاصف، و أبصارهما كالبرق الخاطف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 ما دينك؟ و ما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 ديني الإسلام، و نبيّي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فيما تحبّ و ترضى، و هو قول اللّه عزّ و جلّ يُثَبِّتُ اَللّهُ اَلَّذِينَ آمَنُوا الآية</w:t>
      </w:r>
      <w:r>
        <w:rPr>
          <w:rStyle w:val="FootnoteAnchor"/>
          <w:rtl w:val="true"/>
        </w:rPr>
        <w:footnoteReference w:id="1528"/>
      </w:r>
      <w:r>
        <w:rPr>
          <w:rFonts w:ascii="Amiri" w:hAnsi="Amiri" w:eastAsia="Amiri" w:cs="Amiri"/>
          <w:color w:val="111111"/>
          <w:sz w:val="28"/>
          <w:sz w:val="28"/>
          <w:szCs w:val="28"/>
          <w:rtl w:val="true"/>
          <w:lang w:bidi="ar-SA"/>
        </w:rPr>
        <w:t>ثم يفسحان له في قبره مدّ بصره، ثم يفتحان له بابا إلى الجنّة،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قرير العين نوم الشاب الناعم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لربّه عدوا فإنّه يأتيه أقبح من خلق اللّه زيّا و أنتنه ريحا،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بنزل من حميم و تصلية جحيم، و إنه ليعرف غاسله و يناشد حملته أن يحبسوه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أدخل القبر أتاه ممتحنا القبر فألقيا أكفانه ثم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 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دينك؟ و 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 و لا هديت، فيضربان يافوخه بمرزبة معهما ضربة ما خلق اللّه عزّ و جلّ من دابة إلاّ تذعر لها ما خلا الثقلين، ثمّ يفتح له باب إلى النار، و يسلّط اللّه عليه حيّات الأرض و عقاربها و هو أمها فتنهشه حتى يبعثه اللّه من قبره</w:t>
      </w:r>
      <w:r>
        <w:rPr>
          <w:rFonts w:eastAsia="Amiri" w:cs="Amiri" w:ascii="Amiri" w:hAnsi="Amiri"/>
          <w:color w:val="111111"/>
          <w:sz w:val="28"/>
          <w:szCs w:val="28"/>
          <w:rtl w:val="true"/>
          <w:lang w:bidi="ar-SA"/>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 عن الحجّة القائمة بين أظهرهم</w:t>
      </w:r>
      <w:r>
        <w:rPr>
          <w:rFonts w:eastAsia="Amiri" w:cs="Amiri" w:ascii="Amiri" w:hAnsi="Amiri"/>
          <w:color w:val="111111"/>
          <w:sz w:val="28"/>
          <w:szCs w:val="28"/>
          <w:rtl w:val="true"/>
          <w:lang w:bidi="ar-SA"/>
        </w:rPr>
        <w:t>»</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للمؤمن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نبيك؟ فيقول محمّد،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إمامك؟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Style w:val="FootnoteAnchor"/>
          <w:rtl w:val="true"/>
        </w:rPr>
        <w:footnoteReference w:id="1531"/>
      </w:r>
      <w:r>
        <w:rPr>
          <w:rFonts w:ascii="Amiri" w:hAnsi="Amiri" w:eastAsia="Amiri" w:cs="Amiri"/>
          <w:color w:val="111111"/>
          <w:sz w:val="28"/>
          <w:sz w:val="28"/>
          <w:szCs w:val="28"/>
          <w:rtl w:val="true"/>
          <w:lang w:bidi="ar-SA"/>
        </w:rPr>
        <w:t xml:space="preserve">، و كذا في خبر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الإمام</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 الميت في قبره عن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و زكاته، و حجّه و صيامه، و ولايته إيّانا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الولاية من جانب القبر للأربع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فيكن من نقص فعليّ تمامه</w:t>
      </w:r>
      <w:r>
        <w:rPr>
          <w:rFonts w:eastAsia="Amiri" w:cs="Amiri" w:ascii="Amiri" w:hAnsi="Amiri"/>
          <w:color w:val="111111"/>
          <w:sz w:val="28"/>
          <w:szCs w:val="28"/>
          <w:rtl w:val="true"/>
          <w:lang w:bidi="ar-SA"/>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مع وقوع هذه الأفعال من المكلّف، و إلاّ لم يسأل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على سبيل سهو أو غلط أو لعذر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جبرئيل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عش ما شئت فإنّك ميّت، و أحبب من شئت فإنّك مفارقه، و اعمل ما شئت فإنّك ملاقيه</w:t>
      </w:r>
      <w:r>
        <w:rPr>
          <w:rFonts w:eastAsia="Amiri" w:cs="Amiri" w:ascii="Amiri" w:hAnsi="Amiri"/>
          <w:color w:val="111111"/>
          <w:sz w:val="28"/>
          <w:szCs w:val="28"/>
          <w:rtl w:val="true"/>
          <w:lang w:bidi="ar-SA"/>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المؤمنين أكيس؟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ذكرا للموت، و أشدّهم له استعدادا</w:t>
      </w:r>
      <w:r>
        <w:rPr>
          <w:rFonts w:eastAsia="Amiri" w:cs="Amiri" w:ascii="Amiri" w:hAnsi="Amiri"/>
          <w:color w:val="111111"/>
          <w:sz w:val="28"/>
          <w:szCs w:val="28"/>
          <w:rtl w:val="true"/>
          <w:lang w:bidi="ar-SA"/>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انزل الموت حقّ منزلته من عدّ غدا من أجله</w:t>
      </w:r>
      <w:r>
        <w:rPr>
          <w:rFonts w:eastAsia="Amiri" w:cs="Amiri" w:ascii="Amiri" w:hAnsi="Amiri"/>
          <w:color w:val="111111"/>
          <w:sz w:val="28"/>
          <w:szCs w:val="28"/>
          <w:rtl w:val="true"/>
          <w:lang w:bidi="ar-SA"/>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أطال عبد الأمل إلاّ أساء العمل</w:t>
      </w:r>
      <w:r>
        <w:rPr>
          <w:rFonts w:eastAsia="Amiri" w:cs="Amiri" w:ascii="Amiri" w:hAnsi="Amiri"/>
          <w:color w:val="111111"/>
          <w:sz w:val="28"/>
          <w:szCs w:val="28"/>
          <w:rtl w:val="true"/>
          <w:lang w:bidi="ar-SA"/>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بالاستعداد له التوبة و ردّ المظالم و إصلاح العمل، فربّما أتاه فجأة، و هو للمريض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الأمل معين على ذلك، كما انّ طوله مظنّة إساءة العمل، لتسويف النفس بالتوبة رجاء الاستدراك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ذكر الموت، فإنّه لم يكثر ذكر الموت الشاب إلاّ زهد في الدنيا</w:t>
      </w:r>
      <w:r>
        <w:rPr>
          <w:rFonts w:eastAsia="Amiri" w:cs="Amiri" w:ascii="Amiri" w:hAnsi="Amiri"/>
          <w:color w:val="111111"/>
          <w:sz w:val="28"/>
          <w:szCs w:val="28"/>
          <w:rtl w:val="true"/>
          <w:lang w:bidi="ar-SA"/>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لد للموت، و اجمع للفناء، و ابن للخراب</w:t>
      </w:r>
      <w:r>
        <w:rPr>
          <w:rFonts w:eastAsia="Amiri" w:cs="Amiri" w:ascii="Amiri" w:hAnsi="Amiri"/>
          <w:color w:val="111111"/>
          <w:sz w:val="28"/>
          <w:szCs w:val="28"/>
          <w:rtl w:val="true"/>
          <w:lang w:bidi="ar-SA"/>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الموت، الا و لا بدّ من الموت، جاء الموت بما فيه، جاء بالروح و الراحة و الكرامة المباركة إلى الجنة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العالية لأهل دار الخلود، الذين كانوا لها سعيهم و فيها رغبتهم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الموت بما فيه من الشقوة و الندامة بالكرّة الخاسرة، الى نار حامية لأهل دار الغرور، الذين كانوا لها سعيهم و فيها رغبتهم</w:t>
      </w:r>
      <w:r>
        <w:rPr>
          <w:rFonts w:eastAsia="Amiri" w:cs="Amiri" w:ascii="Amiri" w:hAnsi="Amiri"/>
          <w:color w:val="111111"/>
          <w:sz w:val="28"/>
          <w:szCs w:val="28"/>
          <w:rtl w:val="true"/>
          <w:lang w:bidi="ar-SA"/>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أعدّ الرجل كفنه فهو مأجور إذا نظر اليه</w:t>
      </w:r>
      <w:r>
        <w:rPr>
          <w:rFonts w:eastAsia="Amiri" w:cs="Amiri" w:ascii="Amiri" w:hAnsi="Amiri"/>
          <w:color w:val="111111"/>
          <w:sz w:val="28"/>
          <w:szCs w:val="28"/>
          <w:rtl w:val="true"/>
          <w:lang w:bidi="ar-SA"/>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زيد الشحّام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بين يديه كالقصعة يمدّ يده فيها حيث يشاء؟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عليه صكاك من السماء اقبض نفس فلان بن فلان</w:t>
      </w:r>
      <w:r>
        <w:rPr>
          <w:rFonts w:eastAsia="Amiri" w:cs="Amiri" w:ascii="Amiri" w:hAnsi="Amiri"/>
          <w:color w:val="111111"/>
          <w:sz w:val="28"/>
          <w:szCs w:val="28"/>
          <w:rtl w:val="true"/>
          <w:lang w:bidi="ar-SA"/>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الصدوق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لملك الموت أعوانا من الملائكة يقبضون الأرواح، فتتوفاهم الملائكة و يتوفّاهم ملك الموت منهم مع ما يقبض هو، و يتوفّاها اللّه تعالى من ملك الموت</w:t>
      </w:r>
      <w:r>
        <w:rPr>
          <w:rFonts w:eastAsia="Amiri" w:cs="Amiri" w:ascii="Amiri" w:hAnsi="Amiri"/>
          <w:color w:val="111111"/>
          <w:sz w:val="28"/>
          <w:szCs w:val="28"/>
          <w:rtl w:val="true"/>
          <w:lang w:bidi="ar-SA"/>
        </w:rPr>
        <w:t>»</w:t>
      </w:r>
      <w:r>
        <w:rPr>
          <w:rStyle w:val="FootnoteAnchor"/>
          <w:rtl w:val="true"/>
        </w:rPr>
        <w:footnoteReference w:id="1544"/>
      </w:r>
      <w:r>
        <w:rPr>
          <w:rFonts w:ascii="Amiri" w:hAnsi="Amiri" w:eastAsia="Amiri" w:cs="Amiri"/>
          <w:color w:val="111111"/>
          <w:sz w:val="28"/>
          <w:sz w:val="28"/>
          <w:szCs w:val="28"/>
          <w:rtl w:val="true"/>
          <w:lang w:bidi="ar-SA"/>
        </w:rPr>
        <w:t xml:space="preserve">، ذكره في تفسير قوله تعالى اَللّهُ يَتَوَفَّى اَلْأَنْفُسَ حِينَ مَوْتِها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يحسن وصيّته عند الموت كان نقصا في مروّته و عقله،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يوصي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حضرته وفاته و اجتمع الناس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فاطر السماوات و الأرض، عالم الغيب و الشهادة، الرحمن الرحيم، اللّهم إنّي أعهد إليك في دار الدّنيا أنّي أشهد أن لا إله إلاّ أنت وحدك لا شريك لك، و أنّ محمّدا عبدك و رسولك و أنّ الجنّة حق و النار حق، و أنّ البعث حق و الحساب حق، و القدر حق و الميزان حق، و ان الدين كما وصفت، و أنّ الإسلام كما شرعت، و أنّ القول كما حدّثت، و أنّ القرآن كما أنزلت، و أنّك أنت اللّه الحق المبين، جزى اللّه محمدّا خير الجزاء، و حيّا اللّه محمّدا و آل محمّد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عدّتي عند كربتي، و يا صاحبي عند شدّتي، و يا وليّ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و إله آبائي لا تكلني الى نفسي طرفة عين، فإنّك إن تكلني الى نفسي طرفة عين أقرب من الشرّ و أبعد من الخير، و آنس في القبر وحشتي، و اجعل لي عهدا يوم ألقاك منشورا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يوصي بحاجته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الوصيّة حق، على كلّ مسلم ان يحفظ هذه الوصية و يعلّمها</w:t>
      </w:r>
      <w:r>
        <w:rPr>
          <w:rFonts w:eastAsia="Amiri" w:cs="Amiri" w:ascii="Amiri" w:hAnsi="Amiri"/>
          <w:color w:val="111111"/>
          <w:sz w:val="28"/>
          <w:szCs w:val="28"/>
          <w:rtl w:val="true"/>
          <w:lang w:bidi="ar-SA"/>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حق على كلّ مسلم</w:t>
      </w:r>
      <w:r>
        <w:rPr>
          <w:rFonts w:eastAsia="Amiri" w:cs="Amiri" w:ascii="Amiri" w:hAnsi="Amiri"/>
          <w:color w:val="111111"/>
          <w:sz w:val="28"/>
          <w:szCs w:val="28"/>
          <w:rtl w:val="true"/>
          <w:lang w:bidi="ar-SA"/>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الوصيّة حق و قد 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 الميّت فلقّنه شهادة أن لا إله إلاّ اللّه وحده لا شريك له، و أنّ محمدا عبده و رسوله</w:t>
      </w:r>
      <w:r>
        <w:rPr>
          <w:rFonts w:eastAsia="Amiri" w:cs="Amiri" w:ascii="Amiri" w:hAnsi="Amiri"/>
          <w:color w:val="111111"/>
          <w:sz w:val="28"/>
          <w:szCs w:val="28"/>
          <w:rtl w:val="true"/>
          <w:lang w:bidi="ar-SA"/>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يحضره الموت، إلاّ وكّل به إبليس من شياطينه من يأمره بالكفر و يشكّكه في دينه تخرج نفسه، فمن كان مؤمنا لم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حضرتم موتاكم، فلقنوهم شهادة ان لا إله إلاّ اللّه،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يموت</w:t>
      </w:r>
      <w:r>
        <w:rPr>
          <w:rFonts w:eastAsia="Amiri" w:cs="Amiri" w:ascii="Amiri" w:hAnsi="Amiri"/>
          <w:color w:val="111111"/>
          <w:sz w:val="28"/>
          <w:szCs w:val="28"/>
          <w:rtl w:val="true"/>
          <w:lang w:bidi="ar-SA"/>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أبو جعفر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يلقّنه كلمات الفرج و الشهادتين، و يسمّي له الإقرار بالأئمة واحدا بعد واحد حتى ينقطع عنه الكلام</w:t>
      </w:r>
      <w:r>
        <w:rPr>
          <w:rFonts w:eastAsia="Amiri" w:cs="Amiri" w:ascii="Amiri" w:hAnsi="Amiri"/>
          <w:color w:val="111111"/>
          <w:sz w:val="28"/>
          <w:szCs w:val="28"/>
          <w:rtl w:val="true"/>
          <w:lang w:bidi="ar-SA"/>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لقّن رجلا الشهادتين و الإقرار بالأئمة رجلا رجلا، فرئي الرجل بعد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بكلمات لقّنيهنّ أبو بكر، و لو لا ذلك كدت أهلك</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إنّي لو أدركت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يرى رأي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لعلّمته كلمات ينتفع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 اللّه ما أنتم عليه، لقّنوا موتاكم عند الموت شهادة أن لا إله إلاّ اللّه و الولاية</w:t>
      </w:r>
      <w:r>
        <w:rPr>
          <w:rFonts w:eastAsia="Amiri" w:cs="Amiri" w:ascii="Amiri" w:hAnsi="Amiri"/>
          <w:color w:val="111111"/>
          <w:sz w:val="28"/>
          <w:szCs w:val="28"/>
          <w:rtl w:val="true"/>
          <w:lang w:bidi="ar-SA"/>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الرجل عند النزع فلقّنه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 السماوات السبع، و ربّ الأرضين السبع، و ما فيهنّ‌</w:t>
      </w:r>
      <w:r>
        <w:rPr>
          <w:rStyle w:val="FootnoteAnchor"/>
          <w:rtl w:val="true"/>
        </w:rPr>
        <w:footnoteReference w:id="1554"/>
      </w:r>
      <w:r>
        <w:rPr>
          <w:rFonts w:ascii="Amiri" w:hAnsi="Amiri" w:eastAsia="Amiri" w:cs="Amiri"/>
          <w:color w:val="111111"/>
          <w:sz w:val="28"/>
          <w:sz w:val="28"/>
          <w:szCs w:val="28"/>
          <w:rtl w:val="true"/>
          <w:lang w:bidi="ar-SA"/>
        </w:rPr>
        <w:t>و ما بينهنّ، و ربّ العرش العظيم، و الحمد للّه رب العالمين</w:t>
      </w:r>
      <w:r>
        <w:rPr>
          <w:rFonts w:eastAsia="Amiri" w:cs="Amiri" w:ascii="Amiri" w:hAnsi="Amiri"/>
          <w:color w:val="111111"/>
          <w:sz w:val="28"/>
          <w:szCs w:val="28"/>
          <w:rtl w:val="true"/>
          <w:lang w:bidi="ar-SA"/>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المبسوط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تحتهنّ، و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على المرسلين</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إذا حضر أحدا من أهل بيته الموت،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العليّ العظيم، سبحان اللّه ربّ السماوات السبع، و ربّ الأرضين السبع، و ما بينهما، و ربّ العرش العظيم،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قالها المريض،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فليس عليك بأس</w:t>
      </w:r>
      <w:r>
        <w:rPr>
          <w:rFonts w:eastAsia="Amiri" w:cs="Amiri" w:ascii="Amiri" w:hAnsi="Amiri"/>
          <w:color w:val="111111"/>
          <w:sz w:val="28"/>
          <w:szCs w:val="28"/>
          <w:rtl w:val="true"/>
          <w:lang w:bidi="ar-SA"/>
        </w:rPr>
        <w:t>»</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أن يمرّض المريض أرفق أهله به و أعلمهم بحاله، لأنه أقرب الى رجاء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التداوي، للخبر</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أمره بالتوبة،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خطبة خطبها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تاب قبل موته بسنة تاب اللّه عليه، من تاب قبل موته بشهر تاب اللّه عليه، من تاب قبل موته بيوم تاب اللّه عليه، من تاب قبل موته بساعة تاب اللّه عليه، من تاب و قد بلغت نفسه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اللّه عليه</w:t>
      </w:r>
      <w:r>
        <w:rPr>
          <w:rFonts w:eastAsia="Amiri" w:cs="Amiri" w:ascii="Amiri" w:hAnsi="Amiri"/>
          <w:color w:val="111111"/>
          <w:sz w:val="28"/>
          <w:szCs w:val="28"/>
          <w:rtl w:val="true"/>
          <w:lang w:bidi="ar-SA"/>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فسّر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لَيْسَتِ 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Style w:val="FootnoteAnchor"/>
          <w:rtl w:val="true"/>
        </w:rPr>
        <w:footnoteReference w:id="15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بمعاينة أمر الآخرة</w:t>
      </w:r>
      <w:r>
        <w:rPr>
          <w:rFonts w:eastAsia="Amiri" w:cs="Amiri" w:ascii="Amiri" w:hAnsi="Amiri"/>
          <w:color w:val="111111"/>
          <w:sz w:val="28"/>
          <w:szCs w:val="28"/>
          <w:rtl w:val="true"/>
          <w:lang w:bidi="ar-SA"/>
        </w:rPr>
        <w:t>»</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حسن الظن باللّه في كلّ وقت، و آكده عند الموت، لقول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قبل موته بثلاث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يموتنّ أحدكم إلاّ و هو يحسن الظن باللّه عزّ و جلّ</w:t>
      </w:r>
      <w:r>
        <w:rPr>
          <w:rFonts w:eastAsia="Amiri" w:cs="Amiri" w:ascii="Amiri" w:hAnsi="Amiri"/>
          <w:color w:val="111111"/>
          <w:sz w:val="28"/>
          <w:szCs w:val="28"/>
          <w:rtl w:val="true"/>
          <w:lang w:bidi="ar-SA"/>
        </w:rPr>
        <w:t>»</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لمن يحضره أمره بحسن ظنّه و طمعه في رحمة اللّه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يلقّنه جملة المعارف، و لا يقرب موضعه بنوح و لا قبيح</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842" w:name="pg15253_219807"/>
    </w:p>
    <w:p>
      <w:pPr>
        <w:pStyle w:val="Heading6"/>
        <w:numPr>
          <w:ilvl w:val="5"/>
          <w:numId w:val="1"/>
        </w:numPr>
        <w:rPr/>
      </w:pPr>
      <w:bookmarkStart w:id="843" w:name="__RefHeading___Toc4192277_2142443653"/>
      <w:bookmarkStart w:id="844" w:name="_Toc344"/>
      <w:bookmarkEnd w:id="842"/>
      <w:bookmarkEnd w:id="843"/>
      <w:r>
        <w:rPr>
          <w:rtl w:val="true"/>
        </w:rPr>
        <w:t>الحكم الأول</w:t>
      </w:r>
      <w:r>
        <w:rPr>
          <w:rtl w:val="true"/>
        </w:rPr>
        <w:t xml:space="preserve">: </w:t>
      </w:r>
      <w:r>
        <w:rPr>
          <w:rtl w:val="true"/>
        </w:rPr>
        <w:t>الاحتضار</w:t>
      </w:r>
      <w:r>
        <w:rPr>
          <w:rtl w:val="true"/>
        </w:rPr>
        <w:t>.</w:t>
      </w:r>
      <w:bookmarkEnd w:id="844"/>
    </w:p>
    <w:p>
      <w:pPr>
        <w:pStyle w:val="Heading6"/>
        <w:numPr>
          <w:ilvl w:val="5"/>
          <w:numId w:val="1"/>
        </w:numPr>
        <w:rPr/>
      </w:pPr>
      <w:bookmarkStart w:id="845" w:name="__RefHeading___Toc4192279_2142443653"/>
      <w:bookmarkStart w:id="846" w:name="_Toc345"/>
      <w:bookmarkEnd w:id="845"/>
      <w:r>
        <w:rPr>
          <w:rtl w:val="true"/>
        </w:rPr>
        <w:t>اشارة</w:t>
      </w:r>
      <w:bookmarkEnd w:id="846"/>
    </w:p>
    <w:p>
      <w:pPr>
        <w:pStyle w:val="BookText"/>
        <w:rPr/>
      </w:pPr>
      <w:r>
        <w:rPr>
          <w:rFonts w:ascii="Amiri" w:hAnsi="Amiri" w:eastAsia="Amiri" w:cs="Amiri"/>
          <w:color w:val="111111"/>
          <w:sz w:val="28"/>
          <w:sz w:val="28"/>
          <w:szCs w:val="28"/>
          <w:rtl w:val="true"/>
          <w:lang w:bidi="ar-SA"/>
        </w:rPr>
        <w:t xml:space="preserve">و يجب فيه أن يستقبل بوجهه و أخمصه القبلة في الأشهر خبرا و فتوى،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وجّهوه إلى القبلة، فإنّكم إذا فعلتم ذلك أقبلت عليه الملائكة</w:t>
      </w:r>
      <w:r>
        <w:rPr>
          <w:rFonts w:eastAsia="Amiri" w:cs="Amiri" w:ascii="Amiri" w:hAnsi="Amiri"/>
          <w:color w:val="111111"/>
          <w:sz w:val="28"/>
          <w:szCs w:val="28"/>
          <w:rtl w:val="true"/>
          <w:lang w:bidi="ar-SA"/>
        </w:rPr>
        <w:t>»</w:t>
      </w:r>
      <w:r>
        <w:rPr>
          <w:rStyle w:val="FootnoteAnchor"/>
          <w:rtl w:val="true"/>
        </w:rPr>
        <w:footnoteReference w:id="1564"/>
      </w:r>
      <w:r>
        <w:rPr>
          <w:rFonts w:ascii="Amiri" w:hAnsi="Amiri" w:eastAsia="Amiri" w:cs="Amiri"/>
          <w:color w:val="111111"/>
          <w:sz w:val="28"/>
          <w:sz w:val="28"/>
          <w:szCs w:val="28"/>
          <w:rtl w:val="true"/>
          <w:lang w:bidi="ar-SA"/>
        </w:rPr>
        <w:t>قاله في هاشميّ كان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استقبل بباطن قدميه</w:t>
      </w:r>
      <w:r>
        <w:rPr>
          <w:rFonts w:eastAsia="Amiri" w:cs="Amiri" w:ascii="Amiri" w:hAnsi="Amiri"/>
          <w:color w:val="111111"/>
          <w:sz w:val="28"/>
          <w:szCs w:val="28"/>
          <w:rtl w:val="true"/>
          <w:lang w:bidi="ar-SA"/>
        </w:rPr>
        <w:t>»</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لأحدكم ميت فسجّوه تجاه القبلة، و كذلك إذا غسل يحفر له موضع المغتسل تجاه القبلة، فيكون مستقبل القبلة بباطن قدميه و وجهه إلى القبلة</w:t>
      </w:r>
      <w:r>
        <w:rPr>
          <w:rFonts w:eastAsia="Amiri" w:cs="Amiri" w:ascii="Amiri" w:hAnsi="Amiri"/>
          <w:color w:val="111111"/>
          <w:sz w:val="28"/>
          <w:szCs w:val="28"/>
          <w:rtl w:val="true"/>
          <w:lang w:bidi="ar-SA"/>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 بوجهه القبلة و يجعل باطن قدميه ممّا يلي القبلة</w:t>
      </w:r>
      <w:r>
        <w:rPr>
          <w:rFonts w:eastAsia="Amiri" w:cs="Amiri" w:ascii="Amiri" w:hAnsi="Amiri"/>
          <w:color w:val="111111"/>
          <w:sz w:val="28"/>
          <w:szCs w:val="28"/>
          <w:rtl w:val="true"/>
          <w:lang w:bidi="ar-SA"/>
        </w:rPr>
        <w:t>»</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w:t>
      </w:r>
      <w:r>
        <w:rPr>
          <w:rStyle w:val="FootnoteAnchor"/>
          <w:rtl w:val="true"/>
        </w:rPr>
        <w:footnoteReference w:id="1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في المعتبر، لضعف السند و الدلالة على الوجوب</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بالشهرة، و صيغة الأمر للوجوب</w:t>
      </w:r>
      <w:r>
        <w:rPr>
          <w:rFonts w:eastAsia="Amiri" w:cs="Amiri" w:ascii="Amiri" w:hAnsi="Amiri"/>
          <w:color w:val="111111"/>
          <w:sz w:val="28"/>
          <w:szCs w:val="28"/>
          <w:rtl w:val="true"/>
          <w:lang w:bidi="ar-SA"/>
        </w:rPr>
        <w:t>.</w:t>
      </w:r>
    </w:p>
    <w:p>
      <w:pPr>
        <w:pStyle w:val="Heading6"/>
        <w:numPr>
          <w:ilvl w:val="5"/>
          <w:numId w:val="1"/>
        </w:numPr>
        <w:rPr/>
      </w:pPr>
      <w:bookmarkStart w:id="847" w:name="__RefHeading___Toc4192281_2142443653"/>
      <w:bookmarkStart w:id="848" w:name="_Toc346"/>
      <w:bookmarkEnd w:id="847"/>
      <w:r>
        <w:rPr>
          <w:rtl w:val="true"/>
        </w:rPr>
        <w:t>فرعان</w:t>
      </w:r>
      <w:r>
        <w:rPr>
          <w:rtl w:val="true"/>
        </w:rPr>
        <w:t>:</w:t>
      </w:r>
      <w:bookmarkEnd w:id="848"/>
    </w:p>
    <w:p>
      <w:pPr>
        <w:pStyle w:val="Heading6"/>
        <w:numPr>
          <w:ilvl w:val="5"/>
          <w:numId w:val="1"/>
        </w:numPr>
        <w:rPr/>
      </w:pPr>
      <w:bookmarkStart w:id="849" w:name="__RefHeading___Toc4192283_2142443653"/>
      <w:bookmarkStart w:id="850" w:name="_Toc347"/>
      <w:bookmarkEnd w:id="849"/>
      <w:r>
        <w:rPr>
          <w:rtl w:val="true"/>
        </w:rPr>
        <w:t>الأول</w:t>
      </w:r>
      <w:r>
        <w:rPr>
          <w:rtl w:val="true"/>
        </w:rPr>
        <w:t xml:space="preserve">: </w:t>
      </w:r>
      <w:r>
        <w:rPr>
          <w:rtl w:val="true"/>
        </w:rPr>
        <w:t>ظاهر الأخبار سقوط الاستقبال بموته،</w:t>
      </w:r>
      <w:bookmarkEnd w:id="85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الواجب أن يموت على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احتمال دوام الاستقبال، و نبّه عليه ذكره حال الغسل، و وجوبه حال الصلاة و الدفن، و إن اختلفت الهيئة عندنا</w:t>
      </w:r>
      <w:r>
        <w:rPr>
          <w:rFonts w:eastAsia="Amiri" w:cs="Amiri" w:ascii="Amiri" w:hAnsi="Amiri"/>
          <w:color w:val="111111"/>
          <w:sz w:val="28"/>
          <w:szCs w:val="28"/>
          <w:rtl w:val="true"/>
          <w:lang w:bidi="ar-SA"/>
        </w:rPr>
        <w:t xml:space="preserve">. </w:t>
      </w:r>
      <w:bookmarkStart w:id="851" w:name="pg15253_219808"/>
    </w:p>
    <w:p>
      <w:pPr>
        <w:pStyle w:val="Heading6"/>
        <w:numPr>
          <w:ilvl w:val="5"/>
          <w:numId w:val="1"/>
        </w:numPr>
        <w:rPr/>
      </w:pPr>
      <w:bookmarkStart w:id="852" w:name="__RefHeading___Toc4192285_2142443653"/>
      <w:bookmarkStart w:id="853" w:name="_Toc348"/>
      <w:bookmarkEnd w:id="851"/>
      <w:bookmarkEnd w:id="852"/>
      <w:r>
        <w:rPr>
          <w:rtl w:val="true"/>
        </w:rPr>
        <w:t>الثاني</w:t>
      </w:r>
      <w:r>
        <w:rPr>
          <w:rtl w:val="true"/>
        </w:rPr>
        <w:t xml:space="preserve">: </w:t>
      </w:r>
      <w:r>
        <w:rPr>
          <w:rtl w:val="true"/>
        </w:rPr>
        <w:t>يسقط الاستقبال مع اشتباه القبلة،</w:t>
      </w:r>
      <w:bookmarkEnd w:id="853"/>
    </w:p>
    <w:p>
      <w:pPr>
        <w:pStyle w:val="BookText"/>
        <w:rPr/>
      </w:pPr>
      <w:r>
        <w:rPr>
          <w:rFonts w:ascii="Amiri" w:hAnsi="Amiri" w:eastAsia="Amiri" w:cs="Amiri"/>
          <w:color w:val="111111"/>
          <w:sz w:val="28"/>
          <w:sz w:val="28"/>
          <w:szCs w:val="28"/>
          <w:rtl w:val="true"/>
          <w:lang w:bidi="ar-SA"/>
        </w:rPr>
        <w:t>و لا يجب أن يستقبل به الأربع مع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فرض كفاية، و كذا أحكام الميت، لأنّ الغرض إدخالها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حضور جنب أو حائض عنده،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تحضر الحائض الميت، و لا الجنب عند التلقين</w:t>
      </w:r>
      <w:r>
        <w:rPr>
          <w:rFonts w:eastAsia="Amiri" w:cs="Amiri" w:ascii="Amiri" w:hAnsi="Amiri"/>
          <w:color w:val="111111"/>
          <w:sz w:val="28"/>
          <w:szCs w:val="28"/>
          <w:rtl w:val="true"/>
          <w:lang w:bidi="ar-SA"/>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فلتتنح عن قربه، فإنّ الملائكة تتأذى بذلك</w:t>
      </w:r>
      <w:r>
        <w:rPr>
          <w:rFonts w:eastAsia="Amiri" w:cs="Amiri" w:ascii="Amiri" w:hAnsi="Amiri"/>
          <w:color w:val="111111"/>
          <w:sz w:val="28"/>
          <w:szCs w:val="28"/>
          <w:rtl w:val="true"/>
          <w:lang w:bidi="ar-SA"/>
        </w:rPr>
        <w:t>»</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يجعل على بطنه حديد، ذكره الشيخان</w:t>
      </w:r>
      <w:r>
        <w:rPr>
          <w:rStyle w:val="FootnoteAnchor"/>
          <w:rtl w:val="true"/>
        </w:rPr>
        <w:footnoteReference w:id="1572"/>
      </w:r>
      <w:r>
        <w:rPr>
          <w:rFonts w:ascii="Amiri" w:hAnsi="Amiri" w:eastAsia="Amiri" w:cs="Amiri"/>
          <w:color w:val="111111"/>
          <w:sz w:val="28"/>
          <w:sz w:val="28"/>
          <w:szCs w:val="28"/>
          <w:rtl w:val="true"/>
          <w:lang w:bidi="ar-SA"/>
        </w:rPr>
        <w:t>و أكثر الأصحاب</w:t>
      </w:r>
      <w:r>
        <w:rPr>
          <w:rStyle w:val="FootnoteAnchor"/>
          <w:rtl w:val="true"/>
        </w:rPr>
        <w:footnoteReference w:id="1573"/>
      </w:r>
      <w:r>
        <w:rPr>
          <w:rFonts w:ascii="Amiri" w:hAnsi="Amiri" w:eastAsia="Amiri" w:cs="Amiri"/>
          <w:color w:val="111111"/>
          <w:sz w:val="28"/>
          <w:sz w:val="28"/>
          <w:szCs w:val="28"/>
          <w:rtl w:val="true"/>
          <w:lang w:bidi="ar-SA"/>
        </w:rPr>
        <w:t>، 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مذاكرة</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على بطنه شيئا يمنع ربوها</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في الخلاف على الكراهية بإجماعنا</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المستحبّ نقله الى مصلاه عند تعسّر الموت،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عسر على الميّت موته قرّب الى مصلاّه الذي كان يصلّي فيه</w:t>
      </w:r>
      <w:r>
        <w:rPr>
          <w:rFonts w:eastAsia="Amiri" w:cs="Amiri" w:ascii="Amiri" w:hAnsi="Amiri"/>
          <w:color w:val="111111"/>
          <w:sz w:val="28"/>
          <w:szCs w:val="28"/>
          <w:rtl w:val="true"/>
          <w:lang w:bidi="ar-SA"/>
        </w:rPr>
        <w:t>»</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سعيد الخدري قد رزقه اللّه عزّ و جلّ هذا الرأي، و إنّه اشتدّ نزعه،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إلى مصلاي، فحملوه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هلك</w:t>
      </w:r>
      <w:r>
        <w:rPr>
          <w:rFonts w:eastAsia="Amiri" w:cs="Amiri" w:ascii="Amiri" w:hAnsi="Amiri"/>
          <w:color w:val="111111"/>
          <w:sz w:val="28"/>
          <w:szCs w:val="28"/>
          <w:rtl w:val="true"/>
          <w:lang w:bidi="ar-SA"/>
        </w:rPr>
        <w:t>»</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سعيد الخدري كان مستقيما، فنزع ثلاثة أيام، ثم حمل إلى مصلاه فمات فيه</w:t>
      </w:r>
      <w:r>
        <w:rPr>
          <w:rFonts w:eastAsia="Amiri" w:cs="Amiri" w:ascii="Amiri" w:hAnsi="Amiri"/>
          <w:color w:val="111111"/>
          <w:sz w:val="28"/>
          <w:szCs w:val="28"/>
          <w:rtl w:val="true"/>
          <w:lang w:bidi="ar-SA"/>
        </w:rPr>
        <w:t>»</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قراءة الصافات، لأمر الكاظم ابنه القاسم بقراءتها، فقال له يعقوب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نعهد الميت إذا نزل به يقرأ عنده يس فصرت تأمر بالصّافات،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تقرأ عند مكروب من موت قط إلاّ عجّل اللّه راحته</w:t>
      </w:r>
      <w:r>
        <w:rPr>
          <w:rFonts w:eastAsia="Amiri" w:cs="Amiri" w:ascii="Amiri" w:hAnsi="Amiri"/>
          <w:color w:val="111111"/>
          <w:sz w:val="28"/>
          <w:szCs w:val="28"/>
          <w:rtl w:val="true"/>
          <w:lang w:bidi="ar-SA"/>
        </w:rPr>
        <w:t>»</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اقرءوا يس على موتاكم</w:t>
      </w:r>
      <w:r>
        <w:rPr>
          <w:rFonts w:eastAsia="Amiri" w:cs="Amiri" w:ascii="Amiri" w:hAnsi="Amiri"/>
          <w:color w:val="111111"/>
          <w:sz w:val="28"/>
          <w:szCs w:val="28"/>
          <w:rtl w:val="true"/>
          <w:lang w:bidi="ar-SA"/>
        </w:rPr>
        <w:t>»</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لا يظهر عليه الجزع، لأنّه إعانة عليه لضعف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يمسّ،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مسّه على هذه الحال أعان عليه</w:t>
      </w:r>
      <w:r>
        <w:rPr>
          <w:rFonts w:eastAsia="Amiri" w:cs="Amiri" w:ascii="Amiri" w:hAnsi="Amiri"/>
          <w:color w:val="111111"/>
          <w:sz w:val="28"/>
          <w:szCs w:val="28"/>
          <w:rtl w:val="true"/>
          <w:lang w:bidi="ar-SA"/>
        </w:rPr>
        <w:t>»</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يمنع من تحريك يديه أو رجليه أو رأسه</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قراءة القرآن بعد خروج روحه، كما استحبّ قبله استدفاعا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تغميض عينيه، و إطباق فيه، و شدّ لحييه، لأمر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له</w:t>
      </w:r>
      <w:r>
        <w:rPr>
          <w:rStyle w:val="FootnoteAnchor"/>
          <w:rtl w:val="true"/>
        </w:rPr>
        <w:footnoteReference w:id="1584"/>
      </w:r>
      <w:r>
        <w:rPr>
          <w:rFonts w:ascii="Amiri" w:hAnsi="Amiri" w:eastAsia="Amiri" w:cs="Amiri"/>
          <w:color w:val="111111"/>
          <w:sz w:val="28"/>
          <w:sz w:val="28"/>
          <w:szCs w:val="28"/>
          <w:rtl w:val="true"/>
          <w:lang w:bidi="ar-SA"/>
        </w:rPr>
        <w:t>، و فعله في ابنه إسماعيل</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مدّ ساقيه، و مدّ يديه الى جنبيه، لإعانة الغاسل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تغطيته بثوب،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 بحبرة</w:t>
      </w:r>
      <w:r>
        <w:rPr>
          <w:rStyle w:val="FootnoteAnchor"/>
          <w:rtl w:val="true"/>
        </w:rPr>
        <w:footnoteReference w:id="1586"/>
      </w:r>
      <w:r>
        <w:rPr>
          <w:rFonts w:ascii="Amiri" w:hAnsi="Amiri" w:eastAsia="Amiri" w:cs="Amiri"/>
          <w:color w:val="111111"/>
          <w:sz w:val="28"/>
          <w:sz w:val="28"/>
          <w:szCs w:val="28"/>
          <w:rtl w:val="true"/>
          <w:lang w:bidi="ar-SA"/>
        </w:rPr>
        <w:t xml:space="preserve">، و غطى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بملحفة</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أن يكون عنده من يتلو القرآن و يذكر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يترك وحده،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ميت يترك وحده، إلاّ لعب الشيطان في جوفه</w:t>
      </w:r>
      <w:r>
        <w:rPr>
          <w:rFonts w:eastAsia="Amiri" w:cs="Amiri" w:ascii="Amiri" w:hAnsi="Amiri"/>
          <w:color w:val="111111"/>
          <w:sz w:val="28"/>
          <w:szCs w:val="28"/>
          <w:rtl w:val="true"/>
          <w:lang w:bidi="ar-SA"/>
        </w:rPr>
        <w:t>»</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الإسراج عنده الى الصبح إن مات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الشيخان</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علّله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قبض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بالسرّاج في البيت الذي كان يسكنه حتى قبض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أبو الحسن بمثل ذلك في بيت أبي عبد اللّه حتى أخرج به إلى العراق</w:t>
      </w:r>
      <w:r>
        <w:rPr>
          <w:rStyle w:val="FootnoteAnchor"/>
          <w:rtl w:val="true"/>
        </w:rPr>
        <w:footnoteReference w:id="1590"/>
      </w:r>
      <w:r>
        <w:rPr>
          <w:rFonts w:ascii="Amiri" w:hAnsi="Amiri" w:eastAsia="Amiri" w:cs="Amiri"/>
          <w:color w:val="111111"/>
          <w:sz w:val="28"/>
          <w:sz w:val="28"/>
          <w:szCs w:val="28"/>
          <w:rtl w:val="true"/>
          <w:lang w:bidi="ar-SA"/>
        </w:rPr>
        <w:t>، فيدخل في ذلك المدّعى، و يدلّ على استحباب دوام السراج في بيت مات فيه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الرواية في المعتبر، لسهل بن زياد و عثمان بن عيسى، و أنّها حكاية 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فعل حسن</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إيذان إخوانه بموته،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 منكم أحد إلاّ آذنتموني</w:t>
      </w:r>
      <w:r>
        <w:rPr>
          <w:rFonts w:eastAsia="Amiri" w:cs="Amiri" w:ascii="Amiri" w:hAnsi="Amiri"/>
          <w:color w:val="111111"/>
          <w:sz w:val="28"/>
          <w:szCs w:val="28"/>
          <w:rtl w:val="true"/>
          <w:lang w:bidi="ar-SA"/>
        </w:rPr>
        <w:t>»</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لأولياء الميت منكم أن يؤذنوا إخوان الميت، يشهدون جنازته، و يصلّون عليه، و يستغفرون له، فيكتب لهم الأجر و للميت الاستغفار، و يكتسب هو الأجر فيهم و فيما اكتسبت له من الاستغفار</w:t>
      </w:r>
      <w:r>
        <w:rPr>
          <w:rFonts w:eastAsia="Amiri" w:cs="Amiri" w:ascii="Amiri" w:hAnsi="Amiri"/>
          <w:color w:val="111111"/>
          <w:sz w:val="28"/>
          <w:szCs w:val="28"/>
          <w:rtl w:val="true"/>
          <w:lang w:bidi="ar-SA"/>
        </w:rPr>
        <w:t>»</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كيف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نصّ في النداء، قاله في الخلاف</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المعتبر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للفوائد المذكورة و خلوّه من منع شرعي</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النعي، إلاّ أن يرسل صاحب المصيبة إلى من يختص به، و لو كان حوله قرى أوذنوا، كما فعل الصحابة من إيذان قرى المدينة لمّا مات رافع بن خديج</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تعجيل تجهيزه إذ علم موته إجماعا،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عجّلوا بهم الى مضاجعهم</w:t>
      </w:r>
      <w:r>
        <w:rPr>
          <w:rFonts w:eastAsia="IRNazanin" w:cs="IRNazanin"/>
          <w:color w:val="111111"/>
          <w:sz w:val="28"/>
          <w:szCs w:val="28"/>
          <w:rtl w:val="true"/>
          <w:lang w:bidi="fa-IR"/>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الميت لأول النّهار، فلا يقيل إلاّ في قبره</w:t>
      </w:r>
      <w:r>
        <w:rPr>
          <w:rFonts w:eastAsia="Amiri" w:cs="Amiri" w:ascii="Amiri" w:hAnsi="Amiri"/>
          <w:color w:val="111111"/>
          <w:sz w:val="28"/>
          <w:szCs w:val="28"/>
          <w:rtl w:val="true"/>
          <w:lang w:bidi="ar-SA"/>
        </w:rPr>
        <w:t>»</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علي بن أبي حمزة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أناسا دفنوا أحياء ما ماتوا إلاّ في قبورهم</w:t>
      </w:r>
      <w:r>
        <w:rPr>
          <w:rFonts w:eastAsia="Amiri" w:cs="Amiri" w:ascii="Amiri" w:hAnsi="Amiri"/>
          <w:color w:val="111111"/>
          <w:sz w:val="28"/>
          <w:szCs w:val="28"/>
          <w:rtl w:val="true"/>
          <w:lang w:bidi="ar-SA"/>
        </w:rPr>
        <w:t>»</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يستبرأ بانخساف صدغيه، و ميل أنفه، و امتداد جلدة وجهه، و انخلاع كفه من ذراعه، و استرخاء قدميه، و تقلّص أنثييه إلى فوق مع تدلّي الجلدة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علامته زوال النور من بياض العين و سوادها، و ذهاب النفس، و زوال النبض</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 جالينوس ان أسباب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الإغماء، أو وجع القلب، أو إفراط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الرعب، أو الغم، أو الفرح، أو الأدوية المخدّرة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فيستبرأ بنبض عروق بين الأنثيين، أو عرق يلي الحالب و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الغمز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عرق في باطن الألية، أو تحت اللسان، أو في بطن المنخر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الدفن قبل يوم و ليلة إلى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اشتبه تربّص به ثلاث وجوبا إلا أن يعلم حاله، لئلاّ يعان على قتل المسلم، فقد دفن جماعة أحياء منهم من اخرج حيّا، و منهم من مات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ينتظر بهم إلاّ أن يتغيّروا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الغريق، و المصعوق، و المبطون، و المهدوم، و المدّخن</w:t>
      </w:r>
      <w:r>
        <w:rPr>
          <w:rFonts w:eastAsia="Amiri" w:cs="Amiri" w:ascii="Amiri" w:hAnsi="Amiri"/>
          <w:color w:val="111111"/>
          <w:sz w:val="28"/>
          <w:szCs w:val="28"/>
          <w:rtl w:val="true"/>
          <w:lang w:bidi="ar-SA"/>
        </w:rPr>
        <w:t>»</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يترك الغريق ثلاثة أيام قبل الدفن، إلاّ أن يتغيّر</w:t>
      </w:r>
      <w:r>
        <w:rPr>
          <w:rFonts w:eastAsia="Amiri" w:cs="Amiri" w:ascii="Amiri" w:hAnsi="Amiri"/>
          <w:color w:val="111111"/>
          <w:sz w:val="28"/>
          <w:szCs w:val="28"/>
          <w:rtl w:val="true"/>
          <w:lang w:bidi="ar-SA"/>
        </w:rPr>
        <w:t>»</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المصلوب ينزل بعد ثلاثة أيام،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تقرّوا المصلوب بعد ثلاثة أيام</w:t>
      </w:r>
      <w:r>
        <w:rPr>
          <w:rFonts w:eastAsia="Amiri" w:cs="Amiri" w:ascii="Amiri" w:hAnsi="Amiri"/>
          <w:color w:val="111111"/>
          <w:sz w:val="28"/>
          <w:szCs w:val="28"/>
          <w:rtl w:val="true"/>
          <w:lang w:bidi="ar-SA"/>
        </w:rPr>
        <w:t>»</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w:t>
      </w:r>
    </w:p>
    <w:p>
      <w:pPr>
        <w:pStyle w:val="BookText"/>
        <w:rPr/>
      </w:pPr>
      <w:r>
        <w:rPr>
          <w:rFonts w:ascii="Amiri" w:hAnsi="Amiri" w:eastAsia="Amiri" w:cs="Amiri"/>
          <w:color w:val="111111"/>
          <w:sz w:val="28"/>
          <w:sz w:val="28"/>
          <w:szCs w:val="28"/>
          <w:rtl w:val="true"/>
          <w:lang w:bidi="ar-SA"/>
        </w:rPr>
        <w:t>قال الصدوق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 اللّهم اكتبه عندك في المحسنين، و ارفع درجته في عليّين، و اخلف على عقبه في الغابرين، و نحتسبه عندك يا ربّ العالمين</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يجب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عنده من غير أن يرفع صوته بالقراءة، و قال عقيب تلقينه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يكثر عليه عند أحوال الغشي، لئلاّ يشغل بذلك عن حال يحتاج إلى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 ابن حمزة إلى نقله الى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ما كان يصلّي عليه تحته</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في مصلاّه الذي كان يصلّي فيه أو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يحضر عنده مضمّخ بورس أو 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بجعل الحديد على بطنه و بقراءة آية الكرسي و السخرة عند احتضاره، 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أخرجها منه الى رضى منك و 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ما لم أقف عليه في غير كتب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تليين مفاصله، فإنّه أبقى للينها، فيردّ ذراعيه الى عضديه و يمدّهما، و يردّ فخذيه الى بطنه و يمدّهما، و رجليه الى فخذيه و يمدّهما، فإنّه يسهّل تصرّف الغاسل في تمديده و تكفينه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ثيابه لئلاّ تحميه فيفسد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وضعه على لوح أو سرير، لأنّه إذا كان على الأرض تسارع إليه الفساد و نالته الهوام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الحديد و غيره في كراهة وضعه على بطنه</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ذكره ابن الجنيد و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تمدّ يداه و رجلاه الى جنبيه</w:t>
      </w:r>
      <w:r>
        <w:rPr>
          <w:rStyle w:val="FootnoteAnchor"/>
          <w:rtl w:val="true"/>
        </w:rPr>
        <w:footnoteReference w:id="1607"/>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به نقلا عن أئمتنا، و لكن ليكون أطوع للغاسل و أسهل للإدراج</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تجب الوصيّة على كلّ من عليه حقّ، و عليه يحمل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وصية مات ميتة جاهليّة</w:t>
      </w:r>
      <w:r>
        <w:rPr>
          <w:rFonts w:eastAsia="Amiri" w:cs="Amiri" w:ascii="Amiri" w:hAnsi="Amiri"/>
          <w:color w:val="111111"/>
          <w:sz w:val="28"/>
          <w:szCs w:val="28"/>
          <w:rtl w:val="true"/>
          <w:lang w:bidi="ar-SA"/>
        </w:rPr>
        <w:t>»</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واجبة على كل مسلم</w:t>
      </w:r>
      <w:r>
        <w:rPr>
          <w:rFonts w:eastAsia="Amiri" w:cs="Amiri" w:ascii="Amiri" w:hAnsi="Amiri"/>
          <w:color w:val="111111"/>
          <w:sz w:val="28"/>
          <w:szCs w:val="28"/>
          <w:rtl w:val="true"/>
          <w:lang w:bidi="ar-SA"/>
        </w:rPr>
        <w:t>»</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تستحبّ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ليشهد عليه عدولا، لتحصل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وصيه عدلا وجوبا، لما يأتي إن شاء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تستحب الوصيّة لذي القرابة، و لم يثبت عندنا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تستحب المسارعة في قضاء دين الميت،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المؤمن معلّقة بدينه حتى يقضى عنه</w:t>
      </w:r>
      <w:r>
        <w:rPr>
          <w:rFonts w:eastAsia="Amiri" w:cs="Amiri" w:ascii="Amiri" w:hAnsi="Amiri"/>
          <w:color w:val="111111"/>
          <w:sz w:val="28"/>
          <w:szCs w:val="28"/>
          <w:rtl w:val="true"/>
          <w:lang w:bidi="ar-SA"/>
        </w:rPr>
        <w:t>»</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تعذّر قضاؤه في الحال استحب لوارثه ضمانه، كما 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بضمان دين على ميت امتنع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عليه</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تستحب المسارعة إلى قضاء وصاياه و إنفاذها في وجوهها، لعموم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سارِعُوا إِلى مَغْفِرَةٍ مِنْ رَبِّكُمْ‌</w:t>
      </w:r>
      <w:r>
        <w:rPr>
          <w:rStyle w:val="FootnoteAnchor"/>
          <w:rtl w:val="true"/>
        </w:rPr>
        <w:footnoteReference w:id="161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موجبها، و ليعجّل له ثوابها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854" w:name="pg15253_219815"/>
    </w:p>
    <w:p>
      <w:pPr>
        <w:pStyle w:val="Heading6"/>
        <w:numPr>
          <w:ilvl w:val="5"/>
          <w:numId w:val="1"/>
        </w:numPr>
        <w:rPr/>
      </w:pPr>
      <w:bookmarkStart w:id="855" w:name="__RefHeading___Toc4192287_2142443653"/>
      <w:bookmarkStart w:id="856" w:name="_Toc349"/>
      <w:bookmarkEnd w:id="854"/>
      <w:bookmarkEnd w:id="855"/>
      <w:r>
        <w:rPr>
          <w:rtl w:val="true"/>
        </w:rPr>
        <w:t>الحكم الثاني</w:t>
      </w:r>
      <w:r>
        <w:rPr>
          <w:rtl w:val="true"/>
        </w:rPr>
        <w:t xml:space="preserve">: </w:t>
      </w:r>
      <w:r>
        <w:rPr>
          <w:rtl w:val="true"/>
        </w:rPr>
        <w:t>التغسيل</w:t>
      </w:r>
      <w:r>
        <w:rPr>
          <w:rtl w:val="true"/>
        </w:rPr>
        <w:t>:</w:t>
      </w:r>
      <w:bookmarkEnd w:id="856"/>
    </w:p>
    <w:p>
      <w:pPr>
        <w:pStyle w:val="Heading6"/>
        <w:numPr>
          <w:ilvl w:val="5"/>
          <w:numId w:val="1"/>
        </w:numPr>
        <w:rPr/>
      </w:pPr>
      <w:bookmarkStart w:id="857" w:name="__RefHeading___Toc4192289_2142443653"/>
      <w:bookmarkStart w:id="858" w:name="_Toc350"/>
      <w:bookmarkEnd w:id="857"/>
      <w:r>
        <w:rPr>
          <w:rtl w:val="true"/>
        </w:rPr>
        <w:t>اشارة</w:t>
      </w:r>
      <w:bookmarkEnd w:id="858"/>
    </w:p>
    <w:p>
      <w:pPr>
        <w:pStyle w:val="BookText"/>
        <w:rPr/>
      </w:pPr>
      <w:r>
        <w:rPr>
          <w:rFonts w:ascii="Amiri" w:hAnsi="Amiri" w:eastAsia="Amiri" w:cs="Amiri"/>
          <w:color w:val="111111"/>
          <w:sz w:val="28"/>
          <w:sz w:val="28"/>
          <w:szCs w:val="28"/>
          <w:rtl w:val="true"/>
          <w:lang w:bidi="ar-SA"/>
        </w:rPr>
        <w:t xml:space="preserve">و هو واجب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نستثنيه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الملائكة غسّلت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قالوا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سنّة موتاكم</w:t>
      </w:r>
      <w:r>
        <w:rPr>
          <w:rFonts w:eastAsia="Amiri" w:cs="Amiri" w:ascii="Amiri" w:hAnsi="Amiri"/>
          <w:color w:val="111111"/>
          <w:sz w:val="28"/>
          <w:szCs w:val="28"/>
          <w:rtl w:val="true"/>
          <w:lang w:bidi="ar-SA"/>
        </w:rPr>
        <w:t>»</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النظر إمّا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الغاسل، أو المحل، أو الغسل</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4192291_2142443653"/>
      <w:bookmarkStart w:id="860" w:name="_Toc351"/>
      <w:bookmarkEnd w:id="859"/>
      <w:r>
        <w:rPr>
          <w:rtl w:val="true"/>
        </w:rPr>
        <w:t>النظر الأول</w:t>
      </w:r>
      <w:r>
        <w:rPr>
          <w:rtl w:val="true"/>
        </w:rPr>
        <w:t xml:space="preserve">: </w:t>
      </w:r>
      <w:r>
        <w:rPr>
          <w:rtl w:val="true"/>
        </w:rPr>
        <w:t>في الغاسل</w:t>
      </w:r>
      <w:r>
        <w:rPr>
          <w:rtl w:val="true"/>
        </w:rPr>
        <w:t>:</w:t>
      </w:r>
      <w:bookmarkEnd w:id="860"/>
    </w:p>
    <w:p>
      <w:pPr>
        <w:pStyle w:val="Heading6"/>
        <w:numPr>
          <w:ilvl w:val="5"/>
          <w:numId w:val="1"/>
        </w:numPr>
        <w:rPr/>
      </w:pPr>
      <w:bookmarkStart w:id="861" w:name="__RefHeading___Toc4192293_2142443653"/>
      <w:bookmarkStart w:id="862" w:name="_Toc352"/>
      <w:bookmarkEnd w:id="861"/>
      <w:r>
        <w:rPr>
          <w:rtl w:val="true"/>
        </w:rPr>
        <w:t>اشارة</w:t>
      </w:r>
      <w:bookmarkEnd w:id="862"/>
    </w:p>
    <w:p>
      <w:pPr>
        <w:pStyle w:val="BookText"/>
        <w:rPr/>
      </w:pPr>
      <w:r>
        <w:rPr>
          <w:rFonts w:ascii="Amiri" w:hAnsi="Amiri" w:eastAsia="Amiri" w:cs="Amiri"/>
          <w:color w:val="111111"/>
          <w:sz w:val="28"/>
          <w:sz w:val="28"/>
          <w:szCs w:val="28"/>
          <w:rtl w:val="true"/>
          <w:lang w:bidi="ar-SA"/>
        </w:rPr>
        <w:t xml:space="preserve">و أولى الناس به أولاهم بإرثه، و كذا باقي الأحكام، لعموم وَ أُولُوا اَلْأَرْحامِ بَعْضُهُمْ أَوْلى بِبَعْضٍ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الميّت أولى الناس به</w:t>
      </w:r>
      <w:r>
        <w:rPr>
          <w:rFonts w:eastAsia="Amiri" w:cs="Amiri" w:ascii="Amiri" w:hAnsi="Amiri"/>
          <w:color w:val="111111"/>
          <w:sz w:val="28"/>
          <w:szCs w:val="28"/>
          <w:rtl w:val="true"/>
          <w:lang w:bidi="ar-SA"/>
        </w:rPr>
        <w:t>»</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3" w:name="__RefHeading___Toc4192295_2142443653"/>
      <w:bookmarkStart w:id="864" w:name="_Toc353"/>
      <w:bookmarkEnd w:id="863"/>
      <w:r>
        <w:rPr>
          <w:rtl w:val="true"/>
        </w:rPr>
        <w:t>فرع</w:t>
      </w:r>
      <w:r>
        <w:rPr>
          <w:rtl w:val="true"/>
        </w:rPr>
        <w:t>:</w:t>
      </w:r>
      <w:bookmarkEnd w:id="864"/>
    </w:p>
    <w:p>
      <w:pPr>
        <w:pStyle w:val="Heading6"/>
        <w:numPr>
          <w:ilvl w:val="5"/>
          <w:numId w:val="1"/>
        </w:numPr>
        <w:rPr/>
      </w:pPr>
      <w:bookmarkStart w:id="865" w:name="__RefHeading___Toc4192297_2142443653"/>
      <w:bookmarkStart w:id="866" w:name="_Toc354"/>
      <w:bookmarkEnd w:id="865"/>
      <w:r>
        <w:rPr>
          <w:rtl w:val="true"/>
        </w:rPr>
        <w:t>اشارة</w:t>
      </w:r>
      <w:bookmarkEnd w:id="866"/>
    </w:p>
    <w:p>
      <w:pPr>
        <w:pStyle w:val="BookText"/>
        <w:rPr/>
      </w:pPr>
      <w:r>
        <w:rPr>
          <w:rFonts w:ascii="Amiri" w:hAnsi="Amiri" w:eastAsia="Amiri" w:cs="Amiri"/>
          <w:color w:val="111111"/>
          <w:sz w:val="28"/>
          <w:sz w:val="28"/>
          <w:szCs w:val="28"/>
          <w:rtl w:val="true"/>
          <w:lang w:bidi="ar-SA"/>
        </w:rPr>
        <w:t>لو لم يكن وليّ، فالإمام وليّه مع حضوره، و مع غيبته الحاكم، و مع عدمه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امتنع الوليّ، ففي إجباره نظر، من الشكّ في أنّ الولاية هل هي نظر له أو للميت؟ و سيأتي تسليمه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المساواة في الذكورة و الأنوثة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الاختيار اتفاقا، لتحريم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إسلام الغاسل، إلاّ في مواضع</w:t>
      </w:r>
      <w:r>
        <w:rPr>
          <w:rFonts w:eastAsia="Amiri" w:cs="Amiri" w:ascii="Amiri" w:hAnsi="Amiri"/>
          <w:color w:val="111111"/>
          <w:sz w:val="28"/>
          <w:szCs w:val="28"/>
          <w:rtl w:val="true"/>
          <w:lang w:bidi="ar-SA"/>
        </w:rPr>
        <w:t>:</w:t>
      </w:r>
    </w:p>
    <w:p>
      <w:pPr>
        <w:pStyle w:val="Heading6"/>
        <w:numPr>
          <w:ilvl w:val="5"/>
          <w:numId w:val="1"/>
        </w:numPr>
        <w:rPr/>
      </w:pPr>
      <w:bookmarkStart w:id="867" w:name="__RefHeading___Toc4192299_2142443653"/>
      <w:bookmarkStart w:id="868" w:name="_Toc355"/>
      <w:bookmarkEnd w:id="867"/>
      <w:r>
        <w:rPr>
          <w:rtl w:val="true"/>
        </w:rPr>
        <w:t>أحدها</w:t>
      </w:r>
      <w:r>
        <w:rPr>
          <w:rtl w:val="true"/>
        </w:rPr>
        <w:t xml:space="preserve">: </w:t>
      </w:r>
      <w:r>
        <w:rPr>
          <w:rtl w:val="true"/>
        </w:rPr>
        <w:t>الزوجية،</w:t>
      </w:r>
      <w:bookmarkEnd w:id="86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فلكل من الزوجين تغسيل صاحبه اختيارا في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الجنيد</w:t>
      </w:r>
      <w:r>
        <w:rPr>
          <w:rStyle w:val="FootnoteAnchor"/>
          <w:rtl w:val="true"/>
        </w:rPr>
        <w:footnoteReference w:id="1618"/>
      </w:r>
      <w:r>
        <w:rPr>
          <w:rFonts w:ascii="Amiri" w:hAnsi="Amiri" w:eastAsia="Amiri" w:cs="Amiri"/>
          <w:color w:val="111111"/>
          <w:sz w:val="28"/>
          <w:sz w:val="28"/>
          <w:szCs w:val="28"/>
          <w:rtl w:val="true"/>
          <w:lang w:bidi="ar-SA"/>
        </w:rPr>
        <w:t>و الجعفي صاحب الفاخر، و المرتضى</w:t>
      </w:r>
      <w:r>
        <w:rPr>
          <w:rStyle w:val="FootnoteAnchor"/>
          <w:rtl w:val="true"/>
        </w:rPr>
        <w:footnoteReference w:id="1619"/>
      </w:r>
      <w:r>
        <w:rPr>
          <w:rFonts w:ascii="IRNazanin" w:hAnsi="IRNazanin" w:eastAsia="IRNazanin"/>
          <w:color w:val="111111"/>
          <w:sz w:val="28"/>
          <w:sz w:val="28"/>
          <w:szCs w:val="28"/>
          <w:rtl w:val="true"/>
          <w:lang w:bidi="fa-IR"/>
        </w:rPr>
        <w:t>و ظاهر المبسوط و الخلاف</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لاشتهار ذلك في الصدر الأول من تغسيل علي فاطمة</w:t>
      </w:r>
      <w:r>
        <w:rPr>
          <w:rStyle w:val="FootnoteAnchor"/>
          <w:rtl w:val="true"/>
        </w:rPr>
        <w:footnoteReference w:id="1621"/>
      </w:r>
      <w:r>
        <w:rPr>
          <w:rFonts w:ascii="IRNazanin" w:hAnsi="IRNazanin" w:eastAsia="IRNazanin"/>
          <w:color w:val="111111"/>
          <w:sz w:val="28"/>
          <w:sz w:val="28"/>
          <w:szCs w:val="28"/>
          <w:rtl w:val="true"/>
          <w:lang w:bidi="fa-IR"/>
        </w:rPr>
        <w:t>و أسماء زوجها</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استقبلنا من أمرنا ما استدبرنا ما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نساؤه</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متّ قبلي لغسّلتك</w:t>
      </w:r>
      <w:r>
        <w:rPr>
          <w:rFonts w:eastAsia="Amiri" w:cs="Amiri" w:ascii="Amiri" w:hAnsi="Amiri"/>
          <w:color w:val="111111"/>
          <w:sz w:val="28"/>
          <w:szCs w:val="28"/>
          <w:rtl w:val="true"/>
          <w:lang w:bidi="ar-SA"/>
        </w:rPr>
        <w:t>»</w:t>
      </w:r>
      <w:r>
        <w:rPr>
          <w:rStyle w:val="FootnoteAnchor"/>
          <w:rtl w:val="true"/>
        </w:rPr>
        <w:footnoteReference w:id="1624"/>
      </w:r>
      <w:r>
        <w:rPr>
          <w:rFonts w:ascii="Amiri" w:hAnsi="Amiri" w:eastAsia="Amiri" w:cs="Amiri"/>
          <w:color w:val="111111"/>
          <w:sz w:val="28"/>
          <w:sz w:val="28"/>
          <w:szCs w:val="28"/>
          <w:rtl w:val="true"/>
          <w:lang w:bidi="ar-SA"/>
        </w:rPr>
        <w:t>و لم ينكر ذلك كلّه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المفضّل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غسّل فاطمة لأنّها صدّيقة لم يكن يغسّلها إلاّ صدّيق</w:t>
      </w:r>
      <w:r>
        <w:rPr>
          <w:rFonts w:eastAsia="Amiri" w:cs="Amiri" w:ascii="Amiri" w:hAnsi="Amiri"/>
          <w:color w:val="111111"/>
          <w:sz w:val="28"/>
          <w:szCs w:val="28"/>
          <w:rtl w:val="true"/>
          <w:lang w:bidi="ar-SA"/>
        </w:rPr>
        <w:t>»</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يغسّل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إنّما يمنعها أهلها تعصّبا</w:t>
      </w:r>
      <w:r>
        <w:rPr>
          <w:rFonts w:eastAsia="Amiri" w:cs="Amiri" w:ascii="Amiri" w:hAnsi="Amiri"/>
          <w:color w:val="111111"/>
          <w:sz w:val="28"/>
          <w:szCs w:val="28"/>
          <w:rtl w:val="true"/>
          <w:lang w:bidi="ar-SA"/>
        </w:rPr>
        <w:t>»</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المشهور في الأخبار أنّه من وراء الثياب، كصحيح منصور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في السفر و معه امرأته يغسّلها؟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امّه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أخته و نحو هذا، يلقي على عورتها خرقة</w:t>
      </w:r>
      <w:r>
        <w:rPr>
          <w:rFonts w:eastAsia="Amiri" w:cs="Amiri" w:ascii="Amiri" w:hAnsi="Amiri"/>
          <w:color w:val="111111"/>
          <w:sz w:val="28"/>
          <w:szCs w:val="28"/>
          <w:rtl w:val="true"/>
          <w:lang w:bidi="ar-SA"/>
        </w:rPr>
        <w:t>»</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يغسّل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وراء الثياب</w:t>
      </w:r>
      <w:r>
        <w:rPr>
          <w:rFonts w:eastAsia="Amiri" w:cs="Amiri" w:ascii="Amiri" w:hAnsi="Amiri"/>
          <w:color w:val="111111"/>
          <w:sz w:val="28"/>
          <w:szCs w:val="28"/>
          <w:rtl w:val="true"/>
          <w:lang w:bidi="ar-SA"/>
        </w:rPr>
        <w:t>»</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المطلق منها يحمل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غسل أحد الزوجين صاحبه، للضرورة</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كلام كثير من الأصحاب أنّهما كالمحارم</w:t>
      </w:r>
      <w:r>
        <w:rPr>
          <w:rStyle w:val="FootnoteAnchor"/>
          <w:rtl w:val="true"/>
        </w:rPr>
        <w:footnoteReference w:id="1630"/>
      </w:r>
      <w:r>
        <w:rPr>
          <w:rFonts w:ascii="Amiri" w:hAnsi="Amiri" w:eastAsia="Amiri" w:cs="Amiri"/>
          <w:color w:val="111111"/>
          <w:sz w:val="28"/>
          <w:sz w:val="28"/>
          <w:szCs w:val="28"/>
          <w:rtl w:val="true"/>
          <w:lang w:bidi="ar-SA"/>
        </w:rPr>
        <w:t>، و هم الذين يحرم التناكح بينهم نسبا أو رضاعا أو 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زهرة صرّح بأنّه مع الضرورة</w:t>
      </w:r>
      <w:r>
        <w:rPr>
          <w:rStyle w:val="FootnoteAnchor"/>
          <w:rtl w:val="true"/>
        </w:rPr>
        <w:footnoteReference w:id="1631"/>
      </w:r>
      <w:r>
        <w:rPr>
          <w:rFonts w:ascii="Amiri" w:hAnsi="Amiri" w:eastAsia="Amiri" w:cs="Amiri"/>
          <w:color w:val="111111"/>
          <w:sz w:val="28"/>
          <w:sz w:val="28"/>
          <w:szCs w:val="28"/>
          <w:rtl w:val="true"/>
          <w:lang w:bidi="ar-SA"/>
        </w:rPr>
        <w:t xml:space="preserve">، لخبر عبد الرحمن بن أبي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و ليس عنده من يغسّله إلاّ النساء،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تغسّله امرأته و ذات محرمه، و تصبّ عليه النساء الماء صبّا من فوق الثياب</w:t>
      </w:r>
      <w:r>
        <w:rPr>
          <w:rFonts w:eastAsia="Amiri" w:cs="Amiri" w:ascii="Amiri" w:hAnsi="Amiri"/>
          <w:color w:val="111111"/>
          <w:sz w:val="28"/>
          <w:szCs w:val="28"/>
          <w:rtl w:val="true"/>
          <w:lang w:bidi="ar-SA"/>
        </w:rPr>
        <w:t>»</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لخبر عبد 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الرجل إلى امرأته حين تموت أو يغسّلها لأن لم يكن عندها من يغسّلها، و المرأة هل تنظر الى زوجها؟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إنّما يفعل ذلك أهل المرأة كراهة أن ينظر زوجها إلى شيء يكرهونه</w:t>
      </w:r>
      <w:r>
        <w:rPr>
          <w:rFonts w:eastAsia="Amiri" w:cs="Amiri" w:ascii="Amiri" w:hAnsi="Amiri"/>
          <w:color w:val="111111"/>
          <w:sz w:val="28"/>
          <w:szCs w:val="28"/>
          <w:rtl w:val="true"/>
          <w:lang w:bidi="ar-SA"/>
        </w:rPr>
        <w:t>»</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 أبي الصباح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يغسّلها من فوق الدرع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869" w:name="pg15253_219818"/>
    </w:p>
    <w:p>
      <w:pPr>
        <w:pStyle w:val="BookText"/>
        <w:rPr/>
      </w:pPr>
      <w:bookmarkEnd w:id="869"/>
      <w:r>
        <w:rPr>
          <w:rFonts w:ascii="Amiri" w:hAnsi="Amiri" w:eastAsia="Amiri" w:cs="Amiri"/>
          <w:color w:val="111111"/>
          <w:sz w:val="28"/>
          <w:sz w:val="28"/>
          <w:szCs w:val="28"/>
          <w:rtl w:val="true"/>
          <w:lang w:bidi="ar-SA"/>
        </w:rPr>
        <w:t>و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مع النساء و المرأة مع الرجال</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امرأته لأنّها معتدّة منه، و لا يغسّلها، لعدم العدة منها</w:t>
      </w:r>
      <w:r>
        <w:rPr>
          <w:rFonts w:eastAsia="Amiri" w:cs="Amiri" w:ascii="Amiri" w:hAnsi="Amiri"/>
          <w:color w:val="111111"/>
          <w:sz w:val="28"/>
          <w:szCs w:val="28"/>
          <w:rtl w:val="true"/>
          <w:lang w:bidi="ar-SA"/>
        </w:rPr>
        <w:t>»</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حملها الشيخ على أنّه لا يغسّلها مجرّدة، لخبر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سئل عن الرجل يموت و ليس عنده من يغسّله إلاّ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امرأته أو ذات قرابته، تصبّ الماء صبّا، و المرأة إذا ماتت أدخل زوجها يده تحت قميصها فيغسّلها</w:t>
      </w:r>
      <w:r>
        <w:rPr>
          <w:rFonts w:eastAsia="Amiri" w:cs="Amiri" w:ascii="Amiri" w:hAnsi="Amiri"/>
          <w:color w:val="111111"/>
          <w:sz w:val="28"/>
          <w:szCs w:val="28"/>
          <w:rtl w:val="true"/>
          <w:lang w:bidi="ar-SA"/>
        </w:rPr>
        <w:t>»</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لا تنهض حجة في اشتراط الضرورة، فتحمل على الندب أو الغالب</w:t>
      </w:r>
      <w:r>
        <w:rPr>
          <w:rFonts w:eastAsia="Amiri" w:cs="Amiri" w:ascii="Amiri" w:hAnsi="Amiri"/>
          <w:color w:val="111111"/>
          <w:sz w:val="28"/>
          <w:szCs w:val="28"/>
          <w:rtl w:val="true"/>
          <w:lang w:bidi="ar-SA"/>
        </w:rPr>
        <w:t>.</w:t>
      </w:r>
    </w:p>
    <w:p>
      <w:pPr>
        <w:pStyle w:val="Heading6"/>
        <w:numPr>
          <w:ilvl w:val="5"/>
          <w:numId w:val="1"/>
        </w:numPr>
        <w:rPr/>
      </w:pPr>
      <w:bookmarkStart w:id="870" w:name="__RefHeading___Toc4192301_2142443653"/>
      <w:bookmarkStart w:id="871" w:name="_Toc356"/>
      <w:bookmarkEnd w:id="870"/>
      <w:r>
        <w:rPr>
          <w:rtl w:val="true"/>
        </w:rPr>
        <w:t>و ثانيها</w:t>
      </w:r>
      <w:r>
        <w:rPr>
          <w:rtl w:val="true"/>
        </w:rPr>
        <w:t xml:space="preserve">: </w:t>
      </w:r>
      <w:r>
        <w:rPr>
          <w:rtl w:val="true"/>
        </w:rPr>
        <w:t>أم الولد،</w:t>
      </w:r>
      <w:bookmarkEnd w:id="871"/>
    </w:p>
    <w:p>
      <w:pPr>
        <w:pStyle w:val="BookText"/>
        <w:rPr/>
      </w:pPr>
      <w:r>
        <w:rPr>
          <w:rFonts w:ascii="Amiri" w:hAnsi="Amiri" w:eastAsia="Amiri" w:cs="Amiri"/>
          <w:color w:val="111111"/>
          <w:sz w:val="28"/>
          <w:sz w:val="28"/>
          <w:szCs w:val="28"/>
          <w:rtl w:val="true"/>
          <w:lang w:bidi="ar-SA"/>
        </w:rPr>
        <w:t>لبقاء علاقة الملك من وجوب الكفن و المئونة و العدّة، و لإيصاء زين العابدين أن تغسّله أم ولده</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غير أم الولد من المملوكات احتمال، استصحابا لحكم الملك فيباح، و لأنّها في معنى الزوجة في إباحة اللمس 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انتقال ملكها إلى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قرّبه في المعتبر</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قطع الفاضل بالأول، إلاّ ان تكون متزوجة أو معتدّة أو مكاتبة أو معتقا بعضها و لا يمنع الظهار و الارتداد، لبقاء الملك و الزوجية</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الكافرة لا تغسّل و لا تباشر الغسل، إلاّ على 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جواز مباشرة الكافرة غسل المرأة عند </w:t>
      </w:r>
      <w:bookmarkStart w:id="872" w:name="pg15253_219819"/>
    </w:p>
    <w:p>
      <w:pPr>
        <w:pStyle w:val="BookText"/>
        <w:rPr/>
      </w:pPr>
      <w:bookmarkEnd w:id="872"/>
      <w:r>
        <w:rPr>
          <w:rFonts w:ascii="IRNazanin" w:hAnsi="IRNazanin" w:eastAsia="IRNazanin"/>
          <w:color w:val="111111"/>
          <w:sz w:val="28"/>
          <w:sz w:val="28"/>
          <w:szCs w:val="28"/>
          <w:rtl w:val="true"/>
          <w:lang w:bidi="fa-IR"/>
        </w:rPr>
        <w:t>عدم النساء</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فيجوز للزوجة الكافرة عند عدم الرجال و محارم النساء تغسيل الزوج، كذا قاله بعضهم</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النيّة هنا مغتفرة كاغتفارها في تغسيل الكافر المسلم</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4192303_2142443653"/>
      <w:bookmarkStart w:id="874" w:name="_Toc357"/>
      <w:bookmarkEnd w:id="873"/>
      <w:r>
        <w:rPr>
          <w:rtl w:val="true"/>
        </w:rPr>
        <w:t>و ثالثها</w:t>
      </w:r>
      <w:r>
        <w:rPr>
          <w:rtl w:val="true"/>
        </w:rPr>
        <w:t xml:space="preserve">: </w:t>
      </w:r>
      <w:r>
        <w:rPr>
          <w:rtl w:val="true"/>
        </w:rPr>
        <w:t>المحرمية،</w:t>
      </w:r>
      <w:bookmarkEnd w:id="874"/>
    </w:p>
    <w:p>
      <w:pPr>
        <w:pStyle w:val="BookText"/>
        <w:rPr/>
      </w:pPr>
      <w:r>
        <w:rPr>
          <w:rFonts w:ascii="Amiri" w:hAnsi="Amiri" w:eastAsia="Amiri" w:cs="Amiri"/>
          <w:color w:val="111111"/>
          <w:sz w:val="28"/>
          <w:sz w:val="28"/>
          <w:szCs w:val="28"/>
          <w:rtl w:val="true"/>
          <w:lang w:bidi="ar-SA"/>
        </w:rPr>
        <w:t>لتسويغ النظر و اللمس، و لما مرّ، و لكنه من وراء ثوب محافظة على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المماثل</w:t>
      </w:r>
      <w:r>
        <w:rPr>
          <w:rFonts w:eastAsia="Amiri" w:cs="Amiri" w:ascii="Amiri" w:hAnsi="Amiri"/>
          <w:color w:val="111111"/>
          <w:sz w:val="28"/>
          <w:szCs w:val="28"/>
          <w:rtl w:val="true"/>
          <w:lang w:bidi="ar-SA"/>
        </w:rPr>
        <w:t>.</w:t>
      </w:r>
    </w:p>
    <w:p>
      <w:pPr>
        <w:pStyle w:val="Heading6"/>
        <w:numPr>
          <w:ilvl w:val="5"/>
          <w:numId w:val="1"/>
        </w:numPr>
        <w:rPr/>
      </w:pPr>
      <w:bookmarkStart w:id="875" w:name="__RefHeading___Toc4192305_2142443653"/>
      <w:bookmarkStart w:id="876" w:name="_Toc358"/>
      <w:bookmarkEnd w:id="875"/>
      <w:r>
        <w:rPr>
          <w:rtl w:val="true"/>
        </w:rPr>
        <w:t>و رابعها</w:t>
      </w:r>
      <w:r>
        <w:rPr>
          <w:rtl w:val="true"/>
        </w:rPr>
        <w:t xml:space="preserve">: </w:t>
      </w:r>
      <w:r>
        <w:rPr>
          <w:rtl w:val="true"/>
        </w:rPr>
        <w:t>من لم يزد سنّة على ثلاث سنين</w:t>
      </w:r>
      <w:bookmarkEnd w:id="876"/>
    </w:p>
    <w:p>
      <w:pPr>
        <w:pStyle w:val="BookText"/>
        <w:rPr/>
      </w:pPr>
      <w:r>
        <w:rPr>
          <w:rFonts w:ascii="Amiri" w:hAnsi="Amiri" w:eastAsia="Amiri" w:cs="Amiri"/>
          <w:color w:val="111111"/>
          <w:sz w:val="28"/>
          <w:sz w:val="28"/>
          <w:szCs w:val="28"/>
          <w:rtl w:val="true"/>
          <w:lang w:bidi="ar-SA"/>
        </w:rPr>
        <w:t xml:space="preserve">يجوز للنساء تغسيله مجردا، لنص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و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فوقها يغسّلنه من فوق الثياب</w:t>
      </w:r>
      <w:r>
        <w:rPr>
          <w:rStyle w:val="FootnoteAnchor"/>
          <w:rtl w:val="true"/>
        </w:rPr>
        <w:footnoteReference w:id="1643"/>
      </w:r>
      <w:r>
        <w:rPr>
          <w:rFonts w:ascii="IRNazanin" w:hAnsi="IRNazanin" w:eastAsia="IRNazanin"/>
          <w:color w:val="111111"/>
          <w:sz w:val="28"/>
          <w:sz w:val="28"/>
          <w:szCs w:val="28"/>
          <w:rtl w:val="true"/>
          <w:lang w:bidi="fa-IR"/>
        </w:rPr>
        <w:t>، و لم نقف على مأخذه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الصبية يغسّلها الرجال لثلاث سنين 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شرط في النهاية في الموضعين عدم المماثل</w:t>
      </w:r>
      <w:r>
        <w:rPr>
          <w:rStyle w:val="FootnoteAnchor"/>
          <w:rtl w:val="true"/>
        </w:rPr>
        <w:footnoteReference w:id="1644"/>
      </w:r>
      <w:r>
        <w:rPr>
          <w:rFonts w:ascii="Amiri" w:hAnsi="Amiri" w:eastAsia="Amiri" w:cs="Amiri"/>
          <w:color w:val="111111"/>
          <w:sz w:val="28"/>
          <w:sz w:val="28"/>
          <w:szCs w:val="28"/>
          <w:rtl w:val="true"/>
          <w:lang w:bidi="ar-SA"/>
        </w:rPr>
        <w:t>و أطلق في المبسوط</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الجارية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بنت أقل من خمس سنين أو ست دفنت و لم تغسّل</w:t>
      </w:r>
      <w:r>
        <w:rPr>
          <w:rFonts w:eastAsia="Amiri" w:cs="Amiri" w:ascii="Amiri" w:hAnsi="Amiri"/>
          <w:color w:val="111111"/>
          <w:sz w:val="28"/>
          <w:szCs w:val="28"/>
          <w:rtl w:val="true"/>
          <w:lang w:bidi="ar-SA"/>
        </w:rPr>
        <w:t>»</w:t>
      </w:r>
      <w:r>
        <w:rPr>
          <w:rStyle w:val="FootnoteAnchor"/>
          <w:rtl w:val="true"/>
        </w:rPr>
        <w:footnoteReference w:id="1646"/>
      </w:r>
      <w:r>
        <w:rPr>
          <w:rFonts w:ascii="Amiri" w:hAnsi="Amiri" w:eastAsia="Amiri" w:cs="Amiri"/>
          <w:color w:val="111111"/>
          <w:sz w:val="28"/>
          <w:sz w:val="28"/>
          <w:szCs w:val="28"/>
          <w:rtl w:val="true"/>
          <w:lang w:bidi="ar-SA"/>
        </w:rPr>
        <w:t>أرسله محمد بن يحيى، و هو مضطرب المتن و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بنت أكثر من خمس أو ست دفنت و لم تغسّل و إن كانت بنت أقل من خمس غسّلت</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التهذيب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bookmarkStart w:id="877" w:name="pg15253_219820"/>
    </w:p>
    <w:p>
      <w:pPr>
        <w:pStyle w:val="BookText"/>
        <w:rPr/>
      </w:pPr>
      <w:bookmarkEnd w:id="877"/>
      <w:r>
        <w:rPr>
          <w:rFonts w:ascii="Amiri" w:hAnsi="Amiri" w:eastAsia="Amiri" w:cs="Amiri"/>
          <w:color w:val="111111"/>
          <w:sz w:val="28"/>
          <w:sz w:val="28"/>
          <w:szCs w:val="28"/>
          <w:rtl w:val="true"/>
          <w:lang w:bidi="ar-SA"/>
        </w:rPr>
        <w:t xml:space="preserve">و أسند الصدوق في كتاب المدينة ما في الجامع إلى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المعتبر أنّه لا يجوز للرجال تغسيل الصبيّة، محتجّا بأنّ الشرع أذن في اطّلاع النساء على الصبي لافتقاره الى تربيتهن بخلاف الصبيّة، و الأصل حرمة النظر</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في التذكرة إجماعنا على تغسيل الرجل الصبيّة</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8" w:name="__RefHeading___Toc4192307_2142443653"/>
      <w:bookmarkStart w:id="879" w:name="_Toc359"/>
      <w:bookmarkEnd w:id="878"/>
      <w:r>
        <w:rPr>
          <w:rtl w:val="true"/>
        </w:rPr>
        <w:t>و خامسها</w:t>
      </w:r>
      <w:r>
        <w:rPr>
          <w:rtl w:val="true"/>
        </w:rPr>
        <w:t xml:space="preserve">: </w:t>
      </w:r>
      <w:r>
        <w:rPr>
          <w:rtl w:val="true"/>
        </w:rPr>
        <w:t>إذا فقد المماثل و الرحم،</w:t>
      </w:r>
      <w:bookmarkEnd w:id="879"/>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للأجانب تغسيل الأجنبية من فوق الثياب، و للأجنبيّات تغسيل الأجنبي من فوق الثياب، و هو ظاهر المفيد</w:t>
      </w:r>
      <w:r>
        <w:rPr>
          <w:rStyle w:val="FootnoteAnchor"/>
          <w:rtl w:val="true"/>
        </w:rPr>
        <w:footnoteReference w:id="1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في الصبيّين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به الشيخ في شرح كلامه من التهذيب</w:t>
      </w:r>
      <w:r>
        <w:rPr>
          <w:rStyle w:val="FootnoteAnchor"/>
          <w:rtl w:val="true"/>
        </w:rPr>
        <w:footnoteReference w:id="1652"/>
      </w:r>
      <w:r>
        <w:rPr>
          <w:rFonts w:ascii="Amiri" w:hAnsi="Amiri" w:eastAsia="Amiri" w:cs="Amiri"/>
          <w:color w:val="111111"/>
          <w:sz w:val="28"/>
          <w:sz w:val="28"/>
          <w:szCs w:val="28"/>
          <w:rtl w:val="true"/>
          <w:lang w:bidi="ar-SA"/>
        </w:rPr>
        <w:t>و قال أبو الصلاح و ابن زهرة به مع تغميض العينين</w:t>
      </w:r>
      <w:r>
        <w:rPr>
          <w:rStyle w:val="FootnoteAnchor"/>
          <w:rtl w:val="true"/>
        </w:rPr>
        <w:footnoteReference w:id="1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الزيادات منه جعل الشيخ الغسل مستحبّا</w:t>
      </w:r>
      <w:r>
        <w:rPr>
          <w:rStyle w:val="FootnoteAnchor"/>
          <w:rtl w:val="true"/>
        </w:rPr>
        <w:footnoteReference w:id="1654"/>
      </w:r>
      <w:r>
        <w:rPr>
          <w:rFonts w:ascii="Amiri" w:hAnsi="Amiri" w:eastAsia="Amiri" w:cs="Amiri"/>
          <w:color w:val="111111"/>
          <w:sz w:val="28"/>
          <w:sz w:val="28"/>
          <w:szCs w:val="28"/>
          <w:rtl w:val="true"/>
          <w:lang w:bidi="ar-SA"/>
        </w:rPr>
        <w:t>، و كذا في الاستبصار، و جوّز الدفن بغير غسل</w:t>
      </w:r>
      <w:r>
        <w:rPr>
          <w:rStyle w:val="FootnoteAnchor"/>
          <w:rtl w:val="true"/>
        </w:rPr>
        <w:footnoteReference w:id="1655"/>
      </w:r>
      <w:r>
        <w:rPr>
          <w:rFonts w:ascii="Amiri" w:hAnsi="Amiri" w:eastAsia="Amiri" w:cs="Amiri"/>
          <w:color w:val="111111"/>
          <w:sz w:val="28"/>
          <w:sz w:val="28"/>
          <w:szCs w:val="28"/>
          <w:rtl w:val="true"/>
          <w:lang w:bidi="ar-SA"/>
        </w:rPr>
        <w:t>و اعرض عن ذلك في النهاية و المبسوط و الخلاف، و حكم بالدفن بغير غسل و لا تيمم</w:t>
      </w:r>
      <w:r>
        <w:rPr>
          <w:rStyle w:val="FootnoteAnchor"/>
          <w:rtl w:val="true"/>
        </w:rPr>
        <w:footnoteReference w:id="1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 في النهاية تغسيل وجهها و يديها</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الروايات المشهورة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بن علي 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مع النساء، و ليس فيهن امرأة</w:t>
      </w:r>
      <w:r>
        <w:rPr>
          <w:rStyle w:val="FootnoteAnchor"/>
          <w:rtl w:val="true"/>
        </w:rPr>
        <w:footnoteReference w:id="1658"/>
      </w:r>
      <w:r>
        <w:rPr>
          <w:rFonts w:ascii="Amiri" w:hAnsi="Amiri" w:eastAsia="Amiri" w:cs="Amiri"/>
          <w:color w:val="111111"/>
          <w:sz w:val="28"/>
          <w:sz w:val="28"/>
          <w:szCs w:val="28"/>
          <w:rtl w:val="true"/>
          <w:lang w:bidi="ar-SA"/>
        </w:rPr>
        <w:t>و لا ذات محرم، يؤزّرنه إلى الركبتين و يصببن الماء عليه، و لا ينظرن الى عورته، و لا يلمسنه بأيديهن</w:t>
      </w:r>
      <w:r>
        <w:rPr>
          <w:rFonts w:eastAsia="Amiri" w:cs="Amiri" w:ascii="Amiri" w:hAnsi="Amiri"/>
          <w:color w:val="111111"/>
          <w:sz w:val="28"/>
          <w:szCs w:val="28"/>
          <w:rtl w:val="true"/>
          <w:lang w:bidi="ar-SA"/>
        </w:rPr>
        <w:t>»</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سعيد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تموت مع قوم ليس لها فيهم محرم صبّ الماء عليها، و الرجل بين النساء يصببن عليه و يلمسن ما كان يحل لهنّ النظر إليه، فإذا بلغن ما لا يحل النظر اليه صببن الماء</w:t>
      </w:r>
      <w:r>
        <w:rPr>
          <w:rFonts w:eastAsia="Amiri" w:cs="Amiri" w:ascii="Amiri" w:hAnsi="Amiri"/>
          <w:color w:val="111111"/>
          <w:sz w:val="28"/>
          <w:szCs w:val="28"/>
          <w:rtl w:val="true"/>
          <w:lang w:bidi="ar-SA"/>
        </w:rPr>
        <w:t>»</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المفصّل بن عمر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تموت مع رجال ليس معهم امرأة و لا ذو محرم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منها ما أوجب اللّه عليه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بطن كفيها، ثم يغسل وجهها، ثم يغسل ظهر كفّيها، و لا تمسّ و لا يكشف شيء من محاسنها</w:t>
      </w:r>
      <w:r>
        <w:rPr>
          <w:rFonts w:eastAsia="Amiri" w:cs="Amiri" w:ascii="Amiri" w:hAnsi="Amiri"/>
          <w:color w:val="111111"/>
          <w:sz w:val="28"/>
          <w:szCs w:val="28"/>
          <w:rtl w:val="true"/>
          <w:lang w:bidi="ar-SA"/>
        </w:rPr>
        <w:t>»</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منها موضع الوضوء</w:t>
      </w:r>
      <w:r>
        <w:rPr>
          <w:rFonts w:eastAsia="Amiri" w:cs="Amiri" w:ascii="Amiri" w:hAnsi="Amiri"/>
          <w:color w:val="111111"/>
          <w:sz w:val="28"/>
          <w:szCs w:val="28"/>
          <w:rtl w:val="true"/>
          <w:lang w:bidi="ar-SA"/>
        </w:rPr>
        <w:t>»</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كفيها</w:t>
      </w:r>
      <w:r>
        <w:rPr>
          <w:rFonts w:eastAsia="Amiri" w:cs="Amiri" w:ascii="Amiri" w:hAnsi="Amiri"/>
          <w:color w:val="111111"/>
          <w:sz w:val="28"/>
          <w:szCs w:val="28"/>
          <w:rtl w:val="true"/>
          <w:lang w:bidi="ar-SA"/>
        </w:rPr>
        <w:t>»</w:t>
      </w:r>
      <w:r>
        <w:rPr>
          <w:rStyle w:val="FootnoteAnchor"/>
          <w:rtl w:val="true"/>
        </w:rPr>
        <w:footnoteReference w:id="1664"/>
      </w:r>
      <w:r>
        <w:rPr>
          <w:rFonts w:ascii="Amiri" w:hAnsi="Amiri" w:eastAsia="Amiri" w:cs="Amiri"/>
          <w:color w:val="111111"/>
          <w:sz w:val="28"/>
          <w:sz w:val="28"/>
          <w:szCs w:val="28"/>
          <w:rtl w:val="true"/>
          <w:lang w:bidi="ar-SA"/>
        </w:rPr>
        <w:t xml:space="preserve">، و مثله خبر داود بن فرقد بسنده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زيد بن علي بإسناده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الميتة و لا 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تيمّم، و لا تمسّ، و لا يكشف لها شيء من محاسنها</w:t>
      </w:r>
      <w:r>
        <w:rPr>
          <w:rFonts w:eastAsia="Amiri" w:cs="Amiri" w:ascii="Amiri" w:hAnsi="Amiri"/>
          <w:color w:val="111111"/>
          <w:sz w:val="28"/>
          <w:szCs w:val="28"/>
          <w:rtl w:val="true"/>
          <w:lang w:bidi="ar-SA"/>
        </w:rPr>
        <w:t>»</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داود بن سرحان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الميت مع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 و لا يغسل</w:t>
      </w:r>
      <w:r>
        <w:rPr>
          <w:rFonts w:eastAsia="Amiri" w:cs="Amiri" w:ascii="Amiri" w:hAnsi="Amiri"/>
          <w:color w:val="111111"/>
          <w:sz w:val="28"/>
          <w:szCs w:val="28"/>
          <w:rtl w:val="true"/>
          <w:lang w:bidi="ar-SA"/>
        </w:rPr>
        <w:t>»</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حمله الشيخ على أنّه لا يغسل مجرّدا، جمعا بين الأخبار</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أبي يعفور، و أبو عبد اللّه البصروي، و أبو الصباح الكناني،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يلففنه و لا يغسّلنه</w:t>
      </w:r>
      <w:r>
        <w:rPr>
          <w:rFonts w:eastAsia="Amiri" w:cs="Amiri" w:ascii="Amiri" w:hAnsi="Amiri"/>
          <w:color w:val="111111"/>
          <w:sz w:val="28"/>
          <w:szCs w:val="28"/>
          <w:rtl w:val="true"/>
          <w:lang w:bidi="ar-SA"/>
        </w:rPr>
        <w:t>»</w:t>
      </w:r>
      <w:r>
        <w:rPr>
          <w:rStyle w:val="FootnoteAnchor"/>
          <w:rtl w:val="true"/>
        </w:rPr>
        <w:footnoteReference w:id="1669"/>
      </w:r>
      <w:r>
        <w:rPr>
          <w:rFonts w:ascii="Amiri" w:hAnsi="Amiri" w:eastAsia="Amiri" w:cs="Amiri"/>
          <w:color w:val="111111"/>
          <w:sz w:val="28"/>
          <w:sz w:val="28"/>
          <w:szCs w:val="28"/>
          <w:rtl w:val="true"/>
          <w:lang w:bidi="ar-SA"/>
        </w:rPr>
        <w:t>و كذا في مقطوعة زيد الشحام</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المنع مطلقا هو الأظهر فتوى، و الأشهر رواية، و الأصحّ إسنادا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مسلم و لا مسلم و لا ذات رحم معه، أو مسلمة و لا مسلمة معها و لا ذو رحم، فالمشهور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 الكافر و الكافرة الغسل بعد اغتسالهما، لخبر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عمرو بن خالد بإسناده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وجدتم امرأة من أهل الكتاب تغسّلها</w:t>
      </w:r>
      <w:r>
        <w:rPr>
          <w:rFonts w:eastAsia="Amiri" w:cs="Amiri" w:ascii="Amiri" w:hAnsi="Amiri"/>
          <w:color w:val="111111"/>
          <w:sz w:val="28"/>
          <w:szCs w:val="28"/>
          <w:rtl w:val="true"/>
          <w:lang w:bidi="ar-SA"/>
        </w:rPr>
        <w:t>»</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أعلم مخالفا لهذا من الأصحاب سوى المحقّق في المعتبر، محتجّا بتعذّر النيّة من الكافر مع ضعف السّند</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النيّة هنا، إذ الاكتفاء بنيّة الكافر كالعتق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يجبره، فإنّ الشيخين نصّا عليه</w:t>
      </w:r>
      <w:r>
        <w:rPr>
          <w:rStyle w:val="FootnoteAnchor"/>
          <w:rtl w:val="true"/>
        </w:rPr>
        <w:footnoteReference w:id="1674"/>
      </w:r>
      <w:r>
        <w:rPr>
          <w:rFonts w:ascii="Amiri" w:hAnsi="Amiri" w:eastAsia="Amiri" w:cs="Amiri"/>
          <w:color w:val="111111"/>
          <w:sz w:val="28"/>
          <w:sz w:val="28"/>
          <w:szCs w:val="28"/>
          <w:rtl w:val="true"/>
          <w:lang w:bidi="ar-SA"/>
        </w:rPr>
        <w:t>و ابني بابويه</w:t>
      </w:r>
      <w:r>
        <w:rPr>
          <w:rStyle w:val="FootnoteAnchor"/>
          <w:rtl w:val="true"/>
        </w:rPr>
        <w:footnoteReference w:id="1675"/>
      </w:r>
      <w:r>
        <w:rPr>
          <w:rFonts w:ascii="Amiri" w:hAnsi="Amiri" w:eastAsia="Amiri" w:cs="Amiri"/>
          <w:color w:val="111111"/>
          <w:sz w:val="28"/>
          <w:sz w:val="28"/>
          <w:szCs w:val="28"/>
          <w:rtl w:val="true"/>
          <w:lang w:bidi="ar-SA"/>
        </w:rPr>
        <w:t>و ابن الجنيد و سلار</w:t>
      </w:r>
      <w:r>
        <w:rPr>
          <w:rStyle w:val="FootnoteAnchor"/>
          <w:rtl w:val="true"/>
        </w:rPr>
        <w:footnoteReference w:id="1676"/>
      </w:r>
      <w:r>
        <w:rPr>
          <w:rFonts w:ascii="Amiri" w:hAnsi="Amiri" w:eastAsia="Amiri" w:cs="Amiri"/>
          <w:color w:val="111111"/>
          <w:sz w:val="28"/>
          <w:sz w:val="28"/>
          <w:szCs w:val="28"/>
          <w:rtl w:val="true"/>
          <w:lang w:bidi="ar-SA"/>
        </w:rPr>
        <w:t>و الصهرشتي، و ابن حمزة</w:t>
      </w:r>
      <w:r>
        <w:rPr>
          <w:rStyle w:val="FootnoteAnchor"/>
          <w:rtl w:val="true"/>
        </w:rPr>
        <w:footnoteReference w:id="1677"/>
      </w:r>
      <w:r>
        <w:rPr>
          <w:rFonts w:ascii="Amiri" w:hAnsi="Amiri" w:eastAsia="Amiri" w:cs="Amiri"/>
          <w:color w:val="111111"/>
          <w:sz w:val="28"/>
          <w:sz w:val="28"/>
          <w:szCs w:val="28"/>
          <w:rtl w:val="true"/>
          <w:lang w:bidi="ar-SA"/>
        </w:rPr>
        <w:t>و كذا المحقق في غير المعتبر</w:t>
      </w:r>
      <w:r>
        <w:rPr>
          <w:rStyle w:val="FootnoteAnchor"/>
          <w:rtl w:val="true"/>
        </w:rPr>
        <w:footnoteReference w:id="1678"/>
      </w:r>
      <w:r>
        <w:rPr>
          <w:rFonts w:ascii="Amiri" w:hAnsi="Amiri" w:eastAsia="Amiri" w:cs="Amiri"/>
          <w:color w:val="111111"/>
          <w:sz w:val="28"/>
          <w:sz w:val="28"/>
          <w:szCs w:val="28"/>
          <w:rtl w:val="true"/>
          <w:lang w:bidi="ar-SA"/>
        </w:rPr>
        <w:t>، و ابن عمه نجيب الدين يحيى بن سعيد</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لم يذكره ابن أبي عقيل، و لا الجعفي، و لا ابن البرّاج في كتابيه، و لا ابن زهرة، و لا ابن إدريس، و لا الشيخ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للتوقف فيه مجال، لنجاسة الكافر في المشهور، فكيف يفيد غيره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رجعيا زوجة بخلاف المطلقة البائن، و لا فرق بين الزوجة الحرة و الأمة، و المدخول بها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عبرة بانقضاء عدّة المرأة عندنا، بل لو نكحت جاز لها تغسيله، و ان كان الفرض بعيدا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المسّ‌</w:t>
      </w:r>
      <w:r>
        <w:rPr>
          <w:rStyle w:val="FootnoteAnchor"/>
          <w:rtl w:val="true"/>
        </w:rPr>
        <w:footnoteReference w:id="1680"/>
      </w:r>
      <w:r>
        <w:rPr>
          <w:rFonts w:ascii="Amiri" w:hAnsi="Amiri" w:eastAsia="Amiri" w:cs="Amiri"/>
          <w:color w:val="111111"/>
          <w:sz w:val="28"/>
          <w:sz w:val="28"/>
          <w:szCs w:val="28"/>
          <w:rtl w:val="true"/>
          <w:lang w:bidi="ar-SA"/>
        </w:rPr>
        <w:t>للزوجين، لجواز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بالتجريد زال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يقيم الرجل كتابيّة تغسل فرج رحمه، و يغسّل هو الباقي، و كذا تقيم الزوجة كتابيّا يغسل فرج زوجها</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نقف على مأخذه، مع أنّ نجاسة الكافر مانعة، و خبر عمار عن الصادق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المنع</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المشكل لثلاث أمره ظاهر، و فوقها يغسّله محارمه من الرجال و النساء من فوق الثياب، لأنّه موضع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تقدم يجوز للأجانب بطريق الأولى عند عدم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يغسّله رجل، و لا امرأة، و يمّم</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شراء أمة من تركته أو بيت المال، أو استصحاب حاله في الصغر بعيدان، لانتفاء الملك عن الميت، مع الشك في جواز تغسيل الأمة المملوكة كما مر، و انتفاء الصغر المزيل للشهوة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الأضلاع أو القرعة،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المميّز صالح لتغسيل الميت، لصحة طهارته، و أمره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المنع، لأنّ فعله تمرين، و النيّة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قول الفاضل القول بالتيمّم عند فقد الغاسل المماثل و المحرم</w:t>
      </w:r>
      <w:r>
        <w:rPr>
          <w:rStyle w:val="FootnoteAnchor"/>
          <w:rtl w:val="true"/>
        </w:rPr>
        <w:footnoteReference w:id="1684"/>
      </w:r>
      <w:r>
        <w:rPr>
          <w:rFonts w:ascii="Amiri" w:hAnsi="Amiri" w:eastAsia="Amiri" w:cs="Amiri"/>
          <w:color w:val="111111"/>
          <w:sz w:val="28"/>
          <w:sz w:val="28"/>
          <w:szCs w:val="28"/>
          <w:rtl w:val="true"/>
          <w:lang w:bidi="ar-SA"/>
        </w:rPr>
        <w:t>كما سلف في رواية</w:t>
      </w:r>
      <w:r>
        <w:rPr>
          <w:rStyle w:val="FootnoteAnchor"/>
          <w:rtl w:val="true"/>
        </w:rPr>
        <w:footnoteReference w:id="1685"/>
      </w:r>
      <w:r>
        <w:rPr>
          <w:rFonts w:ascii="Amiri" w:hAnsi="Amiri" w:eastAsia="Amiri" w:cs="Amiri"/>
          <w:color w:val="111111"/>
          <w:sz w:val="28"/>
          <w:sz w:val="28"/>
          <w:szCs w:val="28"/>
          <w:rtl w:val="true"/>
          <w:lang w:bidi="ar-SA"/>
        </w:rPr>
        <w:t>و هي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المذهب عدمه إلاّ مع خوف الغاسل على نفسه أو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بغير غسل و لا تيمم</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الصبي بغير السن من بلوغ حدّ لا يشتهي مثله، لأنّه ردّ إلى جهالة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تشاحّ الأولياء في الرجل، قدّم الأولى بالميراث من الرجال و لو كان الأولى نساء محارم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جوازه لهنّ من وراء الثياب، و الأول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 غير محارم، فكالأجنبيّات و إن كنّ ذوي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يقدّم في تغسيل المرأة الزوج، ثمّ النساء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 من لو كانت رجلا لم يحلّ له نكاحها كالأم و الجدّة و البنت، و يترتّبن أيضا ترتيب الإرث ثم الرحم غير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كبنت العمة و الخالة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الأجنبيات، ثم الأجنبيات أولى من الرجال، ثم المحارم من الرجال عند فقد النساء، و ما عداهم من الرحم فكالأجنبي</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أنّ الزوجة تقدّم كما يقدّم الزوج، و لم يذكرها الشيخ مع دلالة خبر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Style w:val="FootnoteAnchor"/>
          <w:rtl w:val="true"/>
        </w:rPr>
        <w:footnoteReference w:id="1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قوة جانب الزوجة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تقديمهما على تقدير التجريد ظاهر، و أمّا على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فمحتمل للتمكّن التام مع التجريد، فيكون أولى من الغسل لا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التقديم تابعا للإرث انتفى مع عدمه و إن كان أقرب، كالقاتل ظلما و الرقّ 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الأولى الى غيره جاز، إلاّ في تسليم الرجال الى النساء في الرجل، و بالعكس في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الشيخان في تغسيل الكافر المسلم أمر المسلمة و المسلم إيّاه</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لتحصيل هذا الفعل لا أنّه شرط، لخلوّ الرواية منه و للأصل،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الأمر يجعل فعل الكافر صادرا عن المسلم، لأنه آلة له، و يكون المسلم بمثابة الفاعل فتجب النّيّة منه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بعد الغسل الاضطراري فاعل الاختياري، فلا إعادة في غير من غسله كافر، للامتثال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في الكافر، لعدم الطهارة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الجنب و الحائض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 التحريم فهو غير مشهور، مع رواية يونس بن يعقوب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تحضر الحائض الميت و لا الجنب عند التلقين، و لا بأس أن يليا غسله</w:t>
      </w:r>
      <w:r>
        <w:rPr>
          <w:rFonts w:eastAsia="Amiri" w:cs="Amiri" w:ascii="Amiri" w:hAnsi="Amiri"/>
          <w:color w:val="111111"/>
          <w:sz w:val="28"/>
          <w:szCs w:val="28"/>
          <w:rtl w:val="true"/>
          <w:lang w:bidi="ar-SA"/>
        </w:rPr>
        <w:t>»</w:t>
      </w:r>
      <w:r>
        <w:rPr>
          <w:rStyle w:val="FootnoteAnchor"/>
          <w:rtl w:val="true"/>
        </w:rPr>
        <w:footnoteReference w:id="1690"/>
      </w:r>
      <w:r>
        <w:rPr>
          <w:rFonts w:ascii="Amiri" w:hAnsi="Amiri" w:eastAsia="Amiri" w:cs="Amiri"/>
          <w:color w:val="111111"/>
          <w:sz w:val="28"/>
          <w:sz w:val="28"/>
          <w:szCs w:val="28"/>
          <w:rtl w:val="true"/>
          <w:lang w:bidi="ar-SA"/>
        </w:rPr>
        <w:t>و صرّح به ابن بابويه رحمه اللّه</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الزوج و النساء في المرأة، و وجد الأب و الجد، فالأب أولى، لقول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السالف</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أولى، لصلاحيته لولاية الأب، و لتقديمه في النكاح</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بالقرب، و لتقدّمه في الحضانة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880" w:name="pg15253_219827"/>
    </w:p>
    <w:p>
      <w:pPr>
        <w:pStyle w:val="Heading6"/>
        <w:numPr>
          <w:ilvl w:val="5"/>
          <w:numId w:val="1"/>
        </w:numPr>
        <w:rPr/>
      </w:pPr>
      <w:bookmarkStart w:id="881" w:name="__RefHeading___Toc4192309_2142443653"/>
      <w:bookmarkStart w:id="882" w:name="_Toc360"/>
      <w:bookmarkEnd w:id="880"/>
      <w:bookmarkEnd w:id="881"/>
      <w:r>
        <w:rPr>
          <w:rtl w:val="true"/>
        </w:rPr>
        <w:t>النظر الثاني</w:t>
      </w:r>
      <w:r>
        <w:rPr>
          <w:rtl w:val="true"/>
        </w:rPr>
        <w:t xml:space="preserve">: </w:t>
      </w:r>
      <w:r>
        <w:rPr>
          <w:rtl w:val="true"/>
        </w:rPr>
        <w:t>في المحل</w:t>
      </w:r>
      <w:r>
        <w:rPr>
          <w:rtl w:val="true"/>
        </w:rPr>
        <w:t>:</w:t>
      </w:r>
      <w:bookmarkEnd w:id="882"/>
    </w:p>
    <w:p>
      <w:pPr>
        <w:pStyle w:val="Heading6"/>
        <w:numPr>
          <w:ilvl w:val="5"/>
          <w:numId w:val="1"/>
        </w:numPr>
        <w:rPr/>
      </w:pPr>
      <w:bookmarkStart w:id="883" w:name="__RefHeading___Toc4192311_2142443653"/>
      <w:bookmarkStart w:id="884" w:name="_Toc361"/>
      <w:bookmarkEnd w:id="883"/>
      <w:r>
        <w:rPr>
          <w:rtl w:val="true"/>
        </w:rPr>
        <w:t>اشارة</w:t>
      </w:r>
      <w:bookmarkEnd w:id="884"/>
    </w:p>
    <w:p>
      <w:pPr>
        <w:pStyle w:val="BookText"/>
        <w:rPr/>
      </w:pPr>
      <w:r>
        <w:rPr>
          <w:rFonts w:ascii="Amiri" w:hAnsi="Amiri" w:eastAsia="Amiri" w:cs="Amiri"/>
          <w:color w:val="111111"/>
          <w:sz w:val="28"/>
          <w:sz w:val="28"/>
          <w:szCs w:val="28"/>
          <w:rtl w:val="true"/>
          <w:lang w:bidi="ar-SA"/>
        </w:rPr>
        <w:t xml:space="preserve">و هو المسلم،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كلّ الموتى، إلاّ من قتل بين الصفين</w:t>
      </w:r>
      <w:r>
        <w:rPr>
          <w:rFonts w:eastAsia="Amiri" w:cs="Amiri" w:ascii="Amiri" w:hAnsi="Amiri"/>
          <w:color w:val="111111"/>
          <w:sz w:val="28"/>
          <w:szCs w:val="28"/>
          <w:rtl w:val="true"/>
          <w:lang w:bidi="ar-SA"/>
        </w:rPr>
        <w:t>»</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من هو بحكمه، كسقط لأربعة أشهر، لمقطوعة أحمد بن محمد</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استوت خلقته يجب الغسل</w:t>
      </w:r>
      <w:r>
        <w:rPr>
          <w:rFonts w:eastAsia="Amiri" w:cs="Amiri" w:ascii="Amiri" w:hAnsi="Amiri"/>
          <w:color w:val="111111"/>
          <w:sz w:val="28"/>
          <w:szCs w:val="28"/>
          <w:rtl w:val="true"/>
          <w:lang w:bidi="ar-SA"/>
        </w:rPr>
        <w:t>»</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القطع في الاولى، و ضعف سند الثانية، مغتفر بقبول</w:t>
      </w:r>
      <w:r>
        <w:rPr>
          <w:rStyle w:val="FootnoteAnchor"/>
          <w:rtl w:val="true"/>
        </w:rPr>
        <w:footnoteReference w:id="1697"/>
      </w: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نقص عن أربعة لم يغسل، لفقد الموت الذي هو عدم الحياة عن محل اتّصف بها،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الخلاف اعتبر الحياة في وجوب الغسل</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الأربعة مظنّتها، و يلوح ذلك من خبر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يونس الشيباني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مضت خمسة أشهر فقد صار فيه الحياة</w:t>
      </w:r>
      <w:r>
        <w:rPr>
          <w:rFonts w:eastAsia="Amiri" w:cs="Amiri" w:ascii="Amiri" w:hAnsi="Amiri"/>
          <w:color w:val="111111"/>
          <w:sz w:val="28"/>
          <w:szCs w:val="28"/>
          <w:rtl w:val="true"/>
          <w:lang w:bidi="ar-SA"/>
        </w:rPr>
        <w:t>»</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أربعة أشهر ينفخ فيه </w:t>
      </w:r>
    </w:p>
    <w:p>
      <w:pPr>
        <w:pStyle w:val="BookText"/>
        <w:rPr/>
      </w:pPr>
      <w:r>
        <w:rPr>
          <w:rFonts w:ascii="IRNazanin" w:hAnsi="IRNazanin" w:eastAsia="IRNazanin"/>
          <w:color w:val="111111"/>
          <w:sz w:val="28"/>
          <w:sz w:val="28"/>
          <w:szCs w:val="28"/>
          <w:rtl w:val="true"/>
          <w:lang w:bidi="fa-IR"/>
        </w:rPr>
        <w:t>الروح</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الديلمي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إليه</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مكاتبة محمد بن الفضل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السقط يدفن بدمه</w:t>
      </w:r>
      <w:r>
        <w:rPr>
          <w:rFonts w:eastAsia="Amiri" w:cs="Amiri" w:ascii="Amiri" w:hAnsi="Amiri"/>
          <w:color w:val="111111"/>
          <w:sz w:val="28"/>
          <w:szCs w:val="28"/>
          <w:rtl w:val="true"/>
          <w:lang w:bidi="ar-SA"/>
        </w:rPr>
        <w:t>»</w:t>
      </w:r>
      <w:r>
        <w:rPr>
          <w:rStyle w:val="FootnoteAnchor"/>
          <w:rtl w:val="true"/>
        </w:rPr>
        <w:footnoteReference w:id="1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أنّه لا يكفن أيضا، و لم يذكره الشيخان، و قال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يلفّ بخرقة</w:t>
      </w:r>
      <w:r>
        <w:rPr>
          <w:rStyle w:val="FootnoteAnchor"/>
          <w:rtl w:val="true"/>
        </w:rPr>
        <w:footnoteReference w:id="1704"/>
      </w:r>
      <w:r>
        <w:rPr>
          <w:rFonts w:ascii="Amiri" w:hAnsi="Amiri" w:eastAsia="Amiri" w:cs="Amiri"/>
          <w:color w:val="111111"/>
          <w:sz w:val="28"/>
          <w:sz w:val="28"/>
          <w:szCs w:val="28"/>
          <w:rtl w:val="true"/>
          <w:lang w:bidi="ar-SA"/>
        </w:rPr>
        <w:t>فتحمل الرواية على الناقص عن أربعة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فيه الصدر يغسّل، لمرفوعة رواها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أعضاء يصلّى على العضو الذي فيه القلب</w:t>
      </w:r>
      <w:r>
        <w:rPr>
          <w:rFonts w:eastAsia="Amiri" w:cs="Amiri" w:ascii="Amiri" w:hAnsi="Amiri"/>
          <w:color w:val="111111"/>
          <w:sz w:val="28"/>
          <w:szCs w:val="28"/>
          <w:rtl w:val="true"/>
          <w:lang w:bidi="ar-SA"/>
        </w:rPr>
        <w:t>»</w:t>
      </w:r>
      <w:r>
        <w:rPr>
          <w:rStyle w:val="FootnoteAnchor"/>
          <w:rtl w:val="true"/>
        </w:rPr>
        <w:footnoteReference w:id="1705"/>
      </w:r>
      <w:r>
        <w:rPr>
          <w:rFonts w:ascii="Amiri" w:hAnsi="Amiri" w:eastAsia="Amiri" w:cs="Amiri"/>
          <w:color w:val="111111"/>
          <w:sz w:val="28"/>
          <w:sz w:val="28"/>
          <w:szCs w:val="28"/>
          <w:rtl w:val="true"/>
          <w:lang w:bidi="ar-SA"/>
        </w:rPr>
        <w:t>و هو يستلزم أولوية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الفضل بن عثمان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المقتول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ديته على من وجد في قبيلته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و يداه، و الصلاة عليه</w:t>
      </w:r>
      <w:r>
        <w:rPr>
          <w:rFonts w:eastAsia="Amiri" w:cs="Amiri" w:ascii="Amiri" w:hAnsi="Amiri"/>
          <w:color w:val="111111"/>
          <w:sz w:val="28"/>
          <w:szCs w:val="28"/>
          <w:rtl w:val="true"/>
          <w:lang w:bidi="ar-SA"/>
        </w:rPr>
        <w:t>»</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لشرف القلب بمحلية العلم و الاعتقاد الموجب للنجاة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عظام الميت تغسل، لخبر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أكيل السبع فتبقى عظامه بغير لحم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و يكفّن و يصلّى عليه و يدفن، فإذا كان نصفين صلّي على النصف الذي فيه القلب</w:t>
      </w:r>
      <w:r>
        <w:rPr>
          <w:rFonts w:eastAsia="Amiri" w:cs="Amiri" w:ascii="Amiri" w:hAnsi="Amiri"/>
          <w:color w:val="111111"/>
          <w:sz w:val="28"/>
          <w:szCs w:val="28"/>
          <w:rtl w:val="true"/>
          <w:lang w:bidi="ar-SA"/>
        </w:rPr>
        <w:t>»</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تغسّل قطعة فيها عظم، ذكره الشيخان</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عليه في الخلاف بإجماعنا، و بتغسيل أهل مكة أو اليمامة يد عبد الرحمن بن عتاب ألقاها طائر من وقعة الجمل عرفت بنقش خاتمه، و كان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قطعها الأشتر ثم قتله فحمل يده عقاب أو نسر</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حسن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قتيل، فلم يوجد إلاّ لحم بلا عظم، لم يصلّ عليه</w:t>
      </w:r>
      <w:r>
        <w:rPr>
          <w:rFonts w:eastAsia="Amiri" w:cs="Amiri" w:ascii="Amiri" w:hAnsi="Amiri"/>
          <w:color w:val="111111"/>
          <w:sz w:val="28"/>
          <w:szCs w:val="28"/>
          <w:rtl w:val="true"/>
          <w:lang w:bidi="ar-SA"/>
        </w:rPr>
        <w:t>»</w:t>
      </w:r>
      <w:r>
        <w:rPr>
          <w:rStyle w:val="FootnoteAnchor"/>
          <w:rtl w:val="true"/>
        </w:rPr>
        <w:footnoteReference w:id="1710"/>
      </w:r>
      <w:r>
        <w:rPr>
          <w:rFonts w:ascii="Amiri" w:hAnsi="Amiri" w:eastAsia="Amiri" w:cs="Amiri"/>
          <w:color w:val="111111"/>
          <w:sz w:val="28"/>
          <w:sz w:val="28"/>
          <w:szCs w:val="28"/>
          <w:rtl w:val="true"/>
          <w:lang w:bidi="ar-SA"/>
        </w:rPr>
        <w:t>و لم يذكر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يلوح ما ذكره الشيخان من خبر علي بن جعفر، لصدق العظام على التامة و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لحم بغير عظم فلا غسل،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كفن و لا صلاة</w:t>
      </w:r>
      <w:r>
        <w:rPr>
          <w:rStyle w:val="FootnoteAnchor"/>
          <w:rtl w:val="true"/>
        </w:rPr>
        <w:footnoteReference w:id="1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سلار لفّها في خرقة و دفنها</w:t>
      </w:r>
      <w:r>
        <w:rPr>
          <w:rStyle w:val="FootnoteAnchor"/>
          <w:rtl w:val="true"/>
        </w:rPr>
        <w:footnoteReference w:id="1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يذكره الشيخان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أبينت القطعة من حي، فالأقرب أنّها كالمبانة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بغير غسل و لو كان فيها عظم، لأنّها من جملة لا تغسل</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لم يحصل فيها الموت بخلاف القطعة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و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الغسل بمسّ قطعة فيها عظم أبينت من حيّ‌</w:t>
      </w:r>
      <w:r>
        <w:rPr>
          <w:rStyle w:val="FootnoteAnchor"/>
          <w:rtl w:val="true"/>
        </w:rPr>
        <w:footnoteReference w:id="1714"/>
      </w:r>
      <w:r>
        <w:rPr>
          <w:rFonts w:ascii="Amiri" w:hAnsi="Amiri" w:eastAsia="Amiri" w:cs="Amiri"/>
          <w:color w:val="111111"/>
          <w:sz w:val="28"/>
          <w:sz w:val="28"/>
          <w:szCs w:val="28"/>
          <w:rtl w:val="true"/>
          <w:lang w:bidi="ar-SA"/>
        </w:rPr>
        <w:t>، و لم يذكر تغسيلها، و الظاهر تلازمهما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غسل ما فيه عظم، و غسل عظم مفرد</w:t>
      </w:r>
      <w:r>
        <w:rPr>
          <w:rStyle w:val="FootnoteAnchor"/>
          <w:rtl w:val="true"/>
        </w:rPr>
        <w:footnoteReference w:id="1715"/>
      </w:r>
      <w:r>
        <w:rPr>
          <w:rFonts w:ascii="Amiri" w:hAnsi="Amiri" w:eastAsia="Amiri" w:cs="Amiri"/>
          <w:color w:val="111111"/>
          <w:sz w:val="28"/>
          <w:sz w:val="28"/>
          <w:szCs w:val="28"/>
          <w:rtl w:val="true"/>
          <w:lang w:bidi="ar-SA"/>
        </w:rPr>
        <w:t>، و لم يذكر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ابنا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أكيل السبع فاغسل ما بقي منه، و إن لم يبق منه إلاّ عظام جمعت و غسّلت و صلّي عليها</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مرسل محمد بن خالد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 عضو تام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صلّي عليه</w:t>
      </w:r>
      <w:r>
        <w:rPr>
          <w:rStyle w:val="FootnoteAnchor"/>
          <w:rtl w:val="true"/>
        </w:rPr>
        <w:footnoteReference w:id="1717"/>
      </w:r>
      <w:r>
        <w:rPr>
          <w:rFonts w:ascii="Amiri" w:hAnsi="Amiri" w:eastAsia="Amiri" w:cs="Amiri"/>
          <w:color w:val="111111"/>
          <w:sz w:val="28"/>
          <w:sz w:val="28"/>
          <w:szCs w:val="28"/>
          <w:rtl w:val="true"/>
          <w:lang w:bidi="ar-SA"/>
        </w:rPr>
        <w:t>و إن لم يوجد عضو تام لم يصلّ عليه و دفن</w:t>
      </w:r>
      <w:r>
        <w:rPr>
          <w:rFonts w:eastAsia="Amiri" w:cs="Amiri" w:ascii="Amiri" w:hAnsi="Amiri"/>
          <w:color w:val="111111"/>
          <w:sz w:val="28"/>
          <w:szCs w:val="28"/>
          <w:rtl w:val="true"/>
          <w:lang w:bidi="ar-SA"/>
        </w:rPr>
        <w:t>»</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يغسّل المحرم و لا يقرب الكافور، للخبر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لقول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يغطّى وجهه، و يصنع به كما يصنع بالحلال غير أنّه لا يقرّب طيبا</w:t>
      </w:r>
      <w:r>
        <w:rPr>
          <w:rFonts w:eastAsia="Amiri" w:cs="Amiri" w:ascii="Amiri" w:hAnsi="Amiri"/>
          <w:color w:val="111111"/>
          <w:sz w:val="28"/>
          <w:szCs w:val="28"/>
          <w:rtl w:val="true"/>
          <w:lang w:bidi="ar-SA"/>
        </w:rPr>
        <w:t>»</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لصحيح عبد الرحمن بن أبي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عبد الرحمن بن الحسن مات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بالأبواء</w:t>
      </w:r>
      <w:r>
        <w:rPr>
          <w:rStyle w:val="FootnoteAnchor"/>
          <w:rtl w:val="true"/>
        </w:rPr>
        <w:footnoteReference w:id="1721"/>
      </w:r>
      <w:r>
        <w:rPr>
          <w:rFonts w:ascii="Amiri" w:hAnsi="Amiri" w:eastAsia="Amiri" w:cs="Amiri"/>
          <w:color w:val="111111"/>
          <w:sz w:val="28"/>
          <w:sz w:val="28"/>
          <w:szCs w:val="28"/>
          <w:rtl w:val="true"/>
          <w:lang w:bidi="ar-SA"/>
        </w:rPr>
        <w:t>و هو محرم، فصنع به كما يصنع بالميت، و غطّى وجهه و لم يمسه طيبا</w:t>
      </w:r>
      <w:r>
        <w:rPr>
          <w:rFonts w:eastAsia="Amiri" w:cs="Amiri" w:ascii="Amiri" w:hAnsi="Amiri"/>
          <w:color w:val="111111"/>
          <w:sz w:val="28"/>
          <w:szCs w:val="28"/>
          <w:rtl w:val="true"/>
          <w:lang w:bidi="ar-SA"/>
        </w:rPr>
        <w:t>»</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المرتضى و الجعفي و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يغطّى وجهه و رأسه</w:t>
      </w:r>
      <w:r>
        <w:rPr>
          <w:rStyle w:val="FootnoteAnchor"/>
          <w:rtl w:val="true"/>
        </w:rPr>
        <w:footnoteReference w:id="1723"/>
      </w:r>
      <w:r>
        <w:rPr>
          <w:rFonts w:ascii="Amiri" w:hAnsi="Amiri" w:eastAsia="Amiri" w:cs="Amiri"/>
          <w:color w:val="111111"/>
          <w:sz w:val="28"/>
          <w:sz w:val="28"/>
          <w:szCs w:val="28"/>
          <w:rtl w:val="true"/>
          <w:lang w:bidi="ar-SA"/>
        </w:rPr>
        <w:t xml:space="preserve">، لظاهر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يحشر يوم القيامة ملبيّا</w:t>
      </w:r>
      <w:r>
        <w:rPr>
          <w:rFonts w:eastAsia="Amiri" w:cs="Amiri" w:ascii="Amiri" w:hAnsi="Amiri"/>
          <w:color w:val="111111"/>
          <w:sz w:val="28"/>
          <w:szCs w:val="28"/>
          <w:rtl w:val="true"/>
          <w:lang w:bidi="ar-SA"/>
        </w:rPr>
        <w:t>»</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مقدّم على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تخمروا رأسه</w:t>
      </w:r>
      <w:r>
        <w:rPr>
          <w:rFonts w:eastAsia="Amiri" w:cs="Amiri" w:ascii="Amiri" w:hAnsi="Amiri"/>
          <w:color w:val="111111"/>
          <w:sz w:val="28"/>
          <w:szCs w:val="28"/>
          <w:rtl w:val="true"/>
          <w:lang w:bidi="ar-SA"/>
        </w:rPr>
        <w:t>»</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تغطّى رجلاه، خلافا للجعفي، و يلبس المخيط</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المرأة يخمر رأسها إجماعا، و وجهها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ماتت المعتدّة للوفاة،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المعتكف، لم يحرم الطيب في حقهما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القلب وحده كالصدر، لفحوى الرواية</w:t>
      </w:r>
      <w:r>
        <w:rPr>
          <w:rStyle w:val="FootnoteAnchor"/>
          <w:rtl w:val="true"/>
        </w:rPr>
        <w:footnoteReference w:id="1726"/>
      </w:r>
      <w:r>
        <w:rPr>
          <w:rFonts w:ascii="Amiri" w:hAnsi="Amiri" w:eastAsia="Amiri" w:cs="Amiri"/>
          <w:color w:val="111111"/>
          <w:sz w:val="28"/>
          <w:sz w:val="28"/>
          <w:szCs w:val="28"/>
          <w:rtl w:val="true"/>
          <w:lang w:bidi="ar-SA"/>
        </w:rPr>
        <w:t>، و كذا بعض كلّ واحد منهما، أخذا بأنه من جملة يجب غسلها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في النهاية و المبسوط بتحنيط ما فيه عظم</w:t>
      </w:r>
      <w:r>
        <w:rPr>
          <w:rStyle w:val="FootnoteAnchor"/>
          <w:rtl w:val="true"/>
        </w:rPr>
        <w:footnoteReference w:id="17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موضع الصدر صلّي عليه أيضا</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وجد ميت في دار الإسلام غسّل و جهّز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للظاهر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فيه علامة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دار الحرب اعتبرت العلامة المفيدة للظن كالختان، و مع عدمها يسقط، للأصل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الإحرام مستمر حتى يحل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تحلّل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لفحوى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سقوط غسلة الكافور احتمال يعرف ممّا يأتي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885" w:name="pg15253_219832"/>
    </w:p>
    <w:p>
      <w:pPr>
        <w:pStyle w:val="Heading6"/>
        <w:numPr>
          <w:ilvl w:val="5"/>
          <w:numId w:val="1"/>
        </w:numPr>
        <w:rPr/>
      </w:pPr>
      <w:bookmarkStart w:id="886" w:name="__RefHeading___Toc4192313_2142443653"/>
      <w:bookmarkStart w:id="887" w:name="_Toc362"/>
      <w:bookmarkEnd w:id="885"/>
      <w:bookmarkEnd w:id="886"/>
      <w:r>
        <w:rPr>
          <w:rtl w:val="true"/>
        </w:rPr>
        <w:t>و يسقط تغسيل عشرة</w:t>
      </w:r>
      <w:r>
        <w:rPr>
          <w:rtl w:val="true"/>
        </w:rPr>
        <w:t>:</w:t>
      </w:r>
      <w:bookmarkEnd w:id="887"/>
    </w:p>
    <w:p>
      <w:pPr>
        <w:pStyle w:val="Heading6"/>
        <w:numPr>
          <w:ilvl w:val="5"/>
          <w:numId w:val="1"/>
        </w:numPr>
        <w:rPr/>
      </w:pPr>
      <w:bookmarkStart w:id="888" w:name="__RefHeading___Toc4192315_2142443653"/>
      <w:bookmarkStart w:id="889" w:name="_Toc363"/>
      <w:bookmarkEnd w:id="888"/>
      <w:r>
        <w:rPr>
          <w:rtl w:val="true"/>
        </w:rPr>
        <w:t>الأول</w:t>
      </w:r>
      <w:r>
        <w:rPr>
          <w:rtl w:val="true"/>
        </w:rPr>
        <w:t xml:space="preserve">: </w:t>
      </w:r>
      <w:r>
        <w:rPr>
          <w:rtl w:val="true"/>
        </w:rPr>
        <w:t>الشهيد إذا مات في المعركة،</w:t>
      </w:r>
      <w:bookmarkEnd w:id="889"/>
    </w:p>
    <w:p>
      <w:pPr>
        <w:pStyle w:val="Heading6"/>
        <w:numPr>
          <w:ilvl w:val="5"/>
          <w:numId w:val="1"/>
        </w:numPr>
        <w:rPr/>
      </w:pPr>
      <w:bookmarkStart w:id="890" w:name="__RefHeading___Toc4192317_2142443653"/>
      <w:bookmarkStart w:id="891" w:name="_Toc364"/>
      <w:bookmarkEnd w:id="890"/>
      <w:r>
        <w:rPr>
          <w:rtl w:val="true"/>
        </w:rPr>
        <w:t>اشارة</w:t>
      </w:r>
      <w:bookmarkEnd w:id="891"/>
    </w:p>
    <w:p>
      <w:pPr>
        <w:pStyle w:val="BookText"/>
        <w:rPr/>
      </w:pPr>
      <w:r>
        <w:rPr>
          <w:rFonts w:ascii="Amiri" w:hAnsi="Amiri" w:eastAsia="Amiri" w:cs="Amiri"/>
          <w:color w:val="111111"/>
          <w:sz w:val="28"/>
          <w:sz w:val="28"/>
          <w:szCs w:val="28"/>
          <w:rtl w:val="true"/>
          <w:lang w:bidi="ar-SA"/>
        </w:rPr>
        <w:t xml:space="preserve">و لا يكفّن أيضا باتّفاقنا،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زمّلوهم بدمائهم</w:t>
      </w:r>
      <w:r>
        <w:rPr>
          <w:rFonts w:eastAsia="Amiri" w:cs="Amiri" w:ascii="Amiri" w:hAnsi="Amiri"/>
          <w:color w:val="111111"/>
          <w:sz w:val="28"/>
          <w:szCs w:val="28"/>
          <w:rtl w:val="true"/>
          <w:lang w:bidi="ar-SA"/>
        </w:rPr>
        <w:t>»</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لرواية أبان بن تغلب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يقتل في سبيل اللّه يدفن في ثيابه، و لا يغسّل إلاّ أن يدركه المسلمون و به رمق ثم يموت بعد، فإنّه يغسّل و يكفّن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حمزة في ثيابه و لم يغسّله، و لكنّه صلّى عليه</w:t>
      </w:r>
      <w:r>
        <w:rPr>
          <w:rFonts w:eastAsia="Amiri" w:cs="Amiri" w:ascii="Amiri" w:hAnsi="Amiri"/>
          <w:color w:val="111111"/>
          <w:sz w:val="28"/>
          <w:szCs w:val="28"/>
          <w:rtl w:val="true"/>
          <w:lang w:bidi="ar-SA"/>
        </w:rPr>
        <w:t>»</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يغسّل عمار بن ياسر، و لا هاشم بن عتبة المرقال، و دفنهما في ثيابهما، و لم يصلّ عليهما</w:t>
      </w:r>
      <w:r>
        <w:rPr>
          <w:rFonts w:eastAsia="Amiri" w:cs="Amiri" w:ascii="Amiri" w:hAnsi="Amiri"/>
          <w:color w:val="111111"/>
          <w:sz w:val="28"/>
          <w:szCs w:val="28"/>
          <w:rtl w:val="true"/>
          <w:lang w:bidi="ar-SA"/>
        </w:rPr>
        <w:t>»</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الشيخ نفي الصلاة إلى أنّه وهم من الراوي، لتظافر الأخبار بها</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نقل من المعركة و به رمق ثم مات غسّل و كفّن، لفحوى الرواية، و ظاهرها أنّ المعتبر في غسله إدراك المسلمين له و به رمق، و كذا باقي الروايات في التهذيب</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عمرو بن خالد بإسناده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الشهيد من يومه أو من الغد فواروه في ثيابه، و إن بقي أياما حتى يتغيّر جرحه غسّل</w:t>
      </w:r>
      <w:r>
        <w:rPr>
          <w:rFonts w:eastAsia="Amiri" w:cs="Amiri" w:ascii="Amiri" w:hAnsi="Amiri"/>
          <w:color w:val="111111"/>
          <w:sz w:val="28"/>
          <w:szCs w:val="28"/>
          <w:rtl w:val="true"/>
          <w:lang w:bidi="ar-SA"/>
        </w:rPr>
        <w:t>»</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 xml:space="preserve">. </w:t>
      </w:r>
      <w:bookmarkStart w:id="892" w:name="pg15253_219833"/>
    </w:p>
    <w:p>
      <w:pPr>
        <w:pStyle w:val="BookText"/>
        <w:rPr/>
      </w:pPr>
      <w:bookmarkEnd w:id="892"/>
      <w:r>
        <w:rPr>
          <w:rFonts w:ascii="Amiri" w:hAnsi="Amiri" w:eastAsia="Amiri" w:cs="Amiri"/>
          <w:color w:val="111111"/>
          <w:sz w:val="28"/>
          <w:sz w:val="28"/>
          <w:szCs w:val="28"/>
          <w:rtl w:val="true"/>
          <w:lang w:bidi="ar-SA"/>
        </w:rPr>
        <w:t>و الطريق ضعيف، مع مخالفته للمشهور و موافقته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أبان بن تغلب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حمزة لأنّه جرّد</w:t>
      </w:r>
      <w:r>
        <w:rPr>
          <w:rFonts w:eastAsia="Amiri" w:cs="Amiri" w:ascii="Amiri" w:hAnsi="Amiri"/>
          <w:color w:val="111111"/>
          <w:sz w:val="28"/>
          <w:szCs w:val="28"/>
          <w:rtl w:val="true"/>
          <w:lang w:bidi="ar-SA"/>
        </w:rPr>
        <w:t>»</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3" w:name="__RefHeading___Toc4192319_2142443653"/>
      <w:bookmarkStart w:id="894" w:name="_Toc365"/>
      <w:bookmarkEnd w:id="893"/>
      <w:r>
        <w:rPr>
          <w:rtl w:val="true"/>
        </w:rPr>
        <w:t>فروع</w:t>
      </w:r>
      <w:r>
        <w:rPr>
          <w:rtl w:val="true"/>
        </w:rPr>
        <w:t>:</w:t>
      </w:r>
      <w:bookmarkEnd w:id="894"/>
    </w:p>
    <w:p>
      <w:pPr>
        <w:pStyle w:val="Heading6"/>
        <w:numPr>
          <w:ilvl w:val="5"/>
          <w:numId w:val="1"/>
        </w:numPr>
        <w:rPr/>
      </w:pPr>
      <w:bookmarkStart w:id="895" w:name="__RefHeading___Toc4192321_2142443653"/>
      <w:bookmarkStart w:id="896" w:name="_Toc366"/>
      <w:bookmarkEnd w:id="895"/>
      <w:r>
        <w:rPr>
          <w:rtl w:val="true"/>
        </w:rPr>
        <w:t>الأول</w:t>
      </w:r>
      <w:r>
        <w:rPr>
          <w:rtl w:val="true"/>
        </w:rPr>
        <w:t xml:space="preserve">: </w:t>
      </w:r>
      <w:r>
        <w:rPr>
          <w:rtl w:val="true"/>
        </w:rPr>
        <w:t>لو قتل في الجهاد السائغ مع غيبة الإمام،</w:t>
      </w:r>
      <w:bookmarkEnd w:id="896"/>
    </w:p>
    <w:p>
      <w:pPr>
        <w:pStyle w:val="BookText"/>
        <w:rPr/>
      </w:pPr>
      <w:r>
        <w:rPr>
          <w:rFonts w:ascii="Amiri" w:hAnsi="Amiri" w:eastAsia="Amiri" w:cs="Amiri"/>
          <w:color w:val="111111"/>
          <w:sz w:val="28"/>
          <w:sz w:val="28"/>
          <w:szCs w:val="28"/>
          <w:rtl w:val="true"/>
          <w:lang w:bidi="ar-SA"/>
        </w:rPr>
        <w:t>فالأولى أنّه شهيد، لإطلاق الأخبار، و عموم بعضها</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الشيخين المنع، إلاّ مع الإمام أو نائبه</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ذكراه فيه زيادة لم تعلم من النص</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7" w:name="__RefHeading___Toc4192323_2142443653"/>
      <w:bookmarkStart w:id="898" w:name="_Toc367"/>
      <w:bookmarkEnd w:id="897"/>
      <w:r>
        <w:rPr>
          <w:rtl w:val="true"/>
        </w:rPr>
        <w:t>الثاني</w:t>
      </w:r>
      <w:r>
        <w:rPr>
          <w:rtl w:val="true"/>
        </w:rPr>
        <w:t xml:space="preserve">: </w:t>
      </w:r>
      <w:r>
        <w:rPr>
          <w:rtl w:val="true"/>
        </w:rPr>
        <w:t>لا فرق بين الجنب و غيره على الأقوى،</w:t>
      </w:r>
      <w:bookmarkEnd w:id="898"/>
    </w:p>
    <w:p>
      <w:pPr>
        <w:pStyle w:val="BookText"/>
        <w:rPr/>
      </w:pPr>
      <w:r>
        <w:rPr>
          <w:rFonts w:ascii="Amiri" w:hAnsi="Amiri" w:eastAsia="Amiri" w:cs="Amiri"/>
          <w:color w:val="111111"/>
          <w:sz w:val="28"/>
          <w:sz w:val="28"/>
          <w:szCs w:val="28"/>
          <w:rtl w:val="true"/>
          <w:lang w:bidi="ar-SA"/>
        </w:rPr>
        <w:t>و كذا الحائض و النفساء لو قتلتا لم تغسّلا،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الجنيد و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الجنب، لإخبار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الملائكة حنظلة بن الراهب لمكان خروجه جنبا</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لخبر عيص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الجنب يموت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من الجنابة، ثم يغسّل بعد غسل الميّت</w:t>
      </w:r>
      <w:r>
        <w:rPr>
          <w:rFonts w:eastAsia="Amiri" w:cs="Amiri" w:ascii="Amiri" w:hAnsi="Amiri"/>
          <w:color w:val="111111"/>
          <w:sz w:val="28"/>
          <w:szCs w:val="28"/>
          <w:rtl w:val="true"/>
          <w:lang w:bidi="ar-SA"/>
        </w:rPr>
        <w:t>»</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 xml:space="preserve">. </w:t>
      </w:r>
      <w:bookmarkStart w:id="899" w:name="pg15253_219834"/>
    </w:p>
    <w:p>
      <w:pPr>
        <w:pStyle w:val="BookText"/>
        <w:rPr/>
      </w:pPr>
      <w:bookmarkEnd w:id="899"/>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w:t>
      </w:r>
      <w:r>
        <w:rPr>
          <w:rStyle w:val="FootnoteAnchor"/>
          <w:rtl w:val="true"/>
        </w:rPr>
        <w:footnoteReference w:id="1740"/>
      </w:r>
      <w:r>
        <w:rPr>
          <w:rFonts w:ascii="Amiri" w:hAnsi="Amiri" w:eastAsia="Amiri" w:cs="Amiri"/>
          <w:color w:val="111111"/>
          <w:sz w:val="28"/>
          <w:sz w:val="28"/>
          <w:szCs w:val="28"/>
          <w:rtl w:val="true"/>
          <w:lang w:bidi="ar-SA"/>
        </w:rPr>
        <w:t>تكليف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العيص ظاهر في غير الشهيد، و معارض بخبر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الميت جنبا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غسلا واحدا، يجزي للجنابة و تغسيل الميت</w:t>
      </w:r>
      <w:r>
        <w:rPr>
          <w:rFonts w:eastAsia="Amiri" w:cs="Amiri" w:ascii="Amiri" w:hAnsi="Amiri"/>
          <w:color w:val="111111"/>
          <w:sz w:val="28"/>
          <w:szCs w:val="28"/>
          <w:rtl w:val="true"/>
          <w:lang w:bidi="ar-SA"/>
        </w:rPr>
        <w:t>»</w:t>
      </w:r>
      <w:r>
        <w:rPr>
          <w:rStyle w:val="FootnoteAnchor"/>
          <w:rtl w:val="true"/>
        </w:rPr>
        <w:footnoteReference w:id="1741"/>
      </w:r>
      <w:r>
        <w:rPr>
          <w:rFonts w:ascii="IRNazanin" w:hAnsi="IRNazanin" w:eastAsia="IRNazanin"/>
          <w:color w:val="111111"/>
          <w:sz w:val="28"/>
          <w:sz w:val="28"/>
          <w:szCs w:val="28"/>
          <w:rtl w:val="true"/>
          <w:lang w:bidi="fa-IR"/>
        </w:rPr>
        <w:t>فالجمع بالحمل على الندب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أنّه روى الكليني بإسناده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 ميت تخرج منه النطفة التي خلق منها، فلذلك يغسّل غسل الجنابة</w:t>
      </w:r>
      <w:r>
        <w:rPr>
          <w:rFonts w:eastAsia="Amiri" w:cs="Amiri" w:ascii="Amiri" w:hAnsi="Amiri"/>
          <w:color w:val="111111"/>
          <w:sz w:val="28"/>
          <w:szCs w:val="28"/>
          <w:rtl w:val="true"/>
          <w:lang w:bidi="ar-SA"/>
        </w:rPr>
        <w:t>»</w:t>
      </w:r>
      <w:r>
        <w:rPr>
          <w:rStyle w:val="FootnoteAnchor"/>
          <w:rtl w:val="true"/>
        </w:rPr>
        <w:footnoteReference w:id="1742"/>
      </w:r>
      <w:r>
        <w:rPr>
          <w:rFonts w:ascii="Amiri" w:hAnsi="Amiri" w:eastAsia="Amiri" w:cs="Amiri"/>
          <w:color w:val="111111"/>
          <w:sz w:val="28"/>
          <w:sz w:val="28"/>
          <w:szCs w:val="28"/>
          <w:rtl w:val="true"/>
          <w:lang w:bidi="ar-SA"/>
        </w:rPr>
        <w:t>فحينئذ المجنب قبل موته بمنزلة من تكرّرت جنابته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التعدّد هنا أخرجنا الشهيد، للنص الدّال على أنّه لا يغسّل بالإطلاق</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4192325_2142443653"/>
      <w:bookmarkStart w:id="901" w:name="_Toc368"/>
      <w:bookmarkEnd w:id="900"/>
      <w:r>
        <w:rPr>
          <w:rtl w:val="true"/>
        </w:rPr>
        <w:t>الثالث</w:t>
      </w:r>
      <w:r>
        <w:rPr>
          <w:rtl w:val="true"/>
        </w:rPr>
        <w:t xml:space="preserve">: </w:t>
      </w:r>
      <w:r>
        <w:rPr>
          <w:rtl w:val="true"/>
        </w:rPr>
        <w:t>لو وجد ميت في المعركة أو غريق أو محترق،</w:t>
      </w:r>
      <w:bookmarkEnd w:id="901"/>
    </w:p>
    <w:p>
      <w:pPr>
        <w:pStyle w:val="BookText"/>
        <w:rPr/>
      </w:pPr>
      <w:r>
        <w:rPr>
          <w:rFonts w:ascii="Amiri" w:hAnsi="Amiri" w:eastAsia="Amiri" w:cs="Amiri"/>
          <w:color w:val="111111"/>
          <w:sz w:val="28"/>
          <w:sz w:val="28"/>
          <w:szCs w:val="28"/>
          <w:rtl w:val="true"/>
          <w:lang w:bidi="ar-SA"/>
        </w:rPr>
        <w:t>و عليه أثر القتل، فهو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خلا عنه، فهو شهيد أيضا عند الشيخ، لأنّ القتل لا يستلزم ظهور الأثر، فيعمل بالظاهر</w:t>
      </w:r>
      <w:r>
        <w:rPr>
          <w:rStyle w:val="FootnoteAnchor"/>
          <w:rtl w:val="true"/>
        </w:rPr>
        <w:footnoteReference w:id="1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شهيد عند ابن الجنيد</w:t>
      </w:r>
      <w:r>
        <w:rPr>
          <w:rStyle w:val="FootnoteAnchor"/>
          <w:rtl w:val="true"/>
        </w:rPr>
        <w:footnoteReference w:id="1744"/>
      </w:r>
      <w:r>
        <w:rPr>
          <w:rFonts w:ascii="Amiri" w:hAnsi="Amiri" w:eastAsia="Amiri" w:cs="Amiri"/>
          <w:color w:val="111111"/>
          <w:sz w:val="28"/>
          <w:sz w:val="28"/>
          <w:szCs w:val="28"/>
          <w:rtl w:val="true"/>
          <w:lang w:bidi="ar-SA"/>
        </w:rPr>
        <w:t>، للشكّ في الشرط، و أصالة 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قوّى الفاضلان الأول</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2" w:name="__RefHeading___Toc4192327_2142443653"/>
      <w:bookmarkStart w:id="903" w:name="_Toc369"/>
      <w:bookmarkEnd w:id="902"/>
      <w:r>
        <w:rPr>
          <w:rtl w:val="true"/>
        </w:rPr>
        <w:t>الرابع</w:t>
      </w:r>
      <w:r>
        <w:rPr>
          <w:rtl w:val="true"/>
        </w:rPr>
        <w:t xml:space="preserve">: </w:t>
      </w:r>
      <w:r>
        <w:rPr>
          <w:rtl w:val="true"/>
        </w:rPr>
        <w:t>لا فرق بين الصغير و الكبير،</w:t>
      </w:r>
      <w:bookmarkEnd w:id="903"/>
    </w:p>
    <w:p>
      <w:pPr>
        <w:pStyle w:val="BookText"/>
        <w:rPr/>
      </w:pPr>
      <w:r>
        <w:rPr>
          <w:rFonts w:ascii="Amiri" w:hAnsi="Amiri" w:eastAsia="Amiri" w:cs="Amiri"/>
          <w:color w:val="111111"/>
          <w:sz w:val="28"/>
          <w:sz w:val="28"/>
          <w:szCs w:val="28"/>
          <w:rtl w:val="true"/>
          <w:lang w:bidi="ar-SA"/>
        </w:rPr>
        <w:t xml:space="preserve">و الرجل و المرأة، و الحرّ و العبد، و المقتول بالحديد و الخشب، و الصدم و اللطم، و لا بين من عاد سلاحه اليه فقتله و غيره، عملا بإطلاق اللفظ، و لأنّه كان في قتلى بدر و أحد أطفال كحارثة بن النعمان و عمر بن أبي وقاص، و قتل في الطف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الرضيع، و لم ينقل في ذلك كلّه غسل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رجلا أصاب نفسه بالسيف، فلفّه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بثيابه و دمائه و صلّى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شهيد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 أنا </w:t>
      </w:r>
      <w:bookmarkStart w:id="904" w:name="pg15253_219835"/>
    </w:p>
    <w:p>
      <w:pPr>
        <w:pStyle w:val="BookText"/>
        <w:rPr/>
      </w:pPr>
      <w:bookmarkEnd w:id="904"/>
      <w:r>
        <w:rPr>
          <w:rFonts w:ascii="Amiri" w:hAnsi="Amiri" w:eastAsia="Amiri" w:cs="Amiri"/>
          <w:color w:val="111111"/>
          <w:sz w:val="28"/>
          <w:sz w:val="28"/>
          <w:szCs w:val="28"/>
          <w:rtl w:val="true"/>
          <w:lang w:bidi="ar-SA"/>
        </w:rPr>
        <w:t>له شهيد</w:t>
      </w:r>
      <w:r>
        <w:rPr>
          <w:rFonts w:eastAsia="Amiri" w:cs="Amiri" w:ascii="Amiri" w:hAnsi="Amiri"/>
          <w:color w:val="111111"/>
          <w:sz w:val="28"/>
          <w:szCs w:val="28"/>
          <w:rtl w:val="true"/>
          <w:lang w:bidi="ar-SA"/>
        </w:rPr>
        <w:t>»</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الاعتبار بالرمق لا بالأكل و الشرب، لما مرّ</w:t>
      </w:r>
      <w:r>
        <w:rPr>
          <w:rFonts w:eastAsia="Amiri" w:cs="Amiri" w:ascii="Amiri" w:hAnsi="Amiri"/>
          <w:color w:val="111111"/>
          <w:sz w:val="28"/>
          <w:szCs w:val="28"/>
          <w:rtl w:val="true"/>
          <w:lang w:bidi="ar-SA"/>
        </w:rPr>
        <w:t>.</w:t>
      </w:r>
    </w:p>
    <w:p>
      <w:pPr>
        <w:pStyle w:val="Heading6"/>
        <w:numPr>
          <w:ilvl w:val="5"/>
          <w:numId w:val="1"/>
        </w:numPr>
        <w:rPr/>
      </w:pPr>
      <w:bookmarkStart w:id="905" w:name="__RefHeading___Toc4192329_2142443653"/>
      <w:bookmarkStart w:id="906" w:name="_Toc370"/>
      <w:bookmarkEnd w:id="905"/>
      <w:r>
        <w:rPr>
          <w:rtl w:val="true"/>
        </w:rPr>
        <w:t>الخامس</w:t>
      </w:r>
      <w:r>
        <w:rPr>
          <w:rtl w:val="true"/>
        </w:rPr>
        <w:t xml:space="preserve">: </w:t>
      </w:r>
      <w:r>
        <w:rPr>
          <w:rtl w:val="true"/>
        </w:rPr>
        <w:t>المقتول من أهل العدل شهيد،</w:t>
      </w:r>
      <w:bookmarkEnd w:id="906"/>
    </w:p>
    <w:p>
      <w:pPr>
        <w:pStyle w:val="BookText"/>
        <w:rPr/>
      </w:pPr>
      <w:r>
        <w:rPr>
          <w:rFonts w:ascii="Amiri" w:hAnsi="Amiri" w:eastAsia="Amiri" w:cs="Amiri"/>
          <w:color w:val="111111"/>
          <w:sz w:val="28"/>
          <w:sz w:val="28"/>
          <w:szCs w:val="28"/>
          <w:rtl w:val="true"/>
          <w:lang w:bidi="ar-SA"/>
        </w:rPr>
        <w:t xml:space="preserve">لفعل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47"/>
      </w:r>
      <w:r>
        <w:rPr>
          <w:rFonts w:ascii="Amiri" w:hAnsi="Amiri" w:eastAsia="Amiri" w:cs="Amiri"/>
          <w:color w:val="111111"/>
          <w:sz w:val="28"/>
          <w:sz w:val="28"/>
          <w:szCs w:val="28"/>
          <w:rtl w:val="true"/>
          <w:lang w:bidi="ar-SA"/>
        </w:rPr>
        <w:t>، و أوصى عمار ان لا يغسّل،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بثيابي فإنّي مخاصم</w:t>
      </w:r>
      <w:r>
        <w:rPr>
          <w:rStyle w:val="FootnoteAnchor"/>
          <w:rtl w:val="true"/>
        </w:rPr>
        <w:footnoteReference w:id="1748"/>
      </w:r>
      <w:r>
        <w:rPr>
          <w:rFonts w:ascii="Amiri" w:hAnsi="Amiri" w:eastAsia="Amiri" w:cs="Amiri"/>
          <w:color w:val="111111"/>
          <w:sz w:val="28"/>
          <w:sz w:val="28"/>
          <w:szCs w:val="28"/>
          <w:rtl w:val="true"/>
          <w:lang w:bidi="ar-SA"/>
        </w:rPr>
        <w:t>، و كذا وصّى أصحاب الجمل</w:t>
      </w:r>
      <w:r>
        <w:rPr>
          <w:rStyle w:val="FootnoteAnchor"/>
          <w:rtl w:val="true"/>
        </w:rPr>
        <w:footnoteReference w:id="1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تغسيل أسماء ابنها عبد اللّه، لعدم شرط الشهادة، و لأنّه أخذ و صلب و لم يمت في المعركة</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المقتول من البغاة ليس بشهيد، و تنتفي عنه أحكام الميت، لكفره عند الشيخ</w:t>
      </w:r>
      <w:r>
        <w:rPr>
          <w:rStyle w:val="FootnoteAnchor"/>
          <w:rtl w:val="true"/>
        </w:rPr>
        <w:footnoteReference w:id="1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سير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 يصلّى عليه، بناء على إسلامه</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7" w:name="__RefHeading___Toc4192331_2142443653"/>
      <w:bookmarkStart w:id="908" w:name="_Toc371"/>
      <w:bookmarkEnd w:id="907"/>
      <w:r>
        <w:rPr>
          <w:rtl w:val="true"/>
        </w:rPr>
        <w:t>السادس</w:t>
      </w:r>
      <w:r>
        <w:rPr>
          <w:rtl w:val="true"/>
        </w:rPr>
        <w:t xml:space="preserve">: </w:t>
      </w:r>
      <w:r>
        <w:rPr>
          <w:rtl w:val="true"/>
        </w:rPr>
        <w:t>أطلقت الشهادة في الأخبار على من قتل دون ماله و دون أهله،</w:t>
      </w:r>
      <w:bookmarkEnd w:id="908"/>
    </w:p>
    <w:p>
      <w:pPr>
        <w:pStyle w:val="BookText"/>
        <w:rPr/>
      </w:pPr>
      <w:r>
        <w:rPr>
          <w:rFonts w:ascii="IRNazanin" w:hAnsi="IRNazanin" w:eastAsia="IRNazanin"/>
          <w:color w:val="111111"/>
          <w:sz w:val="28"/>
          <w:sz w:val="28"/>
          <w:szCs w:val="28"/>
          <w:rtl w:val="true"/>
          <w:lang w:bidi="fa-IR"/>
        </w:rPr>
        <w:t>و على المطعون و المبطون</w:t>
      </w:r>
      <w:r>
        <w:rPr>
          <w:rStyle w:val="FootnoteAnchor"/>
          <w:rtl w:val="true"/>
        </w:rPr>
        <w:footnoteReference w:id="1753"/>
      </w:r>
      <w:r>
        <w:rPr>
          <w:rFonts w:ascii="Amiri" w:hAnsi="Amiri" w:eastAsia="Amiri" w:cs="Amiri"/>
          <w:color w:val="111111"/>
          <w:sz w:val="28"/>
          <w:sz w:val="28"/>
          <w:szCs w:val="28"/>
          <w:rtl w:val="true"/>
          <w:lang w:bidi="ar-SA"/>
        </w:rPr>
        <w:t>و الغريق و المهدوم عليه و النفساء، لا بمعنى لحوق أحكام الشهيد بل المعنى المساواة أو المقاربة في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تتمّات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زيد بن علي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نزع عن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 و الخف، و القلنسوة، و العمامة، و المنطقة، و السراويل، إلاّ أن يكون أصابه دم، فإن أصابه دم ترك، و لا يترك عليه شيء معقود إلاّ حلّ</w:t>
      </w:r>
      <w:r>
        <w:rPr>
          <w:rFonts w:eastAsia="Amiri" w:cs="Amiri" w:ascii="Amiri" w:hAnsi="Amiri"/>
          <w:color w:val="111111"/>
          <w:sz w:val="28"/>
          <w:szCs w:val="28"/>
          <w:rtl w:val="true"/>
          <w:lang w:bidi="ar-SA"/>
        </w:rPr>
        <w:t>»</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تنزع هذه الأشياء،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يصيب شيئا منها دم</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عنه الجلود، و الحديد المفرد</w:t>
      </w:r>
      <w:r>
        <w:rPr>
          <w:rStyle w:val="FootnoteAnchor"/>
          <w:rtl w:val="true"/>
        </w:rPr>
        <w:footnoteReference w:id="1756"/>
      </w:r>
      <w:r>
        <w:rPr>
          <w:rFonts w:ascii="Amiri" w:hAnsi="Amiri" w:eastAsia="Amiri" w:cs="Amiri"/>
          <w:color w:val="111111"/>
          <w:sz w:val="28"/>
          <w:sz w:val="28"/>
          <w:szCs w:val="28"/>
          <w:rtl w:val="true"/>
          <w:lang w:bidi="ar-SA"/>
        </w:rPr>
        <w:t>، و المنسوج مع غيره، و السراويل، إلاّ أن يكون فيه دم</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جميع ما عليه ممّا أصابه الدم إلاّ الخفين، 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أصابهما الدم دفنا معه</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بثيابه، و لا ينزع منه إلاّ الجلود</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عنه السراويل إلاّ أن يصيبه دم، و ينزع عنه الفرو و القلنسوة، و إن أصابهما دم دفنا معه، و ينزع الخفّ عنه على كلّ حال</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بثيابه و إن لم يصبها الدم، و بالخفّ و الفرو و القلنسوة إن أصابها دم، و إن لم يصبها دم نزعت</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 بثيابه و إن لم يصبها دم أجمع عليه المسلمون،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الأوجه وجوب دفن السروال، لأنّه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عنه الخف و الفرو و الجلود و ان أصابها الدم، لأن دفنها تضييع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بقتلى أحد أن ينزع عنهم الجلود و الحديد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لعدم تسمية الجلود ثوبا عرفا، و الرواية رواها رجال الزيدية، فهي ضعيفة</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909" w:name="pg15253_219837"/>
    </w:p>
    <w:p>
      <w:pPr>
        <w:pStyle w:val="BookText"/>
        <w:rPr/>
      </w:pPr>
      <w:bookmarkEnd w:id="909"/>
      <w:r>
        <w:rPr>
          <w:rFonts w:ascii="Amiri" w:hAnsi="Amiri" w:eastAsia="Amiri" w:cs="Amiri"/>
          <w:color w:val="111111"/>
          <w:sz w:val="28"/>
          <w:sz w:val="28"/>
          <w:szCs w:val="28"/>
          <w:rtl w:val="true"/>
          <w:lang w:bidi="ar-SA"/>
        </w:rPr>
        <w:t xml:space="preserve">و المقتول ظلما بحديد كالمقتول بمثقل في وجوب الغسل، لتغسيل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63"/>
      </w:r>
      <w:r>
        <w:rPr>
          <w:rFonts w:ascii="Amiri" w:hAnsi="Amiri" w:eastAsia="Amiri" w:cs="Amiri"/>
          <w:color w:val="111111"/>
          <w:sz w:val="28"/>
          <w:sz w:val="28"/>
          <w:szCs w:val="28"/>
          <w:rtl w:val="true"/>
          <w:lang w:bidi="ar-SA"/>
        </w:rPr>
        <w:t>و تغسيل الصحابة الثاني</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يغسّل اللصّ و المحارب كغيرهما، لأنّ الفسق غير مانع من إجراء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تزال النجاسة من غير أثر الشهادة؟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النهي عن غسل الشهيد مطلقا، و من أنّ هذه النجاسة ليست من أثر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اقتضى زوالها زوال أثر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الوارث من إبدال ثيابه،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زمّلوهم بكلومهم</w:t>
      </w:r>
      <w:r>
        <w:rPr>
          <w:rFonts w:eastAsia="Amiri" w:cs="Amiri" w:ascii="Amiri" w:hAnsi="Amiri"/>
          <w:color w:val="111111"/>
          <w:sz w:val="28"/>
          <w:szCs w:val="28"/>
          <w:rtl w:val="true"/>
          <w:lang w:bidi="ar-SA"/>
        </w:rPr>
        <w:t>»</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عمارا و المرقال دفنا بثيابهما بحضرة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النبي أمر في قتلى أحد بأن يدفنوا بدمائهم و ثيابهم</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0" w:name="__RefHeading___Toc4192333_2142443653"/>
      <w:bookmarkStart w:id="911" w:name="_Toc372"/>
      <w:bookmarkEnd w:id="910"/>
      <w:r>
        <w:rPr>
          <w:rtl w:val="true"/>
        </w:rPr>
        <w:t>الثاني</w:t>
      </w:r>
      <w:r>
        <w:rPr>
          <w:rtl w:val="true"/>
        </w:rPr>
        <w:t xml:space="preserve">: </w:t>
      </w:r>
      <w:r>
        <w:rPr>
          <w:rtl w:val="true"/>
        </w:rPr>
        <w:t>الكافر</w:t>
      </w:r>
      <w:bookmarkEnd w:id="911"/>
    </w:p>
    <w:p>
      <w:pPr>
        <w:pStyle w:val="BookText"/>
        <w:rPr/>
      </w:pPr>
      <w:r>
        <w:rPr>
          <w:rFonts w:ascii="Amiri" w:hAnsi="Amiri" w:eastAsia="Amiri" w:cs="Amiri"/>
          <w:color w:val="111111"/>
          <w:sz w:val="28"/>
          <w:sz w:val="28"/>
          <w:szCs w:val="28"/>
          <w:rtl w:val="true"/>
          <w:lang w:bidi="ar-SA"/>
        </w:rPr>
        <w:t>لا يغسّل بإجماعنا، بل لا يجوز غسله، لانتفاء التطهير به، و لا فرق بين القريب و غيره، و الزوجة و غيرها، و أولادهم يتبعونهم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يكفّن و لا يدفن و لا يصلّى عليه، للآية</w:t>
      </w:r>
      <w:r>
        <w:rPr>
          <w:rStyle w:val="FootnoteAnchor"/>
          <w:rtl w:val="true"/>
        </w:rPr>
        <w:footnoteReference w:id="1768"/>
      </w:r>
      <w:r>
        <w:rPr>
          <w:rFonts w:ascii="IRNazanin" w:hAnsi="IRNazanin" w:eastAsia="IRNazanin"/>
          <w:color w:val="111111"/>
          <w:sz w:val="28"/>
          <w:sz w:val="28"/>
          <w:szCs w:val="28"/>
          <w:rtl w:val="true"/>
          <w:lang w:bidi="fa-IR"/>
        </w:rPr>
        <w:t>، و لقوله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يَتَوَلَّهُمْ مِنْكُمْ فَإِنَّهُ مِنْهُمْ‌</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ذلك إكرام لا يصلح للكافر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لرواية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النصراني يموت مع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يغسّله و لا كرامة، و لا يدفنه، و لا يقوم على قبره، و لو كان أباه</w:t>
      </w:r>
      <w:r>
        <w:rPr>
          <w:rFonts w:eastAsia="Amiri" w:cs="Amiri" w:ascii="Amiri" w:hAnsi="Amiri"/>
          <w:color w:val="111111"/>
          <w:sz w:val="28"/>
          <w:szCs w:val="28"/>
          <w:rtl w:val="true"/>
          <w:lang w:bidi="ar-SA"/>
        </w:rPr>
        <w:t>»</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عن يحيى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تغسيل المسلم قرابته الذمي و المشرك، و أن يكفنه و يصلّي عليه و يلوذ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من يواريه جاز مواراته لئلا يضيّع</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صاحِبْهُما فِي اَلدُّنْيا مَعْرُوفاً </w:t>
      </w:r>
      <w:r>
        <w:rPr>
          <w:rStyle w:val="FootnoteAnchor"/>
          <w:rtl w:val="true"/>
        </w:rPr>
        <w:footnoteReference w:id="1772"/>
      </w:r>
      <w:r>
        <w:rPr>
          <w:rFonts w:ascii="Amiri" w:hAnsi="Amiri" w:eastAsia="Amiri" w:cs="Amiri"/>
          <w:color w:val="111111"/>
          <w:sz w:val="28"/>
          <w:sz w:val="28"/>
          <w:szCs w:val="28"/>
          <w:rtl w:val="true"/>
          <w:lang w:bidi="ar-SA"/>
        </w:rPr>
        <w:t>و بتغسيل علي أباه</w:t>
      </w:r>
      <w:r>
        <w:rPr>
          <w:rStyle w:val="FootnoteAnchor"/>
          <w:rtl w:val="true"/>
        </w:rPr>
        <w:footnoteReference w:id="1773"/>
      </w:r>
      <w:r>
        <w:rPr>
          <w:rFonts w:ascii="Amiri" w:hAnsi="Amiri" w:eastAsia="Amiri" w:cs="Amiri"/>
          <w:color w:val="111111"/>
          <w:sz w:val="28"/>
          <w:sz w:val="28"/>
          <w:szCs w:val="28"/>
          <w:rtl w:val="true"/>
          <w:lang w:bidi="ar-SA"/>
        </w:rPr>
        <w:t>و بجواز تغسيله حيّا،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بعد الموت من الآخرة لا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نمنع أنّ ذلك معروف، لأنّه لم يعلم التجهيز إلاّ من الشرع فيقف على دلالة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الدلائل القطعية على أنّه مات مسلما و هذا من جملتها، و الغسل حيّا للتنظيف لا للتطهير بخلاف غسل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اشتبه موتى المسلمين بالكفّار في غير الشهداء، فالوجه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غسل الجميع، لتوقّف الواجب عليه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تميّز بأمارة قويّة 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لو مسّ أحدهم بعد غسله وجب الغسل بمسّه، لجواز كونه كافرا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912" w:name="pg15253_219839"/>
    </w:p>
    <w:p>
      <w:pPr>
        <w:pStyle w:val="BookText"/>
        <w:rPr/>
      </w:pPr>
      <w:bookmarkEnd w:id="912"/>
      <w:r>
        <w:rPr>
          <w:rFonts w:ascii="Amiri" w:hAnsi="Amiri" w:eastAsia="Amiri" w:cs="Amiri"/>
          <w:color w:val="111111"/>
          <w:sz w:val="28"/>
          <w:sz w:val="28"/>
          <w:szCs w:val="28"/>
          <w:rtl w:val="true"/>
          <w:lang w:bidi="ar-SA"/>
        </w:rPr>
        <w:t>و يمكن عدمه، للشكّ في الحدث، فلا يرفع يقين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مسّ الجميع، فلا إشكال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في المعتبر بعدم تغسيل ميت يوجد في دار الكفر و إن كان فيه علامة، لاشتراك العلامات بين المسلمين و الكفّار</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3" w:name="__RefHeading___Toc4192335_2142443653"/>
      <w:bookmarkStart w:id="914" w:name="_Toc373"/>
      <w:bookmarkEnd w:id="913"/>
      <w:r>
        <w:rPr>
          <w:rtl w:val="true"/>
        </w:rPr>
        <w:t>الثالث</w:t>
      </w:r>
      <w:r>
        <w:rPr>
          <w:rtl w:val="true"/>
        </w:rPr>
        <w:t xml:space="preserve">: </w:t>
      </w:r>
      <w:r>
        <w:rPr>
          <w:rtl w:val="true"/>
        </w:rPr>
        <w:t>المخالف عند المفيد لا يغسّله المؤمن و لا يصلّي عليه،</w:t>
      </w:r>
      <w:bookmarkEnd w:id="914"/>
    </w:p>
    <w:p>
      <w:pPr>
        <w:pStyle w:val="BookText"/>
        <w:rPr/>
      </w:pPr>
      <w:r>
        <w:rPr>
          <w:rFonts w:ascii="Amiri" w:hAnsi="Amiri" w:eastAsia="Amiri" w:cs="Amiri"/>
          <w:color w:val="111111"/>
          <w:sz w:val="28"/>
          <w:sz w:val="28"/>
          <w:szCs w:val="28"/>
          <w:rtl w:val="true"/>
          <w:lang w:bidi="ar-SA"/>
        </w:rPr>
        <w:t>إلاّ لضرورة فيغسّله غسل أهل الخلاف</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في التهذيب بأنّه من القسم الثاني</w:t>
      </w:r>
      <w:r>
        <w:rPr>
          <w:rStyle w:val="FootnoteAnchor"/>
          <w:rtl w:val="true"/>
        </w:rPr>
        <w:footnoteReference w:id="1776"/>
      </w:r>
      <w:r>
        <w:rPr>
          <w:rFonts w:ascii="Amiri" w:hAnsi="Amiri" w:eastAsia="Amiri" w:cs="Amiri"/>
          <w:color w:val="111111"/>
          <w:sz w:val="28"/>
          <w:sz w:val="28"/>
          <w:szCs w:val="28"/>
          <w:rtl w:val="true"/>
          <w:lang w:bidi="ar-SA"/>
        </w:rPr>
        <w:t>، و فيه منع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القاضي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المخالف إلاّ لتقيّة</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وضع الجريدة معه</w:t>
      </w:r>
      <w:r>
        <w:rPr>
          <w:rFonts w:eastAsia="Amiri" w:cs="Amiri" w:ascii="Amiri" w:hAnsi="Amiri"/>
          <w:color w:val="111111"/>
          <w:sz w:val="28"/>
          <w:szCs w:val="28"/>
          <w:rtl w:val="true"/>
          <w:lang w:bidi="ar-SA"/>
        </w:rPr>
        <w:t>.</w:t>
      </w:r>
    </w:p>
    <w:p>
      <w:pPr>
        <w:pStyle w:val="Heading6"/>
        <w:numPr>
          <w:ilvl w:val="5"/>
          <w:numId w:val="1"/>
        </w:numPr>
        <w:rPr/>
      </w:pPr>
      <w:bookmarkStart w:id="915" w:name="__RefHeading___Toc4192337_2142443653"/>
      <w:bookmarkStart w:id="916" w:name="_Toc374"/>
      <w:bookmarkEnd w:id="915"/>
      <w:r>
        <w:rPr>
          <w:rtl w:val="true"/>
        </w:rPr>
        <w:t>الرابع</w:t>
      </w:r>
      <w:r>
        <w:rPr>
          <w:rtl w:val="true"/>
        </w:rPr>
        <w:t xml:space="preserve">: </w:t>
      </w:r>
      <w:r>
        <w:rPr>
          <w:rtl w:val="true"/>
        </w:rPr>
        <w:t>إذا فقد الغاسل،</w:t>
      </w:r>
      <w:bookmarkEnd w:id="916"/>
    </w:p>
    <w:p>
      <w:pPr>
        <w:pStyle w:val="BookText"/>
        <w:rPr/>
      </w:pPr>
      <w:r>
        <w:rPr>
          <w:rFonts w:ascii="Amiri" w:hAnsi="Amiri" w:eastAsia="Amiri" w:cs="Amiri"/>
          <w:color w:val="111111"/>
          <w:sz w:val="28"/>
          <w:sz w:val="28"/>
          <w:szCs w:val="28"/>
          <w:rtl w:val="true"/>
          <w:lang w:bidi="ar-SA"/>
        </w:rPr>
        <w:t>و قد مرّ الخلاف فيه</w:t>
      </w:r>
      <w:r>
        <w:rPr>
          <w:rFonts w:eastAsia="Amiri" w:cs="Amiri" w:ascii="Amiri" w:hAnsi="Amiri"/>
          <w:color w:val="111111"/>
          <w:sz w:val="28"/>
          <w:szCs w:val="28"/>
          <w:rtl w:val="true"/>
          <w:lang w:bidi="ar-SA"/>
        </w:rPr>
        <w:t>.</w:t>
      </w:r>
    </w:p>
    <w:p>
      <w:pPr>
        <w:pStyle w:val="Heading6"/>
        <w:numPr>
          <w:ilvl w:val="5"/>
          <w:numId w:val="1"/>
        </w:numPr>
        <w:rPr/>
      </w:pPr>
      <w:bookmarkStart w:id="917" w:name="__RefHeading___Toc4192339_2142443653"/>
      <w:bookmarkStart w:id="918" w:name="_Toc375"/>
      <w:bookmarkEnd w:id="917"/>
      <w:r>
        <w:rPr>
          <w:rtl w:val="true"/>
        </w:rPr>
        <w:t>الخامس</w:t>
      </w:r>
      <w:r>
        <w:rPr>
          <w:rtl w:val="true"/>
        </w:rPr>
        <w:t xml:space="preserve">: </w:t>
      </w:r>
      <w:r>
        <w:rPr>
          <w:rtl w:val="true"/>
        </w:rPr>
        <w:t>إذا عدم الماء أو وصلته</w:t>
      </w:r>
      <w:r>
        <w:rPr>
          <w:rtl w:val="true"/>
        </w:rPr>
        <w:t>.</w:t>
      </w:r>
      <w:bookmarkEnd w:id="918"/>
    </w:p>
    <w:p>
      <w:pPr>
        <w:pStyle w:val="Heading6"/>
        <w:numPr>
          <w:ilvl w:val="5"/>
          <w:numId w:val="1"/>
        </w:numPr>
        <w:rPr/>
      </w:pPr>
      <w:bookmarkStart w:id="919" w:name="__RefHeading___Toc4192341_2142443653"/>
      <w:bookmarkStart w:id="920" w:name="_Toc376"/>
      <w:bookmarkEnd w:id="919"/>
      <w:r>
        <w:rPr>
          <w:rtl w:val="true"/>
        </w:rPr>
        <w:t>السادس</w:t>
      </w:r>
      <w:r>
        <w:rPr>
          <w:rtl w:val="true"/>
        </w:rPr>
        <w:t xml:space="preserve">: </w:t>
      </w:r>
      <w:r>
        <w:rPr>
          <w:rtl w:val="true"/>
        </w:rPr>
        <w:t>إذا عجز المسلم عن تغسيله،</w:t>
      </w:r>
      <w:bookmarkEnd w:id="920"/>
    </w:p>
    <w:p>
      <w:pPr>
        <w:pStyle w:val="BookText"/>
        <w:rPr/>
      </w:pPr>
      <w:r>
        <w:rPr>
          <w:rFonts w:ascii="Amiri" w:hAnsi="Amiri" w:eastAsia="Amiri" w:cs="Amiri"/>
          <w:color w:val="111111"/>
          <w:sz w:val="28"/>
          <w:sz w:val="28"/>
          <w:szCs w:val="28"/>
          <w:rtl w:val="true"/>
          <w:lang w:bidi="ar-SA"/>
        </w:rPr>
        <w:t>إمّا لضرورة في نفسه، 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يوجد إلاّ غير العارف بكيفيّة الغسل، 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أجزأه صبّ الماء عليه</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1" w:name="__RefHeading___Toc4192343_2142443653"/>
      <w:bookmarkStart w:id="922" w:name="_Toc377"/>
      <w:bookmarkEnd w:id="921"/>
      <w:r>
        <w:rPr>
          <w:rtl w:val="true"/>
        </w:rPr>
        <w:t>السابع</w:t>
      </w:r>
      <w:r>
        <w:rPr>
          <w:rtl w:val="true"/>
        </w:rPr>
        <w:t xml:space="preserve">: </w:t>
      </w:r>
      <w:r>
        <w:rPr>
          <w:rtl w:val="true"/>
        </w:rPr>
        <w:t>إذا لم يمكن تغسيله لخوف تناثر لحمه</w:t>
      </w:r>
      <w:bookmarkEnd w:id="9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كالمحترق و المجدور و الملسوع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صبّا، فإن خيف ذهاب اللحم أو الجلد بالصبّ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الأقسام الثلاثة ييمّمون، لعموم بدليته من الغسل، فيمسح وجهه ثم ظاهر كفّيه بعد الضرب على الأرض مرتين، لأنّه بدل من الغسل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ضريس عن زين العابدين أو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المجدور </w:t>
      </w:r>
    </w:p>
    <w:p>
      <w:pPr>
        <w:pStyle w:val="BookText"/>
        <w:rPr/>
      </w:pPr>
      <w:r>
        <w:rPr>
          <w:rFonts w:ascii="Amiri" w:hAnsi="Amiri" w:eastAsia="Amiri" w:cs="Amiri"/>
          <w:color w:val="111111"/>
          <w:sz w:val="28"/>
          <w:sz w:val="28"/>
          <w:szCs w:val="28"/>
          <w:rtl w:val="true"/>
          <w:lang w:bidi="ar-SA"/>
        </w:rPr>
        <w:t>و الكسير و الذي به القروح يصبّ عليه الماء</w:t>
      </w:r>
      <w:r>
        <w:rPr>
          <w:rFonts w:eastAsia="Amiri" w:cs="Amiri" w:ascii="Amiri" w:hAnsi="Amiri"/>
          <w:color w:val="111111"/>
          <w:sz w:val="28"/>
          <w:szCs w:val="28"/>
          <w:rtl w:val="true"/>
          <w:lang w:bidi="ar-SA"/>
        </w:rPr>
        <w:t>»</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زيد بإسناده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المحترق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 عليه الماء</w:t>
      </w:r>
      <w:r>
        <w:rPr>
          <w:rFonts w:eastAsia="Amiri" w:cs="Amiri" w:ascii="Amiri" w:hAnsi="Amiri"/>
          <w:color w:val="111111"/>
          <w:sz w:val="28"/>
          <w:szCs w:val="28"/>
          <w:rtl w:val="true"/>
          <w:lang w:bidi="ar-SA"/>
        </w:rPr>
        <w:t>»</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بالإسناد</w:t>
      </w:r>
      <w:r>
        <w:rPr>
          <w:rFonts w:eastAsia="IRNazanin" w:cs="IRNazanin"/>
          <w:color w:val="111111"/>
          <w:sz w:val="28"/>
          <w:szCs w:val="28"/>
          <w:rtl w:val="true"/>
          <w:lang w:bidi="fa-IR"/>
        </w:rPr>
        <w:t>)</w:t>
      </w:r>
      <w:r>
        <w:rPr>
          <w:rStyle w:val="FootnoteAnchor"/>
          <w:rtl w:val="true"/>
        </w:rPr>
        <w:footnoteReference w:id="1781"/>
      </w:r>
      <w:r>
        <w:rPr>
          <w:rFonts w:ascii="Amiri" w:hAnsi="Amiri" w:eastAsia="Amiri" w:cs="Amiri"/>
          <w:color w:val="111111"/>
          <w:sz w:val="28"/>
          <w:sz w:val="28"/>
          <w:szCs w:val="28"/>
          <w:rtl w:val="true"/>
          <w:lang w:bidi="ar-SA"/>
        </w:rPr>
        <w:t xml:space="preserve">عن علي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في المجدور ينسلخ إذا 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يمّموه</w:t>
      </w:r>
      <w:r>
        <w:rPr>
          <w:rFonts w:eastAsia="Amiri" w:cs="Amiri" w:ascii="Amiri" w:hAnsi="Amiri"/>
          <w:color w:val="111111"/>
          <w:sz w:val="28"/>
          <w:szCs w:val="28"/>
          <w:rtl w:val="true"/>
          <w:lang w:bidi="ar-SA"/>
        </w:rPr>
        <w:t>»</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الطريق ضعيف برجال الزيديّة إلاّ أنّ الشهرة تؤيّده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الشيخ في تيمّم المحترق إجماعنا، و إجماع المسلمين إلاّ الأوزاعي حيث لم يذكر التيمّم</w:t>
      </w:r>
      <w:r>
        <w:rPr>
          <w:rStyle w:val="FootnoteAnchor"/>
          <w:rtl w:val="true"/>
        </w:rPr>
        <w:footnoteReference w:id="1783"/>
      </w:r>
      <w:r>
        <w:rPr>
          <w:rFonts w:ascii="IRNazanin" w:hAnsi="IRNazanin" w:eastAsia="IRNazanin"/>
          <w:color w:val="111111"/>
          <w:sz w:val="28"/>
          <w:sz w:val="28"/>
          <w:szCs w:val="28"/>
          <w:rtl w:val="true"/>
          <w:lang w:bidi="fa-IR"/>
        </w:rPr>
        <w:t>و قد استقرّ الإجماع، لانقراضه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يلوح من الاقتصار على الصب الاجتزاء بالقراح، لأنّ الماءين الآخرين لا تتم فائدتهما بدون الدلك غالبا، و حينئذ الظاهر الاجتزاء بالمرة، لأنّ الأمر لا يدلّ على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و المسح بيدي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يمّم الحي العاجز، فالضرب و المسح بيدي العاجز بإعانة القادر، و لو تعذّر فكالميت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الخبر</w:t>
      </w:r>
      <w:r>
        <w:rPr>
          <w:rStyle w:val="FootnoteAnchor"/>
          <w:rtl w:val="true"/>
        </w:rPr>
        <w:footnoteReference w:id="1784"/>
      </w:r>
      <w:r>
        <w:rPr>
          <w:rFonts w:ascii="IRNazanin" w:hAnsi="IRNazanin" w:eastAsia="IRNazanin"/>
          <w:color w:val="111111"/>
          <w:sz w:val="28"/>
          <w:sz w:val="28"/>
          <w:szCs w:val="28"/>
          <w:rtl w:val="true"/>
          <w:lang w:bidi="fa-IR"/>
        </w:rPr>
        <w:t>و الأصحاب</w:t>
      </w:r>
      <w:r>
        <w:rPr>
          <w:rStyle w:val="FootnoteAnchor"/>
          <w:rtl w:val="true"/>
        </w:rPr>
        <w:footnoteReference w:id="1785"/>
      </w:r>
      <w:r>
        <w:rPr>
          <w:rFonts w:ascii="Amiri" w:hAnsi="Amiri" w:eastAsia="Amiri" w:cs="Amiri"/>
          <w:color w:val="111111"/>
          <w:sz w:val="28"/>
          <w:sz w:val="28"/>
          <w:szCs w:val="28"/>
          <w:rtl w:val="true"/>
          <w:lang w:bidi="ar-SA"/>
        </w:rPr>
        <w:t>انّ التيمّم مرة، لإطلاق الأمر، و لأنّ الغسل واحد و إنّما تعدّد باعتبار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الفعل الذي يطلق عليه اسم الغسل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استقلاله بالتسمية فمنعه ظاهر، و إن أريد مطلق التسمية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923" w:name="pg15253_219841"/>
    </w:p>
    <w:p>
      <w:pPr>
        <w:pStyle w:val="BookText"/>
        <w:rPr/>
      </w:pPr>
      <w:bookmarkEnd w:id="923"/>
      <w:r>
        <w:rPr>
          <w:rFonts w:ascii="Amiri" w:hAnsi="Amiri" w:eastAsia="Amiri" w:cs="Amiri"/>
          <w:color w:val="111111"/>
          <w:sz w:val="28"/>
          <w:sz w:val="28"/>
          <w:szCs w:val="28"/>
          <w:rtl w:val="true"/>
          <w:lang w:bidi="ar-SA"/>
        </w:rPr>
        <w:t>فغير مستلزم للمطلوب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انسحب هذا في تعدّد نية الغسل، و هو ضعف في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جعلنا التطهير بالقراح وحده فلا بحث</w:t>
      </w:r>
      <w:r>
        <w:rPr>
          <w:rFonts w:eastAsia="Amiri" w:cs="Amiri" w:ascii="Amiri" w:hAnsi="Amiri"/>
          <w:color w:val="111111"/>
          <w:sz w:val="28"/>
          <w:szCs w:val="28"/>
          <w:rtl w:val="true"/>
          <w:lang w:bidi="ar-SA"/>
        </w:rPr>
        <w:t>.</w:t>
      </w:r>
    </w:p>
    <w:p>
      <w:pPr>
        <w:pStyle w:val="Heading6"/>
        <w:numPr>
          <w:ilvl w:val="5"/>
          <w:numId w:val="1"/>
        </w:numPr>
        <w:rPr/>
      </w:pPr>
      <w:bookmarkStart w:id="924" w:name="__RefHeading___Toc4192345_2142443653"/>
      <w:bookmarkStart w:id="925" w:name="_Toc378"/>
      <w:bookmarkEnd w:id="924"/>
      <w:r>
        <w:rPr>
          <w:rtl w:val="true"/>
        </w:rPr>
        <w:t>الثامن</w:t>
      </w:r>
      <w:r>
        <w:rPr>
          <w:rtl w:val="true"/>
        </w:rPr>
        <w:t xml:space="preserve">: </w:t>
      </w:r>
      <w:r>
        <w:rPr>
          <w:rtl w:val="true"/>
        </w:rPr>
        <w:t>من وجب عليه الرجم أو القود</w:t>
      </w:r>
      <w:bookmarkEnd w:id="925"/>
    </w:p>
    <w:p>
      <w:pPr>
        <w:pStyle w:val="BookText"/>
        <w:rPr/>
      </w:pPr>
      <w:r>
        <w:rPr>
          <w:rFonts w:ascii="Amiri" w:hAnsi="Amiri" w:eastAsia="Amiri" w:cs="Amiri"/>
          <w:color w:val="111111"/>
          <w:sz w:val="28"/>
          <w:sz w:val="28"/>
          <w:szCs w:val="28"/>
          <w:rtl w:val="true"/>
          <w:lang w:bidi="ar-SA"/>
        </w:rPr>
        <w:t>يؤمر بالاغتسال و التحنيط و التكفين ثمّ يقام الحدّ عليه، و لا يغسّل بعد ذلك، و لا نعلم فيه مخالفا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خبر مسمع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المرجوم و المرجومة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يغتسلان و يتحنطان و يلبسان الكفن قبل ذلك، و المقتصّ منه بمنزلة ذلك</w:t>
      </w:r>
      <w:r>
        <w:rPr>
          <w:rFonts w:eastAsia="Amiri" w:cs="Amiri" w:ascii="Amiri" w:hAnsi="Amiri"/>
          <w:color w:val="111111"/>
          <w:sz w:val="28"/>
          <w:szCs w:val="28"/>
          <w:rtl w:val="true"/>
          <w:lang w:bidi="ar-SA"/>
        </w:rPr>
        <w:t>»</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الطريق إلى مسمع ضعيف، لكنّ الشهرة تؤيّده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لا يغسّل بعد، للامتثال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يصلّى عليه،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إلحاق كلّ من وجب عليه القتل بهم، للمشاركة في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فيه مواجب غسل الميت، لأنّه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يضرّ تخلّل الحدث بعده، للامتثال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أثنائه يمكن مساواته لغسل و يؤيّده قول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فيغتسل كما يغتسل من الجنابة</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تداخل باقي الأغسال فيه نظر، من فحوى الأخبار السابقة كما في خبر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الميت جنبا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غسلا واحدا، يجزئ للجنابة و لغسل الميت، لأنّهما حرمتان اجتمعتا في حرمة واحدة</w:t>
      </w:r>
      <w:r>
        <w:rPr>
          <w:rFonts w:eastAsia="Amiri" w:cs="Amiri" w:ascii="Amiri" w:hAnsi="Amiri"/>
          <w:color w:val="111111"/>
          <w:sz w:val="28"/>
          <w:szCs w:val="28"/>
          <w:rtl w:val="true"/>
          <w:lang w:bidi="ar-SA"/>
        </w:rPr>
        <w:t>»</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تحتّمه أيضا نظر، من ظاهر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تخيّر المكلّف، لقيام الغسل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bookmarkStart w:id="926" w:name="pg15253_219842"/>
    </w:p>
    <w:p>
      <w:pPr>
        <w:pStyle w:val="BookText"/>
        <w:rPr/>
      </w:pPr>
      <w:bookmarkEnd w:id="926"/>
      <w:r>
        <w:rPr>
          <w:rFonts w:ascii="Amiri" w:hAnsi="Amiri" w:eastAsia="Amiri" w:cs="Amiri"/>
          <w:color w:val="111111"/>
          <w:sz w:val="28"/>
          <w:sz w:val="28"/>
          <w:szCs w:val="28"/>
          <w:rtl w:val="true"/>
          <w:lang w:bidi="ar-SA"/>
        </w:rPr>
        <w:t>و لو مات لم يجزئ، لعموم الأمر بغسل الميت، خرج منه صورة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قتل بسبب آخر، سواء سقط حكم الأول أو لا، لأنّه سبب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عفي عنه، ثم أريد قتله بسبب آخر، فالظاهر التجديد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يجب الغسل بمسّه بعد الموت، لطهارته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مكاتبة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أصابت يدك جسد الميت قبل أن يغتسل</w:t>
      </w:r>
      <w:r>
        <w:rPr>
          <w:rStyle w:val="FootnoteAnchor"/>
          <w:rtl w:val="true"/>
        </w:rPr>
        <w:footnoteReference w:id="1789"/>
      </w:r>
      <w:r>
        <w:rPr>
          <w:rFonts w:ascii="IRNazanin" w:hAnsi="IRNazanin" w:eastAsia="IRNazanin"/>
          <w:color w:val="111111"/>
          <w:sz w:val="28"/>
          <w:sz w:val="28"/>
          <w:szCs w:val="28"/>
          <w:rtl w:val="true"/>
          <w:lang w:bidi="fa-IR"/>
        </w:rPr>
        <w:t>وجب الغسل</w:t>
      </w:r>
      <w:r>
        <w:rPr>
          <w:rFonts w:eastAsia="IRNazanin" w:cs="IRNazanin"/>
          <w:color w:val="111111"/>
          <w:sz w:val="28"/>
          <w:szCs w:val="28"/>
          <w:rtl w:val="true"/>
          <w:lang w:bidi="fa-IR"/>
        </w:rPr>
        <w:t>»</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 الميت عند موته، و بعد غسله، و القبلة، ليس به بأس</w:t>
      </w:r>
      <w:r>
        <w:rPr>
          <w:rFonts w:eastAsia="Amiri" w:cs="Amiri" w:ascii="Amiri" w:hAnsi="Amiri"/>
          <w:color w:val="111111"/>
          <w:sz w:val="28"/>
          <w:szCs w:val="28"/>
          <w:rtl w:val="true"/>
          <w:lang w:bidi="ar-SA"/>
        </w:rPr>
        <w:t>»</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لو لا كون الغسل مطهّرا لم يفد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منه</w:t>
      </w:r>
      <w:r>
        <w:rPr>
          <w:rStyle w:val="FootnoteAnchor"/>
          <w:rtl w:val="true"/>
        </w:rPr>
        <w:footnoteReference w:id="1792"/>
      </w:r>
      <w:r>
        <w:rPr>
          <w:rFonts w:ascii="Amiri" w:hAnsi="Amiri" w:eastAsia="Amiri" w:cs="Amiri"/>
          <w:color w:val="111111"/>
          <w:sz w:val="28"/>
          <w:sz w:val="28"/>
          <w:szCs w:val="28"/>
          <w:rtl w:val="true"/>
          <w:lang w:bidi="ar-SA"/>
        </w:rPr>
        <w:t>سبق التطهير على النجاسة، لأنّ المعتبر أمر الشرع</w:t>
      </w:r>
      <w:r>
        <w:rPr>
          <w:rStyle w:val="FootnoteAnchor"/>
          <w:rtl w:val="true"/>
        </w:rPr>
        <w:footnoteReference w:id="1793"/>
      </w:r>
      <w:r>
        <w:rPr>
          <w:rFonts w:ascii="Amiri" w:hAnsi="Amiri" w:eastAsia="Amiri" w:cs="Amiri"/>
          <w:color w:val="111111"/>
          <w:sz w:val="28"/>
          <w:sz w:val="28"/>
          <w:szCs w:val="28"/>
          <w:rtl w:val="true"/>
          <w:lang w:bidi="ar-SA"/>
        </w:rPr>
        <w:t>بالغسل و حكمه بالطهر</w:t>
      </w:r>
      <w:r>
        <w:rPr>
          <w:rStyle w:val="FootnoteAnchor"/>
          <w:rtl w:val="true"/>
        </w:rPr>
        <w:footnoteReference w:id="1794"/>
      </w:r>
      <w:r>
        <w:rPr>
          <w:rFonts w:ascii="Amiri" w:hAnsi="Amiri" w:eastAsia="Amiri" w:cs="Amiri"/>
          <w:color w:val="111111"/>
          <w:sz w:val="28"/>
          <w:sz w:val="28"/>
          <w:szCs w:val="28"/>
          <w:rtl w:val="true"/>
          <w:lang w:bidi="ar-SA"/>
        </w:rPr>
        <w:t>و قد وجد في هذا الموضع كما وجد بعد الموت، إذ نجاسة الميت لو كانت عينيّة لامتنع طهارته كباقي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الغسل يمنع من الحكم بنجاسته بعد الموت، لسقوط غسله بعده، و ما ذلك إلاّ لعدم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يجب الغسل بمسّ الشهيد، لطهارته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مغسول الكافر و الميمّم،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بمسّهما، لفقد التطهير الحقيقي</w:t>
      </w:r>
      <w:r>
        <w:rPr>
          <w:rFonts w:eastAsia="Amiri" w:cs="Amiri" w:ascii="Amiri" w:hAnsi="Amiri"/>
          <w:color w:val="111111"/>
          <w:sz w:val="28"/>
          <w:szCs w:val="28"/>
          <w:rtl w:val="true"/>
          <w:lang w:bidi="ar-SA"/>
        </w:rPr>
        <w:t>.</w:t>
      </w:r>
    </w:p>
    <w:p>
      <w:pPr>
        <w:pStyle w:val="Heading6"/>
        <w:numPr>
          <w:ilvl w:val="5"/>
          <w:numId w:val="1"/>
        </w:numPr>
        <w:rPr/>
      </w:pPr>
      <w:bookmarkStart w:id="927" w:name="__RefHeading___Toc4192347_2142443653"/>
      <w:bookmarkStart w:id="928" w:name="_Toc379"/>
      <w:bookmarkEnd w:id="927"/>
      <w:r>
        <w:rPr>
          <w:rtl w:val="true"/>
        </w:rPr>
        <w:t>التاسع</w:t>
      </w:r>
      <w:r>
        <w:rPr>
          <w:rtl w:val="true"/>
        </w:rPr>
        <w:t xml:space="preserve">: </w:t>
      </w:r>
      <w:r>
        <w:rPr>
          <w:rtl w:val="true"/>
        </w:rPr>
        <w:t>ما في بطن الميتة من الأجنّة إذا مات،</w:t>
      </w:r>
      <w:bookmarkEnd w:id="92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كالجزء من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اتفق خروجه وجب غسله، للعموم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مات و هي حيّة، و عسر إخراجه،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الشيخ الإجماع فيه</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في امرأة يموت في بطنها الولد فيتخوف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يدخل الرجل يده فيقطّعه و يخرجه إذا لم يتفق النساء</w:t>
      </w:r>
      <w:r>
        <w:rPr>
          <w:rFonts w:eastAsia="Amiri" w:cs="Amiri" w:ascii="Amiri" w:hAnsi="Amiri"/>
          <w:color w:val="111111"/>
          <w:sz w:val="28"/>
          <w:szCs w:val="28"/>
          <w:rtl w:val="true"/>
          <w:lang w:bidi="ar-SA"/>
        </w:rPr>
        <w:t>»</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لضعف وهب عدل في المعتبر الى وجوب التوصّل إلى إسقاطه صحيحا ببعض العلاج، فإن تعذّر فالأرفق في إخراجه ثمّ الأرفق، و يتولاه النساء ثمّ محارم الرجال، ثم الأجانب دفعا عن نفس الحي</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لا ينافي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علم حياة الجنين بعد موتها بحركته، شقّ بطنها من الجانب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الصدوق و الشيخان</w:t>
      </w:r>
      <w:r>
        <w:rPr>
          <w:rStyle w:val="FootnoteAnchor"/>
          <w:rtl w:val="true"/>
        </w:rPr>
        <w:footnoteReference w:id="1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 توسّلا إلى بقاء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لخبر علي بن يقطين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يشقّ عن الولد</w:t>
      </w:r>
      <w:r>
        <w:rPr>
          <w:rFonts w:eastAsia="Amiri" w:cs="Amiri" w:ascii="Amiri" w:hAnsi="Amiri"/>
          <w:color w:val="111111"/>
          <w:sz w:val="28"/>
          <w:szCs w:val="28"/>
          <w:rtl w:val="true"/>
          <w:lang w:bidi="ar-SA"/>
        </w:rPr>
        <w:t>»</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أبي حمزة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له أ يشقّ بطنها و يستخرج الولد؟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الأخبار ذكر الأيسر، و من ثمّ أطلق في الخلاف</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أبي عمير، عن ابن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الولد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929" w:name="pg15253_219844"/>
    </w:p>
    <w:p>
      <w:pPr>
        <w:pStyle w:val="BookText"/>
        <w:rPr/>
      </w:pPr>
      <w:bookmarkEnd w:id="929"/>
      <w:r>
        <w:rPr>
          <w:rFonts w:ascii="Amiri" w:hAnsi="Amiri" w:eastAsia="Amiri" w:cs="Amiri"/>
          <w:color w:val="111111"/>
          <w:sz w:val="28"/>
          <w:sz w:val="28"/>
          <w:szCs w:val="28"/>
          <w:rtl w:val="true"/>
          <w:lang w:bidi="ar-SA"/>
        </w:rPr>
        <w:t>و يخاط بطنها</w:t>
      </w:r>
      <w:r>
        <w:rPr>
          <w:rFonts w:eastAsia="Amiri" w:cs="Amiri" w:ascii="Amiri" w:hAnsi="Amiri"/>
          <w:color w:val="111111"/>
          <w:sz w:val="28"/>
          <w:szCs w:val="28"/>
          <w:rtl w:val="true"/>
          <w:lang w:bidi="ar-SA"/>
        </w:rPr>
        <w:t>»</w:t>
      </w:r>
      <w:r>
        <w:rPr>
          <w:rStyle w:val="FootnoteAnchor"/>
          <w:rtl w:val="true"/>
        </w:rPr>
        <w:footnoteReference w:id="1802"/>
      </w:r>
      <w:r>
        <w:rPr>
          <w:rFonts w:ascii="Amiri" w:hAnsi="Amiri" w:eastAsia="Amiri" w:cs="Amiri"/>
          <w:color w:val="111111"/>
          <w:sz w:val="28"/>
          <w:sz w:val="28"/>
          <w:szCs w:val="28"/>
          <w:rtl w:val="true"/>
          <w:lang w:bidi="ar-SA"/>
        </w:rPr>
        <w:t>و في الكافي نسبه الى ابن أبي عمير</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موقوفة، و الضرورة منتفية، لأنّ المصير الى البلاء</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الراويان من عظماء الأصحاب و أصحاب الأئمة، و ظاهرهما القول عن توقيف، و زيادة الثقة مقبولة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أمكن القوابل إخراجه حيّا بغير شقّ حرم 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القوابل أجزأ الرجال،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عبرة بكونه ممّا يعيش عادة أو لا، لظاهر الخبر</w:t>
      </w:r>
      <w:r>
        <w:rPr>
          <w:rFonts w:eastAsia="Amiri" w:cs="Amiri" w:ascii="Amiri" w:hAnsi="Amiri"/>
          <w:color w:val="111111"/>
          <w:sz w:val="28"/>
          <w:szCs w:val="28"/>
          <w:rtl w:val="true"/>
          <w:lang w:bidi="ar-SA"/>
        </w:rPr>
        <w:t>.</w:t>
      </w:r>
    </w:p>
    <w:p>
      <w:pPr>
        <w:pStyle w:val="Heading6"/>
        <w:numPr>
          <w:ilvl w:val="5"/>
          <w:numId w:val="1"/>
        </w:numPr>
        <w:rPr/>
      </w:pPr>
      <w:bookmarkStart w:id="930" w:name="__RefHeading___Toc4192349_2142443653"/>
      <w:bookmarkStart w:id="931" w:name="_Toc380"/>
      <w:bookmarkEnd w:id="930"/>
      <w:r>
        <w:rPr>
          <w:rtl w:val="true"/>
        </w:rPr>
        <w:t>العاشر</w:t>
      </w:r>
      <w:r>
        <w:rPr>
          <w:rtl w:val="true"/>
        </w:rPr>
        <w:t xml:space="preserve">: </w:t>
      </w:r>
      <w:r>
        <w:rPr>
          <w:rtl w:val="true"/>
        </w:rPr>
        <w:t>قطعة لا عظم فيها،</w:t>
      </w:r>
      <w:bookmarkEnd w:id="931"/>
    </w:p>
    <w:p>
      <w:pPr>
        <w:pStyle w:val="BookText"/>
        <w:rPr/>
      </w:pPr>
      <w:r>
        <w:rPr>
          <w:rFonts w:ascii="Amiri" w:hAnsi="Amiri" w:eastAsia="Amiri" w:cs="Amiri"/>
          <w:color w:val="111111"/>
          <w:sz w:val="28"/>
          <w:sz w:val="28"/>
          <w:szCs w:val="28"/>
          <w:rtl w:val="true"/>
          <w:lang w:bidi="ar-SA"/>
        </w:rPr>
        <w:t>أبينت من حي أو لا، و 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العلاء بن سيّابة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القتيل في معصية يغسل دمه، ثمّ يصبّ عليه الماء و لا يدلك، و يبدأ بيديه و تربط جراحه بالقطن و الخيوط، ثمّ يعصب على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بان الرأس قدّم على الجسد، ثمّ يوضع القطن فوق الرقبة و يضمّ إليه الرأس في الكفن، و الدفن إلى القبلة</w:t>
      </w:r>
      <w:r>
        <w:rPr>
          <w:rFonts w:eastAsia="Amiri" w:cs="Amiri" w:ascii="Amiri" w:hAnsi="Amiri"/>
          <w:color w:val="111111"/>
          <w:sz w:val="28"/>
          <w:szCs w:val="28"/>
          <w:rtl w:val="true"/>
          <w:lang w:bidi="ar-SA"/>
        </w:rPr>
        <w:t>»</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عدم الدلك هنا لئلاّ يخرج الدم، و في غيره لا يجب الدلك أيضا، لصدق الغسل من غير دلك</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الميتة نفساء و يكثر دمها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تدخل في الأدم و شبهه إلى السرّة، و تنظّف و يحشى فرجاها ثم تكفّن</w:t>
      </w:r>
      <w:r>
        <w:rPr>
          <w:rFonts w:eastAsia="Amiri" w:cs="Amiri" w:ascii="Amiri" w:hAnsi="Amiri"/>
          <w:color w:val="111111"/>
          <w:sz w:val="28"/>
          <w:szCs w:val="28"/>
          <w:rtl w:val="true"/>
          <w:lang w:bidi="ar-SA"/>
        </w:rPr>
        <w:t>»</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 xml:space="preserve">. </w:t>
      </w:r>
      <w:bookmarkStart w:id="932" w:name="pg15253_219845"/>
    </w:p>
    <w:p>
      <w:pPr>
        <w:pStyle w:val="Heading6"/>
        <w:numPr>
          <w:ilvl w:val="5"/>
          <w:numId w:val="1"/>
        </w:numPr>
        <w:rPr/>
      </w:pPr>
      <w:bookmarkStart w:id="933" w:name="__RefHeading___Toc4192351_2142443653"/>
      <w:bookmarkStart w:id="934" w:name="_Toc381"/>
      <w:bookmarkEnd w:id="932"/>
      <w:bookmarkEnd w:id="933"/>
      <w:r>
        <w:rPr>
          <w:rtl w:val="true"/>
        </w:rPr>
        <w:t>النظر الثالث</w:t>
      </w:r>
      <w:r>
        <w:rPr>
          <w:rtl w:val="true"/>
        </w:rPr>
        <w:t xml:space="preserve">: </w:t>
      </w:r>
      <w:r>
        <w:rPr>
          <w:rtl w:val="true"/>
        </w:rPr>
        <w:t>في الغسل</w:t>
      </w:r>
      <w:r>
        <w:rPr>
          <w:rtl w:val="true"/>
        </w:rPr>
        <w:t>:</w:t>
      </w:r>
      <w:bookmarkEnd w:id="934"/>
    </w:p>
    <w:p>
      <w:pPr>
        <w:pStyle w:val="Heading6"/>
        <w:numPr>
          <w:ilvl w:val="5"/>
          <w:numId w:val="1"/>
        </w:numPr>
        <w:rPr/>
      </w:pPr>
      <w:bookmarkStart w:id="935" w:name="__RefHeading___Toc4192353_2142443653"/>
      <w:bookmarkStart w:id="936" w:name="_Toc382"/>
      <w:bookmarkEnd w:id="935"/>
      <w:r>
        <w:rPr>
          <w:rtl w:val="true"/>
        </w:rPr>
        <w:t>اشارة</w:t>
      </w:r>
      <w:bookmarkEnd w:id="936"/>
    </w:p>
    <w:p>
      <w:pPr>
        <w:pStyle w:val="BookText"/>
        <w:rPr/>
      </w:pPr>
      <w:r>
        <w:rPr>
          <w:rFonts w:ascii="Amiri" w:hAnsi="Amiri" w:eastAsia="Amiri" w:cs="Amiri"/>
          <w:color w:val="111111"/>
          <w:sz w:val="28"/>
          <w:sz w:val="28"/>
          <w:szCs w:val="28"/>
          <w:rtl w:val="true"/>
          <w:lang w:bidi="ar-SA"/>
        </w:rPr>
        <w:t>و فيه فضل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أبو جعفر الكليني بإسناده إلى سعد الإسكاف،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غسّل مؤمنا، فقال إذا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بدن عبدك المؤمن قد أخرجت روحه منه و فرّقت بينهما فعفوك عفوك، إلاّ غفر اللّه عزّ و جلّ له ذنوب سنة إلاّ الكبائر</w:t>
      </w:r>
      <w:r>
        <w:rPr>
          <w:rFonts w:eastAsia="Amiri" w:cs="Amiri" w:ascii="Amiri" w:hAnsi="Amiri"/>
          <w:color w:val="111111"/>
          <w:sz w:val="28"/>
          <w:szCs w:val="28"/>
          <w:rtl w:val="true"/>
          <w:lang w:bidi="ar-SA"/>
        </w:rPr>
        <w:t>»</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سعد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ميتا، فأدّى فيه الأمانة غفر له،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يخبر بما رأى</w:t>
      </w:r>
      <w:r>
        <w:rPr>
          <w:rFonts w:eastAsia="Amiri" w:cs="Amiri" w:ascii="Amiri" w:hAnsi="Amiri"/>
          <w:color w:val="111111"/>
          <w:sz w:val="28"/>
          <w:szCs w:val="28"/>
          <w:rtl w:val="true"/>
          <w:lang w:bidi="ar-SA"/>
        </w:rPr>
        <w:t>»</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إبراهيم بن عمر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يغسّل مؤمنا، و يقول و هو 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عفوك عفوك، إلاّ عفا اللّه عنه</w:t>
      </w:r>
      <w:r>
        <w:rPr>
          <w:rFonts w:eastAsia="Amiri" w:cs="Amiri" w:ascii="Amiri" w:hAnsi="Amiri"/>
          <w:color w:val="111111"/>
          <w:sz w:val="28"/>
          <w:szCs w:val="28"/>
          <w:rtl w:val="true"/>
          <w:lang w:bidi="ar-SA"/>
        </w:rPr>
        <w:t>»</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الجارود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ناجى به موسى ربّه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لمن غسّل الموتى؟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أغسله من ذنوبه كما ولدته امّه</w:t>
      </w:r>
      <w:r>
        <w:rPr>
          <w:rFonts w:eastAsia="Amiri" w:cs="Amiri" w:ascii="Amiri" w:hAnsi="Amiri"/>
          <w:color w:val="111111"/>
          <w:sz w:val="28"/>
          <w:szCs w:val="28"/>
          <w:rtl w:val="true"/>
          <w:lang w:bidi="ar-SA"/>
        </w:rPr>
        <w:t>»</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يضرّ ضعف الإسناد في ثواب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لنذكر مضمون الأخبار في الكافي و التهذيب الذي عليه معظم الأصحاب، و خبر الكاهلي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كثيرا من أحكامه، فلنذكره بلفظه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تيمّنا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استقبل بباطن قدميه القبلة حتى يكون وجهه مستقبل القبلة، ثم </w:t>
      </w:r>
    </w:p>
    <w:p>
      <w:pPr>
        <w:pStyle w:val="BookText"/>
        <w:rPr/>
      </w:pPr>
      <w:r>
        <w:rPr>
          <w:rFonts w:ascii="Amiri" w:hAnsi="Amiri" w:eastAsia="Amiri" w:cs="Amiri"/>
          <w:color w:val="111111"/>
          <w:sz w:val="28"/>
          <w:sz w:val="28"/>
          <w:szCs w:val="28"/>
          <w:rtl w:val="true"/>
          <w:lang w:bidi="ar-SA"/>
        </w:rPr>
        <w:t>تليّن مفاصله، و إن امتنعت</w:t>
      </w:r>
      <w:r>
        <w:rPr>
          <w:rStyle w:val="FootnoteAnchor"/>
          <w:rtl w:val="true"/>
        </w:rPr>
        <w:footnoteReference w:id="1811"/>
      </w:r>
      <w:r>
        <w:rPr>
          <w:rFonts w:ascii="Amiri" w:hAnsi="Amiri" w:eastAsia="Amiri" w:cs="Amiri"/>
          <w:color w:val="111111"/>
          <w:sz w:val="28"/>
          <w:sz w:val="28"/>
          <w:szCs w:val="28"/>
          <w:rtl w:val="true"/>
          <w:lang w:bidi="ar-SA"/>
        </w:rPr>
        <w:t>عليك فدعها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عبارة الشيخ</w:t>
      </w:r>
      <w:r>
        <w:rPr>
          <w:rStyle w:val="FootnoteAnchor"/>
          <w:rtl w:val="true"/>
        </w:rPr>
        <w:footnoteReference w:id="1812"/>
      </w:r>
      <w:r>
        <w:rPr>
          <w:rFonts w:ascii="Amiri" w:hAnsi="Amiri" w:eastAsia="Amiri" w:cs="Amiri"/>
          <w:color w:val="111111"/>
          <w:sz w:val="28"/>
          <w:sz w:val="28"/>
          <w:szCs w:val="28"/>
          <w:rtl w:val="true"/>
          <w:lang w:bidi="ar-SA"/>
        </w:rPr>
        <w:t>و أكثر الأصحاب</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ابدأ بفرجه بماء السدر و الحرض</w:t>
      </w:r>
      <w:r>
        <w:rPr>
          <w:rStyle w:val="FootnoteAnchor"/>
          <w:rtl w:val="true"/>
        </w:rPr>
        <w:footnoteReference w:id="1814"/>
      </w:r>
      <w:r>
        <w:rPr>
          <w:rFonts w:ascii="Amiri" w:hAnsi="Amiri" w:eastAsia="Amiri" w:cs="Amiri"/>
          <w:color w:val="111111"/>
          <w:sz w:val="28"/>
          <w:sz w:val="28"/>
          <w:szCs w:val="28"/>
          <w:rtl w:val="true"/>
          <w:lang w:bidi="ar-SA"/>
        </w:rPr>
        <w:t>فاغسله ثلاث غسلات و أكثر من الماء، و امسح بطنه مسحا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تحوّل الى رأسه فابدأ بشقّه الأيمن من لحيته و رأسه، ثم تثنّي بشقّه الأيسر من رأسه و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فاغسله برفق، و إيّاك و العنف و اغسله غسلا ناعما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أضجعه على شقّه الأيسر ليبدو لك الأيمن ثم اغسله من قرنه الى قدمه، و امسح يدك على ظهره و بطنه بثلاث غسلات، ثمّ ردّه على جانبه الأيمن حتى يبدو لك الأيسر فاغسله ما بين قرنه الى قدمه، و امسح يدك على ظهره و بطنه ثلاث غسلات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ردّه على قفاه فابدأ بفرجه بماء الكافور</w:t>
      </w:r>
      <w:r>
        <w:rPr>
          <w:rStyle w:val="FootnoteAnchor"/>
          <w:rtl w:val="true"/>
        </w:rPr>
        <w:footnoteReference w:id="1815"/>
      </w:r>
      <w:r>
        <w:rPr>
          <w:rFonts w:ascii="Amiri" w:hAnsi="Amiri" w:eastAsia="Amiri" w:cs="Amiri"/>
          <w:color w:val="111111"/>
          <w:sz w:val="28"/>
          <w:sz w:val="28"/>
          <w:szCs w:val="28"/>
          <w:rtl w:val="true"/>
          <w:lang w:bidi="ar-SA"/>
        </w:rPr>
        <w:t>و الحرض، و امسح يدك على ظهره و بطنه مسحا رفيقا، ثم تحوّل إلى رأسه فاصنع كما صنعت أولا بلحيته من جانبيه كليهما و رأسه و وجهه بماء الكافور ثلاث غسلات، ثم ردّه إلى جانبه الأيسر حتى يبدو لك الأيمن من قرنه إلى قدمه ثلاث غسلات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ادخل يدك تحت منكبيه و ذراعيه، و يكون الذراع و الكف مع جنبه ظاهرة كلّما غسلت شيئا منه أدخلت يدك تحت منكبيه و باطن ذراعيه، ثمّ ردّه على ظهره ثمّ اغسله بماء قراح كما صنعت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بالفرج، ثمّ تحوّل إلى الرأس و اللحية و الوجه حتى تصنع كما صنعت أولا بماء قراح، ثمّ أزّره بالخرقة و يكون تحتها القطن تذفره به إذفارا قطنا كثيرا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 في الرواية، و المعروف يثفره به إثفارا، من أثفرت الدابة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إثفارا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تشدّ فخذيه على القطن بالخرقة شدّا شديدا، حتى لا تخاف ان يظهر شيء، و إيّاك أن تقعده أو تغمز بطنه، و إيّاك أن تحشو في مسامعه شيئا، فإن خفت أن يظهر من المنخر شيء فلا عليك أن تصيّر ثمّ قطنا، و ان لم تخف فلا تجعل فيه شيئا، و لا تخلل أظفاره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غسل المرأة</w:t>
      </w:r>
      <w:r>
        <w:rPr>
          <w:rFonts w:eastAsia="Amiri" w:cs="Amiri" w:ascii="Amiri" w:hAnsi="Amiri"/>
          <w:color w:val="111111"/>
          <w:sz w:val="28"/>
          <w:szCs w:val="28"/>
          <w:rtl w:val="true"/>
          <w:lang w:bidi="ar-SA"/>
        </w:rPr>
        <w:t>»</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تستر عورته بقميص أو غيره، و تبدأ بكفّيه و رأسه ثلاثا، و تلف خرقة على يدك</w:t>
      </w:r>
      <w:r>
        <w:rPr>
          <w:rStyle w:val="FootnoteAnchor"/>
          <w:rtl w:val="true"/>
        </w:rPr>
        <w:footnoteReference w:id="1817"/>
      </w:r>
      <w:r>
        <w:rPr>
          <w:rFonts w:ascii="Amiri" w:hAnsi="Amiri" w:eastAsia="Amiri" w:cs="Amiri"/>
          <w:color w:val="111111"/>
          <w:sz w:val="28"/>
          <w:sz w:val="28"/>
          <w:szCs w:val="28"/>
          <w:rtl w:val="true"/>
          <w:lang w:bidi="ar-SA"/>
        </w:rPr>
        <w:t>اليسرى، و تغسل فرجه من تحت الثوب، ثم يجفّف بثوب</w:t>
      </w:r>
      <w:r>
        <w:rPr>
          <w:rFonts w:eastAsia="Amiri" w:cs="Amiri" w:ascii="Amiri" w:hAnsi="Amiri"/>
          <w:color w:val="111111"/>
          <w:sz w:val="28"/>
          <w:szCs w:val="28"/>
          <w:rtl w:val="true"/>
          <w:lang w:bidi="ar-SA"/>
        </w:rPr>
        <w:t>»</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ابن مسكان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في الثالثة مع الكافور ذريرة، و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على يد الغاسل</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يداه من القميص، و يجمع</w:t>
      </w:r>
      <w:r>
        <w:rPr>
          <w:rStyle w:val="FootnoteAnchor"/>
          <w:rtl w:val="true"/>
        </w:rPr>
        <w:footnoteReference w:id="1820"/>
      </w:r>
      <w:r>
        <w:rPr>
          <w:rFonts w:ascii="Amiri" w:hAnsi="Amiri" w:eastAsia="Amiri" w:cs="Amiri"/>
          <w:color w:val="111111"/>
          <w:sz w:val="28"/>
          <w:sz w:val="28"/>
          <w:szCs w:val="28"/>
          <w:rtl w:val="true"/>
          <w:lang w:bidi="ar-SA"/>
        </w:rPr>
        <w:t>على عورته، و يرفع من رجليه الى فوق الركبة، و ان لم يكن قميص فخرقة على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يضرب السدر ليرغّى، فيعزل الرغوة، فيغسل يدي الميت ثلاثا الى نصف الذراع كما يغتسل من الجنابة، ثم ينقّي فرجه، ثمّ يغسل رأسه بالرغوة مبالغا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ليحذر من دخول الماء منخريه و أذنيه، ثم يغسل الإجانة و يديه الى مرفقيه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ليضع فيها ماء الكافور، ثمّ ليغسل يديه بعد فراغ الكافور و الإجانة للقراح، و ليضع على فرجيه قطنا و حنوطا، و يحشو دبره قطنا</w:t>
      </w:r>
      <w:r>
        <w:rPr>
          <w:rFonts w:eastAsia="Amiri" w:cs="Amiri" w:ascii="Amiri" w:hAnsi="Amiri"/>
          <w:color w:val="111111"/>
          <w:sz w:val="28"/>
          <w:szCs w:val="28"/>
          <w:rtl w:val="true"/>
          <w:lang w:bidi="ar-SA"/>
        </w:rPr>
        <w:t>»</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علي بن جعفر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غسله في فضاء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بأس، و الستر أحبّ إليّ</w:t>
      </w:r>
      <w:r>
        <w:rPr>
          <w:rFonts w:eastAsia="Amiri" w:cs="Amiri" w:ascii="Amiri" w:hAnsi="Amiri"/>
          <w:color w:val="111111"/>
          <w:sz w:val="28"/>
          <w:szCs w:val="28"/>
          <w:rtl w:val="true"/>
          <w:lang w:bidi="ar-SA"/>
        </w:rPr>
        <w:t>»</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فضيل سكرة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النبي صلّى اللّه عليه و آله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فاستق لي ست قرب من بئر غرس</w:t>
      </w:r>
      <w:r>
        <w:rPr>
          <w:rFonts w:eastAsia="Amiri" w:cs="Amiri" w:ascii="Amiri" w:hAnsi="Amiri"/>
          <w:color w:val="111111"/>
          <w:sz w:val="28"/>
          <w:szCs w:val="28"/>
          <w:rtl w:val="true"/>
          <w:lang w:bidi="ar-SA"/>
        </w:rPr>
        <w:t>»</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المعجمة، و سكون الراء و 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منازل بني النضير، قاله الواقدي</w:t>
      </w:r>
      <w:r>
        <w:rPr>
          <w:rStyle w:val="FootnoteAnchor"/>
          <w:rtl w:val="true"/>
        </w:rPr>
        <w:footnoteReference w:id="1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غير بئر أريس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 تخفيف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بناحية قباء معروفة شاهدتها، و روي أنّ خاتم النبي صلّى اللّه عليه و آله سقط فيها فيتبرّك بها الناس</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حفص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مكاتبة محمد بن الحسن إلى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حتى يطهر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كتب إليه في صبّ الماء في كنيف، فوقّع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بلاليع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ماء الوضوء</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 ابن أبي نجران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المجزئ من الكافور مثقال</w:t>
      </w:r>
      <w:r>
        <w:rPr>
          <w:rFonts w:eastAsia="Amiri" w:cs="Amiri" w:ascii="Amiri" w:hAnsi="Amiri"/>
          <w:color w:val="111111"/>
          <w:sz w:val="28"/>
          <w:szCs w:val="28"/>
          <w:rtl w:val="true"/>
          <w:lang w:bidi="ar-SA"/>
        </w:rPr>
        <w:t>»</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القصد أربعة مثاقيل</w:t>
      </w:r>
      <w:r>
        <w:rPr>
          <w:rFonts w:eastAsia="Amiri" w:cs="Amiri" w:ascii="Amiri" w:hAnsi="Amiri"/>
          <w:color w:val="111111"/>
          <w:sz w:val="28"/>
          <w:szCs w:val="28"/>
          <w:rtl w:val="true"/>
          <w:lang w:bidi="ar-SA"/>
        </w:rPr>
        <w:t>»</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مرفوع إبراهيم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جبرئيل نزل على النبي صلّى اللّه عليه و آله بحنوط وزنه أربعون درهما، فقسّمه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علي و فاطمة عليهم السلام</w:t>
      </w:r>
      <w:r>
        <w:rPr>
          <w:rFonts w:eastAsia="Amiri" w:cs="Amiri" w:ascii="Amiri" w:hAnsi="Amiri"/>
          <w:color w:val="111111"/>
          <w:sz w:val="28"/>
          <w:szCs w:val="28"/>
          <w:rtl w:val="true"/>
          <w:lang w:bidi="ar-SA"/>
        </w:rPr>
        <w:t>»</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مرسل ابن أبي عمير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منه شعر و لا ظفر، فإن سقط جعل في الكفن</w:t>
      </w:r>
      <w:r>
        <w:rPr>
          <w:rFonts w:eastAsia="Amiri" w:cs="Amiri" w:ascii="Amiri" w:hAnsi="Amiri"/>
          <w:color w:val="111111"/>
          <w:sz w:val="28"/>
          <w:szCs w:val="28"/>
          <w:rtl w:val="true"/>
          <w:lang w:bidi="ar-SA"/>
        </w:rPr>
        <w:t>»</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غياث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عانته، و قلم ظفره، و جزّ شعره</w:t>
      </w:r>
      <w:r>
        <w:rPr>
          <w:rFonts w:eastAsia="Amiri" w:cs="Amiri" w:ascii="Amiri" w:hAnsi="Amiri"/>
          <w:color w:val="111111"/>
          <w:sz w:val="28"/>
          <w:szCs w:val="28"/>
          <w:rtl w:val="true"/>
          <w:lang w:bidi="ar-SA"/>
        </w:rPr>
        <w:t>»</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طلحة 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يغمز له مفصل</w:t>
      </w:r>
      <w:r>
        <w:rPr>
          <w:rFonts w:eastAsia="Amiri" w:cs="Amiri" w:ascii="Amiri" w:hAnsi="Amiri"/>
          <w:color w:val="111111"/>
          <w:sz w:val="28"/>
          <w:szCs w:val="28"/>
          <w:rtl w:val="true"/>
          <w:lang w:bidi="ar-SA"/>
        </w:rPr>
        <w:t>»</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عبد اللّه بن عبيد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يوضّأ أولا، و يغسل رأسه بالسدر و الأشنان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السدر بسبع ورقات صحاح</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حريز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التهذيب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عن النبي صلّى اللّه عليه و آله في الحبلى لا يحرّكها، و غيرها يمسح بطنها مسحا رفيقا، و يلقى على عورتها ثوب ستير، ثمّ يسمح من تحت الثوب ثلاثا بالكرسف، ثم توضّأ بماء فيه سدر</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أغمز بطنه، ثمّ أوضّيه، ثم أغسله بالأشنان، ثمّ أغسل رأسه بالسدر و لحيته، ثمّ أفيض على جسده منه، ثمّ ادلك منه جسده، ثم أفيض عليه ثلاثا، ثم أغسله بالقراح، ثم أفيض عليه الماء بالكافور و القراح، و أطرح فيه سبع ورقات سدر</w:t>
      </w:r>
      <w:r>
        <w:rPr>
          <w:rFonts w:eastAsia="Amiri" w:cs="Amiri" w:ascii="Amiri" w:hAnsi="Amiri"/>
          <w:color w:val="111111"/>
          <w:sz w:val="28"/>
          <w:szCs w:val="28"/>
          <w:rtl w:val="true"/>
          <w:lang w:bidi="ar-SA"/>
        </w:rPr>
        <w:t>»</w:t>
      </w:r>
      <w:r>
        <w:rPr>
          <w:rStyle w:val="FootnoteAnchor"/>
          <w:rtl w:val="true"/>
        </w:rPr>
        <w:footnoteReference w:id="1837"/>
      </w:r>
      <w:r>
        <w:rPr>
          <w:rFonts w:ascii="Amiri" w:hAnsi="Amiri" w:eastAsia="Amiri" w:cs="Amiri"/>
          <w:color w:val="111111"/>
          <w:sz w:val="28"/>
          <w:sz w:val="28"/>
          <w:szCs w:val="28"/>
          <w:rtl w:val="true"/>
          <w:lang w:bidi="ar-SA"/>
        </w:rPr>
        <w:t>و في هذا الخبر غرائب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بنزع أزرار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القميص</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مرسل محمد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للجديد كمّا، و اللّبيس لا بأس</w:t>
      </w:r>
      <w:r>
        <w:rPr>
          <w:rFonts w:eastAsia="Amiri" w:cs="Amiri" w:ascii="Amiri" w:hAnsi="Amiri"/>
          <w:color w:val="111111"/>
          <w:sz w:val="28"/>
          <w:szCs w:val="28"/>
          <w:rtl w:val="true"/>
          <w:lang w:bidi="ar-SA"/>
        </w:rPr>
        <w:t>»</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عمار بن موسى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بغسل رأسه و لحيته بالخطميّ، و يجعل في الجرّة من الكافور نصف حبة، و يمرّ يده على جسده كلّه، و ينصب رأسه و لحيته شيئا، ثمّ يعصر بطنه شيئا، ثم يمال رأسه شيئا فينفض ليخرج الخارج من أنفه، و يغسل بجزّ ثلاث للغسلات الثلاث، و لا بأس بالزيادة، و يحشى القطن في مقعدته</w:t>
      </w:r>
      <w:r>
        <w:rPr>
          <w:rFonts w:eastAsia="Amiri" w:cs="Amiri" w:ascii="Amiri" w:hAnsi="Amiri"/>
          <w:color w:val="111111"/>
          <w:sz w:val="28"/>
          <w:szCs w:val="28"/>
          <w:rtl w:val="true"/>
          <w:lang w:bidi="ar-SA"/>
        </w:rPr>
        <w:t>»</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يعقوب بن يزيد عن عدّة من أصحابنا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يسخّن للميت الماء، لا يعجّل له النّار، و لا يحنّط بمسك</w:t>
      </w:r>
      <w:r>
        <w:rPr>
          <w:rFonts w:eastAsia="Amiri" w:cs="Amiri" w:ascii="Amiri" w:hAnsi="Amiri"/>
          <w:color w:val="111111"/>
          <w:sz w:val="28"/>
          <w:szCs w:val="28"/>
          <w:rtl w:val="true"/>
          <w:lang w:bidi="ar-SA"/>
        </w:rPr>
        <w:t>»</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عبد اللّه بن المغيرة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يقرب الميت ماء حميما</w:t>
      </w:r>
      <w:r>
        <w:rPr>
          <w:rFonts w:eastAsia="Amiri" w:cs="Amiri" w:ascii="Amiri" w:hAnsi="Amiri"/>
          <w:color w:val="111111"/>
          <w:sz w:val="28"/>
          <w:szCs w:val="28"/>
          <w:rtl w:val="true"/>
          <w:lang w:bidi="ar-SA"/>
        </w:rPr>
        <w:t>»</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سهل بن زياد عن بعض أصحابه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 للمرأة القطن أكثر من الرجل، و يحشى القبل و الدّبر به</w:t>
      </w:r>
      <w:r>
        <w:rPr>
          <w:rFonts w:eastAsia="Amiri" w:cs="Amiri" w:ascii="Amiri" w:hAnsi="Amiri"/>
          <w:color w:val="111111"/>
          <w:sz w:val="28"/>
          <w:szCs w:val="28"/>
          <w:rtl w:val="true"/>
          <w:lang w:bidi="ar-SA"/>
        </w:rPr>
        <w:t>»</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عمار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لقبلها نصف منّ</w:t>
      </w:r>
      <w:r>
        <w:rPr>
          <w:rFonts w:eastAsia="Amiri" w:cs="Amiri" w:ascii="Amiri" w:hAnsi="Amiri"/>
          <w:color w:val="111111"/>
          <w:sz w:val="28"/>
          <w:szCs w:val="28"/>
          <w:rtl w:val="true"/>
          <w:lang w:bidi="ar-SA"/>
        </w:rPr>
        <w:t>»</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طلحة بن زيد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استحب أن يجعل بين الميت حال الغسل و بين السّماء سترا</w:t>
      </w:r>
      <w:r>
        <w:rPr>
          <w:rFonts w:eastAsia="Amiri" w:cs="Amiri" w:ascii="Amiri" w:hAnsi="Amiri"/>
          <w:color w:val="111111"/>
          <w:sz w:val="28"/>
          <w:szCs w:val="28"/>
          <w:rtl w:val="true"/>
          <w:lang w:bidi="ar-SA"/>
        </w:rPr>
        <w:t>»</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عثمان النّواء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غاسلا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فأرفق به، و لا تعصره، و لا تقربنّ مسامعه بكافور</w:t>
      </w:r>
      <w:r>
        <w:rPr>
          <w:rFonts w:eastAsia="Amiri" w:cs="Amiri" w:ascii="Amiri" w:hAnsi="Amiri"/>
          <w:color w:val="111111"/>
          <w:sz w:val="28"/>
          <w:szCs w:val="28"/>
          <w:rtl w:val="true"/>
          <w:lang w:bidi="ar-SA"/>
        </w:rPr>
        <w:t>»</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العباس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أقعده و اغمز بطنه غمزا رفيقا، و تغسّله بالماء و الحرض، ثمّ بماء و كافور، ثمّ بالقراح</w:t>
      </w:r>
      <w:r>
        <w:rPr>
          <w:rFonts w:eastAsia="Amiri" w:cs="Amiri" w:ascii="Amiri" w:hAnsi="Amiri"/>
          <w:color w:val="111111"/>
          <w:sz w:val="28"/>
          <w:szCs w:val="28"/>
          <w:rtl w:val="true"/>
          <w:lang w:bidi="ar-SA"/>
        </w:rPr>
        <w:t>»</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إقعاده محمول على التقية</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مدلول رواية عمار</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للحمل على التقيّة هنا، لكن لا بأس بتجنّب ما قاله الشيخ</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في الخلاف الإجماع على كراهية إقعاده</w:t>
      </w:r>
      <w:r>
        <w:rPr>
          <w:rStyle w:val="FootnoteAnchor"/>
          <w:rtl w:val="true"/>
        </w:rPr>
        <w:footnoteReference w:id="1851"/>
      </w:r>
      <w:r>
        <w:rPr>
          <w:rFonts w:ascii="IRNazanin" w:hAnsi="IRNazanin" w:eastAsia="IRNazanin"/>
          <w:color w:val="111111"/>
          <w:sz w:val="28"/>
          <w:sz w:val="28"/>
          <w:szCs w:val="28"/>
          <w:rtl w:val="true"/>
          <w:lang w:bidi="fa-IR"/>
        </w:rPr>
        <w:t>و عصر بطنه</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سليمان بن خالد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بماء و سدر، ثمّ بماء و كافور، ثم بماء</w:t>
      </w:r>
      <w:r>
        <w:rPr>
          <w:rFonts w:eastAsia="Amiri" w:cs="Amiri" w:ascii="Amiri" w:hAnsi="Amiri"/>
          <w:color w:val="111111"/>
          <w:sz w:val="28"/>
          <w:szCs w:val="28"/>
          <w:rtl w:val="true"/>
          <w:lang w:bidi="ar-SA"/>
        </w:rPr>
        <w:t>»</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يعقوب بن يقطين عن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الغاسل يديه الى المنكبين ثلاثا عند تكفينه</w:t>
      </w:r>
      <w:r>
        <w:rPr>
          <w:rFonts w:eastAsia="Amiri" w:cs="Amiri" w:ascii="Amiri" w:hAnsi="Amiri"/>
          <w:color w:val="111111"/>
          <w:sz w:val="28"/>
          <w:szCs w:val="28"/>
          <w:rtl w:val="true"/>
          <w:lang w:bidi="ar-SA"/>
        </w:rPr>
        <w:t>»</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الميت مثل غسل الجنب، و إن كان كثير الشعر فزد عليه ثلاث مرات</w:t>
      </w:r>
      <w:r>
        <w:rPr>
          <w:rFonts w:eastAsia="Amiri" w:cs="Amiri" w:ascii="Amiri" w:hAnsi="Amiri"/>
          <w:color w:val="111111"/>
          <w:sz w:val="28"/>
          <w:szCs w:val="28"/>
          <w:rtl w:val="true"/>
          <w:lang w:bidi="ar-SA"/>
        </w:rPr>
        <w:t>»</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 الترتيب، و على عدم وجوب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937" w:name="pg15253_219852"/>
    </w:p>
    <w:p>
      <w:pPr>
        <w:pStyle w:val="BookText"/>
        <w:rPr/>
      </w:pPr>
      <w:bookmarkEnd w:id="937"/>
      <w:r>
        <w:rPr>
          <w:rFonts w:ascii="Amiri" w:hAnsi="Amiri" w:eastAsia="Amiri" w:cs="Amiri"/>
          <w:color w:val="111111"/>
          <w:sz w:val="28"/>
          <w:sz w:val="28"/>
          <w:szCs w:val="28"/>
          <w:rtl w:val="true"/>
          <w:lang w:bidi="ar-SA"/>
        </w:rPr>
        <w:t xml:space="preserve">و في 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يجعله بين رجليه، بل يقف من جانبه</w:t>
      </w:r>
      <w:r>
        <w:rPr>
          <w:rFonts w:eastAsia="Amiri" w:cs="Amiri" w:ascii="Amiri" w:hAnsi="Amiri"/>
          <w:color w:val="111111"/>
          <w:sz w:val="28"/>
          <w:szCs w:val="28"/>
          <w:rtl w:val="true"/>
          <w:lang w:bidi="ar-SA"/>
        </w:rPr>
        <w:t>»</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العلاء بن سيّابة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تجعل الميت بين رجليك</w:t>
      </w:r>
      <w:r>
        <w:rPr>
          <w:rFonts w:eastAsia="Amiri" w:cs="Amiri" w:ascii="Amiri" w:hAnsi="Amiri"/>
          <w:color w:val="111111"/>
          <w:sz w:val="28"/>
          <w:szCs w:val="28"/>
          <w:rtl w:val="true"/>
          <w:lang w:bidi="ar-SA"/>
        </w:rPr>
        <w:t>»</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عدم الركوب و هو الأفضل، و هذا جائز</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مكاتبة أحمد بن القاسم إلى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المؤمن غسله و ان كان العامة حضورا</w:t>
      </w:r>
      <w:r>
        <w:rPr>
          <w:rFonts w:eastAsia="Amiri" w:cs="Amiri" w:ascii="Amiri" w:hAnsi="Amiri"/>
          <w:color w:val="111111"/>
          <w:sz w:val="28"/>
          <w:szCs w:val="28"/>
          <w:rtl w:val="true"/>
          <w:lang w:bidi="ar-SA"/>
        </w:rPr>
        <w:t>»</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مغيرة مؤذن بني عدي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غسّل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بدأه بالسدر، و الثانية ثلاث مثاقيل من كافور و مثقال من مسك، و أفاض في الثالث عليه قربة مشدودة الرأس</w:t>
      </w:r>
      <w:r>
        <w:rPr>
          <w:rFonts w:eastAsia="Amiri" w:cs="Amiri" w:ascii="Amiri" w:hAnsi="Amiri"/>
          <w:color w:val="111111"/>
          <w:sz w:val="28"/>
          <w:szCs w:val="28"/>
          <w:rtl w:val="true"/>
          <w:lang w:bidi="ar-SA"/>
        </w:rPr>
        <w:t>»</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الأولى ترك المسك، و الخبر معارض بأشهر منه</w:t>
      </w:r>
      <w:r>
        <w:rPr>
          <w:rFonts w:eastAsia="Amiri" w:cs="Amiri" w:ascii="Amiri" w:hAnsi="Amiri"/>
          <w:color w:val="111111"/>
          <w:sz w:val="28"/>
          <w:szCs w:val="28"/>
          <w:rtl w:val="true"/>
          <w:lang w:bidi="ar-SA"/>
        </w:rPr>
        <w:t>.</w:t>
      </w:r>
    </w:p>
    <w:p>
      <w:pPr>
        <w:pStyle w:val="Heading6"/>
        <w:numPr>
          <w:ilvl w:val="5"/>
          <w:numId w:val="1"/>
        </w:numPr>
        <w:rPr/>
      </w:pPr>
      <w:bookmarkStart w:id="938" w:name="__RefHeading___Toc4192355_2142443653"/>
      <w:bookmarkStart w:id="939" w:name="_Toc383"/>
      <w:bookmarkEnd w:id="938"/>
      <w:r>
        <w:rPr>
          <w:rtl w:val="true"/>
        </w:rPr>
        <w:t>ثم هنا مسائل</w:t>
      </w:r>
      <w:r>
        <w:rPr>
          <w:rtl w:val="true"/>
        </w:rPr>
        <w:t>:</w:t>
      </w:r>
      <w:bookmarkEnd w:id="939"/>
    </w:p>
    <w:p>
      <w:pPr>
        <w:pStyle w:val="Heading6"/>
        <w:numPr>
          <w:ilvl w:val="5"/>
          <w:numId w:val="1"/>
        </w:numPr>
        <w:rPr/>
      </w:pPr>
      <w:bookmarkStart w:id="940" w:name="__RefHeading___Toc4192357_2142443653"/>
      <w:bookmarkStart w:id="941" w:name="_Toc384"/>
      <w:bookmarkEnd w:id="940"/>
      <w:r>
        <w:rPr>
          <w:rtl w:val="true"/>
        </w:rPr>
        <w:t>المسألة الأولى</w:t>
      </w:r>
      <w:r>
        <w:rPr>
          <w:rtl w:val="true"/>
        </w:rPr>
        <w:t xml:space="preserve">: </w:t>
      </w:r>
      <w:r>
        <w:rPr>
          <w:rtl w:val="true"/>
        </w:rPr>
        <w:t>يجب استقبال القبلة حالة الغسل،</w:t>
      </w:r>
      <w:bookmarkEnd w:id="941"/>
    </w:p>
    <w:p>
      <w:pPr>
        <w:pStyle w:val="BookText"/>
        <w:rPr/>
      </w:pPr>
      <w:r>
        <w:rPr>
          <w:rFonts w:ascii="Amiri" w:hAnsi="Amiri" w:eastAsia="Amiri" w:cs="Amiri"/>
          <w:color w:val="111111"/>
          <w:sz w:val="28"/>
          <w:sz w:val="28"/>
          <w:szCs w:val="28"/>
          <w:rtl w:val="true"/>
          <w:lang w:bidi="ar-SA"/>
        </w:rPr>
        <w:t>كالاحتضار، في ظاهر كلام الشيخ</w:t>
      </w:r>
      <w:r>
        <w:rPr>
          <w:rStyle w:val="FootnoteAnchor"/>
          <w:rtl w:val="true"/>
        </w:rPr>
        <w:footnoteReference w:id="1861"/>
      </w:r>
      <w:r>
        <w:rPr>
          <w:rFonts w:ascii="IRNazanin" w:hAnsi="IRNazanin" w:eastAsia="IRNazanin"/>
          <w:color w:val="111111"/>
          <w:sz w:val="28"/>
          <w:sz w:val="28"/>
          <w:szCs w:val="28"/>
          <w:rtl w:val="true"/>
          <w:lang w:bidi="fa-IR"/>
        </w:rPr>
        <w:t>و ظاهر الخبر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خبر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الميت، فقال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بباطن قدميه القبلة حتى يكون وجهه مستقبل القبلة</w:t>
      </w:r>
      <w:r>
        <w:rPr>
          <w:rFonts w:eastAsia="Amiri" w:cs="Amiri" w:ascii="Amiri" w:hAnsi="Amiri"/>
          <w:color w:val="111111"/>
          <w:sz w:val="28"/>
          <w:szCs w:val="28"/>
          <w:rtl w:val="true"/>
          <w:lang w:bidi="ar-SA"/>
        </w:rPr>
        <w:t>»</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 xml:space="preserve">. </w:t>
      </w:r>
      <w:bookmarkStart w:id="942" w:name="pg15253_219853"/>
    </w:p>
    <w:p>
      <w:pPr>
        <w:pStyle w:val="BookText"/>
        <w:rPr/>
      </w:pPr>
      <w:bookmarkEnd w:id="942"/>
      <w:r>
        <w:rPr>
          <w:rFonts w:ascii="Amiri" w:hAnsi="Amiri" w:eastAsia="Amiri" w:cs="Amiri"/>
          <w:color w:val="111111"/>
          <w:sz w:val="28"/>
          <w:sz w:val="28"/>
          <w:szCs w:val="28"/>
          <w:rtl w:val="true"/>
          <w:lang w:bidi="ar-SA"/>
        </w:rPr>
        <w:t>و في المصرية للمرتضى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Style w:val="FootnoteAnchor"/>
          <w:rtl w:val="true"/>
        </w:rPr>
        <w:footnoteReference w:id="1863"/>
      </w:r>
      <w:r>
        <w:rPr>
          <w:rFonts w:ascii="Amiri" w:hAnsi="Amiri" w:eastAsia="Amiri" w:cs="Amiri"/>
          <w:color w:val="111111"/>
          <w:sz w:val="28"/>
          <w:sz w:val="28"/>
          <w:szCs w:val="28"/>
          <w:rtl w:val="true"/>
          <w:lang w:bidi="ar-SA"/>
        </w:rPr>
        <w:t xml:space="preserve">للأصل، و الخبر يعقوب بن يقطين 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كيف يوضع على المغتسل، موجّها وجهه نحو القبلة، أو يوضع على يمينه و وجهه نحو القبلة؟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يوضع كيف تيسر، فإذا طهر وضع كما يوضع في قبره</w:t>
      </w:r>
      <w:r>
        <w:rPr>
          <w:rFonts w:eastAsia="Amiri" w:cs="Amiri" w:ascii="Amiri" w:hAnsi="Amiri"/>
          <w:color w:val="111111"/>
          <w:sz w:val="28"/>
          <w:szCs w:val="28"/>
          <w:rtl w:val="true"/>
          <w:lang w:bidi="ar-SA"/>
        </w:rPr>
        <w:t>»</w:t>
      </w:r>
      <w:r>
        <w:rPr>
          <w:rStyle w:val="FootnoteAnchor"/>
          <w:rtl w:val="true"/>
        </w:rPr>
        <w:footnoteReference w:id="1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مختار المحقّق</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3" w:name="__RefHeading___Toc4192359_2142443653"/>
      <w:bookmarkStart w:id="944" w:name="_Toc385"/>
      <w:bookmarkEnd w:id="943"/>
      <w:r>
        <w:rPr>
          <w:rtl w:val="true"/>
        </w:rPr>
        <w:t>المسألة الثانية</w:t>
      </w:r>
      <w:r>
        <w:rPr>
          <w:rtl w:val="true"/>
        </w:rPr>
        <w:t xml:space="preserve">: </w:t>
      </w:r>
      <w:r>
        <w:rPr>
          <w:rtl w:val="true"/>
        </w:rPr>
        <w:t>يستحبّ وضعه على مرتفع</w:t>
      </w:r>
      <w:bookmarkEnd w:id="944"/>
    </w:p>
    <w:p>
      <w:pPr>
        <w:pStyle w:val="BookText"/>
        <w:rPr/>
      </w:pPr>
      <w:r>
        <w:rPr>
          <w:rFonts w:ascii="Amiri" w:hAnsi="Amiri" w:eastAsia="Amiri" w:cs="Amiri"/>
          <w:color w:val="111111"/>
          <w:sz w:val="28"/>
          <w:sz w:val="28"/>
          <w:szCs w:val="28"/>
          <w:rtl w:val="true"/>
          <w:lang w:bidi="ar-SA"/>
        </w:rPr>
        <w:t>لئلا يعود إليه ماء الغسل، و ليجعل على ساجة أو سرير حفظا لجسده من التلطّخ، و ليكن مكان الرجلين منحدرا كيلا يجتمع الماء تحته، و ليحفر للماء حفرة ليجتمع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سليمان بن خالد</w:t>
      </w:r>
      <w:r>
        <w:rPr>
          <w:rStyle w:val="FootnoteAnchor"/>
          <w:rtl w:val="true"/>
        </w:rPr>
        <w:footnoteReference w:id="186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إذا غسل يحفر له موضع المغتسل تجاه القبلة</w:t>
      </w:r>
      <w:r>
        <w:rPr>
          <w:rFonts w:eastAsia="Amiri" w:cs="Amiri" w:ascii="Amiri" w:hAnsi="Amiri"/>
          <w:color w:val="111111"/>
          <w:sz w:val="28"/>
          <w:szCs w:val="28"/>
          <w:rtl w:val="true"/>
          <w:lang w:bidi="ar-SA"/>
        </w:rPr>
        <w:t>»</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الحفرة أولى من البالوعة، قاله ابن حمزة</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اللوح الذي يغسّل عليه الى الميت، و لا يحمل الميت الى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أن يحضر الغسل جنب أو حائض أو نفساء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الغاسل لنفسه مئزرا</w:t>
      </w:r>
      <w:r>
        <w:rPr>
          <w:rStyle w:val="FootnoteAnchor"/>
          <w:rtl w:val="true"/>
        </w:rPr>
        <w:footnoteReference w:id="1869"/>
      </w:r>
      <w:r>
        <w:rPr>
          <w:rFonts w:ascii="Amiri" w:hAnsi="Amiri" w:eastAsia="Amiri" w:cs="Amiri"/>
          <w:color w:val="111111"/>
          <w:sz w:val="28"/>
          <w:sz w:val="28"/>
          <w:szCs w:val="28"/>
          <w:rtl w:val="true"/>
          <w:lang w:bidi="ar-SA"/>
        </w:rPr>
        <w:t>و هو حسن ليقي أثوابه</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4192361_2142443653"/>
      <w:bookmarkStart w:id="946" w:name="_Toc386"/>
      <w:bookmarkEnd w:id="945"/>
      <w:r>
        <w:rPr>
          <w:rtl w:val="true"/>
        </w:rPr>
        <w:t>المسألة الثالثة</w:t>
      </w:r>
      <w:r>
        <w:rPr>
          <w:rtl w:val="true"/>
        </w:rPr>
        <w:t xml:space="preserve">: </w:t>
      </w:r>
      <w:r>
        <w:rPr>
          <w:rtl w:val="true"/>
        </w:rPr>
        <w:t>يفتق قميصه و ينزع من تحته،</w:t>
      </w:r>
      <w:bookmarkEnd w:id="94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مظنّة النجاسة،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ينزع كذلك إذا أريد ستره به، ثم ينزع بعد الغسل من أسفله، لخبر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يخرق القميص </w:t>
      </w:r>
    </w:p>
    <w:p>
      <w:pPr>
        <w:pStyle w:val="BookText"/>
        <w:rPr/>
      </w:pPr>
      <w:r>
        <w:rPr>
          <w:rFonts w:ascii="Amiri" w:hAnsi="Amiri" w:eastAsia="Amiri" w:cs="Amiri"/>
          <w:color w:val="111111"/>
          <w:sz w:val="28"/>
          <w:sz w:val="28"/>
          <w:szCs w:val="28"/>
          <w:rtl w:val="true"/>
          <w:lang w:bidi="ar-SA"/>
        </w:rPr>
        <w:t>إذا فرغ من غسله و ينزع من رجليه</w:t>
      </w:r>
      <w:r>
        <w:rPr>
          <w:rFonts w:eastAsia="Amiri" w:cs="Amiri" w:ascii="Amiri" w:hAnsi="Amiri"/>
          <w:color w:val="111111"/>
          <w:sz w:val="28"/>
          <w:szCs w:val="28"/>
          <w:rtl w:val="true"/>
          <w:lang w:bidi="ar-SA"/>
        </w:rPr>
        <w:t>»</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النهاية و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قميصه، و يترك على عورته ساتر</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خيّر في الخلاف بين غسله في قميصه أو يستر بخرقة، و نقل الإجماع على التخيير</w:t>
      </w:r>
      <w:r>
        <w:rPr>
          <w:rStyle w:val="FootnoteAnchor"/>
          <w:rtl w:val="true"/>
        </w:rPr>
        <w:footnoteReference w:id="1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مرّت الرواية باستحباب القميص</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جوازهما، و بخرقة عريانا أفضل، لدلالة الأخبار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أفضليّة التجريد، لأنّه أمكن للتطهير، و لأنّ الثوب قد ينجس بما يخرج من الميت، و لا يطهر بصبّ الماء فتتفاحش</w:t>
      </w:r>
      <w:r>
        <w:rPr>
          <w:rStyle w:val="FootnoteAnchor"/>
          <w:rtl w:val="true"/>
        </w:rPr>
        <w:footnoteReference w:id="1874"/>
      </w:r>
      <w:r>
        <w:rPr>
          <w:rFonts w:ascii="Amiri" w:hAnsi="Amiri" w:eastAsia="Amiri" w:cs="Amiri"/>
          <w:color w:val="111111"/>
          <w:sz w:val="28"/>
          <w:sz w:val="28"/>
          <w:szCs w:val="28"/>
          <w:rtl w:val="true"/>
          <w:lang w:bidi="ar-SA"/>
        </w:rPr>
        <w:t>النجاسة في الميت و الغاسل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تغسيل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قميصه للأمن من ذلك فيه</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تغسيله في قميصه، لتواتر الأخبار بفعل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النبي صلّى اللّه عليه و آله</w:t>
      </w:r>
      <w:r>
        <w:rPr>
          <w:rStyle w:val="FootnoteAnchor"/>
          <w:rtl w:val="true"/>
        </w:rPr>
        <w:footnoteReference w:id="1876"/>
      </w:r>
      <w:r>
        <w:rPr>
          <w:rFonts w:ascii="IRNazanin" w:hAnsi="IRNazanin" w:eastAsia="IRNazanin"/>
          <w:color w:val="111111"/>
          <w:sz w:val="28"/>
          <w:sz w:val="28"/>
          <w:szCs w:val="28"/>
          <w:rtl w:val="true"/>
          <w:lang w:bidi="fa-IR"/>
        </w:rPr>
        <w:t>و هو ظاهر الصدوق</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حمزة أوجب تجريده إلاّ ما يستر العورة</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المحقق أنّ نجاسة الميت تتعدّى إلى الملاقي، فهي حاصلة و ان لم يخرج منه شيء، و عدم طهارة القميص هنا بالصبّ ممنوع، لإطلاق الرواية، و جاز أن يجري مجرى ما لا يمكن عصره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947" w:name="pg15253_219855"/>
    </w:p>
    <w:p>
      <w:pPr>
        <w:pStyle w:val="BookText"/>
        <w:rPr/>
      </w:pPr>
      <w:bookmarkEnd w:id="947"/>
      <w:r>
        <w:rPr>
          <w:rFonts w:ascii="Amiri" w:hAnsi="Amiri" w:eastAsia="Amiri" w:cs="Amiri"/>
          <w:color w:val="111111"/>
          <w:sz w:val="28"/>
          <w:sz w:val="28"/>
          <w:szCs w:val="28"/>
          <w:rtl w:val="true"/>
          <w:lang w:bidi="ar-SA"/>
        </w:rPr>
        <w:t>و هذا كلّه لوجوب ستر العورة، إلاّ أن يكون الغاسل غير مبصر أو واثقا من نفسه بكفّ البصر فيستحب استظهارا، للأمن من البصر غلطا أو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لو كان زوجا أو زوجة لم يجب، لإباحة النظر إن جوّزنا غسله مجرّدا، و كذا لو كان طفلا يباح غسله للنساء، لأنّه لا شهوة فيه، و من ثمّ جاز للنساء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نظر المرأة يدلّ على جواز نظر الرجل</w:t>
      </w:r>
      <w:r>
        <w:rPr>
          <w:rStyle w:val="FootnoteAnchor"/>
          <w:rtl w:val="true"/>
        </w:rPr>
        <w:footnoteReference w:id="1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إلى العورة أمكن توجّه المنع، إلاّ أن يعلّل بعدم الشهوة فلا حاجة الى الحمل على النساء</w:t>
      </w:r>
      <w:r>
        <w:rPr>
          <w:rFonts w:eastAsia="Amiri" w:cs="Amiri" w:ascii="Amiri" w:hAnsi="Amiri"/>
          <w:color w:val="111111"/>
          <w:sz w:val="28"/>
          <w:szCs w:val="28"/>
          <w:rtl w:val="true"/>
          <w:lang w:bidi="ar-SA"/>
        </w:rPr>
        <w:t>.</w:t>
      </w:r>
    </w:p>
    <w:p>
      <w:pPr>
        <w:pStyle w:val="Heading6"/>
        <w:numPr>
          <w:ilvl w:val="5"/>
          <w:numId w:val="1"/>
        </w:numPr>
        <w:rPr/>
      </w:pPr>
      <w:bookmarkStart w:id="948" w:name="__RefHeading___Toc4192363_2142443653"/>
      <w:bookmarkStart w:id="949" w:name="_Toc387"/>
      <w:bookmarkEnd w:id="948"/>
      <w:r>
        <w:rPr>
          <w:rtl w:val="true"/>
        </w:rPr>
        <w:t>المسألة الرابعة</w:t>
      </w:r>
      <w:r>
        <w:rPr>
          <w:rtl w:val="true"/>
        </w:rPr>
        <w:t xml:space="preserve">: </w:t>
      </w:r>
      <w:r>
        <w:rPr>
          <w:rtl w:val="true"/>
        </w:rPr>
        <w:t>يجب إزالة النجاسة عن بدنه أولا،</w:t>
      </w:r>
      <w:bookmarkEnd w:id="949"/>
    </w:p>
    <w:p>
      <w:pPr>
        <w:pStyle w:val="BookText"/>
        <w:rPr/>
      </w:pPr>
      <w:r>
        <w:rPr>
          <w:rFonts w:ascii="Amiri" w:hAnsi="Amiri" w:eastAsia="Amiri" w:cs="Amiri"/>
          <w:color w:val="111111"/>
          <w:sz w:val="28"/>
          <w:sz w:val="28"/>
          <w:szCs w:val="28"/>
          <w:rtl w:val="true"/>
          <w:lang w:bidi="ar-SA"/>
        </w:rPr>
        <w:t xml:space="preserve">لتوقّف تطهيره عليها، و أولوية إزالتها على الحكمية، و لخبر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منه شيء فأنقه</w:t>
      </w:r>
      <w:r>
        <w:rPr>
          <w:rFonts w:eastAsia="Amiri" w:cs="Amiri" w:ascii="Amiri" w:hAnsi="Amiri"/>
          <w:color w:val="111111"/>
          <w:sz w:val="28"/>
          <w:szCs w:val="28"/>
          <w:rtl w:val="true"/>
          <w:lang w:bidi="ar-SA"/>
        </w:rPr>
        <w:t>»</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0" w:name="__RefHeading___Toc4192365_2142443653"/>
      <w:bookmarkStart w:id="951" w:name="_Toc388"/>
      <w:bookmarkEnd w:id="950"/>
      <w:r>
        <w:rPr>
          <w:rtl w:val="true"/>
        </w:rPr>
        <w:t>المسألة الخامسة</w:t>
      </w:r>
      <w:r>
        <w:rPr>
          <w:rtl w:val="true"/>
        </w:rPr>
        <w:t xml:space="preserve">: </w:t>
      </w:r>
      <w:r>
        <w:rPr>
          <w:rtl w:val="true"/>
        </w:rPr>
        <w:t xml:space="preserve">قطع في الخلاف على وجوب النيّة على الغاسل مدّعيا الإجماع </w:t>
      </w:r>
      <w:r>
        <w:rPr>
          <w:rtl w:val="true"/>
        </w:rPr>
        <w:t>.</w:t>
      </w:r>
      <w:bookmarkEnd w:id="951"/>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في الخلاف على وجوب النيّة على الغاسل مدّعيا الإجماع</w:t>
      </w:r>
      <w:r>
        <w:rPr>
          <w:rStyle w:val="FootnoteAnchor"/>
          <w:rtl w:val="true"/>
        </w:rPr>
        <w:footnoteReference w:id="1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 في المعتبر، لأنّه تطهير للميت من نجاسة الموت فهو كإزالة النجاسة عن الثوب، ثم احتاط بها</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أنّه كغسل الجنابة، و تجب فيه النيّة قطعا، و لأنّه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اشترك في غسله جماعة نووا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نوى الصابّ وحده أجزأ، لأنّه الغاسل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نوى الآخر،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لأنّ الصابّ كالآلة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عدم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في المكان المغصوب، و بالماء المغصوب</w:t>
      </w:r>
      <w:r>
        <w:rPr>
          <w:rFonts w:eastAsia="Amiri" w:cs="Amiri" w:ascii="Amiri" w:hAnsi="Amiri"/>
          <w:color w:val="111111"/>
          <w:sz w:val="28"/>
          <w:szCs w:val="28"/>
          <w:rtl w:val="true"/>
          <w:lang w:bidi="ar-SA"/>
        </w:rPr>
        <w:t>.</w:t>
      </w:r>
    </w:p>
    <w:p>
      <w:pPr>
        <w:pStyle w:val="Heading6"/>
        <w:numPr>
          <w:ilvl w:val="5"/>
          <w:numId w:val="1"/>
        </w:numPr>
        <w:rPr/>
      </w:pPr>
      <w:bookmarkStart w:id="952" w:name="__RefHeading___Toc4192367_2142443653"/>
      <w:bookmarkStart w:id="953" w:name="_Toc389"/>
      <w:bookmarkEnd w:id="952"/>
      <w:r>
        <w:rPr>
          <w:rtl w:val="true"/>
        </w:rPr>
        <w:t>المسألة السادسة</w:t>
      </w:r>
      <w:r>
        <w:rPr>
          <w:rtl w:val="true"/>
        </w:rPr>
        <w:t xml:space="preserve">: </w:t>
      </w:r>
      <w:r>
        <w:rPr>
          <w:rtl w:val="true"/>
        </w:rPr>
        <w:t>يجب تغسيله ثلاثا</w:t>
      </w:r>
      <w:r>
        <w:rPr>
          <w:rtl w:val="true"/>
        </w:rPr>
        <w:t xml:space="preserve">: </w:t>
      </w:r>
      <w:r>
        <w:rPr>
          <w:rtl w:val="true"/>
        </w:rPr>
        <w:t>بالسدر، ثمّ الكافور، ثم القراح</w:t>
      </w:r>
      <w:bookmarkEnd w:id="953"/>
    </w:p>
    <w:p>
      <w:pPr>
        <w:pStyle w:val="Heading6"/>
        <w:numPr>
          <w:ilvl w:val="5"/>
          <w:numId w:val="1"/>
        </w:numPr>
        <w:rPr/>
      </w:pPr>
      <w:bookmarkStart w:id="954" w:name="__RefHeading___Toc4192369_2142443653"/>
      <w:bookmarkStart w:id="955" w:name="_Toc390"/>
      <w:bookmarkEnd w:id="954"/>
      <w:r>
        <w:rPr>
          <w:rtl w:val="true"/>
        </w:rPr>
        <w:t>اشارة</w:t>
      </w:r>
      <w:bookmarkEnd w:id="955"/>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الخالص البحت عند الأكثر، لما مرّ، و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عطيّة </w:t>
      </w:r>
      <w:bookmarkStart w:id="956" w:name="pg15253_219856"/>
    </w:p>
    <w:p>
      <w:pPr>
        <w:pStyle w:val="BookText"/>
        <w:rPr/>
      </w:pPr>
      <w:bookmarkEnd w:id="956"/>
      <w:r>
        <w:rPr>
          <w:rFonts w:ascii="Amiri" w:hAnsi="Amiri" w:eastAsia="Amiri" w:cs="Amiri"/>
          <w:color w:val="111111"/>
          <w:sz w:val="28"/>
          <w:sz w:val="28"/>
          <w:szCs w:val="28"/>
          <w:rtl w:val="true"/>
          <w:lang w:bidi="ar-SA"/>
        </w:rPr>
        <w:t>غاسلة ابنته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اغسليها ثلاثا، أو خمسا، أو أكثر</w:t>
      </w:r>
      <w:r>
        <w:rPr>
          <w:rFonts w:eastAsia="Amiri" w:cs="Amiri" w:ascii="Amiri" w:hAnsi="Amiri"/>
          <w:color w:val="111111"/>
          <w:sz w:val="28"/>
          <w:szCs w:val="28"/>
          <w:rtl w:val="true"/>
          <w:lang w:bidi="ar-SA"/>
        </w:rPr>
        <w:t>»</w:t>
      </w:r>
      <w:r>
        <w:rPr>
          <w:rStyle w:val="FootnoteAnchor"/>
          <w:rtl w:val="true"/>
        </w:rPr>
        <w:footnoteReference w:id="1883"/>
      </w:r>
      <w:r>
        <w:rPr>
          <w:rFonts w:ascii="Amiri" w:hAnsi="Amiri" w:eastAsia="Amiri" w:cs="Amiri"/>
          <w:color w:val="111111"/>
          <w:sz w:val="28"/>
          <w:sz w:val="28"/>
          <w:szCs w:val="28"/>
          <w:rtl w:val="true"/>
          <w:lang w:bidi="ar-SA"/>
        </w:rPr>
        <w:t>فيجب أقلّ مراتب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فيه الشيخ الإجماع</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اجتزأ سلاّر بالقراح</w:t>
      </w:r>
      <w:r>
        <w:rPr>
          <w:rStyle w:val="FootnoteAnchor"/>
          <w:rtl w:val="true"/>
        </w:rPr>
        <w:footnoteReference w:id="1885"/>
      </w:r>
      <w:r>
        <w:rPr>
          <w:rFonts w:ascii="Amiri" w:hAnsi="Amiri" w:eastAsia="Amiri" w:cs="Amiri"/>
          <w:color w:val="111111"/>
          <w:sz w:val="28"/>
          <w:sz w:val="28"/>
          <w:szCs w:val="28"/>
          <w:rtl w:val="true"/>
          <w:lang w:bidi="ar-SA"/>
        </w:rPr>
        <w:t xml:space="preserve">للأصل، و لخبر علي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الميت جنبا،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واحد</w:t>
      </w:r>
      <w:r>
        <w:rPr>
          <w:rFonts w:eastAsia="Amiri" w:cs="Amiri" w:ascii="Amiri" w:hAnsi="Amiri"/>
          <w:color w:val="111111"/>
          <w:sz w:val="28"/>
          <w:szCs w:val="28"/>
          <w:rtl w:val="true"/>
          <w:lang w:bidi="ar-SA"/>
        </w:rPr>
        <w:t>»</w:t>
      </w:r>
      <w:r>
        <w:rPr>
          <w:rStyle w:val="FootnoteAnchor"/>
          <w:rtl w:val="true"/>
        </w:rPr>
        <w:footnoteReference w:id="1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الجنب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مخرجة عن الأصل، و المراد بالوحدة عدم تعدّد الغسل بسبب الجنابة، و لأنّ غسل الميت واحد بنوعه و ان تعدّد صفة</w:t>
      </w:r>
      <w:r>
        <w:rPr>
          <w:rFonts w:eastAsia="Amiri" w:cs="Amiri" w:ascii="Amiri" w:hAnsi="Amiri"/>
          <w:color w:val="111111"/>
          <w:sz w:val="28"/>
          <w:szCs w:val="28"/>
          <w:rtl w:val="true"/>
          <w:lang w:bidi="ar-SA"/>
        </w:rPr>
        <w:t>.</w:t>
      </w:r>
    </w:p>
    <w:p>
      <w:pPr>
        <w:pStyle w:val="Heading6"/>
        <w:numPr>
          <w:ilvl w:val="5"/>
          <w:numId w:val="1"/>
        </w:numPr>
        <w:rPr/>
      </w:pPr>
      <w:bookmarkStart w:id="957" w:name="__RefHeading___Toc4192371_2142443653"/>
      <w:bookmarkStart w:id="958" w:name="_Toc391"/>
      <w:bookmarkEnd w:id="957"/>
      <w:r>
        <w:rPr>
          <w:rtl w:val="true"/>
        </w:rPr>
        <w:t>فروع</w:t>
      </w:r>
      <w:r>
        <w:rPr>
          <w:rtl w:val="true"/>
        </w:rPr>
        <w:t>:</w:t>
      </w:r>
      <w:bookmarkEnd w:id="958"/>
    </w:p>
    <w:p>
      <w:pPr>
        <w:pStyle w:val="Heading6"/>
        <w:numPr>
          <w:ilvl w:val="5"/>
          <w:numId w:val="1"/>
        </w:numPr>
        <w:rPr/>
      </w:pPr>
      <w:bookmarkStart w:id="959" w:name="__RefHeading___Toc4192373_2142443653"/>
      <w:bookmarkStart w:id="960" w:name="_Toc392"/>
      <w:bookmarkEnd w:id="959"/>
      <w:r>
        <w:rPr>
          <w:rtl w:val="true"/>
        </w:rPr>
        <w:t>الأول</w:t>
      </w:r>
      <w:r>
        <w:rPr>
          <w:rtl w:val="true"/>
        </w:rPr>
        <w:t xml:space="preserve">: </w:t>
      </w:r>
      <w:r>
        <w:rPr>
          <w:rtl w:val="true"/>
        </w:rPr>
        <w:t>الترتيب في هذه المياه واجب،</w:t>
      </w:r>
      <w:bookmarkEnd w:id="960"/>
    </w:p>
    <w:p>
      <w:pPr>
        <w:pStyle w:val="BookText"/>
        <w:rPr/>
      </w:pPr>
      <w:r>
        <w:rPr>
          <w:rFonts w:ascii="Amiri" w:hAnsi="Amiri" w:eastAsia="Amiri" w:cs="Amiri"/>
          <w:color w:val="111111"/>
          <w:sz w:val="28"/>
          <w:sz w:val="28"/>
          <w:szCs w:val="28"/>
          <w:rtl w:val="true"/>
          <w:lang w:bidi="ar-SA"/>
        </w:rPr>
        <w:t>لظاهر خبر الحلبي السابق</w:t>
      </w:r>
      <w:r>
        <w:rPr>
          <w:rStyle w:val="FootnoteAnchor"/>
          <w:rtl w:val="true"/>
        </w:rPr>
        <w:footnoteReference w:id="1887"/>
      </w:r>
      <w:r>
        <w:rPr>
          <w:rFonts w:ascii="Amiri" w:hAnsi="Amiri" w:eastAsia="Amiri" w:cs="Amiri"/>
          <w:color w:val="111111"/>
          <w:sz w:val="28"/>
          <w:sz w:val="28"/>
          <w:szCs w:val="28"/>
          <w:rtl w:val="true"/>
          <w:lang w:bidi="ar-SA"/>
        </w:rPr>
        <w:t>و غيره</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يلوح من كلام ابن حمزة استحباب الترتيب</w:t>
      </w:r>
      <w:r>
        <w:rPr>
          <w:rStyle w:val="FootnoteAnchor"/>
          <w:rtl w:val="true"/>
        </w:rPr>
        <w:footnoteReference w:id="1889"/>
      </w:r>
      <w:r>
        <w:rPr>
          <w:rFonts w:ascii="Amiri" w:hAnsi="Amiri" w:eastAsia="Amiri" w:cs="Amiri"/>
          <w:color w:val="111111"/>
          <w:sz w:val="28"/>
          <w:sz w:val="28"/>
          <w:szCs w:val="28"/>
          <w:rtl w:val="true"/>
          <w:lang w:bidi="ar-SA"/>
        </w:rPr>
        <w:t>، للأصل، و حمل الروايات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بيان الواجب ظاهره الوجوب</w:t>
      </w:r>
      <w:r>
        <w:rPr>
          <w:rFonts w:eastAsia="Amiri" w:cs="Amiri" w:ascii="Amiri" w:hAnsi="Amiri"/>
          <w:color w:val="111111"/>
          <w:sz w:val="28"/>
          <w:szCs w:val="28"/>
          <w:rtl w:val="true"/>
          <w:lang w:bidi="ar-SA"/>
        </w:rPr>
        <w:t>.</w:t>
      </w:r>
    </w:p>
    <w:p>
      <w:pPr>
        <w:pStyle w:val="Heading6"/>
        <w:numPr>
          <w:ilvl w:val="5"/>
          <w:numId w:val="1"/>
        </w:numPr>
        <w:rPr/>
      </w:pPr>
      <w:bookmarkStart w:id="961" w:name="__RefHeading___Toc4192375_2142443653"/>
      <w:bookmarkStart w:id="962" w:name="_Toc393"/>
      <w:bookmarkEnd w:id="961"/>
      <w:r>
        <w:rPr>
          <w:rtl w:val="true"/>
        </w:rPr>
        <w:t>الثاني</w:t>
      </w:r>
      <w:r>
        <w:rPr>
          <w:rtl w:val="true"/>
        </w:rPr>
        <w:t xml:space="preserve">: </w:t>
      </w:r>
      <w:r>
        <w:rPr>
          <w:rtl w:val="true"/>
        </w:rPr>
        <w:t>لو عدم الخليط،</w:t>
      </w:r>
      <w:bookmarkEnd w:id="962"/>
    </w:p>
    <w:p>
      <w:pPr>
        <w:pStyle w:val="BookText"/>
        <w:rPr/>
      </w:pPr>
      <w:r>
        <w:rPr>
          <w:rFonts w:ascii="Amiri" w:hAnsi="Amiri" w:eastAsia="Amiri" w:cs="Amiri"/>
          <w:color w:val="111111"/>
          <w:sz w:val="28"/>
          <w:sz w:val="28"/>
          <w:szCs w:val="28"/>
          <w:rtl w:val="true"/>
          <w:lang w:bidi="ar-SA"/>
        </w:rPr>
        <w:t>فظاهر كلام الشيخ الاجتزاء بالمرّة</w:t>
      </w:r>
      <w:r>
        <w:rPr>
          <w:rStyle w:val="FootnoteAnchor"/>
          <w:rtl w:val="true"/>
        </w:rPr>
        <w:footnoteReference w:id="1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إدريس اعتبر ثلاثا</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 أفقه، للأصل، و للشكّ في وجوب الزائد فلا يجب، و لأنّ المراد </w:t>
      </w:r>
      <w:bookmarkStart w:id="963" w:name="pg15253_219857"/>
    </w:p>
    <w:p>
      <w:pPr>
        <w:pStyle w:val="BookText"/>
        <w:rPr/>
      </w:pPr>
      <w:bookmarkEnd w:id="963"/>
      <w:r>
        <w:rPr>
          <w:rFonts w:ascii="Amiri" w:hAnsi="Amiri" w:eastAsia="Amiri" w:cs="Amiri"/>
          <w:color w:val="111111"/>
          <w:sz w:val="28"/>
          <w:sz w:val="28"/>
          <w:szCs w:val="28"/>
          <w:rtl w:val="true"/>
          <w:lang w:bidi="ar-SA"/>
        </w:rPr>
        <w:t>بالسدر الاستعانة على النظافة، و بالكافور تطييب الميت و حفظه من تسارع التغيّر و تعرّض الهوام، فكأنّهما شرط في الماء فيسقط الماء عند تعذّرهما، لانتفاء الفائدة، و لأنّه كغسل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الجزء فلا يسقط بفوات الآخر، لأصالة عدم اشتراط أحدهما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مسّ بعد الغسل بني على الخلاف فيما لو وجد الخليط بعد الغسل بالقراح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ما لم يدفن، لتوجّه</w:t>
      </w:r>
      <w:r>
        <w:rPr>
          <w:rStyle w:val="FootnoteAnchor"/>
          <w:rtl w:val="true"/>
        </w:rPr>
        <w:footnoteReference w:id="1892"/>
      </w:r>
      <w:r>
        <w:rPr>
          <w:rFonts w:ascii="Amiri" w:hAnsi="Amiri" w:eastAsia="Amiri" w:cs="Amiri"/>
          <w:color w:val="111111"/>
          <w:sz w:val="28"/>
          <w:sz w:val="28"/>
          <w:szCs w:val="28"/>
          <w:rtl w:val="true"/>
          <w:lang w:bidi="ar-SA"/>
        </w:rPr>
        <w:t>الخطاب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المنع، للامتثال المقتضي للإجزاء</w:t>
      </w:r>
      <w:r>
        <w:rPr>
          <w:rFonts w:eastAsia="Amiri" w:cs="Amiri" w:ascii="Amiri" w:hAnsi="Amiri"/>
          <w:color w:val="111111"/>
          <w:sz w:val="28"/>
          <w:szCs w:val="28"/>
          <w:rtl w:val="true"/>
          <w:lang w:bidi="ar-SA"/>
        </w:rPr>
        <w:t>.</w:t>
      </w:r>
    </w:p>
    <w:p>
      <w:pPr>
        <w:pStyle w:val="Heading6"/>
        <w:numPr>
          <w:ilvl w:val="5"/>
          <w:numId w:val="1"/>
        </w:numPr>
        <w:rPr/>
      </w:pPr>
      <w:bookmarkStart w:id="964" w:name="__RefHeading___Toc4192377_2142443653"/>
      <w:bookmarkStart w:id="965" w:name="_Toc394"/>
      <w:bookmarkEnd w:id="964"/>
      <w:r>
        <w:rPr>
          <w:rtl w:val="true"/>
        </w:rPr>
        <w:t>الثالث</w:t>
      </w:r>
      <w:r>
        <w:rPr>
          <w:rtl w:val="true"/>
        </w:rPr>
        <w:t xml:space="preserve">: </w:t>
      </w:r>
      <w:r>
        <w:rPr>
          <w:rtl w:val="true"/>
        </w:rPr>
        <w:t>لو وجد ماء لغسلة واحدة،</w:t>
      </w:r>
      <w:bookmarkEnd w:id="965"/>
    </w:p>
    <w:p>
      <w:pPr>
        <w:pStyle w:val="BookText"/>
        <w:rPr/>
      </w:pPr>
      <w:r>
        <w:rPr>
          <w:rFonts w:ascii="Amiri" w:hAnsi="Amiri" w:eastAsia="Amiri" w:cs="Amiri"/>
          <w:color w:val="111111"/>
          <w:sz w:val="28"/>
          <w:sz w:val="28"/>
          <w:szCs w:val="28"/>
          <w:rtl w:val="true"/>
          <w:lang w:bidi="ar-SA"/>
        </w:rPr>
        <w:t>فالأولى القراح، لأنّه أقوى في التطهير، و لعدم احتياجه الى جزء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 لغسلتين، فالسدر مقدّم لوجوب البدأة به، و يمكن الكافور لكثرة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ييمّم في هذين الموضعين، لحصول مسمّى الغسل</w:t>
      </w:r>
      <w:r>
        <w:rPr>
          <w:rFonts w:eastAsia="Amiri" w:cs="Amiri" w:ascii="Amiri" w:hAnsi="Amiri"/>
          <w:color w:val="111111"/>
          <w:sz w:val="28"/>
          <w:szCs w:val="28"/>
          <w:rtl w:val="true"/>
          <w:lang w:bidi="ar-SA"/>
        </w:rPr>
        <w:t>.</w:t>
      </w:r>
    </w:p>
    <w:p>
      <w:pPr>
        <w:pStyle w:val="Heading6"/>
        <w:numPr>
          <w:ilvl w:val="5"/>
          <w:numId w:val="1"/>
        </w:numPr>
        <w:rPr/>
      </w:pPr>
      <w:bookmarkStart w:id="966" w:name="__RefHeading___Toc4192379_2142443653"/>
      <w:bookmarkStart w:id="967" w:name="_Toc395"/>
      <w:bookmarkEnd w:id="966"/>
      <w:r>
        <w:rPr>
          <w:rtl w:val="true"/>
        </w:rPr>
        <w:t>المسألة السابعة</w:t>
      </w:r>
      <w:r>
        <w:rPr>
          <w:rtl w:val="true"/>
        </w:rPr>
        <w:t xml:space="preserve">: </w:t>
      </w:r>
      <w:r>
        <w:rPr>
          <w:rtl w:val="true"/>
        </w:rPr>
        <w:t>تجب البدأة برأسه،</w:t>
      </w:r>
      <w:bookmarkEnd w:id="967"/>
    </w:p>
    <w:p>
      <w:pPr>
        <w:pStyle w:val="BookText"/>
        <w:rPr/>
      </w:pPr>
      <w:r>
        <w:rPr>
          <w:rFonts w:ascii="Amiri" w:hAnsi="Amiri" w:eastAsia="Amiri" w:cs="Amiri"/>
          <w:color w:val="111111"/>
          <w:sz w:val="28"/>
          <w:sz w:val="28"/>
          <w:szCs w:val="28"/>
          <w:rtl w:val="true"/>
          <w:lang w:bidi="ar-SA"/>
        </w:rPr>
        <w:t>ثمّ جانبه الأيمن، ثمّ الأيسر، باتفاقنا، و قد سبق في الأخبار دليله</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سقوطه بالغمس في الكثير، كغسل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يزاد على ثلاث غسلات اقتصارا على المنقول، و لم يثبت عندنا خبر التخيير بينها و بين الخمس</w:t>
      </w:r>
      <w:r>
        <w:rPr>
          <w:rStyle w:val="FootnoteAnchor"/>
          <w:rtl w:val="true"/>
        </w:rPr>
        <w:footnoteReference w:id="1894"/>
      </w:r>
      <w:r>
        <w:rPr>
          <w:rFonts w:ascii="Amiri" w:hAnsi="Amiri" w:eastAsia="Amiri" w:cs="Amiri"/>
          <w:color w:val="111111"/>
          <w:sz w:val="28"/>
          <w:sz w:val="28"/>
          <w:szCs w:val="28"/>
          <w:rtl w:val="true"/>
          <w:lang w:bidi="ar-SA"/>
        </w:rPr>
        <w:t>، و إنّما ذكرناه التزاما</w:t>
      </w:r>
      <w:r>
        <w:rPr>
          <w:rFonts w:eastAsia="Amiri" w:cs="Amiri" w:ascii="Amiri" w:hAnsi="Amiri"/>
          <w:color w:val="111111"/>
          <w:sz w:val="28"/>
          <w:szCs w:val="28"/>
          <w:rtl w:val="true"/>
          <w:lang w:bidi="ar-SA"/>
        </w:rPr>
        <w:t>.</w:t>
      </w:r>
    </w:p>
    <w:p>
      <w:pPr>
        <w:pStyle w:val="Heading6"/>
        <w:numPr>
          <w:ilvl w:val="5"/>
          <w:numId w:val="1"/>
        </w:numPr>
        <w:rPr/>
      </w:pPr>
      <w:bookmarkStart w:id="968" w:name="__RefHeading___Toc4192381_2142443653"/>
      <w:bookmarkStart w:id="969" w:name="_Toc396"/>
      <w:bookmarkEnd w:id="968"/>
      <w:r>
        <w:rPr>
          <w:rtl w:val="true"/>
        </w:rPr>
        <w:t>المسألة الثامنة</w:t>
      </w:r>
      <w:r>
        <w:rPr>
          <w:rtl w:val="true"/>
        </w:rPr>
        <w:t xml:space="preserve">: </w:t>
      </w:r>
      <w:r>
        <w:rPr>
          <w:rtl w:val="true"/>
        </w:rPr>
        <w:t>يظهر من الأخبار السابقة و غيرها وجوب الوضوء،</w:t>
      </w:r>
      <w:bookmarkEnd w:id="96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مذكور في سياق الغسل، و لصحيح ابن أبي عمير عن حمّاد بن عثمان أو غيره، عن الصادق </w:t>
      </w:r>
      <w:bookmarkStart w:id="970" w:name="pg15253_219858"/>
    </w:p>
    <w:p>
      <w:pPr>
        <w:pStyle w:val="BookText"/>
        <w:rPr/>
      </w:pPr>
      <w:bookmarkEnd w:id="9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غسل وضوء إلاّ الجنابة</w:t>
      </w:r>
      <w:r>
        <w:rPr>
          <w:rFonts w:eastAsia="Amiri" w:cs="Amiri" w:ascii="Amiri" w:hAnsi="Amiri"/>
          <w:color w:val="111111"/>
          <w:sz w:val="28"/>
          <w:szCs w:val="28"/>
          <w:rtl w:val="true"/>
          <w:lang w:bidi="ar-SA"/>
        </w:rPr>
        <w:t>»</w:t>
      </w:r>
      <w:r>
        <w:rPr>
          <w:rStyle w:val="FootnoteAnchor"/>
          <w:rtl w:val="true"/>
        </w:rPr>
        <w:footnoteReference w:id="1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أبي الصلاح</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w:t>
      </w:r>
      <w:r>
        <w:rPr>
          <w:rStyle w:val="FootnoteAnchor"/>
          <w:rtl w:val="true"/>
        </w:rPr>
        <w:footnoteReference w:id="1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الطائفة على ترك الوضوء</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يوضّأ</w:t>
      </w:r>
      <w:r>
        <w:rPr>
          <w:rStyle w:val="FootnoteAnchor"/>
          <w:rtl w:val="true"/>
        </w:rPr>
        <w:footnoteReference w:id="1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سلاّر عن شيخه أنّه لا يرى وضوءه</w:t>
      </w:r>
      <w:r>
        <w:rPr>
          <w:rStyle w:val="FootnoteAnchor"/>
          <w:rtl w:val="true"/>
        </w:rPr>
        <w:footnoteReference w:id="1900"/>
      </w:r>
      <w:r>
        <w:rPr>
          <w:rFonts w:ascii="Amiri" w:hAnsi="Amiri" w:eastAsia="Amiri" w:cs="Amiri"/>
          <w:color w:val="111111"/>
          <w:sz w:val="28"/>
          <w:sz w:val="28"/>
          <w:szCs w:val="28"/>
          <w:rtl w:val="true"/>
          <w:lang w:bidi="ar-SA"/>
        </w:rPr>
        <w:t>و المفيد أشهر 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الأقرب الاستحباب، لتظافر الأخبار به مع أصالة عدم الوجوب، و لعدم ذكر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في خبر يعقوب بن يقطين</w:t>
      </w:r>
      <w:r>
        <w:rPr>
          <w:rStyle w:val="FootnoteAnchor"/>
          <w:rtl w:val="true"/>
        </w:rPr>
        <w:footnoteReference w:id="1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كغسل الجنابة لا يلزم منه عدم الوضوء، لصدق المشابهة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الاستبصار</w:t>
      </w:r>
      <w:r>
        <w:rPr>
          <w:rStyle w:val="FootnoteAnchor"/>
          <w:rtl w:val="true"/>
        </w:rPr>
        <w:footnoteReference w:id="1902"/>
      </w:r>
      <w:r>
        <w:rPr>
          <w:rFonts w:ascii="Amiri" w:hAnsi="Amiri" w:eastAsia="Amiri" w:cs="Amiri"/>
          <w:color w:val="111111"/>
          <w:sz w:val="28"/>
          <w:sz w:val="28"/>
          <w:szCs w:val="28"/>
          <w:rtl w:val="true"/>
          <w:lang w:bidi="ar-SA"/>
        </w:rPr>
        <w:t>و الفاضلين</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مضمضة، و لا استنشاق، للتعرض لخروج شيء</w:t>
      </w:r>
      <w:r>
        <w:rPr>
          <w:rFonts w:eastAsia="Amiri" w:cs="Amiri" w:ascii="Amiri" w:hAnsi="Amiri"/>
          <w:color w:val="111111"/>
          <w:sz w:val="28"/>
          <w:szCs w:val="28"/>
          <w:rtl w:val="true"/>
          <w:lang w:bidi="ar-SA"/>
        </w:rPr>
        <w:t>.</w:t>
      </w:r>
    </w:p>
    <w:p>
      <w:pPr>
        <w:pStyle w:val="Heading6"/>
        <w:numPr>
          <w:ilvl w:val="5"/>
          <w:numId w:val="1"/>
        </w:numPr>
        <w:rPr/>
      </w:pPr>
      <w:bookmarkStart w:id="971" w:name="__RefHeading___Toc4192383_2142443653"/>
      <w:bookmarkStart w:id="972" w:name="_Toc397"/>
      <w:bookmarkEnd w:id="971"/>
      <w:r>
        <w:rPr>
          <w:rtl w:val="true"/>
        </w:rPr>
        <w:t>المسألة التاسعة</w:t>
      </w:r>
      <w:r>
        <w:rPr>
          <w:rtl w:val="true"/>
        </w:rPr>
        <w:t xml:space="preserve">: </w:t>
      </w:r>
      <w:r>
        <w:rPr>
          <w:rtl w:val="true"/>
        </w:rPr>
        <w:t>يستحبّ تليين أصابعه برفق،</w:t>
      </w:r>
      <w:bookmarkEnd w:id="972"/>
    </w:p>
    <w:p>
      <w:pPr>
        <w:pStyle w:val="BookText"/>
        <w:rPr/>
      </w:pPr>
      <w:r>
        <w:rPr>
          <w:rFonts w:ascii="Amiri" w:hAnsi="Amiri" w:eastAsia="Amiri" w:cs="Amiri"/>
          <w:color w:val="111111"/>
          <w:sz w:val="28"/>
          <w:sz w:val="28"/>
          <w:szCs w:val="28"/>
          <w:rtl w:val="true"/>
          <w:lang w:bidi="ar-SA"/>
        </w:rPr>
        <w:t>فإن تعسّر تركها كما مرّ، و بعد الغسل لا يليّن، لعدم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أبي عقيل نفاه مطلقا</w:t>
      </w:r>
      <w:r>
        <w:rPr>
          <w:rStyle w:val="FootnoteAnchor"/>
          <w:rtl w:val="true"/>
        </w:rPr>
        <w:footnoteReference w:id="1904"/>
      </w:r>
      <w:r>
        <w:rPr>
          <w:rFonts w:ascii="Amiri" w:hAnsi="Amiri" w:eastAsia="Amiri" w:cs="Amiri"/>
          <w:color w:val="111111"/>
          <w:sz w:val="28"/>
          <w:sz w:val="28"/>
          <w:szCs w:val="28"/>
          <w:rtl w:val="true"/>
          <w:lang w:bidi="ar-SA"/>
        </w:rPr>
        <w:t xml:space="preserve">، لخبر طلحة 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يغمز له مفصلا</w:t>
      </w:r>
      <w:r>
        <w:rPr>
          <w:rFonts w:eastAsia="Amiri" w:cs="Amiri" w:ascii="Amiri" w:hAnsi="Amiri"/>
          <w:color w:val="111111"/>
          <w:sz w:val="28"/>
          <w:szCs w:val="28"/>
          <w:rtl w:val="true"/>
          <w:lang w:bidi="ar-SA"/>
        </w:rPr>
        <w:t>»</w:t>
      </w:r>
      <w:r>
        <w:rPr>
          <w:rStyle w:val="FootnoteAnchor"/>
          <w:rtl w:val="true"/>
        </w:rPr>
        <w:footnoteReference w:id="1905"/>
      </w:r>
      <w:r>
        <w:rPr>
          <w:rFonts w:ascii="Amiri" w:hAnsi="Amiri" w:eastAsia="Amiri" w:cs="Amiri"/>
          <w:color w:val="111111"/>
          <w:sz w:val="28"/>
          <w:sz w:val="28"/>
          <w:szCs w:val="28"/>
          <w:rtl w:val="true"/>
          <w:lang w:bidi="ar-SA"/>
        </w:rPr>
        <w:t>و حمله الشيخ على ما بعد الغسل</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3" w:name="__RefHeading___Toc4192385_2142443653"/>
      <w:bookmarkStart w:id="974" w:name="_Toc398"/>
      <w:bookmarkEnd w:id="973"/>
      <w:r>
        <w:rPr>
          <w:rtl w:val="true"/>
        </w:rPr>
        <w:t>المسألة العاشرة</w:t>
      </w:r>
      <w:r>
        <w:rPr>
          <w:rtl w:val="true"/>
        </w:rPr>
        <w:t xml:space="preserve">: </w:t>
      </w:r>
      <w:r>
        <w:rPr>
          <w:rtl w:val="true"/>
        </w:rPr>
        <w:t>مسح بطنه في الأوليين قبلهما ليرد عليه الماء،</w:t>
      </w:r>
      <w:bookmarkEnd w:id="97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الغرض به التحفّظ </w:t>
      </w:r>
    </w:p>
    <w:p>
      <w:pPr>
        <w:pStyle w:val="BookText"/>
        <w:rPr/>
      </w:pPr>
      <w:r>
        <w:rPr>
          <w:rFonts w:ascii="Amiri" w:hAnsi="Amiri" w:eastAsia="Amiri" w:cs="Amiri"/>
          <w:color w:val="111111"/>
          <w:sz w:val="28"/>
          <w:sz w:val="28"/>
          <w:szCs w:val="28"/>
          <w:rtl w:val="true"/>
          <w:lang w:bidi="ar-SA"/>
        </w:rPr>
        <w:t>من الخارج بعد الغسل لعدم القوة الماسكة، و من ثمّ أمر بحشو المخرج عند خوف الخروج كما دلّ عليه الخبر</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الشيخ فيه الإجماع</w:t>
      </w:r>
      <w:r>
        <w:rPr>
          <w:rStyle w:val="FootnoteAnchor"/>
          <w:rtl w:val="true"/>
        </w:rPr>
        <w:footnoteReference w:id="1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أنكره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جوّزه في أول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من مساواة الميت الحيّ في الحرمة</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الحشو أبلغ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يستحبّ المسح في الثالثة بالإجماع، بل يكره، لأنّه تعرّض لكثرة الخارج، و لهذا لم يذكر في خبر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يمسح بطن الحامل، لما مرّ، و للخوف من الإجهاض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خرج منه نجاسة في الأثناء أو بعد الفراغ غسلت و لا يعاد الغسل، للامتثال، و لخبر الكاهلي و الحسين بن المختار و روح بن عبد الرحيم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بدا منه شيء بعد غسله فاغسل الذي بدا منه، و لا تعد الغسل</w:t>
      </w:r>
      <w:r>
        <w:rPr>
          <w:rFonts w:eastAsia="Amiri" w:cs="Amiri" w:ascii="Amiri" w:hAnsi="Amiri"/>
          <w:color w:val="111111"/>
          <w:sz w:val="28"/>
          <w:szCs w:val="28"/>
          <w:rtl w:val="true"/>
          <w:lang w:bidi="ar-SA"/>
        </w:rPr>
        <w:t>»</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انتقض منه شيء استقبل به الغسل استقبالا</w:t>
      </w:r>
      <w:r>
        <w:rPr>
          <w:rStyle w:val="FootnoteAnchor"/>
          <w:rtl w:val="true"/>
        </w:rPr>
        <w:footnoteReference w:id="1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بهذا التأكيد على مخالفة ما يقوله بعض المنتمين إلى الشيعة من انّه إن حدث في أثناء الثلاث لم يلتفت اليه، و ان حدث بعد كمالها تمّمت خمسا، و بعد الخمس تكمّل سبعا، و بعد السبع لم يلتفت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مبني على ما لم يثبت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على مأخذه،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خاتمة أمره على كمال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75" w:name="pg15253_219860"/>
    </w:p>
    <w:p>
      <w:pPr>
        <w:pStyle w:val="BookText"/>
        <w:rPr/>
      </w:pPr>
      <w:bookmarkEnd w:id="975"/>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قد حصلت، و الحدث إنّما يكون ناقضا في الأحياء، و لا فرق بين خروجها في الأثناء أو بعد الغسل أو بعد الإدراج، و كذا لا يعاد الوضوء لو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يتخرّج من كونه كغسل الجنابة أو نفس غسل الجنابة الخلاف في غسل الجنابة إذا كان الحدث في الأثناء، و الرواية ظاهرها أنّه بعد كمال غسله</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6" w:name="__RefHeading___Toc4192387_2142443653"/>
      <w:bookmarkStart w:id="977" w:name="_Toc399"/>
      <w:bookmarkEnd w:id="976"/>
      <w:r>
        <w:rPr>
          <w:rtl w:val="true"/>
        </w:rPr>
        <w:t>المسألة الحادية عشرة</w:t>
      </w:r>
      <w:r>
        <w:rPr>
          <w:rtl w:val="true"/>
        </w:rPr>
        <w:t xml:space="preserve">: </w:t>
      </w:r>
      <w:r>
        <w:rPr>
          <w:rtl w:val="true"/>
        </w:rPr>
        <w:t>استحباب غسله تحت سقف اتفاق علمائنا،</w:t>
      </w:r>
      <w:bookmarkEnd w:id="977"/>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الحكمة كراهة أن يقابل السماء بعورته</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حدّ في ماء الغسل غير التطهير،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لغسل الرأس و اللحية بالسدر، ثمّ صاع لغسل البدن بالسدر</w:t>
      </w:r>
      <w:r>
        <w:rPr>
          <w:rStyle w:val="FootnoteAnchor"/>
          <w:rtl w:val="true"/>
        </w:rPr>
        <w:footnoteReference w:id="1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في المعتبر عن بعض الأصحاب أنّ لكلّ غسلة صاعا</w:t>
      </w:r>
      <w:r>
        <w:rPr>
          <w:rStyle w:val="FootnoteAnchor"/>
          <w:rtl w:val="true"/>
        </w:rPr>
        <w:footnoteReference w:id="1916"/>
      </w:r>
      <w:r>
        <w:rPr>
          <w:rFonts w:ascii="Amiri" w:hAnsi="Amiri" w:eastAsia="Amiri" w:cs="Amiri"/>
          <w:color w:val="111111"/>
          <w:sz w:val="28"/>
          <w:sz w:val="28"/>
          <w:szCs w:val="28"/>
          <w:rtl w:val="true"/>
          <w:lang w:bidi="ar-SA"/>
        </w:rPr>
        <w:t>و هو مختار الفاضل في النهاية</w:t>
      </w:r>
      <w:r>
        <w:rPr>
          <w:rStyle w:val="FootnoteAnchor"/>
          <w:rtl w:val="true"/>
        </w:rPr>
        <w:footnoteReference w:id="1917"/>
      </w:r>
      <w:r>
        <w:rPr>
          <w:rFonts w:ascii="Amiri" w:hAnsi="Amiri" w:eastAsia="Amiri" w:cs="Amiri"/>
          <w:color w:val="111111"/>
          <w:sz w:val="28"/>
          <w:sz w:val="28"/>
          <w:szCs w:val="28"/>
          <w:rtl w:val="true"/>
          <w:lang w:bidi="ar-SA"/>
        </w:rPr>
        <w:t xml:space="preserve">لخبر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الميت مثل غسل الجنب</w:t>
      </w:r>
      <w:r>
        <w:rPr>
          <w:rFonts w:eastAsia="Amiri" w:cs="Amiri" w:ascii="Amiri" w:hAnsi="Amiri"/>
          <w:color w:val="111111"/>
          <w:sz w:val="28"/>
          <w:szCs w:val="28"/>
          <w:rtl w:val="true"/>
          <w:lang w:bidi="ar-SA"/>
        </w:rPr>
        <w:t>»</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المسخّن جائز عند ضرورة الغاسل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 الميت في البرد ممّا توقّي نفسك، و نسبه الى الحديث</w:t>
      </w:r>
      <w:r>
        <w:rPr>
          <w:rStyle w:val="FootnoteAnchor"/>
          <w:rtl w:val="true"/>
        </w:rPr>
        <w:footnoteReference w:id="1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يقتصر على ما يدفع الضرورة من السخونة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استحباب الدّعاء المخصوص قد ذكر</w:t>
      </w:r>
      <w:r>
        <w:rPr>
          <w:rStyle w:val="FootnoteAnchor"/>
          <w:rtl w:val="true"/>
        </w:rPr>
        <w:footnoteReference w:id="1920"/>
      </w:r>
      <w:r>
        <w:rPr>
          <w:rFonts w:ascii="Amiri" w:hAnsi="Amiri" w:eastAsia="Amiri" w:cs="Amiri"/>
          <w:color w:val="111111"/>
          <w:sz w:val="28"/>
          <w:sz w:val="28"/>
          <w:szCs w:val="28"/>
          <w:rtl w:val="true"/>
          <w:lang w:bidi="ar-SA"/>
        </w:rPr>
        <w:t>، و يستحبّ معه الاستغفار و ذكر اللّه تعالى</w:t>
      </w:r>
      <w:r>
        <w:rPr>
          <w:rFonts w:eastAsia="Amiri" w:cs="Amiri" w:ascii="Amiri" w:hAnsi="Amiri"/>
          <w:color w:val="111111"/>
          <w:sz w:val="28"/>
          <w:szCs w:val="28"/>
          <w:rtl w:val="true"/>
          <w:lang w:bidi="ar-SA"/>
        </w:rPr>
        <w:t>.</w:t>
      </w:r>
    </w:p>
    <w:p>
      <w:pPr>
        <w:pStyle w:val="Heading6"/>
        <w:numPr>
          <w:ilvl w:val="5"/>
          <w:numId w:val="1"/>
        </w:numPr>
        <w:rPr/>
      </w:pPr>
      <w:bookmarkStart w:id="978" w:name="__RefHeading___Toc4192389_2142443653"/>
      <w:bookmarkStart w:id="979" w:name="_Toc400"/>
      <w:bookmarkEnd w:id="978"/>
      <w:r>
        <w:rPr>
          <w:rtl w:val="true"/>
        </w:rPr>
        <w:t>المسألة الثانية عشرة</w:t>
      </w:r>
      <w:r>
        <w:rPr>
          <w:rtl w:val="true"/>
        </w:rPr>
        <w:t xml:space="preserve">: </w:t>
      </w:r>
      <w:r>
        <w:rPr>
          <w:rtl w:val="true"/>
        </w:rPr>
        <w:t>نقل الشيخ الإجماع على أنّه لا يجوز قصّ أظفاره،</w:t>
      </w:r>
      <w:bookmarkEnd w:id="97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تنظيفها من الوسخ بالخلال، و لا تسريح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حلق رأسه مكروها </w:t>
      </w:r>
    </w:p>
    <w:p>
      <w:pPr>
        <w:pStyle w:val="BookText"/>
        <w:rPr/>
      </w:pPr>
      <w:r>
        <w:rPr>
          <w:rFonts w:ascii="Amiri" w:hAnsi="Amiri" w:eastAsia="Amiri" w:cs="Amiri"/>
          <w:color w:val="111111"/>
          <w:sz w:val="28"/>
          <w:sz w:val="28"/>
          <w:szCs w:val="28"/>
          <w:rtl w:val="true"/>
          <w:lang w:bidi="ar-SA"/>
        </w:rPr>
        <w:t>و بدعة، و كره حلق عانته و إبطه و حفّ شاربه</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مراده الكراهية، لقضية الأصل، و النهي أعمّ من التحريم، و يؤيّده أنّه ذكر كراهية قلم الأظفار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حمزة حرّم القصّ و الحلق و القلم و تسريح الرأس و اللحية</w:t>
      </w:r>
      <w:r>
        <w:rPr>
          <w:rStyle w:val="FootnoteAnchor"/>
          <w:rtl w:val="true"/>
        </w:rPr>
        <w:footnoteReference w:id="1922"/>
      </w:r>
      <w:r>
        <w:rPr>
          <w:rFonts w:ascii="Amiri" w:hAnsi="Amiri" w:eastAsia="Amiri" w:cs="Amiri"/>
          <w:color w:val="111111"/>
          <w:sz w:val="28"/>
          <w:sz w:val="28"/>
          <w:szCs w:val="28"/>
          <w:rtl w:val="true"/>
          <w:lang w:bidi="ar-SA"/>
        </w:rPr>
        <w:t>و قد ذكر مأخذ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يثبت عندنا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افعلوا بموتاكم ما تفعلون بعرائسكم</w:t>
      </w:r>
      <w:r>
        <w:rPr>
          <w:rFonts w:eastAsia="Amiri" w:cs="Amiri" w:ascii="Amiri" w:hAnsi="Amiri"/>
          <w:color w:val="111111"/>
          <w:sz w:val="28"/>
          <w:szCs w:val="28"/>
          <w:rtl w:val="true"/>
          <w:lang w:bidi="ar-SA"/>
        </w:rPr>
        <w:t>»</w:t>
      </w:r>
      <w:r>
        <w:rPr>
          <w:rStyle w:val="FootnoteAnchor"/>
          <w:rtl w:val="true"/>
        </w:rPr>
        <w:footnoteReference w:id="1923"/>
      </w:r>
      <w:r>
        <w:rPr>
          <w:rFonts w:ascii="Amiri" w:hAnsi="Amiri" w:eastAsia="Amiri" w:cs="Amiri"/>
          <w:color w:val="111111"/>
          <w:sz w:val="28"/>
          <w:sz w:val="28"/>
          <w:szCs w:val="28"/>
          <w:rtl w:val="true"/>
          <w:lang w:bidi="ar-SA"/>
        </w:rPr>
        <w:t>مع أنّه متروك الظاهر، إذ العروس تطيّب بكل الطيب و يزيّن وجهها و تحلّى بخلاف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يظفر شعر الميتة،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من الميت شعر و لا ظفر</w:t>
      </w:r>
      <w:r>
        <w:rPr>
          <w:rFonts w:eastAsia="Amiri" w:cs="Amiri" w:ascii="Amiri" w:hAnsi="Amiri"/>
          <w:color w:val="111111"/>
          <w:sz w:val="28"/>
          <w:szCs w:val="28"/>
          <w:rtl w:val="true"/>
          <w:lang w:bidi="ar-SA"/>
        </w:rPr>
        <w:t>»</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يثبت خبر أمّ سليم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ابنته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اظفرن شعرها ثلاثة قرون، و لا تشبّهنها بالرّجال</w:t>
      </w:r>
      <w:r>
        <w:rPr>
          <w:rFonts w:eastAsia="Amiri" w:cs="Amiri" w:ascii="Amiri" w:hAnsi="Amiri"/>
          <w:color w:val="111111"/>
          <w:sz w:val="28"/>
          <w:szCs w:val="28"/>
          <w:rtl w:val="true"/>
          <w:lang w:bidi="ar-SA"/>
        </w:rPr>
        <w:t>»</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التجمير حال الغسل، و الصدوق استحبّ تجمير الكفن</w:t>
      </w:r>
      <w:r>
        <w:rPr>
          <w:rStyle w:val="FootnoteAnchor"/>
          <w:rtl w:val="true"/>
        </w:rPr>
        <w:footnoteReference w:id="1926"/>
      </w:r>
      <w:r>
        <w:rPr>
          <w:rFonts w:ascii="Amiri" w:hAnsi="Amiri" w:eastAsia="Amiri" w:cs="Amiri"/>
          <w:color w:val="111111"/>
          <w:sz w:val="28"/>
          <w:sz w:val="28"/>
          <w:szCs w:val="28"/>
          <w:rtl w:val="true"/>
          <w:lang w:bidi="ar-SA"/>
        </w:rPr>
        <w:t xml:space="preserve">، لما في 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جمّر ثيابه بثلاثة أعواد</w:t>
      </w:r>
      <w:r>
        <w:rPr>
          <w:rFonts w:eastAsia="Amiri" w:cs="Amiri" w:ascii="Amiri" w:hAnsi="Amiri"/>
          <w:color w:val="111111"/>
          <w:sz w:val="28"/>
          <w:szCs w:val="28"/>
          <w:rtl w:val="true"/>
          <w:lang w:bidi="ar-SA"/>
        </w:rPr>
        <w:t>»</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الوسخ من أظفاره بعود عليه قطن مبالغة في التنظيف</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مع النهي عنه في خبر الكاهلي السابق</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980" w:name="pg15253_219862"/>
    </w:p>
    <w:p>
      <w:pPr>
        <w:pStyle w:val="Heading6"/>
        <w:numPr>
          <w:ilvl w:val="5"/>
          <w:numId w:val="1"/>
        </w:numPr>
        <w:rPr/>
      </w:pPr>
      <w:bookmarkStart w:id="981" w:name="__RefHeading___Toc4192391_2142443653"/>
      <w:bookmarkStart w:id="982" w:name="_Toc401"/>
      <w:bookmarkEnd w:id="980"/>
      <w:bookmarkEnd w:id="981"/>
      <w:r>
        <w:rPr>
          <w:rtl w:val="true"/>
        </w:rPr>
        <w:t>المسألة الثالثة عشرة</w:t>
      </w:r>
      <w:r>
        <w:rPr>
          <w:rtl w:val="true"/>
        </w:rPr>
        <w:t xml:space="preserve">: </w:t>
      </w:r>
      <w:r>
        <w:rPr>
          <w:rtl w:val="true"/>
        </w:rPr>
        <w:t>أجمعنا على كراهية إرسال الماء في الكنيف دون البالوعة،</w:t>
      </w:r>
      <w:bookmarkEnd w:id="982"/>
    </w:p>
    <w:p>
      <w:pPr>
        <w:pStyle w:val="BookText"/>
        <w:rPr/>
      </w:pP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وضع خرقة على يد الغاسل اليسرى لغسل فرج الميت، و هل يجب؟ يحتمل ذلك، لأنّ المسّ كالنظر بل أقوى، و من ثمّ نشر حرمة المصاهرة دون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باقي بدنه فلا تجب الخرقة قطعا، و هل تستحب؟ كلام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يشعر به</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3" w:name="__RefHeading___Toc4192393_2142443653"/>
      <w:bookmarkStart w:id="984" w:name="_Toc402"/>
      <w:bookmarkEnd w:id="983"/>
      <w:r>
        <w:rPr>
          <w:rtl w:val="true"/>
        </w:rPr>
        <w:t>المسألة الرابعة عشرة</w:t>
      </w:r>
      <w:r>
        <w:rPr>
          <w:rtl w:val="true"/>
        </w:rPr>
        <w:t xml:space="preserve">: </w:t>
      </w:r>
      <w:r>
        <w:rPr>
          <w:rtl w:val="true"/>
        </w:rPr>
        <w:t xml:space="preserve">قال الفاضل </w:t>
      </w:r>
      <w:r>
        <w:rPr>
          <w:rtl w:val="true"/>
        </w:rPr>
        <w:t xml:space="preserve">- </w:t>
      </w:r>
      <w:r>
        <w:rPr>
          <w:rtl w:val="true"/>
        </w:rPr>
        <w:t xml:space="preserve">رحمه اللّه </w:t>
      </w:r>
      <w:r>
        <w:rPr>
          <w:rtl w:val="true"/>
        </w:rPr>
        <w:t xml:space="preserve">-: </w:t>
      </w:r>
      <w:r>
        <w:rPr>
          <w:rtl w:val="true"/>
        </w:rPr>
        <w:t>يشترط كون السدر و الكافور لا يخرجان الماء إلى الإضافة،</w:t>
      </w:r>
      <w:bookmarkEnd w:id="984"/>
    </w:p>
    <w:p>
      <w:pPr>
        <w:pStyle w:val="BookText"/>
        <w:rPr/>
      </w:pPr>
      <w:r>
        <w:rPr>
          <w:rFonts w:ascii="Amiri" w:hAnsi="Amiri" w:eastAsia="Amiri" w:cs="Amiri"/>
          <w:color w:val="111111"/>
          <w:sz w:val="28"/>
          <w:sz w:val="28"/>
          <w:szCs w:val="28"/>
          <w:rtl w:val="true"/>
          <w:lang w:bidi="ar-SA"/>
        </w:rPr>
        <w:t>لأنّه مطهر و المضاف غير مطهر</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السدر برطل أو نحوه</w:t>
      </w:r>
      <w:r>
        <w:rPr>
          <w:rStyle w:val="FootnoteAnchor"/>
          <w:rtl w:val="true"/>
        </w:rPr>
        <w:footnoteReference w:id="1932"/>
      </w:r>
      <w:r>
        <w:rPr>
          <w:rFonts w:ascii="IRNazanin" w:hAnsi="IRNazanin" w:eastAsia="IRNazanin"/>
          <w:color w:val="111111"/>
          <w:sz w:val="28"/>
          <w:sz w:val="28"/>
          <w:szCs w:val="28"/>
          <w:rtl w:val="true"/>
          <w:lang w:bidi="fa-IR"/>
        </w:rPr>
        <w:t>، و 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برطل و نصف</w:t>
      </w:r>
      <w:r>
        <w:rPr>
          <w:rStyle w:val="FootnoteAnchor"/>
          <w:rtl w:val="true"/>
        </w:rPr>
        <w:footnoteReference w:id="1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الأصحاب على ترغيته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يوهمان الإضافة، و يكون المطهّر هو القراح، و الغرض بالأولين التنظيف، و حفظ البدن من الهوام بالكافور، لأنّ رائحته تطردها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عدم السدر،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الخطمي مقامه في غسل الرأس، و قليل من الكافور في الغسلة الثانية</w:t>
      </w:r>
      <w:r>
        <w:rPr>
          <w:rStyle w:val="FootnoteAnchor"/>
          <w:rtl w:val="true"/>
        </w:rPr>
        <w:footnoteReference w:id="1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يشعر بإقامة غير السدر مقامه في الغسلة الأولى، و تطيب الرائحة</w:t>
      </w:r>
      <w:r>
        <w:rPr>
          <w:rFonts w:eastAsia="Amiri" w:cs="Amiri" w:ascii="Amiri" w:hAnsi="Amiri"/>
          <w:color w:val="111111"/>
          <w:sz w:val="28"/>
          <w:szCs w:val="28"/>
          <w:rtl w:val="true"/>
          <w:lang w:bidi="ar-SA"/>
        </w:rPr>
        <w:t>.</w:t>
      </w:r>
    </w:p>
    <w:p>
      <w:pPr>
        <w:pStyle w:val="Heading6"/>
        <w:numPr>
          <w:ilvl w:val="5"/>
          <w:numId w:val="1"/>
        </w:numPr>
        <w:rPr/>
      </w:pPr>
      <w:bookmarkStart w:id="985" w:name="__RefHeading___Toc4192395_2142443653"/>
      <w:bookmarkStart w:id="986" w:name="_Toc403"/>
      <w:bookmarkEnd w:id="985"/>
      <w:r>
        <w:rPr>
          <w:rtl w:val="true"/>
        </w:rPr>
        <w:t>المسألة الخامسة عشرة</w:t>
      </w:r>
      <w:r>
        <w:rPr>
          <w:rtl w:val="true"/>
        </w:rPr>
        <w:t xml:space="preserve">: </w:t>
      </w:r>
      <w:r>
        <w:rPr>
          <w:rtl w:val="true"/>
        </w:rPr>
        <w:t>يستحبّ تقديم غسل يديه و فرجيه مع كلّ غسلة،</w:t>
      </w:r>
      <w:bookmarkEnd w:id="986"/>
    </w:p>
    <w:p>
      <w:pPr>
        <w:pStyle w:val="BookText"/>
        <w:rPr/>
      </w:pPr>
      <w:r>
        <w:rPr>
          <w:rFonts w:ascii="Amiri" w:hAnsi="Amiri" w:eastAsia="Amiri" w:cs="Amiri"/>
          <w:color w:val="111111"/>
          <w:sz w:val="28"/>
          <w:sz w:val="28"/>
          <w:szCs w:val="28"/>
          <w:rtl w:val="true"/>
          <w:lang w:bidi="ar-SA"/>
        </w:rPr>
        <w:t>كما في الخبر</w:t>
      </w:r>
      <w:r>
        <w:rPr>
          <w:rStyle w:val="FootnoteAnchor"/>
          <w:rtl w:val="true"/>
        </w:rPr>
        <w:footnoteReference w:id="1935"/>
      </w:r>
      <w:r>
        <w:rPr>
          <w:rFonts w:ascii="IRNazanin" w:hAnsi="IRNazanin" w:eastAsia="IRNazanin"/>
          <w:color w:val="111111"/>
          <w:sz w:val="28"/>
          <w:sz w:val="28"/>
          <w:szCs w:val="28"/>
          <w:rtl w:val="true"/>
          <w:lang w:bidi="fa-IR"/>
        </w:rPr>
        <w:t>و فتوى الأصحاب</w:t>
      </w:r>
      <w:r>
        <w:rPr>
          <w:rStyle w:val="FootnoteAnchor"/>
          <w:rtl w:val="true"/>
        </w:rPr>
        <w:footnoteReference w:id="1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تثليث غسل أعضائه كلّها من اليدين و الفرجين و الرأس و الجنبين بالإجماع</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حصرها الجعفي في كلّ غسلة خمس عشرة صبّة لا تنقطع، و ابن الجنيد </w:t>
      </w:r>
      <w:bookmarkStart w:id="987" w:name="pg15253_219863"/>
    </w:p>
    <w:p>
      <w:pPr>
        <w:pStyle w:val="BookText"/>
        <w:rPr/>
      </w:pPr>
      <w:bookmarkEnd w:id="987"/>
      <w:r>
        <w:rPr>
          <w:rFonts w:ascii="Amiri" w:hAnsi="Amiri" w:eastAsia="Amiri" w:cs="Amiri"/>
          <w:color w:val="111111"/>
          <w:sz w:val="28"/>
          <w:sz w:val="28"/>
          <w:szCs w:val="28"/>
          <w:rtl w:val="true"/>
          <w:lang w:bidi="ar-SA"/>
        </w:rPr>
        <w:t>و الشيخ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الانقطاع أيضا حتى يستوفي العضو</w:t>
      </w:r>
      <w:r>
        <w:rPr>
          <w:rStyle w:val="FootnoteAnchor"/>
          <w:rtl w:val="true"/>
        </w:rPr>
        <w:footnoteReference w:id="1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الصدوق ذكر ثلاث حميديات</w:t>
      </w:r>
      <w:r>
        <w:rPr>
          <w:rStyle w:val="FootnoteAnchor"/>
          <w:rtl w:val="true"/>
        </w:rPr>
        <w:footnoteReference w:id="1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إناء كبير، و لهذا مثّل ابن البراج الإناء الكبير بالإبريق الحميدي</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8" w:name="__RefHeading___Toc4192397_2142443653"/>
      <w:bookmarkStart w:id="989" w:name="_Toc404"/>
      <w:bookmarkEnd w:id="988"/>
      <w:r>
        <w:rPr>
          <w:rtl w:val="true"/>
        </w:rPr>
        <w:t>المسألة السادسة عشرة</w:t>
      </w:r>
      <w:r>
        <w:rPr>
          <w:rtl w:val="true"/>
        </w:rPr>
        <w:t xml:space="preserve">: </w:t>
      </w:r>
      <w:r>
        <w:rPr>
          <w:rtl w:val="true"/>
        </w:rPr>
        <w:t>لا يجزئ تكرار القراح ثلاثا في الغسل</w:t>
      </w:r>
      <w:bookmarkEnd w:id="989"/>
    </w:p>
    <w:p>
      <w:pPr>
        <w:pStyle w:val="BookText"/>
        <w:rPr/>
      </w:pPr>
      <w:r>
        <w:rPr>
          <w:rFonts w:ascii="Amiri" w:hAnsi="Amiri" w:eastAsia="Amiri" w:cs="Amiri"/>
          <w:color w:val="111111"/>
          <w:sz w:val="28"/>
          <w:sz w:val="28"/>
          <w:szCs w:val="28"/>
          <w:rtl w:val="true"/>
          <w:lang w:bidi="ar-SA"/>
        </w:rPr>
        <w:t>مع إمكان الخليط، لمخالفة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الإجزاء، لأنّه أبلغ</w:t>
      </w:r>
      <w:r>
        <w:rPr>
          <w:rStyle w:val="FootnoteAnchor"/>
          <w:rtl w:val="true"/>
        </w:rPr>
        <w:footnoteReference w:id="1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على مذهبه من الاشتراط، لأنّ الجميع ماء مطلق عنده، و في النصوص زيادة التنظيف بالخليط، فالأبلغيّة إنّما هي في المنصوص</w:t>
      </w:r>
      <w:r>
        <w:rPr>
          <w:rFonts w:eastAsia="Amiri" w:cs="Amiri" w:ascii="Amiri" w:hAnsi="Amiri"/>
          <w:color w:val="111111"/>
          <w:sz w:val="28"/>
          <w:szCs w:val="28"/>
          <w:rtl w:val="true"/>
          <w:lang w:bidi="ar-SA"/>
        </w:rPr>
        <w:t>.</w:t>
      </w:r>
    </w:p>
    <w:p>
      <w:pPr>
        <w:pStyle w:val="Heading6"/>
        <w:numPr>
          <w:ilvl w:val="5"/>
          <w:numId w:val="1"/>
        </w:numPr>
        <w:rPr/>
      </w:pPr>
      <w:bookmarkStart w:id="990" w:name="__RefHeading___Toc4192399_2142443653"/>
      <w:bookmarkStart w:id="991" w:name="_Toc405"/>
      <w:bookmarkEnd w:id="990"/>
      <w:r>
        <w:rPr>
          <w:rtl w:val="true"/>
        </w:rPr>
        <w:t>المسألة السابعة عشرة</w:t>
      </w:r>
      <w:r>
        <w:rPr>
          <w:rtl w:val="true"/>
        </w:rPr>
        <w:t xml:space="preserve">: </w:t>
      </w:r>
      <w:r>
        <w:rPr>
          <w:rtl w:val="true"/>
        </w:rPr>
        <w:t>الغريق يعاد غسله بعد تيقّن موته بالاستبراء،</w:t>
      </w:r>
      <w:bookmarkEnd w:id="991"/>
    </w:p>
    <w:p>
      <w:pPr>
        <w:pStyle w:val="BookText"/>
        <w:rPr/>
      </w:pPr>
      <w:r>
        <w:rPr>
          <w:rFonts w:ascii="IRNazanin" w:hAnsi="IRNazanin" w:eastAsia="IRNazanin"/>
          <w:color w:val="111111"/>
          <w:sz w:val="28"/>
          <w:sz w:val="28"/>
          <w:szCs w:val="28"/>
          <w:rtl w:val="true"/>
          <w:lang w:bidi="fa-IR"/>
        </w:rPr>
        <w:t>لخبر إسحاق ابن عمار</w:t>
      </w:r>
      <w:r>
        <w:rPr>
          <w:rStyle w:val="FootnoteAnchor"/>
          <w:rtl w:val="true"/>
        </w:rPr>
        <w:footnoteReference w:id="1941"/>
      </w:r>
      <w:r>
        <w:rPr>
          <w:rFonts w:ascii="Amiri" w:hAnsi="Amiri" w:eastAsia="Amiri" w:cs="Amiri"/>
          <w:color w:val="111111"/>
          <w:sz w:val="28"/>
          <w:sz w:val="28"/>
          <w:szCs w:val="28"/>
          <w:rtl w:val="true"/>
          <w:lang w:bidi="ar-SA"/>
        </w:rPr>
        <w:t>، و لأنّ السدر و الكافور مفقودان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سلار بعدم وجوب النية، أمكن الإجزاء عنده</w:t>
      </w:r>
      <w:r>
        <w:rPr>
          <w:rStyle w:val="FootnoteAnchor"/>
          <w:rtl w:val="true"/>
        </w:rPr>
        <w:footnoteReference w:id="1942"/>
      </w:r>
      <w:r>
        <w:rPr>
          <w:rFonts w:ascii="Amiri" w:hAnsi="Amiri" w:eastAsia="Amiri" w:cs="Amiri"/>
          <w:color w:val="111111"/>
          <w:sz w:val="28"/>
          <w:sz w:val="28"/>
          <w:szCs w:val="28"/>
          <w:rtl w:val="true"/>
          <w:lang w:bidi="ar-SA"/>
        </w:rPr>
        <w:t>إذا علم موته قبل خروجه من الماء، لحصول الغرض من تنظيفه، كالثوب النجس تلقيه الريح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نوى عليه في الماء أجزأ عنده</w:t>
      </w:r>
      <w:r>
        <w:rPr>
          <w:rFonts w:eastAsia="Amiri" w:cs="Amiri" w:ascii="Amiri" w:hAnsi="Amiri"/>
          <w:color w:val="111111"/>
          <w:sz w:val="28"/>
          <w:szCs w:val="28"/>
          <w:rtl w:val="true"/>
          <w:lang w:bidi="ar-SA"/>
        </w:rPr>
        <w:t>.</w:t>
      </w:r>
    </w:p>
    <w:p>
      <w:pPr>
        <w:pStyle w:val="Heading6"/>
        <w:numPr>
          <w:ilvl w:val="5"/>
          <w:numId w:val="1"/>
        </w:numPr>
        <w:rPr/>
      </w:pPr>
      <w:bookmarkStart w:id="992" w:name="__RefHeading___Toc4192401_2142443653"/>
      <w:bookmarkStart w:id="993" w:name="_Toc406"/>
      <w:bookmarkEnd w:id="992"/>
      <w:r>
        <w:rPr>
          <w:rtl w:val="true"/>
        </w:rPr>
        <w:t>المسألة الثامنة عشرة</w:t>
      </w:r>
      <w:r>
        <w:rPr>
          <w:rtl w:val="true"/>
        </w:rPr>
        <w:t xml:space="preserve">: </w:t>
      </w:r>
      <w:r>
        <w:rPr>
          <w:rtl w:val="true"/>
        </w:rPr>
        <w:t>لا تستحب الدخنة بالعود و لا بغيره في أشهر الأخبار،</w:t>
      </w:r>
      <w:bookmarkEnd w:id="99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تجمّروا الأكفان</w:t>
      </w:r>
      <w:r>
        <w:rPr>
          <w:rFonts w:eastAsia="Amiri" w:cs="Amiri" w:ascii="Amiri" w:hAnsi="Amiri"/>
          <w:color w:val="111111"/>
          <w:sz w:val="28"/>
          <w:szCs w:val="28"/>
          <w:rtl w:val="true"/>
          <w:lang w:bidi="ar-SA"/>
        </w:rPr>
        <w:t>»</w:t>
      </w:r>
      <w:r>
        <w:rPr>
          <w:rStyle w:val="FootnoteAnchor"/>
          <w:rtl w:val="true"/>
        </w:rPr>
        <w:footnoteReference w:id="1943"/>
      </w:r>
      <w:r>
        <w:rPr>
          <w:rFonts w:ascii="Amiri" w:hAnsi="Amiri" w:eastAsia="Amiri" w:cs="Amiri"/>
          <w:color w:val="111111"/>
          <w:sz w:val="28"/>
          <w:sz w:val="28"/>
          <w:szCs w:val="28"/>
          <w:rtl w:val="true"/>
          <w:lang w:bidi="ar-SA"/>
        </w:rPr>
        <w:t>و لما مرّ</w:t>
      </w:r>
      <w:r>
        <w:rPr>
          <w:rStyle w:val="FootnoteAnchor"/>
          <w:rtl w:val="true"/>
        </w:rPr>
        <w:footnoteReference w:id="1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حمزة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موتاكم بالنار</w:t>
      </w:r>
      <w:r>
        <w:rPr>
          <w:rFonts w:eastAsia="Amiri" w:cs="Amiri" w:ascii="Amiri" w:hAnsi="Amiri"/>
          <w:color w:val="111111"/>
          <w:sz w:val="28"/>
          <w:szCs w:val="28"/>
          <w:rtl w:val="true"/>
          <w:lang w:bidi="ar-SA"/>
        </w:rPr>
        <w:t>»</w:t>
      </w:r>
      <w:r>
        <w:rPr>
          <w:rStyle w:val="FootnoteAnchor"/>
          <w:rtl w:val="true"/>
        </w:rPr>
        <w:footnoteReference w:id="1945"/>
      </w:r>
      <w:r>
        <w:rPr>
          <w:rFonts w:ascii="Amiri" w:hAnsi="Amiri" w:eastAsia="Amiri" w:cs="Amiri"/>
          <w:color w:val="111111"/>
          <w:sz w:val="28"/>
          <w:sz w:val="28"/>
          <w:szCs w:val="28"/>
          <w:rtl w:val="true"/>
          <w:lang w:bidi="ar-SA"/>
        </w:rPr>
        <w:t>يعني الدخنة</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بدخنة كفن الميت، و ينبغي للمسلم أن يدخّن ثيابه إذا كان يقدر</w:t>
      </w:r>
      <w:r>
        <w:rPr>
          <w:rFonts w:eastAsia="Amiri" w:cs="Amiri" w:ascii="Amiri" w:hAnsi="Amiri"/>
          <w:color w:val="111111"/>
          <w:sz w:val="28"/>
          <w:szCs w:val="28"/>
          <w:rtl w:val="true"/>
          <w:lang w:bidi="ar-SA"/>
        </w:rPr>
        <w:t>»</w:t>
      </w:r>
      <w:r>
        <w:rPr>
          <w:rStyle w:val="FootnoteAnchor"/>
          <w:rtl w:val="true"/>
        </w:rPr>
        <w:footnoteReference w:id="1946"/>
      </w:r>
      <w:r>
        <w:rPr>
          <w:rFonts w:ascii="Amiri" w:hAnsi="Amiri" w:eastAsia="Amiri" w:cs="Amiri"/>
          <w:color w:val="111111"/>
          <w:sz w:val="28"/>
          <w:sz w:val="28"/>
          <w:szCs w:val="28"/>
          <w:rtl w:val="true"/>
          <w:lang w:bidi="ar-SA"/>
        </w:rPr>
        <w:t>لا ينفي الكراهية بل يشعر بها، و حمله الشيخ على التقيّة</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994" w:name="pg15253_219865"/>
    </w:p>
    <w:p>
      <w:pPr>
        <w:pStyle w:val="Heading6"/>
        <w:numPr>
          <w:ilvl w:val="5"/>
          <w:numId w:val="1"/>
        </w:numPr>
        <w:rPr/>
      </w:pPr>
      <w:bookmarkStart w:id="995" w:name="__RefHeading___Toc4192403_2142443653"/>
      <w:bookmarkStart w:id="996" w:name="_Toc407"/>
      <w:bookmarkEnd w:id="994"/>
      <w:bookmarkEnd w:id="995"/>
      <w:r>
        <w:rPr>
          <w:rtl w:val="true"/>
        </w:rPr>
        <w:t>الحكم الثالث</w:t>
      </w:r>
      <w:r>
        <w:rPr>
          <w:rtl w:val="true"/>
        </w:rPr>
        <w:t xml:space="preserve">: </w:t>
      </w:r>
      <w:r>
        <w:rPr>
          <w:rtl w:val="true"/>
        </w:rPr>
        <w:t>تكفينه</w:t>
      </w:r>
      <w:r>
        <w:rPr>
          <w:rtl w:val="true"/>
        </w:rPr>
        <w:t>.</w:t>
      </w:r>
      <w:bookmarkEnd w:id="996"/>
    </w:p>
    <w:p>
      <w:pPr>
        <w:pStyle w:val="Heading6"/>
        <w:numPr>
          <w:ilvl w:val="5"/>
          <w:numId w:val="1"/>
        </w:numPr>
        <w:rPr/>
      </w:pPr>
      <w:bookmarkStart w:id="997" w:name="__RefHeading___Toc4192405_2142443653"/>
      <w:bookmarkStart w:id="998" w:name="_Toc408"/>
      <w:bookmarkEnd w:id="997"/>
      <w:r>
        <w:rPr>
          <w:rtl w:val="true"/>
        </w:rPr>
        <w:t>اشارة</w:t>
      </w:r>
      <w:bookmarkEnd w:id="998"/>
    </w:p>
    <w:p>
      <w:pPr>
        <w:pStyle w:val="BookText"/>
        <w:rPr/>
      </w:pPr>
      <w:r>
        <w:rPr>
          <w:rFonts w:ascii="Amiri" w:hAnsi="Amiri" w:eastAsia="Amiri" w:cs="Amiri"/>
          <w:color w:val="111111"/>
          <w:sz w:val="28"/>
          <w:sz w:val="28"/>
          <w:szCs w:val="28"/>
          <w:rtl w:val="true"/>
          <w:lang w:bidi="ar-SA"/>
        </w:rPr>
        <w:t>و الواجب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مئزر، و قميص، و إزار، عند الجميع إلاّ سلار، فإنه اكتفى بقطعة واحدة، و جعل الأسبغ سبع قطع، ثمّ خمسا ثم ثلاثا</w:t>
      </w:r>
      <w:r>
        <w:rPr>
          <w:rStyle w:val="FootnoteAnchor"/>
          <w:rtl w:val="true"/>
        </w:rPr>
        <w:footnoteReference w:id="1948"/>
      </w:r>
      <w:r>
        <w:rPr>
          <w:rFonts w:ascii="Amiri" w:hAnsi="Amiri" w:eastAsia="Amiri" w:cs="Amiri"/>
          <w:color w:val="111111"/>
          <w:sz w:val="28"/>
          <w:sz w:val="28"/>
          <w:szCs w:val="28"/>
          <w:rtl w:val="true"/>
          <w:lang w:bidi="ar-SA"/>
        </w:rPr>
        <w:t xml:space="preserve">، 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الكفن المفروض ثلاثة أثواب، و ثوب تام لا أقلّ منه يواري فيه جسده كلّه، فما زاد فهو سنة الى ان يبلغ خمسة، فما زاد فهو مبتدع، فالعمامة سنة</w:t>
      </w:r>
      <w:r>
        <w:rPr>
          <w:rFonts w:eastAsia="Amiri" w:cs="Amiri" w:ascii="Amiri" w:hAnsi="Amiri"/>
          <w:color w:val="111111"/>
          <w:sz w:val="28"/>
          <w:szCs w:val="28"/>
          <w:rtl w:val="true"/>
          <w:lang w:bidi="ar-SA"/>
        </w:rPr>
        <w:t>»</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 ما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في ثلاثة أثواب بيض سحولية</w:t>
      </w:r>
      <w:r>
        <w:rPr>
          <w:rStyle w:val="FootnoteAnchor"/>
          <w:rtl w:val="true"/>
        </w:rPr>
        <w:footnoteReference w:id="1950"/>
      </w:r>
      <w:r>
        <w:rPr>
          <w:rFonts w:ascii="Amiri" w:hAnsi="Amiri" w:eastAsia="Amiri" w:cs="Amiri"/>
          <w:color w:val="111111"/>
          <w:sz w:val="28"/>
          <w:sz w:val="28"/>
          <w:szCs w:val="28"/>
          <w:rtl w:val="true"/>
          <w:lang w:bidi="ar-SA"/>
        </w:rPr>
        <w:t>بالحاء المهملة بعد السين المفتوحة،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الى سحول قرية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ثوبين سحوليين، و ثوب حبرة يمنية عبريّ</w:t>
      </w:r>
      <w:r>
        <w:rPr>
          <w:rFonts w:eastAsia="Amiri" w:cs="Amiri" w:ascii="Amiri" w:hAnsi="Amiri"/>
          <w:color w:val="111111"/>
          <w:sz w:val="28"/>
          <w:szCs w:val="28"/>
          <w:rtl w:val="true"/>
          <w:lang w:bidi="ar-SA"/>
        </w:rPr>
        <w:t>»</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مريم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w:t>
      </w:r>
      <w:r>
        <w:rPr>
          <w:rStyle w:val="FootnoteAnchor"/>
          <w:rtl w:val="true"/>
        </w:rPr>
        <w:footnoteReference w:id="1952"/>
      </w:r>
      <w:r>
        <w:rPr>
          <w:rFonts w:ascii="Amiri" w:hAnsi="Amiri" w:eastAsia="Amiri" w:cs="Amiri"/>
          <w:color w:val="111111"/>
          <w:sz w:val="28"/>
          <w:sz w:val="28"/>
          <w:szCs w:val="28"/>
          <w:rtl w:val="true"/>
          <w:lang w:bidi="ar-SA"/>
        </w:rPr>
        <w:t xml:space="preserve">و حمل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عطف الخاص على العام، على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في كثير من النسخ</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يتعيّن القميص أو يكفي ثوب مكانه؟ المعظم على الأول</w:t>
      </w:r>
      <w:r>
        <w:rPr>
          <w:rStyle w:val="FootnoteAnchor"/>
          <w:rtl w:val="true"/>
        </w:rPr>
        <w:footnoteReference w:id="1954"/>
      </w:r>
      <w:r>
        <w:rPr>
          <w:rFonts w:ascii="Amiri" w:hAnsi="Amiri" w:eastAsia="Amiri" w:cs="Amiri"/>
          <w:color w:val="111111"/>
          <w:sz w:val="28"/>
          <w:sz w:val="28"/>
          <w:szCs w:val="28"/>
          <w:rtl w:val="true"/>
          <w:lang w:bidi="ar-SA"/>
        </w:rPr>
        <w:t>، لما روى ابن المغفّل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في قميص</w:t>
      </w:r>
      <w:r>
        <w:rPr>
          <w:rStyle w:val="FootnoteAnchor"/>
          <w:rtl w:val="true"/>
        </w:rPr>
        <w:footnoteReference w:id="1955"/>
      </w:r>
      <w:r>
        <w:rPr>
          <w:rFonts w:ascii="Amiri" w:hAnsi="Amiri" w:eastAsia="Amiri" w:cs="Amiri"/>
          <w:color w:val="111111"/>
          <w:sz w:val="28"/>
          <w:sz w:val="28"/>
          <w:szCs w:val="28"/>
          <w:rtl w:val="true"/>
          <w:lang w:bidi="ar-SA"/>
        </w:rPr>
        <w:t xml:space="preserve">و لخبر معاوية بن </w:t>
      </w:r>
      <w:bookmarkStart w:id="999" w:name="pg15253_219866"/>
    </w:p>
    <w:p>
      <w:pPr>
        <w:pStyle w:val="BookText"/>
        <w:rPr/>
      </w:pPr>
      <w:bookmarkEnd w:id="999"/>
      <w:r>
        <w:rPr>
          <w:rFonts w:ascii="Amiri" w:hAnsi="Amiri" w:eastAsia="Amiri" w:cs="Amiri"/>
          <w:color w:val="111111"/>
          <w:sz w:val="28"/>
          <w:sz w:val="28"/>
          <w:szCs w:val="28"/>
          <w:rtl w:val="true"/>
          <w:lang w:bidi="ar-SA"/>
        </w:rPr>
        <w:t xml:space="preserve">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يكفّن الميت في خمسة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لا يزرّ عليه، و إزار، و خرقة، و برد يلفّ فيه، و عمامة</w:t>
      </w:r>
      <w:r>
        <w:rPr>
          <w:rFonts w:eastAsia="Amiri" w:cs="Amiri" w:ascii="Amiri" w:hAnsi="Amiri"/>
          <w:color w:val="111111"/>
          <w:sz w:val="28"/>
          <w:szCs w:val="28"/>
          <w:rtl w:val="true"/>
          <w:lang w:bidi="ar-SA"/>
        </w:rPr>
        <w:t>»</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 و المحقّق خيّرا بين القميص و بين ثوب يدرج فيه، لخلوّ أكثر الأخبار من تعيينه</w:t>
      </w:r>
      <w:r>
        <w:rPr>
          <w:rStyle w:val="FootnoteAnchor"/>
          <w:rtl w:val="true"/>
        </w:rPr>
        <w:footnoteReference w:id="1957"/>
      </w:r>
      <w:r>
        <w:rPr>
          <w:rFonts w:ascii="Amiri" w:hAnsi="Amiri" w:eastAsia="Amiri" w:cs="Amiri"/>
          <w:color w:val="111111"/>
          <w:sz w:val="28"/>
          <w:sz w:val="28"/>
          <w:szCs w:val="28"/>
          <w:rtl w:val="true"/>
          <w:lang w:bidi="ar-SA"/>
        </w:rPr>
        <w:t>و أصل البراءة، و لخبر محمد بن سهل،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الثياب التي يصلّي فيها الرجل، أ يكفن فيها؟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ذلك الكفن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يدرج في ثلاثة أثواب؟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و القميص أحبّ اليّ</w:t>
      </w:r>
      <w:r>
        <w:rPr>
          <w:rFonts w:eastAsia="Amiri" w:cs="Amiri" w:ascii="Amiri" w:hAnsi="Amiri"/>
          <w:color w:val="111111"/>
          <w:sz w:val="28"/>
          <w:szCs w:val="28"/>
          <w:rtl w:val="true"/>
          <w:lang w:bidi="ar-SA"/>
        </w:rPr>
        <w:t>»</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في ثلاثة أثواب ليس فيها قميص</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القميص هو المعهود، و هو ما كان يصلّي فيه، و 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استطعت ان يكون كفنه ثوبا كان يصلّي فيه</w:t>
      </w:r>
      <w:r>
        <w:rPr>
          <w:rFonts w:eastAsia="Amiri" w:cs="Amiri" w:ascii="Amiri" w:hAnsi="Amiri"/>
          <w:color w:val="111111"/>
          <w:sz w:val="28"/>
          <w:szCs w:val="28"/>
          <w:rtl w:val="true"/>
          <w:lang w:bidi="ar-SA"/>
        </w:rPr>
        <w:t>»</w:t>
      </w:r>
      <w:r>
        <w:rPr>
          <w:rStyle w:val="FootnoteAnchor"/>
          <w:rtl w:val="true"/>
        </w:rPr>
        <w:footnoteReference w:id="1960"/>
      </w:r>
      <w:r>
        <w:rPr>
          <w:rFonts w:ascii="Amiri" w:hAnsi="Amiri" w:eastAsia="Amiri" w:cs="Amiri"/>
          <w:color w:val="111111"/>
          <w:sz w:val="28"/>
          <w:sz w:val="28"/>
          <w:szCs w:val="28"/>
          <w:rtl w:val="true"/>
          <w:lang w:bidi="ar-SA"/>
        </w:rPr>
        <w:t>فجاز أن يكون في الثلاثة الأثواب قميص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تكفينه في ثلاثة أثواب بغير قميص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الرواية بعينها</w:t>
      </w:r>
      <w:r>
        <w:rPr>
          <w:rStyle w:val="FootnoteAnchor"/>
          <w:rtl w:val="true"/>
        </w:rPr>
        <w:footnoteReference w:id="1962"/>
      </w:r>
      <w:r>
        <w:rPr>
          <w:rFonts w:ascii="Amiri" w:hAnsi="Amiri" w:eastAsia="Amiri" w:cs="Amiri"/>
          <w:color w:val="111111"/>
          <w:sz w:val="28"/>
          <w:sz w:val="28"/>
          <w:szCs w:val="28"/>
          <w:rtl w:val="true"/>
          <w:lang w:bidi="ar-SA"/>
        </w:rPr>
        <w:t>و لكن حذف صدرها، و خبرها معارض بما مرّ، و المثبت راجح</w:t>
      </w:r>
      <w:r>
        <w:rPr>
          <w:rFonts w:eastAsia="Amiri" w:cs="Amiri" w:ascii="Amiri" w:hAnsi="Amiri"/>
          <w:color w:val="111111"/>
          <w:sz w:val="28"/>
          <w:szCs w:val="28"/>
          <w:rtl w:val="true"/>
          <w:lang w:bidi="ar-SA"/>
        </w:rPr>
        <w:t>.</w:t>
      </w:r>
    </w:p>
    <w:p>
      <w:pPr>
        <w:pStyle w:val="Heading6"/>
        <w:numPr>
          <w:ilvl w:val="5"/>
          <w:numId w:val="1"/>
        </w:numPr>
        <w:rPr/>
      </w:pPr>
      <w:bookmarkStart w:id="1000" w:name="__RefHeading___Toc4192407_2142443653"/>
      <w:bookmarkStart w:id="1001" w:name="_Toc409"/>
      <w:bookmarkEnd w:id="1000"/>
      <w:r>
        <w:rPr>
          <w:rtl w:val="true"/>
        </w:rPr>
        <w:t>مسائل</w:t>
      </w:r>
      <w:r>
        <w:rPr>
          <w:rtl w:val="true"/>
        </w:rPr>
        <w:t>:</w:t>
      </w:r>
      <w:bookmarkEnd w:id="1001"/>
    </w:p>
    <w:p>
      <w:pPr>
        <w:pStyle w:val="Heading6"/>
        <w:numPr>
          <w:ilvl w:val="5"/>
          <w:numId w:val="1"/>
        </w:numPr>
        <w:rPr/>
      </w:pPr>
      <w:bookmarkStart w:id="1002" w:name="__RefHeading___Toc4192409_2142443653"/>
      <w:bookmarkStart w:id="1003" w:name="_Toc410"/>
      <w:bookmarkEnd w:id="1002"/>
      <w:r>
        <w:rPr>
          <w:rtl w:val="true"/>
        </w:rPr>
        <w:t>الأولى</w:t>
      </w:r>
      <w:r>
        <w:rPr>
          <w:rtl w:val="true"/>
        </w:rPr>
        <w:t xml:space="preserve">: </w:t>
      </w:r>
      <w:r>
        <w:rPr>
          <w:rtl w:val="true"/>
        </w:rPr>
        <w:t>يجزي عند الضرورة ثوبان</w:t>
      </w:r>
      <w:r>
        <w:rPr>
          <w:rtl w:val="true"/>
        </w:rPr>
        <w:t>.</w:t>
      </w:r>
      <w:bookmarkEnd w:id="100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w:t>
      </w:r>
      <w:r>
        <w:rPr>
          <w:rStyle w:val="FootnoteAnchor"/>
          <w:rtl w:val="true"/>
        </w:rPr>
        <w:footnoteReference w:id="1963"/>
      </w:r>
      <w:r>
        <w:rPr>
          <w:rFonts w:ascii="Amiri" w:hAnsi="Amiri" w:eastAsia="Amiri" w:cs="Amiri"/>
          <w:color w:val="111111"/>
          <w:sz w:val="28"/>
          <w:sz w:val="28"/>
          <w:szCs w:val="28"/>
          <w:rtl w:val="true"/>
          <w:lang w:bidi="ar-SA"/>
        </w:rPr>
        <w:t>عند الضرورة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يوجد إلاّ واحد كفى، لأنّ </w:t>
      </w:r>
      <w:bookmarkStart w:id="1004" w:name="pg15253_219867"/>
    </w:p>
    <w:p>
      <w:pPr>
        <w:pStyle w:val="BookText"/>
        <w:rPr/>
      </w:pPr>
      <w:bookmarkEnd w:id="1004"/>
      <w:r>
        <w:rPr>
          <w:rFonts w:ascii="Amiri" w:hAnsi="Amiri" w:eastAsia="Amiri" w:cs="Amiri"/>
          <w:color w:val="111111"/>
          <w:sz w:val="28"/>
          <w:sz w:val="28"/>
          <w:szCs w:val="28"/>
          <w:rtl w:val="true"/>
          <w:lang w:bidi="ar-SA"/>
        </w:rPr>
        <w:t>الضرورة تجوّز دفنه بغير كفن فبعضه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هناك بيت مال تمّم الكفن منه، لأنّه مصلحة لمسلم</w:t>
      </w:r>
      <w:r>
        <w:rPr>
          <w:rFonts w:eastAsia="Amiri" w:cs="Amiri" w:ascii="Amiri" w:hAnsi="Amiri"/>
          <w:color w:val="111111"/>
          <w:sz w:val="28"/>
          <w:szCs w:val="28"/>
          <w:rtl w:val="true"/>
          <w:lang w:bidi="ar-SA"/>
        </w:rPr>
        <w:t>.</w:t>
      </w:r>
    </w:p>
    <w:p>
      <w:pPr>
        <w:pStyle w:val="Heading6"/>
        <w:numPr>
          <w:ilvl w:val="5"/>
          <w:numId w:val="1"/>
        </w:numPr>
        <w:rPr/>
      </w:pPr>
      <w:bookmarkStart w:id="1005" w:name="__RefHeading___Toc4192411_2142443653"/>
      <w:bookmarkStart w:id="1006" w:name="_Toc411"/>
      <w:bookmarkEnd w:id="1005"/>
      <w:r>
        <w:rPr>
          <w:rtl w:val="true"/>
        </w:rPr>
        <w:t>الثانية</w:t>
      </w:r>
      <w:r>
        <w:rPr>
          <w:rtl w:val="true"/>
        </w:rPr>
        <w:t xml:space="preserve">: </w:t>
      </w:r>
      <w:r>
        <w:rPr>
          <w:rtl w:val="true"/>
        </w:rPr>
        <w:t>لا يجوز التكفين في المغصوب،</w:t>
      </w:r>
      <w:bookmarkEnd w:id="1006"/>
    </w:p>
    <w:p>
      <w:pPr>
        <w:pStyle w:val="BookText"/>
        <w:rPr/>
      </w:pPr>
      <w:r>
        <w:rPr>
          <w:rFonts w:ascii="Amiri" w:hAnsi="Amiri" w:eastAsia="Amiri" w:cs="Amiri"/>
          <w:color w:val="111111"/>
          <w:sz w:val="28"/>
          <w:sz w:val="28"/>
          <w:szCs w:val="28"/>
          <w:rtl w:val="true"/>
          <w:lang w:bidi="ar-SA"/>
        </w:rPr>
        <w:t>إجماعا، و للنهي عن إتلاف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في الحرير للرجل و المرأة باتفاقنا، لإعراض السلف عنه، و لدلالة مقطوعة الحسن بن راشد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المقبولات، لأنّه نفى البأس إذا كان القطن أكثر من القز</w:t>
      </w:r>
      <w:r>
        <w:rPr>
          <w:rStyle w:val="FootnoteAnchor"/>
          <w:rtl w:val="true"/>
        </w:rPr>
        <w:footnoteReference w:id="1964"/>
      </w:r>
      <w:r>
        <w:rPr>
          <w:rFonts w:ascii="Amiri" w:hAnsi="Amiri" w:eastAsia="Amiri" w:cs="Amiri"/>
          <w:color w:val="111111"/>
          <w:sz w:val="28"/>
          <w:sz w:val="28"/>
          <w:szCs w:val="28"/>
          <w:rtl w:val="true"/>
          <w:lang w:bidi="ar-SA"/>
        </w:rPr>
        <w:t xml:space="preserve">، فيثبت البأس عند عدمه، و قد أرسلها الصدوق عن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لخبر مروان بن عبد الملك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كسوة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يكفّن بها الميت، مع حكمه بجواز بيعها و هبتها</w:t>
      </w:r>
      <w:r>
        <w:rPr>
          <w:rStyle w:val="FootnoteAnchor"/>
          <w:rtl w:val="true"/>
        </w:rPr>
        <w:footnoteReference w:id="1966"/>
      </w:r>
      <w:r>
        <w:rPr>
          <w:rFonts w:ascii="Amiri" w:hAnsi="Amiri" w:eastAsia="Amiri" w:cs="Amiri"/>
          <w:color w:val="111111"/>
          <w:sz w:val="28"/>
          <w:sz w:val="28"/>
          <w:szCs w:val="28"/>
          <w:rtl w:val="true"/>
          <w:lang w:bidi="ar-SA"/>
        </w:rPr>
        <w:t>و الظاهر أنّه لأجل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في النجس، إجماعا، و لوجوب إزالة النجاسة العارضة في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اشتراط كونه من جنس ما يصلّى فيه، ينفي أوبار و أشعار غير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الجلد فيمنع منه مطلقا، لعدم فهمه من إطلاق الثوب، و لنزعه عن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اضطرّ الى ما عدا المغصوب ففيه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لإطلاق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الجواز لئلاّ يدفن عاريا، مع وجوب ستره و لو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ستر العورة لا غير حالة الصلاة، ثمّ ينزع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فالجلد مقدّم، لعدم صريح النهي فيه، ثمّ النجس، لعروض المانع، ثمّ الحرير، لجواز صلاة النساء فيه، ثم وبر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الترتيب للنظر مجال، إذ يمكن أولوية الحرير على النجس، لجواز صلاتهنّ فيه اختيارا</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4192413_2142443653"/>
      <w:bookmarkStart w:id="1008" w:name="_Toc412"/>
      <w:bookmarkEnd w:id="1007"/>
      <w:r>
        <w:rPr>
          <w:rtl w:val="true"/>
        </w:rPr>
        <w:t>الثالثة</w:t>
      </w:r>
      <w:r>
        <w:rPr>
          <w:rtl w:val="true"/>
        </w:rPr>
        <w:t xml:space="preserve">: </w:t>
      </w:r>
      <w:r>
        <w:rPr>
          <w:rtl w:val="true"/>
        </w:rPr>
        <w:t>يجب وضع الكافور على المساجد السبعة،</w:t>
      </w:r>
      <w:bookmarkEnd w:id="100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الحنوط، و نقل الشيخ فيه الإجماع</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أقله مسمّاه، قاله في المعتبر، لصدق الامتثال</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الأصحاب في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فالشيخان و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مثقال، و أوسطه أربعة دراهم</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مثقال و 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يخلط بتربة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 مثقال، و به رواية مرسلة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مرسلة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مثقال و نصف</w:t>
      </w:r>
      <w:r>
        <w:rPr>
          <w:rFonts w:eastAsia="Amiri" w:cs="Amiri" w:ascii="Amiri" w:hAnsi="Amiri"/>
          <w:color w:val="111111"/>
          <w:sz w:val="28"/>
          <w:szCs w:val="28"/>
          <w:rtl w:val="true"/>
          <w:lang w:bidi="ar-SA"/>
        </w:rPr>
        <w:t>»</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أوسطه أربعة مثاقيل، لرواية الحسين بن مختار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حملها في المعتبر كلّها على الفضيلة</w:t>
      </w:r>
      <w:r>
        <w:rPr>
          <w:rStyle w:val="FootnoteAnchor"/>
          <w:rtl w:val="true"/>
        </w:rPr>
        <w:footnoteReference w:id="1973"/>
      </w:r>
      <w:r>
        <w:rPr>
          <w:rFonts w:ascii="Amiri" w:hAnsi="Amiri" w:eastAsia="Amiri" w:cs="Amiri"/>
          <w:color w:val="111111"/>
          <w:sz w:val="28"/>
          <w:sz w:val="28"/>
          <w:szCs w:val="28"/>
          <w:rtl w:val="true"/>
          <w:lang w:bidi="ar-SA"/>
        </w:rPr>
        <w:t>تطييبا لمواضع العبادة، و تخصّصا لها بمزيد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أكثره مرّ</w:t>
      </w:r>
      <w:r>
        <w:rPr>
          <w:rStyle w:val="FootnoteAnchor"/>
          <w:rtl w:val="true"/>
        </w:rPr>
        <w:footnoteReference w:id="1974"/>
      </w:r>
      <w:r>
        <w:rPr>
          <w:rFonts w:ascii="Amiri" w:hAnsi="Amiri" w:eastAsia="Amiri" w:cs="Amiri"/>
          <w:color w:val="111111"/>
          <w:sz w:val="28"/>
          <w:sz w:val="28"/>
          <w:szCs w:val="28"/>
          <w:rtl w:val="true"/>
          <w:lang w:bidi="ar-SA"/>
        </w:rPr>
        <w:t>، و ابن البراج جعله ثلاثة عشر درهما و نصفا</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يشاركه الغسل في هذه المقادير، قطع به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إدريس فسّر المثاقيل بالدراهم</w:t>
      </w:r>
      <w:r>
        <w:rPr>
          <w:rStyle w:val="FootnoteAnchor"/>
          <w:rtl w:val="true"/>
        </w:rPr>
        <w:footnoteReference w:id="1976"/>
      </w:r>
      <w:r>
        <w:rPr>
          <w:rFonts w:ascii="IRNazanin" w:hAnsi="IRNazanin" w:eastAsia="IRNazanin"/>
          <w:color w:val="111111"/>
          <w:sz w:val="28"/>
          <w:sz w:val="28"/>
          <w:szCs w:val="28"/>
          <w:rtl w:val="true"/>
          <w:lang w:bidi="fa-IR"/>
        </w:rPr>
        <w:t xml:space="preserve">نظرا الى قول الأصحاب، و طالبه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بالمستند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الأصحاب في تحنيط ما عدا السبعة و الصدر، من الأنف و السمع و البصر و الفم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فالصدوق تحنّط، و كذا المغابن،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الآباط و أصول الأفخاذ</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أبي عقيل و المفيد ألحقا الأنف بالسبعة</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أضاف الصدوق الى الكافور المسك</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أنكر ذلك كله</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لنشر الى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خبر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كفّنته فذر على كل ثوب شيئا من الذريرة و الكافور، و اجعل شيئا من الحنوط على مسامعه و مساجده، و شيئا على ظهر الكف</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الكافور في مسامعه، و أثر سجوده منه، و فيه</w:t>
      </w:r>
      <w:r>
        <w:rPr>
          <w:rFonts w:eastAsia="Amiri" w:cs="Amiri" w:ascii="Amiri" w:hAnsi="Amiri"/>
          <w:color w:val="111111"/>
          <w:sz w:val="28"/>
          <w:szCs w:val="28"/>
          <w:rtl w:val="true"/>
          <w:lang w:bidi="ar-SA"/>
        </w:rPr>
        <w:t>»</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يوضع على جبهته و موضع سجوده، و يمسح به مغابنه من اليدين و الرجلين و وسط 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في منخريه، و لا في بصره، و لا في مسامعه، و لا وجهه، قطنا و لا كافورا</w:t>
      </w:r>
      <w:r>
        <w:rPr>
          <w:rFonts w:eastAsia="Amiri" w:cs="Amiri" w:ascii="Amiri" w:hAnsi="Amiri"/>
          <w:color w:val="111111"/>
          <w:sz w:val="28"/>
          <w:szCs w:val="28"/>
          <w:rtl w:val="true"/>
          <w:lang w:bidi="ar-SA"/>
        </w:rPr>
        <w:t>»</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مقطوع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في مسامعه حنوطا</w:t>
      </w:r>
      <w:r>
        <w:rPr>
          <w:rFonts w:eastAsia="Amiri" w:cs="Amiri" w:ascii="Amiri" w:hAnsi="Amiri"/>
          <w:color w:val="111111"/>
          <w:sz w:val="28"/>
          <w:szCs w:val="28"/>
          <w:rtl w:val="true"/>
          <w:lang w:bidi="ar-SA"/>
        </w:rPr>
        <w:t>»</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 به آثار السجود و مفاصله كلّها، و رأسه و لحيته، و على صدره من الحنوط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الحنوط للرجل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المرأة سواء</w:t>
      </w:r>
      <w:r>
        <w:rPr>
          <w:rFonts w:eastAsia="Amiri" w:cs="Amiri" w:ascii="Amiri" w:hAnsi="Amiri"/>
          <w:color w:val="111111"/>
          <w:sz w:val="28"/>
          <w:szCs w:val="28"/>
          <w:rtl w:val="true"/>
          <w:lang w:bidi="ar-SA"/>
        </w:rPr>
        <w:t>»</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في خبر زرارة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فاه و سمعه و فرجه</w:t>
      </w:r>
      <w:r>
        <w:rPr>
          <w:rFonts w:eastAsia="Amiri" w:cs="Amiri" w:ascii="Amiri" w:hAnsi="Amiri"/>
          <w:color w:val="111111"/>
          <w:sz w:val="28"/>
          <w:szCs w:val="28"/>
          <w:rtl w:val="true"/>
          <w:lang w:bidi="ar-SA"/>
        </w:rPr>
        <w:t>»</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الحسين بن مختار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يوضع على المساجد، و على اللبّة و باطن القدمين، و موضع الشراك من القدمين، و على الركبتين و الراحتين و اللحية</w:t>
      </w:r>
      <w:r>
        <w:rPr>
          <w:rFonts w:eastAsia="Amiri" w:cs="Amiri" w:ascii="Amiri" w:hAnsi="Amiri"/>
          <w:color w:val="111111"/>
          <w:sz w:val="28"/>
          <w:szCs w:val="28"/>
          <w:rtl w:val="true"/>
          <w:lang w:bidi="ar-SA"/>
        </w:rPr>
        <w:t>»</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عبد 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 في فمه و مسامعه و آثار السجود</w:t>
      </w:r>
      <w:r>
        <w:rPr>
          <w:rFonts w:eastAsia="Amiri" w:cs="Amiri" w:ascii="Amiri" w:hAnsi="Amiri"/>
          <w:color w:val="111111"/>
          <w:sz w:val="28"/>
          <w:szCs w:val="28"/>
          <w:rtl w:val="true"/>
          <w:lang w:bidi="ar-SA"/>
        </w:rPr>
        <w:t>»</w:t>
      </w:r>
      <w:r>
        <w:rPr>
          <w:rStyle w:val="FootnoteAnchor"/>
          <w:rtl w:val="true"/>
        </w:rPr>
        <w:footnoteReference w:id="1989"/>
      </w:r>
      <w:r>
        <w:rPr>
          <w:rFonts w:ascii="Amiri" w:hAnsi="Amiri" w:eastAsia="Amiri" w:cs="Amiri"/>
          <w:color w:val="111111"/>
          <w:sz w:val="28"/>
          <w:sz w:val="28"/>
          <w:szCs w:val="28"/>
          <w:rtl w:val="true"/>
          <w:lang w:bidi="ar-SA"/>
        </w:rPr>
        <w:t xml:space="preserve">، و شهادة هذه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المسك، ففي خبرين أرسلهما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 بمثقال من مسك سوى الكافور</w:t>
      </w:r>
      <w:r>
        <w:rPr>
          <w:rFonts w:eastAsia="Amiri" w:cs="Amiri" w:ascii="Amiri" w:hAnsi="Amiri"/>
          <w:color w:val="111111"/>
          <w:sz w:val="28"/>
          <w:szCs w:val="28"/>
          <w:rtl w:val="true"/>
          <w:lang w:bidi="ar-SA"/>
        </w:rPr>
        <w:t>»</w:t>
      </w:r>
      <w:r>
        <w:rPr>
          <w:rStyle w:val="FootnoteAnchor"/>
          <w:rtl w:val="true"/>
        </w:rPr>
        <w:footnoteReference w:id="1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عن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سوّغ تقريب المسك و البخور الى الميت</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يعارضهما مسند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تجمّروا الأكفان، و لا تمسّوا موتاكم بالطيب إلاّ بالكافور، فإنّ الميت بمنزلة المحرم</w:t>
      </w:r>
      <w:r>
        <w:rPr>
          <w:rFonts w:eastAsia="Amiri" w:cs="Amiri" w:ascii="Amiri" w:hAnsi="Amiri"/>
          <w:color w:val="111111"/>
          <w:sz w:val="28"/>
          <w:szCs w:val="28"/>
          <w:rtl w:val="true"/>
          <w:lang w:bidi="ar-SA"/>
        </w:rPr>
        <w:t>»</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غياث بن إبراهيم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أباه كان يجمّر الميت بالعود</w:t>
      </w:r>
      <w:r>
        <w:rPr>
          <w:rFonts w:eastAsia="Amiri" w:cs="Amiri" w:ascii="Amiri" w:hAnsi="Amiri"/>
          <w:color w:val="111111"/>
          <w:sz w:val="28"/>
          <w:szCs w:val="28"/>
          <w:rtl w:val="true"/>
          <w:lang w:bidi="ar-SA"/>
        </w:rPr>
        <w:t>»</w:t>
      </w:r>
      <w:r>
        <w:rPr>
          <w:rStyle w:val="FootnoteAnchor"/>
          <w:rtl w:val="true"/>
        </w:rPr>
        <w:footnoteReference w:id="1993"/>
      </w:r>
      <w:r>
        <w:rPr>
          <w:rFonts w:ascii="Amiri" w:hAnsi="Amiri" w:eastAsia="Amiri" w:cs="Amiri"/>
          <w:color w:val="111111"/>
          <w:sz w:val="28"/>
          <w:sz w:val="28"/>
          <w:szCs w:val="28"/>
          <w:rtl w:val="true"/>
          <w:lang w:bidi="ar-SA"/>
        </w:rPr>
        <w:t>ضعيف السند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سحق الكافور باليد خوفا من الضياع،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009" w:name="pg15253_219871"/>
    </w:p>
    <w:p>
      <w:pPr>
        <w:pStyle w:val="BookText"/>
        <w:rPr/>
      </w:pPr>
      <w:bookmarkEnd w:id="1009"/>
      <w:r>
        <w:rPr>
          <w:rFonts w:ascii="Amiri" w:hAnsi="Amiri" w:eastAsia="Amiri" w:cs="Amiri"/>
          <w:color w:val="111111"/>
          <w:sz w:val="28"/>
          <w:sz w:val="28"/>
          <w:szCs w:val="28"/>
          <w:rtl w:val="true"/>
          <w:lang w:bidi="ar-SA"/>
        </w:rPr>
        <w:t>الشيخان، و لم أتحقّق مستنده</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سحقه بحجر أو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يكفي 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المساجد من غير قطن</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0" w:name="__RefHeading___Toc4192415_2142443653"/>
      <w:bookmarkStart w:id="1011" w:name="_Toc413"/>
      <w:bookmarkEnd w:id="1010"/>
      <w:r>
        <w:rPr>
          <w:rtl w:val="true"/>
        </w:rPr>
        <w:t>الرابعة</w:t>
      </w:r>
      <w:r>
        <w:rPr>
          <w:rtl w:val="true"/>
        </w:rPr>
        <w:t xml:space="preserve">: </w:t>
      </w:r>
      <w:r>
        <w:rPr>
          <w:rtl w:val="true"/>
        </w:rPr>
        <w:t>يستحبّ الذريرة على الأكفان</w:t>
      </w:r>
      <w:r>
        <w:rPr>
          <w:rtl w:val="true"/>
        </w:rPr>
        <w:t>.</w:t>
      </w:r>
      <w:bookmarkEnd w:id="1011"/>
    </w:p>
    <w:p>
      <w:pPr>
        <w:pStyle w:val="BookText"/>
        <w:rPr/>
      </w:pPr>
      <w:r>
        <w:rPr>
          <w:rFonts w:ascii="Amiri" w:hAnsi="Amiri" w:eastAsia="Amiri" w:cs="Amiri"/>
          <w:color w:val="111111"/>
          <w:sz w:val="28"/>
          <w:sz w:val="28"/>
          <w:szCs w:val="28"/>
          <w:rtl w:val="true"/>
          <w:lang w:bidi="ar-SA"/>
        </w:rPr>
        <w:t>قال الشيخ 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فتات قصب الطيب، و هو قصب يجاء به من الهند كأنّه قصب النّشاب</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المبسوط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بالقمّحة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 تشديد الميم المفتوحة و الحاء المهملة أو بفتح القاف و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كواحدة القمح</w:t>
      </w:r>
      <w:r>
        <w:rPr>
          <w:rStyle w:val="FootnoteAnchor"/>
          <w:rtl w:val="true"/>
        </w:rPr>
        <w:footnoteReference w:id="1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سمّاها به أيضا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فعيلة بمعنى مفعولة، و هي ما يذرّ على الشيء، و قصب الذريرة دواء يجلب من الهند، و باليمن يجعلون أخلاطا من الطيب يسمّونها الذريرة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الأفاوية الخمسة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 الذريرة، و الورس، و السليخة، و اللاّذن، و الزباد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يعالج به الطيب كالتوابل للطعام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أصول الطيب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 الكافور، و العود، و العنبر، و الزعفران</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نبات طيب غير الطيب المعهود،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بقول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للذي يعلو الخمر مثل الذريرة القمّحان، و انشد فيه شعرا</w:t>
      </w:r>
      <w:r>
        <w:rPr>
          <w:rFonts w:eastAsia="Amiri" w:cs="Amiri" w:ascii="Amiri" w:hAnsi="Amiri"/>
          <w:color w:val="111111"/>
          <w:sz w:val="28"/>
          <w:szCs w:val="28"/>
          <w:rtl w:val="true"/>
          <w:lang w:bidi="ar-SA"/>
        </w:rPr>
        <w:t xml:space="preserve">: </w:t>
      </w:r>
      <w:bookmarkStart w:id="1012" w:name="pg15253_219872"/>
    </w:p>
    <w:p>
      <w:pPr>
        <w:pStyle w:val="BookText"/>
        <w:rPr/>
      </w:pPr>
      <w:bookmarkEnd w:id="1012"/>
      <w:r>
        <w:rPr>
          <w:rFonts w:ascii="Amiri" w:hAnsi="Amiri" w:eastAsia="Amiri" w:cs="Amiri"/>
          <w:color w:val="111111"/>
          <w:sz w:val="28"/>
          <w:sz w:val="28"/>
          <w:szCs w:val="28"/>
          <w:rtl w:val="true"/>
          <w:lang w:bidi="ar-SA"/>
        </w:rPr>
        <w:t>إذا فضّت خواتمه علاه يبيس القمّحان من المدام</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فيهما صراحة بالمطلوب، و لا في كلامه تعيين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المعروف بين العلماء، بل هي الطيب المسحوق</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حبوب تشبه حبّ الحنطة التي تسمى بالقمح، تدقّ تلك الحبوب كالدقيق، لها ريح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الذريرة هي الورد و السنبل و القرنفل و القسط و الأشنة، و كلّها نبات، و يجعل فيها اللاّذن و يدقّ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يجعل الذريرة أيضا على القطن الذي يوضع على الفرجين، قاله ابن بابويه</w:t>
      </w:r>
      <w:r>
        <w:rPr>
          <w:rStyle w:val="FootnoteAnchor"/>
          <w:rtl w:val="true"/>
        </w:rPr>
        <w:footnoteReference w:id="2001"/>
      </w:r>
      <w:r>
        <w:rPr>
          <w:rFonts w:ascii="Amiri" w:hAnsi="Amiri" w:eastAsia="Amiri" w:cs="Amiri"/>
          <w:color w:val="111111"/>
          <w:sz w:val="28"/>
          <w:sz w:val="28"/>
          <w:szCs w:val="28"/>
          <w:rtl w:val="true"/>
          <w:lang w:bidi="ar-SA"/>
        </w:rPr>
        <w:t>و الشيخ في المبسوط</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يطيّب بغير الكافور و الذريرة،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استيعاب كل المسجد بالمسح</w:t>
      </w:r>
      <w:r>
        <w:rPr>
          <w:rFonts w:eastAsia="Amiri" w:cs="Amiri" w:ascii="Amiri" w:hAnsi="Amiri"/>
          <w:color w:val="111111"/>
          <w:sz w:val="28"/>
          <w:szCs w:val="28"/>
          <w:rtl w:val="true"/>
          <w:lang w:bidi="ar-SA"/>
        </w:rPr>
        <w:t>.</w:t>
      </w:r>
    </w:p>
    <w:p>
      <w:pPr>
        <w:pStyle w:val="Heading6"/>
        <w:numPr>
          <w:ilvl w:val="5"/>
          <w:numId w:val="1"/>
        </w:numPr>
        <w:rPr/>
      </w:pPr>
      <w:bookmarkStart w:id="1013" w:name="__RefHeading___Toc4192417_2142443653"/>
      <w:bookmarkStart w:id="1014" w:name="_Toc414"/>
      <w:bookmarkEnd w:id="1013"/>
      <w:r>
        <w:rPr>
          <w:rtl w:val="true"/>
        </w:rPr>
        <w:t>الخامسة</w:t>
      </w:r>
      <w:r>
        <w:rPr>
          <w:rtl w:val="true"/>
        </w:rPr>
        <w:t xml:space="preserve">: </w:t>
      </w:r>
      <w:r>
        <w:rPr>
          <w:rtl w:val="true"/>
        </w:rPr>
        <w:t>يستحبّ عندنا أن يزاد الرجل و المرأة حبرة</w:t>
      </w:r>
      <w:bookmarkEnd w:id="10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بكسر الحاء و 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يمنية عبرية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إلى موضع أو جانب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مريم الأنصاري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كفّن رسول اللّه صلّى اللّه عليه و آله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حبرة أحمر، و ثوبين أبيضين صحاريين،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أسامة بن زيد في برد أحمر حبرة، و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سهل بن حنيف ببرد أحمر حبرة</w:t>
      </w:r>
      <w:r>
        <w:rPr>
          <w:rFonts w:eastAsia="Amiri" w:cs="Amiri" w:ascii="Amiri" w:hAnsi="Amiri"/>
          <w:color w:val="111111"/>
          <w:sz w:val="28"/>
          <w:szCs w:val="28"/>
          <w:rtl w:val="true"/>
          <w:lang w:bidi="ar-SA"/>
        </w:rPr>
        <w:t>»</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 xml:space="preserve">. </w:t>
      </w:r>
      <w:bookmarkStart w:id="1015" w:name="pg15253_219873"/>
    </w:p>
    <w:p>
      <w:pPr>
        <w:pStyle w:val="BookText"/>
        <w:rPr/>
      </w:pPr>
      <w:bookmarkEnd w:id="1015"/>
      <w:r>
        <w:rPr>
          <w:rFonts w:ascii="Amiri" w:hAnsi="Amiri" w:eastAsia="Amiri" w:cs="Amiri"/>
          <w:color w:val="111111"/>
          <w:sz w:val="28"/>
          <w:sz w:val="28"/>
          <w:szCs w:val="28"/>
          <w:rtl w:val="true"/>
          <w:lang w:bidi="ar-SA"/>
        </w:rPr>
        <w:t xml:space="preserve">و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كفّن رسول اللّه صلّى اللّه عليه و آله في ثوبين صحاريين، و ثوب يمنة عبري أو أظفار</w:t>
      </w:r>
      <w:r>
        <w:rPr>
          <w:rFonts w:eastAsia="Amiri" w:cs="Amiri" w:ascii="Amiri" w:hAnsi="Amiri"/>
          <w:color w:val="111111"/>
          <w:sz w:val="28"/>
          <w:szCs w:val="28"/>
          <w:rtl w:val="true"/>
          <w:lang w:bidi="ar-SA"/>
        </w:rPr>
        <w:t>»</w:t>
      </w:r>
      <w:r>
        <w:rPr>
          <w:rStyle w:val="FootnoteAnchor"/>
          <w:rtl w:val="true"/>
        </w:rPr>
        <w:footnoteReference w:id="2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أو ظفار، و هما بلدان</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اليمنة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البردة من برود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أبي في وصيّته أن أكفّنه بثلاثة أثواب، أحدها رداء له حبرة كان يصلّي فيه يوم الجمعة</w:t>
      </w:r>
      <w:r>
        <w:rPr>
          <w:rFonts w:eastAsia="Amiri" w:cs="Amiri" w:ascii="Amiri" w:hAnsi="Amiri"/>
          <w:color w:val="111111"/>
          <w:sz w:val="28"/>
          <w:szCs w:val="28"/>
          <w:rtl w:val="true"/>
          <w:lang w:bidi="ar-SA"/>
        </w:rPr>
        <w:t>»</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بهذه استدلّوا على استحباب زيادة الحبرة، و هي غير بيّنة منها، فالحجّة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لتكن غير مطرزة بالذهب و الحرير، لأنّه إتلاف غير 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الأخبار أفضلية الحمراء</w:t>
      </w:r>
      <w:r>
        <w:rPr>
          <w:rStyle w:val="FootnoteAnchor"/>
          <w:rtl w:val="true"/>
        </w:rPr>
        <w:footnoteReference w:id="2007"/>
      </w:r>
      <w:r>
        <w:rPr>
          <w:rFonts w:ascii="Amiri" w:hAnsi="Amiri" w:eastAsia="Amiri" w:cs="Amiri"/>
          <w:color w:val="111111"/>
          <w:sz w:val="28"/>
          <w:sz w:val="28"/>
          <w:szCs w:val="28"/>
          <w:rtl w:val="true"/>
          <w:lang w:bidi="ar-SA"/>
        </w:rPr>
        <w:t>، و لو تعذّرت الأوصاف في الحبرة اتفاقا كفى بعضها، فإن لم يوجد فلفافة اخرى</w:t>
      </w:r>
      <w:r>
        <w:rPr>
          <w:rFonts w:eastAsia="Amiri" w:cs="Amiri" w:ascii="Amiri" w:hAnsi="Amiri"/>
          <w:color w:val="111111"/>
          <w:sz w:val="28"/>
          <w:szCs w:val="28"/>
          <w:rtl w:val="true"/>
          <w:lang w:bidi="ar-SA"/>
        </w:rPr>
        <w:t>.</w:t>
      </w:r>
    </w:p>
    <w:p>
      <w:pPr>
        <w:pStyle w:val="Heading6"/>
        <w:numPr>
          <w:ilvl w:val="5"/>
          <w:numId w:val="1"/>
        </w:numPr>
        <w:rPr/>
      </w:pPr>
      <w:bookmarkStart w:id="1016" w:name="__RefHeading___Toc4192419_2142443653"/>
      <w:bookmarkStart w:id="1017" w:name="_Toc415"/>
      <w:bookmarkEnd w:id="1016"/>
      <w:r>
        <w:rPr>
          <w:rtl w:val="true"/>
        </w:rPr>
        <w:t>السادسة</w:t>
      </w:r>
      <w:r>
        <w:rPr>
          <w:rtl w:val="true"/>
        </w:rPr>
        <w:t xml:space="preserve">: </w:t>
      </w:r>
      <w:r>
        <w:rPr>
          <w:rtl w:val="true"/>
        </w:rPr>
        <w:t>يزادان أيضا خرقة لشدّ الفخذين،</w:t>
      </w:r>
      <w:bookmarkEnd w:id="1017"/>
    </w:p>
    <w:p>
      <w:pPr>
        <w:pStyle w:val="BookText"/>
        <w:rPr/>
      </w:pPr>
      <w:r>
        <w:rPr>
          <w:rFonts w:ascii="Amiri" w:hAnsi="Amiri" w:eastAsia="Amiri" w:cs="Amiri"/>
          <w:color w:val="111111"/>
          <w:sz w:val="28"/>
          <w:sz w:val="28"/>
          <w:szCs w:val="28"/>
          <w:rtl w:val="true"/>
          <w:lang w:bidi="ar-SA"/>
        </w:rPr>
        <w:t>و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طولها ثلاث أذرع و نصف، و يلفّ بها فخذاه لفّا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عمامة و المرأة خمار، لخبر معاوية بن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يكفّن الميت في خمسة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قميص، و إزار، و خرقة يعصّب بها وسطه، و برد يلفّ فيه، و عمامة</w:t>
      </w:r>
      <w:r>
        <w:rPr>
          <w:rFonts w:eastAsia="Amiri" w:cs="Amiri" w:ascii="Amiri" w:hAnsi="Amiri"/>
          <w:color w:val="111111"/>
          <w:sz w:val="28"/>
          <w:szCs w:val="28"/>
          <w:rtl w:val="true"/>
          <w:lang w:bidi="ar-SA"/>
        </w:rPr>
        <w:t>»</w:t>
      </w:r>
      <w:r>
        <w:rPr>
          <w:rStyle w:val="FootnoteAnchor"/>
          <w:rtl w:val="true"/>
        </w:rPr>
        <w:footnoteReference w:id="2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يدلّ على أنّ العمامة من الكفن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يونس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خرقة طويلة عرضها شبر فشدّها من حقويه، و ضمّ فخذيه ضمّا شديدا و لفّها في فخذيه، ثمّ أخرج رأسها من تحت رجليه الى الجانب الأيمن و أغمزها في الموضع الذي لففت فيه الخرقة</w:t>
      </w:r>
      <w:r>
        <w:rPr>
          <w:rFonts w:eastAsia="Amiri" w:cs="Amiri" w:ascii="Amiri" w:hAnsi="Amiri"/>
          <w:color w:val="111111"/>
          <w:sz w:val="28"/>
          <w:szCs w:val="28"/>
          <w:rtl w:val="true"/>
          <w:lang w:bidi="ar-SA"/>
        </w:rPr>
        <w:t>»</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الخرقة ثلاثة أذرع و نصف، و عرضها شبر و نصف</w:t>
      </w:r>
      <w:r>
        <w:rPr>
          <w:rFonts w:eastAsia="Amiri" w:cs="Amiri" w:ascii="Amiri" w:hAnsi="Amiri"/>
          <w:color w:val="111111"/>
          <w:sz w:val="28"/>
          <w:szCs w:val="28"/>
          <w:rtl w:val="true"/>
          <w:lang w:bidi="ar-SA"/>
        </w:rPr>
        <w:t>»</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ليكن تحتها قطن، لما مرّ، و اختلاف الروايتين في القدر يدلّ على إرادة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يشقّ رأسها، أو يجعل فيها خيط يشدّها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ليحنّك بالعمامة، لمرسل ابن أبي عمير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لينشر وسطها على رأسه و ترد الى خلفه، و يطرح طرفيها على ظهره لا كعمّة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عمّة الأعرابي بغير حنك</w:t>
      </w:r>
      <w:r>
        <w:rPr>
          <w:rStyle w:val="FootnoteAnchor"/>
          <w:rtl w:val="true"/>
        </w:rPr>
        <w:footnoteReference w:id="2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الهيئة في خبر عثمان النوّاء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معاوية بن وهب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يلقى فضلها على وجهه</w:t>
      </w:r>
      <w:r>
        <w:rPr>
          <w:rFonts w:eastAsia="Amiri" w:cs="Amiri" w:ascii="Amiri" w:hAnsi="Amiri"/>
          <w:color w:val="111111"/>
          <w:sz w:val="28"/>
          <w:szCs w:val="28"/>
          <w:rtl w:val="true"/>
          <w:lang w:bidi="ar-SA"/>
        </w:rPr>
        <w:t>»</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وسط العمامة، فيثنى على رأسه بالتدوير، ثمّ يلقى فضل الشقّ الأيمن على الأيسر، و الأيسر على الأيمن، ثمّ يمدّ على صدره</w:t>
      </w:r>
      <w:r>
        <w:rPr>
          <w:rFonts w:eastAsia="Amiri" w:cs="Amiri" w:ascii="Amiri" w:hAnsi="Amiri"/>
          <w:color w:val="111111"/>
          <w:sz w:val="28"/>
          <w:szCs w:val="28"/>
          <w:rtl w:val="true"/>
          <w:lang w:bidi="ar-SA"/>
        </w:rPr>
        <w:t>»</w:t>
      </w:r>
      <w:r>
        <w:rPr>
          <w:rStyle w:val="FootnoteAnchor"/>
          <w:rtl w:val="true"/>
        </w:rPr>
        <w:footnoteReference w:id="2015"/>
      </w:r>
      <w:r>
        <w:rPr>
          <w:rFonts w:ascii="Amiri" w:hAnsi="Amiri" w:eastAsia="Amiri" w:cs="Amiri"/>
          <w:color w:val="111111"/>
          <w:sz w:val="28"/>
          <w:sz w:val="28"/>
          <w:szCs w:val="28"/>
          <w:rtl w:val="true"/>
          <w:lang w:bidi="ar-SA"/>
        </w:rPr>
        <w:t>، و المشهور بين الأصحاب مضمون هذا الخبر</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الخمار فأفتى به الأصحاب</w:t>
      </w:r>
      <w:r>
        <w:rPr>
          <w:rStyle w:val="FootnoteAnchor"/>
          <w:rtl w:val="true"/>
        </w:rPr>
        <w:footnoteReference w:id="2017"/>
      </w:r>
      <w:r>
        <w:rPr>
          <w:rFonts w:ascii="Amiri" w:hAnsi="Amiri" w:eastAsia="Amiri" w:cs="Amiri"/>
          <w:color w:val="111111"/>
          <w:sz w:val="28"/>
          <w:sz w:val="28"/>
          <w:szCs w:val="28"/>
          <w:rtl w:val="true"/>
          <w:lang w:bidi="ar-SA"/>
        </w:rPr>
        <w:t xml:space="preserve">و هو موجود في خبر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يكفّن الرجل في ثلاثة أثواب، و المرأة إذا كانت عظيمة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 منطق، و خمار، و لفّافتين</w:t>
      </w:r>
      <w:r>
        <w:rPr>
          <w:rFonts w:eastAsia="Amiri" w:cs="Amiri" w:ascii="Amiri" w:hAnsi="Amiri"/>
          <w:color w:val="111111"/>
          <w:sz w:val="28"/>
          <w:szCs w:val="28"/>
          <w:rtl w:val="true"/>
          <w:lang w:bidi="ar-SA"/>
        </w:rPr>
        <w:t>»</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 فتح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يشدّ به الوسط، و لعلّه 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اللفّافتان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و الحبرة، أو الإزار و النمط</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عبد 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يكفّن في ثلاثة سوى العمامة، و الخرقة تشدّ بها وركيه لئلاّ يبدو منه شيء، و ليسا من الكفن</w:t>
      </w:r>
      <w:r>
        <w:rPr>
          <w:rFonts w:eastAsia="Amiri" w:cs="Amiri" w:ascii="Amiri" w:hAnsi="Amiri"/>
          <w:color w:val="111111"/>
          <w:sz w:val="28"/>
          <w:szCs w:val="28"/>
          <w:rtl w:val="true"/>
          <w:lang w:bidi="ar-SA"/>
        </w:rPr>
        <w:t>»</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الجمع بينه و بين ما تقدّم أنّ النفي للكفن الواجب، و الأول يراد مطلق الكفن، كما في خبر زرارة،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للميت أمن الكفن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الكفن المفروض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أن يبلغ خمسة فما زاد 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العمامة سنّة، و أمر النبي صلّى اللّه عليه و آله بالعمامة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بدينار ليشترى به حنوط و عمامة لأبي عبيدة الحذاء</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يونس عن بعض رجاله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الكفن فريضة، للرجال ثلاثة أثواب، و العمامة و الخرقة سنّة</w:t>
      </w:r>
      <w:r>
        <w:rPr>
          <w:rFonts w:eastAsia="Amiri" w:cs="Amiri" w:ascii="Amiri" w:hAnsi="Amiri"/>
          <w:color w:val="111111"/>
          <w:sz w:val="28"/>
          <w:szCs w:val="28"/>
          <w:rtl w:val="true"/>
          <w:lang w:bidi="ar-SA"/>
        </w:rPr>
        <w:t>»</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عبد الرحمن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تكفّن في خمسة أثواب أحدها الخمار</w:t>
      </w:r>
      <w:r>
        <w:rPr>
          <w:rFonts w:eastAsia="Amiri" w:cs="Amiri" w:ascii="Amiri" w:hAnsi="Amiri"/>
          <w:color w:val="111111"/>
          <w:sz w:val="28"/>
          <w:szCs w:val="28"/>
          <w:rtl w:val="true"/>
          <w:lang w:bidi="ar-SA"/>
        </w:rPr>
        <w:t>»</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تزاد المرأة خرقة لثدييها، لخبر سهل بن زياد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كيف تكفن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يكفّن الرجل، غير أنّها يشدّ على ثدييها خرقة تضمّ الثدي إلى الصدر، و تشدّ الى ظهرها</w:t>
      </w:r>
      <w:r>
        <w:rPr>
          <w:rFonts w:eastAsia="Amiri" w:cs="Amiri" w:ascii="Amiri" w:hAnsi="Amiri"/>
          <w:color w:val="111111"/>
          <w:sz w:val="28"/>
          <w:szCs w:val="28"/>
          <w:rtl w:val="true"/>
          <w:lang w:bidi="ar-SA"/>
        </w:rPr>
        <w:t>»</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لئلاّ يبدو حجم الثديين أو يضطربا فتنتشر الأكفان، و لا تنزع هذه الخرقة في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018" w:name="pg15253_219876"/>
    </w:p>
    <w:p>
      <w:pPr>
        <w:pStyle w:val="Heading6"/>
        <w:numPr>
          <w:ilvl w:val="5"/>
          <w:numId w:val="1"/>
        </w:numPr>
        <w:rPr/>
      </w:pPr>
      <w:bookmarkStart w:id="1019" w:name="__RefHeading___Toc4192421_2142443653"/>
      <w:bookmarkStart w:id="1020" w:name="_Toc416"/>
      <w:bookmarkEnd w:id="1018"/>
      <w:bookmarkEnd w:id="1019"/>
      <w:r>
        <w:rPr>
          <w:rtl w:val="true"/>
        </w:rPr>
        <w:t>السابعة</w:t>
      </w:r>
      <w:r>
        <w:rPr>
          <w:rtl w:val="true"/>
        </w:rPr>
        <w:t xml:space="preserve">: </w:t>
      </w:r>
      <w:r>
        <w:rPr>
          <w:rtl w:val="true"/>
        </w:rPr>
        <w:t>قال كثير من الأصحاب</w:t>
      </w:r>
      <w:r>
        <w:rPr>
          <w:rtl w:val="true"/>
        </w:rPr>
        <w:t xml:space="preserve">: </w:t>
      </w:r>
      <w:r>
        <w:rPr>
          <w:rtl w:val="true"/>
        </w:rPr>
        <w:t>تزاد المرأة نمطا ،</w:t>
      </w:r>
      <w:bookmarkEnd w:id="1020"/>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كثير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تزاد المرأة نمطا</w:t>
      </w:r>
      <w:r>
        <w:rPr>
          <w:rStyle w:val="FootnoteAnchor"/>
          <w:rtl w:val="true"/>
        </w:rPr>
        <w:footnoteReference w:id="2025"/>
      </w:r>
      <w:r>
        <w:rPr>
          <w:rFonts w:ascii="Amiri" w:hAnsi="Amiri" w:eastAsia="Amiri" w:cs="Amiri"/>
          <w:color w:val="111111"/>
          <w:sz w:val="28"/>
          <w:sz w:val="28"/>
          <w:szCs w:val="28"/>
          <w:rtl w:val="true"/>
          <w:lang w:bidi="ar-SA"/>
        </w:rPr>
        <w:t>، و 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البسط، و لعلّه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ثوب فيه خطط مأخوذ من الأنماط،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إدريس جعله الحبرة، لدلالة الاسمين على الزينة</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تزاد المرأة ثوبين،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لفافتان، أو لفافة و نمط</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نهايته خمسة أثواب،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لفافتان،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حبرة، و قميص، و إزار، و 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تزاد لفافة أخرى و نمطا</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المبسوط مثل النهاية،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امرأة زيدت لفافتين فيكمل لها سبعة</w:t>
      </w:r>
      <w:r>
        <w:rPr>
          <w:rStyle w:val="FootnoteAnchor"/>
          <w:rtl w:val="true"/>
        </w:rPr>
        <w:footnoteReference w:id="2029"/>
      </w:r>
      <w:r>
        <w:rPr>
          <w:rFonts w:ascii="Amiri" w:hAnsi="Amiri" w:eastAsia="Amiri" w:cs="Amiri"/>
          <w:color w:val="111111"/>
          <w:sz w:val="28"/>
          <w:sz w:val="28"/>
          <w:szCs w:val="28"/>
          <w:rtl w:val="true"/>
          <w:lang w:bidi="ar-SA"/>
        </w:rPr>
        <w:t>فظاهره هنا مشاركة المرأة في الخمسة الأول و زيادتها لفافتين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تزاد المرأة إزارين</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يذكر الشيخ في التهذيب ما يدلّ على ذلك غير خبري محمد بن مسلم و سهل بن زياد</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لفافتان و قميص، و عمامة، و 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مئزر، و عمامة، و قميصان، و لفافتان، و يمنة، و ليس تعدّ الخرقة التي على فرجه من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العمامة من الكفن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 مئزر، و لفافة، و نمط، و يعممه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 ان يكون الملاّف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إحداهنّ حبرة يمنية، و تجزئ واحدة</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اللفظ يدلّ على اشتراك الرجل و المرأة في النمط و اللفاتف</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يذكر البصروي النمط، و سمّى الإزار الواجب حبرة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اقطع كفنه، تبدأ بالنمط و تبسطه، و تبسط عليه الحبر، و تبسط الإزار على الحبر، و تبسط القميص على الإزار، و تكتب على قميصه، و إزاره و حبرة</w:t>
      </w:r>
      <w:r>
        <w:rPr>
          <w:rStyle w:val="FootnoteAnchor"/>
          <w:rtl w:val="true"/>
        </w:rPr>
        <w:footnoteReference w:id="2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مساواة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ابنه الصدوق لمّا ذكر الثلاث الواجبة، و حكم بأنّ العمامة و الخرقة لا تعدّان من الكفن،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يزيد زاد لفّافتين حتى يبلغ العدد خمسة أثواب</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المقنع كقول أبيه بلفظ الخبر</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سلاّر ذكر الحبرة و الخرقة للرجل،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يزاد للمرأة لفافتين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أسبغ الكفن سبع قطع، ثم خمس، ثمّ ثلاث</w:t>
      </w:r>
      <w:r>
        <w:rPr>
          <w:rStyle w:val="FootnoteAnchor"/>
          <w:rtl w:val="true"/>
        </w:rPr>
        <w:footnoteReference w:id="2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 زيادة اللفائف، و مساواة الرجل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 و قميص، و لفافة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عمامة، و خرقة، و جعل الإزار فوق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اللّفافة أن تكون حبرة يمانية، فإن أعوزهم فثوب بياض، و المرأة تكفّن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 خمار، و لفافة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البراج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 لفافتان زيادة على الثلاثة المفروضة، إحداهما حبرة يمنية، فإن كان الميت امرأة كانت احدى اللفافتين نمطا، فهذه الخمس هي الكفن، و لا يجوز الزيادة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 ذلك و إن لم يكن من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خرقة و عمامة، و للمرأة خرقة للثديين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يوجد حبرة و لا نمط جاز أن يجعل بدل كلّ واحدة منهما إزار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قال في المهذب</w:t>
      </w:r>
      <w:r>
        <w:rPr>
          <w:rStyle w:val="FootnoteAnchor"/>
          <w:rtl w:val="true"/>
        </w:rPr>
        <w:footnoteReference w:id="2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بثلاثة أزر أحدها الحبرة، و هو ظاهر ابن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021" w:name="pg15253_219878"/>
    </w:p>
    <w:p>
      <w:pPr>
        <w:pStyle w:val="BookText"/>
        <w:rPr/>
      </w:pPr>
      <w:bookmarkEnd w:id="1021"/>
      <w:r>
        <w:rPr>
          <w:rFonts w:ascii="Amiri" w:hAnsi="Amiri" w:eastAsia="Amiri" w:cs="Amiri"/>
          <w:color w:val="111111"/>
          <w:sz w:val="28"/>
          <w:sz w:val="28"/>
          <w:szCs w:val="28"/>
          <w:rtl w:val="true"/>
          <w:lang w:bidi="ar-SA"/>
        </w:rPr>
        <w:t>زهرة</w:t>
      </w:r>
      <w:r>
        <w:rPr>
          <w:rStyle w:val="FootnoteAnchor"/>
          <w:rtl w:val="true"/>
        </w:rPr>
        <w:footnoteReference w:id="2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الجنيد لم يفرّق بين الرجل و المرأة في ثلاثة أثواب يدرج فيها، أو ثوبين و 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العمامة، و يستحبّ المئزر و الخمار للإشعار</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 النمط مغاير للحبرة في كلام الأكثر، و أنّ بعض الأصحاب على استحباب لفّافتين فوق الإزار الواجب للرجل و المرأة و ان كانت تسمّى إحداهما نمطا، و ان الخمسة في كلام الأكثر غير الخرقة و العمامة، و السبعة للمرأة غير القناع</w:t>
      </w:r>
      <w:r>
        <w:rPr>
          <w:rFonts w:eastAsia="Amiri" w:cs="Amiri" w:ascii="Amiri" w:hAnsi="Amiri"/>
          <w:color w:val="111111"/>
          <w:sz w:val="28"/>
          <w:szCs w:val="28"/>
          <w:rtl w:val="true"/>
          <w:lang w:bidi="ar-SA"/>
        </w:rPr>
        <w:t>.</w:t>
      </w:r>
    </w:p>
    <w:p>
      <w:pPr>
        <w:pStyle w:val="Heading6"/>
        <w:numPr>
          <w:ilvl w:val="5"/>
          <w:numId w:val="1"/>
        </w:numPr>
        <w:rPr/>
      </w:pPr>
      <w:bookmarkStart w:id="1022" w:name="__RefHeading___Toc4192423_2142443653"/>
      <w:bookmarkStart w:id="1023" w:name="_Toc417"/>
      <w:bookmarkEnd w:id="1022"/>
      <w:r>
        <w:rPr>
          <w:rtl w:val="true"/>
        </w:rPr>
        <w:t>الثامنة</w:t>
      </w:r>
      <w:r>
        <w:rPr>
          <w:rtl w:val="true"/>
        </w:rPr>
        <w:t xml:space="preserve">: </w:t>
      </w:r>
      <w:r>
        <w:rPr>
          <w:rtl w:val="true"/>
        </w:rPr>
        <w:t>يستحب التكفين في القطن الأبيض</w:t>
      </w:r>
      <w:bookmarkEnd w:id="10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الحبرة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الكتّان،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لباسكم أحسن من البياض، فالبسوه و كفّنوا فيه موتاكم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رواه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البسوا البياض، فإنّه أطهر و أطيب، و كفّنوا فيه موتاكم</w:t>
      </w:r>
      <w:r>
        <w:rPr>
          <w:rFonts w:eastAsia="Amiri" w:cs="Amiri" w:ascii="Amiri" w:hAnsi="Amiri"/>
          <w:color w:val="111111"/>
          <w:sz w:val="28"/>
          <w:szCs w:val="28"/>
          <w:rtl w:val="true"/>
          <w:lang w:bidi="ar-SA"/>
        </w:rPr>
        <w:t>»</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تقدّم في خبر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ثوبين أبيضين صحاريين</w:t>
      </w:r>
      <w:r>
        <w:rPr>
          <w:rStyle w:val="FootnoteAnchor"/>
          <w:rtl w:val="true"/>
        </w:rPr>
        <w:footnoteReference w:id="2041"/>
      </w:r>
      <w:r>
        <w:rPr>
          <w:rFonts w:ascii="Amiri" w:hAnsi="Amiri" w:eastAsia="Amiri" w:cs="Amiri"/>
          <w:color w:val="111111"/>
          <w:sz w:val="28"/>
          <w:sz w:val="28"/>
          <w:szCs w:val="28"/>
          <w:rtl w:val="true"/>
          <w:lang w:bidi="ar-SA"/>
        </w:rPr>
        <w:t xml:space="preserve">، و هما منسوبان الى صحار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عمان ممّا يلي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لرواية أبي خديجة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الكتّان كان لبني إسرائيل يكفّنون به، و القطن لأمّة محمد صلّى اللّه عليه و آله</w:t>
      </w:r>
      <w:r>
        <w:rPr>
          <w:rFonts w:eastAsia="Amiri" w:cs="Amiri" w:ascii="Amiri" w:hAnsi="Amiri"/>
          <w:color w:val="111111"/>
          <w:sz w:val="28"/>
          <w:szCs w:val="28"/>
          <w:rtl w:val="true"/>
          <w:lang w:bidi="ar-SA"/>
        </w:rPr>
        <w:t>»</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يعقوب بن يزيد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يكفّن الميت في </w:t>
      </w:r>
      <w:bookmarkStart w:id="1024" w:name="pg15253_219879"/>
    </w:p>
    <w:p>
      <w:pPr>
        <w:pStyle w:val="BookText"/>
        <w:rPr/>
      </w:pPr>
      <w:bookmarkEnd w:id="1024"/>
      <w:r>
        <w:rPr>
          <w:rFonts w:ascii="Amiri" w:hAnsi="Amiri" w:eastAsia="Amiri" w:cs="Amiri"/>
          <w:color w:val="111111"/>
          <w:sz w:val="28"/>
          <w:sz w:val="28"/>
          <w:szCs w:val="28"/>
          <w:rtl w:val="true"/>
          <w:lang w:bidi="ar-SA"/>
        </w:rPr>
        <w:t>كتّان</w:t>
      </w:r>
      <w:r>
        <w:rPr>
          <w:rFonts w:eastAsia="Amiri" w:cs="Amiri" w:ascii="Amiri" w:hAnsi="Amiri"/>
          <w:color w:val="111111"/>
          <w:sz w:val="28"/>
          <w:szCs w:val="28"/>
          <w:rtl w:val="true"/>
          <w:lang w:bidi="ar-SA"/>
        </w:rPr>
        <w:t>»</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الكفن يكون بردا، فإن لم يكن بردا فاجعله كلّه قطنا، فإن لم تجد عمامة قطن فاجعل العمامة سابريّا</w:t>
      </w:r>
      <w:r>
        <w:rPr>
          <w:rFonts w:eastAsia="Amiri" w:cs="Amiri" w:ascii="Amiri" w:hAnsi="Amiri"/>
          <w:color w:val="111111"/>
          <w:sz w:val="28"/>
          <w:szCs w:val="28"/>
          <w:rtl w:val="true"/>
          <w:lang w:bidi="ar-SA"/>
        </w:rPr>
        <w:t>»</w:t>
      </w:r>
      <w:r>
        <w:rPr>
          <w:rStyle w:val="FootnoteAnchor"/>
          <w:rtl w:val="true"/>
        </w:rPr>
        <w:footnoteReference w:id="2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يعطي مغايرة البرد للقطن و أفضليّته عليه، فيحمل على الحبرة، لما سبق من تسميتها بردا، و لعلّه الممتزج بالحرير، هذا مع 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يونس بن يعقوب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كفّنت أبي في ثوبين شطويين كان يحرم فيهما، و في قميص من قمصه، و في عمامة كانت لعلي بن الحسين، و في برد اشتريته بأربعين دينارا و لو كان اليوم لساوى أربعمائة دينار</w:t>
      </w:r>
      <w:r>
        <w:rPr>
          <w:rFonts w:eastAsia="Amiri" w:cs="Amiri" w:ascii="Amiri" w:hAnsi="Amiri"/>
          <w:color w:val="111111"/>
          <w:sz w:val="28"/>
          <w:szCs w:val="28"/>
          <w:rtl w:val="true"/>
          <w:lang w:bidi="ar-SA"/>
        </w:rPr>
        <w:t>»</w:t>
      </w:r>
      <w:r>
        <w:rPr>
          <w:rStyle w:val="FootnoteAnchor"/>
          <w:rtl w:val="true"/>
        </w:rPr>
        <w:footnoteReference w:id="2045"/>
      </w:r>
      <w:r>
        <w:rPr>
          <w:rFonts w:ascii="Amiri" w:hAnsi="Amiri" w:eastAsia="Amiri" w:cs="Amiri"/>
          <w:color w:val="111111"/>
          <w:sz w:val="28"/>
          <w:sz w:val="28"/>
          <w:szCs w:val="28"/>
          <w:rtl w:val="true"/>
          <w:lang w:bidi="ar-SA"/>
        </w:rPr>
        <w:t>، و هو يشعر بأفضلية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المعجمة، و فتح الطاء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الى شطا قرية بمصر، قاله الجوهري</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5" w:name="__RefHeading___Toc4192425_2142443653"/>
      <w:bookmarkStart w:id="1026" w:name="_Toc418"/>
      <w:bookmarkEnd w:id="1025"/>
      <w:r>
        <w:rPr>
          <w:rtl w:val="true"/>
        </w:rPr>
        <w:t>التاسعة</w:t>
      </w:r>
      <w:r>
        <w:rPr>
          <w:rtl w:val="true"/>
        </w:rPr>
        <w:t xml:space="preserve">: </w:t>
      </w:r>
      <w:r>
        <w:rPr>
          <w:rtl w:val="true"/>
        </w:rPr>
        <w:t>يكره في السواد ، و كلّ صبغ على الأصحّ،</w:t>
      </w:r>
      <w:bookmarkEnd w:id="1026"/>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في السواد</w:t>
      </w:r>
      <w:r>
        <w:rPr>
          <w:rStyle w:val="FootnoteAnchor"/>
          <w:rtl w:val="true"/>
        </w:rPr>
        <w:footnoteReference w:id="2047"/>
      </w:r>
      <w:r>
        <w:rPr>
          <w:rFonts w:ascii="Amiri" w:hAnsi="Amiri" w:eastAsia="Amiri" w:cs="Amiri"/>
          <w:color w:val="111111"/>
          <w:sz w:val="28"/>
          <w:sz w:val="28"/>
          <w:szCs w:val="28"/>
          <w:rtl w:val="true"/>
          <w:lang w:bidi="ar-SA"/>
        </w:rPr>
        <w:t>، و كلّ صبغ على الأصحّ، و عليه تحمل رواية الحسين بن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يكفّن الميت في السّواد</w:t>
      </w:r>
      <w:r>
        <w:rPr>
          <w:rFonts w:eastAsia="Amiri" w:cs="Amiri" w:ascii="Amiri" w:hAnsi="Amiri"/>
          <w:color w:val="111111"/>
          <w:sz w:val="28"/>
          <w:szCs w:val="28"/>
          <w:rtl w:val="true"/>
          <w:lang w:bidi="ar-SA"/>
        </w:rPr>
        <w:t>»</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منع ابن البرّاج من المصبوغ، و نقل الكراهية في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منع الممتزج بالحرير، و بما فيه أو له طراز من حرير، و من القميص المبتدأ للكفن إذا خيط</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الأقرب الكراهة، للأصل، و لصحة الصلاة فيه، و لخبر الحسن بن راشد في المشبّه بالعصب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و الصاد المهملتين، و هو البرد لأنّه يصبغ بالعصب و هو نبت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القطن أكثر من القزّ فلا بأس</w:t>
      </w:r>
      <w:r>
        <w:rPr>
          <w:rFonts w:eastAsia="Amiri" w:cs="Amiri" w:ascii="Amiri" w:hAnsi="Amiri"/>
          <w:color w:val="111111"/>
          <w:sz w:val="28"/>
          <w:szCs w:val="28"/>
          <w:rtl w:val="true"/>
          <w:lang w:bidi="ar-SA"/>
        </w:rPr>
        <w:t>»</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 xml:space="preserve">. </w:t>
      </w:r>
      <w:bookmarkStart w:id="1027" w:name="pg15253_219880"/>
    </w:p>
    <w:p>
      <w:pPr>
        <w:pStyle w:val="BookText"/>
        <w:rPr/>
      </w:pPr>
      <w:bookmarkEnd w:id="1027"/>
      <w:r>
        <w:rPr>
          <w:rFonts w:ascii="Amiri" w:hAnsi="Amiri" w:eastAsia="Amiri" w:cs="Amiri"/>
          <w:color w:val="111111"/>
          <w:sz w:val="28"/>
          <w:sz w:val="28"/>
          <w:szCs w:val="28"/>
          <w:rtl w:val="true"/>
          <w:lang w:bidi="ar-SA"/>
        </w:rPr>
        <w:t>أمّا المذهب، فالظاهر المنع لما ذكر في الحبرة، و قطع بالمنع ابن البراج</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منع ابن الجنيد من التكفين في الوبر</w:t>
      </w:r>
      <w:r>
        <w:rPr>
          <w:rStyle w:val="FootnoteAnchor"/>
          <w:rtl w:val="true"/>
        </w:rPr>
        <w:footnoteReference w:id="2052"/>
      </w:r>
      <w:r>
        <w:rPr>
          <w:rFonts w:ascii="IRNazanin" w:hAnsi="IRNazanin" w:eastAsia="IRNazanin"/>
          <w:color w:val="111111"/>
          <w:sz w:val="28"/>
          <w:sz w:val="28"/>
          <w:szCs w:val="28"/>
          <w:rtl w:val="true"/>
          <w:lang w:bidi="fa-IR"/>
        </w:rPr>
        <w:t>إمّا لعدم النقل أو لنقل 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إذا صحّت الصلاة فيه، و كذا الشعر و الصوف</w:t>
      </w:r>
      <w:r>
        <w:rPr>
          <w:rFonts w:eastAsia="Amiri" w:cs="Amiri" w:ascii="Amiri" w:hAnsi="Amiri"/>
          <w:color w:val="111111"/>
          <w:sz w:val="28"/>
          <w:szCs w:val="28"/>
          <w:rtl w:val="true"/>
          <w:lang w:bidi="ar-SA"/>
        </w:rPr>
        <w:t>.</w:t>
      </w:r>
    </w:p>
    <w:p>
      <w:pPr>
        <w:pStyle w:val="Heading6"/>
        <w:numPr>
          <w:ilvl w:val="5"/>
          <w:numId w:val="1"/>
        </w:numPr>
        <w:rPr/>
      </w:pPr>
      <w:bookmarkStart w:id="1028" w:name="__RefHeading___Toc4192427_2142443653"/>
      <w:bookmarkStart w:id="1029" w:name="_Toc419"/>
      <w:bookmarkEnd w:id="1028"/>
      <w:r>
        <w:rPr>
          <w:rtl w:val="true"/>
        </w:rPr>
        <w:t>العاشرة</w:t>
      </w:r>
      <w:r>
        <w:rPr>
          <w:rtl w:val="true"/>
        </w:rPr>
        <w:t xml:space="preserve">: </w:t>
      </w:r>
      <w:r>
        <w:rPr>
          <w:rtl w:val="true"/>
        </w:rPr>
        <w:t>يستحبّ الجريدتان،</w:t>
      </w:r>
      <w:bookmarkEnd w:id="1029"/>
    </w:p>
    <w:p>
      <w:pPr>
        <w:pStyle w:val="BookText"/>
        <w:rPr/>
      </w:pPr>
      <w:r>
        <w:rPr>
          <w:rFonts w:ascii="Amiri" w:hAnsi="Amiri" w:eastAsia="Amiri" w:cs="Amiri"/>
          <w:color w:val="111111"/>
          <w:sz w:val="28"/>
          <w:sz w:val="28"/>
          <w:szCs w:val="28"/>
          <w:rtl w:val="true"/>
          <w:lang w:bidi="ar-SA"/>
        </w:rPr>
        <w:t>و فيهما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شرعيتهما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فيه 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من الجنة خلق اللّه من فضل طينه النخلة، فكان يأنس بها في حياته، فأوصى بنية أن يشقّوا منها جريدا بنصفين و يضعوه معه في أكفانه، و فعله الأنبياء بعده عليهم الصلاة و السلام الى أن درس في الجاهلية، فأحياه نبيّنا عليه الصلاة و السلام</w:t>
      </w:r>
      <w:r>
        <w:rPr>
          <w:rStyle w:val="FootnoteAnchor"/>
          <w:rtl w:val="true"/>
        </w:rPr>
        <w:footnoteReference w:id="2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اجمع الإمامية على ذلك، و به أخبار كثيرة من طريقي الخاصة و العامة،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عبد الرحمن بن أبي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يتجافى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ما دامت رطبة</w:t>
      </w:r>
      <w:r>
        <w:rPr>
          <w:rFonts w:eastAsia="Amiri" w:cs="Amiri" w:ascii="Amiri" w:hAnsi="Amiri"/>
          <w:color w:val="111111"/>
          <w:sz w:val="28"/>
          <w:szCs w:val="28"/>
          <w:rtl w:val="true"/>
          <w:lang w:bidi="ar-SA"/>
        </w:rPr>
        <w:t>»</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الجريدة تنفع المحسن و المسيء</w:t>
      </w:r>
      <w:r>
        <w:rPr>
          <w:rFonts w:eastAsia="Amiri" w:cs="Amiri" w:ascii="Amiri" w:hAnsi="Amiri"/>
          <w:color w:val="111111"/>
          <w:sz w:val="28"/>
          <w:szCs w:val="28"/>
          <w:rtl w:val="true"/>
          <w:lang w:bidi="ar-SA"/>
        </w:rPr>
        <w:t>»</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الصيقل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الجريدة تنفع المؤمن و الكافر</w:t>
      </w:r>
      <w:r>
        <w:rPr>
          <w:rFonts w:eastAsia="Amiri" w:cs="Amiri" w:ascii="Amiri" w:hAnsi="Amiri"/>
          <w:color w:val="111111"/>
          <w:sz w:val="28"/>
          <w:szCs w:val="28"/>
          <w:rtl w:val="true"/>
          <w:lang w:bidi="ar-SA"/>
        </w:rPr>
        <w:t>»</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روت العامة ان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خضّروا موتاكم</w:t>
      </w:r>
      <w:r>
        <w:rPr>
          <w:rFonts w:eastAsia="Amiri" w:cs="Amiri" w:ascii="Amiri" w:hAnsi="Amiri"/>
          <w:color w:val="111111"/>
          <w:sz w:val="28"/>
          <w:szCs w:val="28"/>
          <w:rtl w:val="true"/>
          <w:lang w:bidi="ar-SA"/>
        </w:rPr>
        <w:t>»</w:t>
      </w:r>
      <w:r>
        <w:rPr>
          <w:rStyle w:val="FootnoteAnchor"/>
          <w:rtl w:val="true"/>
        </w:rPr>
        <w:footnoteReference w:id="2057"/>
      </w:r>
      <w:r>
        <w:rPr>
          <w:rFonts w:ascii="Amiri" w:hAnsi="Amiri" w:eastAsia="Amiri" w:cs="Amiri"/>
          <w:color w:val="111111"/>
          <w:sz w:val="28"/>
          <w:sz w:val="28"/>
          <w:szCs w:val="28"/>
          <w:rtl w:val="true"/>
          <w:lang w:bidi="ar-SA"/>
        </w:rPr>
        <w:t xml:space="preserve">، و أسند سفيان الثوري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صحاح العامة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صلّى اللّه عليه و آله بقبرين،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ليعذّبان، و ما يعذّبان بكبير، أمّا أحدهما فكان لا يستنزه من البول، و أمّا الآخر فكان يمشي بالنميمة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أخذ جريدة رطبة فشقّها بنصفين و غرز في كلّ قبر واحدة،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يخفّف عنهما ما لم تيبسا</w:t>
      </w:r>
      <w:r>
        <w:rPr>
          <w:rFonts w:eastAsia="Amiri" w:cs="Amiri" w:ascii="Amiri" w:hAnsi="Amiri"/>
          <w:color w:val="111111"/>
          <w:sz w:val="28"/>
          <w:szCs w:val="28"/>
          <w:rtl w:val="true"/>
          <w:lang w:bidi="ar-SA"/>
        </w:rPr>
        <w:t>»</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مرّ على قبر يعذّب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هو قيس بن فهد، أو ابن قمير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جريدة بنصفين، فجعل واحدا عند رأسه، و الآخر عند رجليه،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يخفّف عنه العذاب ما كانا خضراوين</w:t>
      </w:r>
      <w:r>
        <w:rPr>
          <w:rFonts w:eastAsia="Amiri" w:cs="Amiri" w:ascii="Amiri" w:hAnsi="Amiri"/>
          <w:color w:val="111111"/>
          <w:sz w:val="28"/>
          <w:szCs w:val="28"/>
          <w:rtl w:val="true"/>
          <w:lang w:bidi="ar-SA"/>
        </w:rPr>
        <w:t>»</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الحساب و العذاب كلّه في يوم واحد في ساعة واحدة، قدر ما يدخل القبر و يرجع القوم، و إنّما جعلت السعفتان لذلك، فلا يصيبه عذاب و لا حساب بعد جفافها إن شاء اللّه</w:t>
      </w:r>
      <w:r>
        <w:rPr>
          <w:rFonts w:eastAsia="Amiri" w:cs="Amiri" w:ascii="Amiri" w:hAnsi="Amiri"/>
          <w:color w:val="111111"/>
          <w:sz w:val="28"/>
          <w:szCs w:val="28"/>
          <w:rtl w:val="true"/>
          <w:lang w:bidi="ar-SA"/>
        </w:rPr>
        <w:t>»</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المرتضى و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من ذلك كتعجّب الملحدة من الطواف و الرمي و تقبيل الحجر، بل من غسل الميت و تكفينه مع سقوط التكليف عنه، و كثير من الشرائع مجهولة العلل</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قدر عظم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يونس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ذراع</w:t>
      </w:r>
      <w:r>
        <w:rPr>
          <w:rFonts w:eastAsia="Amiri" w:cs="Amiri" w:ascii="Amiri" w:hAnsi="Amiri"/>
          <w:color w:val="111111"/>
          <w:sz w:val="28"/>
          <w:szCs w:val="28"/>
          <w:rtl w:val="true"/>
          <w:lang w:bidi="ar-SA"/>
        </w:rPr>
        <w:t>»</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روى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الذراع أو الشبر</w:t>
      </w:r>
      <w:r>
        <w:rPr>
          <w:rFonts w:eastAsia="IRNazanin" w:cs="IRNazanin"/>
          <w:color w:val="111111"/>
          <w:sz w:val="28"/>
          <w:szCs w:val="28"/>
          <w:rtl w:val="true"/>
          <w:lang w:bidi="fa-IR"/>
        </w:rPr>
        <w:t>»</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جميل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شبر</w:t>
      </w:r>
      <w:r>
        <w:rPr>
          <w:rFonts w:eastAsia="Amiri" w:cs="Amiri" w:ascii="Amiri" w:hAnsi="Amiri"/>
          <w:color w:val="111111"/>
          <w:sz w:val="28"/>
          <w:szCs w:val="28"/>
          <w:rtl w:val="true"/>
          <w:lang w:bidi="ar-SA"/>
        </w:rPr>
        <w:t>»</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أربع أصابع فما فوقها</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جائز، لثبوت الشرعية، مع عدم القاطع على قدر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تشقّ أو تكون صحيحة؟ الخبر دلّ على الأول، و العلّة تدلّ على الثاني، و الظاهر جواز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تعتبر الخضرة قطعا، لخبر محمد بن علي بن عيسى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اليابس</w:t>
      </w:r>
      <w:r>
        <w:rPr>
          <w:rFonts w:eastAsia="Amiri" w:cs="Amiri" w:ascii="Amiri" w:hAnsi="Amiri"/>
          <w:color w:val="111111"/>
          <w:sz w:val="28"/>
          <w:szCs w:val="28"/>
          <w:rtl w:val="true"/>
          <w:lang w:bidi="ar-SA"/>
        </w:rPr>
        <w:t>»</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الأجود أنّه مع التعذّر شجر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ابن بابويه</w:t>
      </w:r>
      <w:r>
        <w:rPr>
          <w:rStyle w:val="FootnoteAnchor"/>
          <w:rtl w:val="true"/>
        </w:rPr>
        <w:footnoteReference w:id="2068"/>
      </w:r>
      <w:r>
        <w:rPr>
          <w:rFonts w:ascii="Amiri" w:hAnsi="Amiri" w:eastAsia="Amiri" w:cs="Amiri"/>
          <w:color w:val="111111"/>
          <w:sz w:val="28"/>
          <w:sz w:val="28"/>
          <w:szCs w:val="28"/>
          <w:rtl w:val="true"/>
          <w:lang w:bidi="ar-SA"/>
        </w:rPr>
        <w:t>و الجعفي، و الشيخ في الخلاف</w:t>
      </w:r>
      <w:r>
        <w:rPr>
          <w:rStyle w:val="FootnoteAnchor"/>
          <w:rtl w:val="true"/>
        </w:rPr>
        <w:footnoteReference w:id="2069"/>
      </w:r>
      <w:r>
        <w:rPr>
          <w:rFonts w:ascii="Amiri" w:hAnsi="Amiri" w:eastAsia="Amiri" w:cs="Amiri"/>
          <w:color w:val="111111"/>
          <w:sz w:val="28"/>
          <w:sz w:val="28"/>
          <w:szCs w:val="28"/>
          <w:rtl w:val="true"/>
          <w:lang w:bidi="ar-SA"/>
        </w:rPr>
        <w:t xml:space="preserve">، و عليه دلّت مكاتبة علي بن بلال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الصدوق</w:t>
      </w:r>
      <w:r>
        <w:rPr>
          <w:rStyle w:val="FootnoteAnchor"/>
          <w:rtl w:val="true"/>
        </w:rPr>
        <w:footnoteReference w:id="2070"/>
      </w:r>
      <w:r>
        <w:rPr>
          <w:rFonts w:ascii="Amiri" w:hAnsi="Amiri" w:eastAsia="Amiri" w:cs="Amiri"/>
          <w:color w:val="111111"/>
          <w:sz w:val="28"/>
          <w:sz w:val="28"/>
          <w:szCs w:val="28"/>
          <w:rtl w:val="true"/>
          <w:lang w:bidi="ar-SA"/>
        </w:rPr>
        <w:t>و في التهذيب جعلها مجهولة المكتوب إليه</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السدر أفضله ثم الخلاف، و عكس المفيد</w:t>
      </w:r>
      <w:r>
        <w:rPr>
          <w:rStyle w:val="FootnoteAnchor"/>
          <w:rtl w:val="true"/>
        </w:rPr>
        <w:footnoteReference w:id="2072"/>
      </w:r>
      <w:r>
        <w:rPr>
          <w:rFonts w:ascii="Amiri" w:hAnsi="Amiri" w:eastAsia="Amiri" w:cs="Amiri"/>
          <w:color w:val="111111"/>
          <w:sz w:val="28"/>
          <w:sz w:val="28"/>
          <w:szCs w:val="28"/>
          <w:rtl w:val="true"/>
          <w:lang w:bidi="ar-SA"/>
        </w:rPr>
        <w:t>و يشهد للطرد خبر سهل بن زياد</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 الرّمان</w:t>
      </w:r>
      <w:r>
        <w:rPr>
          <w:rFonts w:eastAsia="Amiri" w:cs="Amiri" w:ascii="Amiri" w:hAnsi="Amiri"/>
          <w:color w:val="111111"/>
          <w:sz w:val="28"/>
          <w:szCs w:val="28"/>
          <w:rtl w:val="true"/>
          <w:lang w:bidi="ar-SA"/>
        </w:rPr>
        <w:t>»</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أنّ إحداهما لاصقة بجلد الجانب</w:t>
      </w:r>
      <w:r>
        <w:rPr>
          <w:rStyle w:val="FootnoteAnchor"/>
          <w:rtl w:val="true"/>
        </w:rPr>
        <w:footnoteReference w:id="2075"/>
      </w:r>
      <w:r>
        <w:rPr>
          <w:rFonts w:ascii="Amiri" w:hAnsi="Amiri" w:eastAsia="Amiri" w:cs="Amiri"/>
          <w:color w:val="111111"/>
          <w:sz w:val="28"/>
          <w:sz w:val="28"/>
          <w:szCs w:val="28"/>
          <w:rtl w:val="true"/>
          <w:lang w:bidi="ar-SA"/>
        </w:rPr>
        <w:t>الأيمن من ترقوته، و الأخرى من ترقوة جانبه الأيسر بين القميص و الإزار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اختاره جماعة</w:t>
      </w:r>
      <w:r>
        <w:rPr>
          <w:rStyle w:val="FootnoteAnchor"/>
          <w:rtl w:val="true"/>
        </w:rPr>
        <w:footnoteReference w:id="2076"/>
      </w:r>
      <w:r>
        <w:rPr>
          <w:rFonts w:ascii="Amiri" w:hAnsi="Amiri" w:eastAsia="Amiri" w:cs="Amiri"/>
          <w:color w:val="111111"/>
          <w:sz w:val="28"/>
          <w:sz w:val="28"/>
          <w:szCs w:val="28"/>
          <w:rtl w:val="true"/>
          <w:lang w:bidi="ar-SA"/>
        </w:rPr>
        <w:t>منهم الصدوق في المقنع</w:t>
      </w:r>
      <w:r>
        <w:rPr>
          <w:rStyle w:val="FootnoteAnchor"/>
          <w:rtl w:val="true"/>
        </w:rPr>
        <w:footnoteReference w:id="2077"/>
      </w:r>
      <w:r>
        <w:rPr>
          <w:rFonts w:ascii="Amiri" w:hAnsi="Amiri" w:eastAsia="Amiri" w:cs="Amiri"/>
          <w:color w:val="111111"/>
          <w:sz w:val="28"/>
          <w:sz w:val="28"/>
          <w:szCs w:val="28"/>
          <w:rtl w:val="true"/>
          <w:lang w:bidi="ar-SA"/>
        </w:rPr>
        <w:t>و هو في خبر جميل،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توضع من عند الترقوة الى ما بلغت مما يلي الجلد الأيمن، و الأخرى في الأيسر من عند الترقوة الى ما بلغت من فوق القميص</w:t>
      </w:r>
      <w:r>
        <w:rPr>
          <w:rFonts w:eastAsia="Amiri" w:cs="Amiri" w:ascii="Amiri" w:hAnsi="Amiri"/>
          <w:color w:val="111111"/>
          <w:sz w:val="28"/>
          <w:szCs w:val="28"/>
          <w:rtl w:val="true"/>
          <w:lang w:bidi="ar-SA"/>
        </w:rPr>
        <w:t>»</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غيره كما قال والده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اليسرى عند وركه ما بين القميص و الإزار، و اليمنى كما سبق</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تحت إبطه الأيمن، و الأخرى نصف مما يلي الساق، و نصف مما يلي 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خبر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الخلاف الجزم بالقدر المشترك،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مع الميت في كفنه أو قبره كيف شئت</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إمكان ذلك، و مع تعذّره للتقية توضع حيث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سهل بن زياد</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مكاتبة أحمد بن القاسم الى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ليستخف بها، و ليجتهد في ذلك جهده</w:t>
      </w:r>
      <w:r>
        <w:rPr>
          <w:rFonts w:eastAsia="Amiri" w:cs="Amiri" w:ascii="Amiri" w:hAnsi="Amiri"/>
          <w:color w:val="111111"/>
          <w:sz w:val="28"/>
          <w:szCs w:val="28"/>
          <w:rtl w:val="true"/>
          <w:lang w:bidi="ar-SA"/>
        </w:rPr>
        <w:t>»</w:t>
      </w:r>
      <w:r>
        <w:rPr>
          <w:rStyle w:val="FootnoteAnchor"/>
          <w:rtl w:val="true"/>
        </w:rPr>
        <w:footnoteReference w:id="2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القبر، لخبر عبد الرحمن بن أبي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أنسيت أو تركت، فالأولى جواز وضعها على القبر، كما في الخبر النبوي</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توضع مع جميع أموات المسلمين حتى الصغار، لإطلاق الأمر بذلك</w:t>
      </w:r>
      <w:r>
        <w:rPr>
          <w:rStyle w:val="FootnoteAnchor"/>
          <w:rtl w:val="true"/>
        </w:rPr>
        <w:footnoteReference w:id="2086"/>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على الجريدتين قطن</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030" w:name="pg15253_219884"/>
    </w:p>
    <w:p>
      <w:pPr>
        <w:pStyle w:val="Heading6"/>
        <w:numPr>
          <w:ilvl w:val="5"/>
          <w:numId w:val="1"/>
        </w:numPr>
        <w:rPr/>
      </w:pPr>
      <w:bookmarkStart w:id="1031" w:name="__RefHeading___Toc4192429_2142443653"/>
      <w:bookmarkStart w:id="1032" w:name="_Toc420"/>
      <w:bookmarkEnd w:id="1030"/>
      <w:bookmarkEnd w:id="1031"/>
      <w:r>
        <w:rPr>
          <w:rtl w:val="true"/>
        </w:rPr>
        <w:t>الحادية عشرة</w:t>
      </w:r>
      <w:r>
        <w:rPr>
          <w:rtl w:val="true"/>
        </w:rPr>
        <w:t xml:space="preserve">: </w:t>
      </w:r>
      <w:r>
        <w:rPr>
          <w:rtl w:val="true"/>
        </w:rPr>
        <w:t>يستحب ان يكتب على الحبرة و اللفافة و القميص و العمامة و الجريدتين</w:t>
      </w:r>
      <w:r>
        <w:rPr>
          <w:rtl w:val="true"/>
        </w:rPr>
        <w:t>:</w:t>
      </w:r>
      <w:bookmarkEnd w:id="1032"/>
    </w:p>
    <w:p>
      <w:pPr>
        <w:pStyle w:val="BookText"/>
        <w:rPr/>
      </w:pPr>
      <w:r>
        <w:rPr>
          <w:rFonts w:ascii="Amiri" w:hAnsi="Amiri" w:eastAsia="Amiri" w:cs="Amiri"/>
          <w:color w:val="111111"/>
          <w:sz w:val="28"/>
          <w:sz w:val="28"/>
          <w:szCs w:val="28"/>
          <w:rtl w:val="true"/>
          <w:lang w:bidi="ar-SA"/>
        </w:rPr>
        <w:t>فلان يشهد ان لا إله إلاّ اللّه، لخبر أبي كهمس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على حاشية كفن ولده إسماعيل</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رسول اللّه</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الشيخ في النهاية و المبسوط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النبي و الأئمة</w:t>
      </w:r>
      <w:r>
        <w:rPr>
          <w:rStyle w:val="FootnoteAnchor"/>
          <w:rtl w:val="true"/>
        </w:rPr>
        <w:footnoteReference w:id="2090"/>
      </w:r>
      <w:r>
        <w:rPr>
          <w:rFonts w:ascii="Amiri" w:hAnsi="Amiri" w:eastAsia="Amiri" w:cs="Amiri"/>
          <w:color w:val="111111"/>
          <w:sz w:val="28"/>
          <w:sz w:val="28"/>
          <w:szCs w:val="28"/>
          <w:rtl w:val="true"/>
          <w:lang w:bidi="ar-SA"/>
        </w:rPr>
        <w:t>و ظاهره في الخلاف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العمامة ذكرها الشيخ في المبسوط</w:t>
      </w:r>
      <w:r>
        <w:rPr>
          <w:rStyle w:val="FootnoteAnchor"/>
          <w:rtl w:val="true"/>
        </w:rPr>
        <w:footnoteReference w:id="2091"/>
      </w:r>
      <w:r>
        <w:rPr>
          <w:rFonts w:ascii="IRNazanin" w:hAnsi="IRNazanin" w:eastAsia="IRNazanin"/>
          <w:color w:val="111111"/>
          <w:sz w:val="28"/>
          <w:sz w:val="28"/>
          <w:szCs w:val="28"/>
          <w:rtl w:val="true"/>
          <w:lang w:bidi="fa-IR"/>
        </w:rPr>
        <w:t>و ابن البرّاج</w:t>
      </w:r>
      <w:r>
        <w:rPr>
          <w:rStyle w:val="FootnoteAnchor"/>
          <w:rtl w:val="true"/>
        </w:rPr>
        <w:footnoteReference w:id="2092"/>
      </w:r>
      <w:r>
        <w:rPr>
          <w:rFonts w:ascii="Amiri" w:hAnsi="Amiri" w:eastAsia="Amiri" w:cs="Amiri"/>
          <w:color w:val="111111"/>
          <w:sz w:val="28"/>
          <w:sz w:val="28"/>
          <w:szCs w:val="28"/>
          <w:rtl w:val="true"/>
          <w:lang w:bidi="ar-SA"/>
        </w:rPr>
        <w:t>لعدم تخصيص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لتكن الكتابة بتربة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عدمها بطين و ماء، و مع عدمه بالإصبع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العزّية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بالتربة أو غيرها من الطين</w:t>
      </w:r>
      <w:r>
        <w:rPr>
          <w:rStyle w:val="FootnoteAnchor"/>
          <w:rtl w:val="true"/>
        </w:rPr>
        <w:footnoteReference w:id="2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بالطّين و الماء</w:t>
      </w:r>
      <w:r>
        <w:rPr>
          <w:rStyle w:val="FootnoteAnchor"/>
          <w:rtl w:val="true"/>
        </w:rPr>
        <w:footnoteReference w:id="2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يعيّن ابن بابويه ما يكتب به</w:t>
      </w:r>
      <w:r>
        <w:rPr>
          <w:rStyle w:val="FootnoteAnchor"/>
          <w:rtl w:val="true"/>
        </w:rPr>
        <w:footnoteReference w:id="2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التأثير في الكتابة، لأنّه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بالسواد،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بغيره من الأصباغ</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ينقل استحباب كتابة شيء على الكفن سوى ذلك، فيمكن أن يقال بجوازه قضيّة للأصل، و بالمنع لأنّه تصرّف لم يعلم إباحة الشرع له</w:t>
      </w:r>
      <w:r>
        <w:rPr>
          <w:rFonts w:eastAsia="Amiri" w:cs="Amiri" w:ascii="Amiri" w:hAnsi="Amiri"/>
          <w:color w:val="111111"/>
          <w:sz w:val="28"/>
          <w:szCs w:val="28"/>
          <w:rtl w:val="true"/>
          <w:lang w:bidi="ar-SA"/>
        </w:rPr>
        <w:t>.</w:t>
      </w:r>
    </w:p>
    <w:p>
      <w:pPr>
        <w:pStyle w:val="Heading6"/>
        <w:numPr>
          <w:ilvl w:val="5"/>
          <w:numId w:val="1"/>
        </w:numPr>
        <w:rPr/>
      </w:pPr>
      <w:bookmarkStart w:id="1033" w:name="__RefHeading___Toc4192431_2142443653"/>
      <w:bookmarkStart w:id="1034" w:name="_Toc421"/>
      <w:bookmarkEnd w:id="1033"/>
      <w:r>
        <w:rPr>
          <w:rtl w:val="true"/>
        </w:rPr>
        <w:t>الثانية عشرة</w:t>
      </w:r>
      <w:r>
        <w:rPr>
          <w:rtl w:val="true"/>
        </w:rPr>
        <w:t xml:space="preserve">: </w:t>
      </w:r>
      <w:r>
        <w:rPr>
          <w:rtl w:val="true"/>
        </w:rPr>
        <w:t>يستحبّ أن يخاط الكفن بخيوطه،</w:t>
      </w:r>
      <w:bookmarkEnd w:id="103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 الشيخ في المبسوط</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الأصحاب</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بلّ الخيوط بالرّيق في المشهور،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و رأيت الأصحاب يجتنبونه، و لا بأس بمتابعتهم لإزالة الاحتمال، و وقوفا على موضع الوفاق</w:t>
      </w:r>
      <w:r>
        <w:rPr>
          <w:rStyle w:val="FootnoteAnchor"/>
          <w:rtl w:val="true"/>
        </w:rPr>
        <w:footnoteReference w:id="2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بلها بغير الريق،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الكراهية، للأصل، و لإشعار التخصيص بالريق إباحة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الأكمام للأكفان المبتدأة، قاله الأصحاب</w:t>
      </w:r>
      <w:r>
        <w:rPr>
          <w:rStyle w:val="FootnoteAnchor"/>
          <w:rtl w:val="true"/>
        </w:rPr>
        <w:footnoteReference w:id="2100"/>
      </w:r>
      <w:r>
        <w:rPr>
          <w:rFonts w:ascii="IRNazanin" w:hAnsi="IRNazanin" w:eastAsia="IRNazanin"/>
          <w:color w:val="111111"/>
          <w:sz w:val="28"/>
          <w:sz w:val="28"/>
          <w:szCs w:val="28"/>
          <w:rtl w:val="true"/>
          <w:lang w:bidi="fa-IR"/>
        </w:rPr>
        <w:t>و قد تقدم مأخذه</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أن يقطع الكفن بالحديد،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ذلك مذاكرة من الشيوخ، و عليه كان عملهم</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035" w:name="pg15253_219886"/>
    </w:p>
    <w:p>
      <w:pPr>
        <w:pStyle w:val="Heading6"/>
        <w:numPr>
          <w:ilvl w:val="5"/>
          <w:numId w:val="1"/>
        </w:numPr>
        <w:rPr/>
      </w:pPr>
      <w:bookmarkStart w:id="1036" w:name="__RefHeading___Toc4192433_2142443653"/>
      <w:bookmarkStart w:id="1037" w:name="_Toc422"/>
      <w:bookmarkEnd w:id="1035"/>
      <w:bookmarkEnd w:id="1036"/>
      <w:r>
        <w:rPr>
          <w:rtl w:val="true"/>
        </w:rPr>
        <w:t>خاتمة</w:t>
      </w:r>
      <w:r>
        <w:rPr>
          <w:rtl w:val="true"/>
        </w:rPr>
        <w:t xml:space="preserve">: </w:t>
      </w:r>
      <w:r>
        <w:rPr>
          <w:rtl w:val="true"/>
        </w:rPr>
        <w:t>في كيفية التكفين</w:t>
      </w:r>
      <w:r>
        <w:rPr>
          <w:rtl w:val="true"/>
        </w:rPr>
        <w:t>.</w:t>
      </w:r>
      <w:bookmarkEnd w:id="1037"/>
    </w:p>
    <w:p>
      <w:pPr>
        <w:pStyle w:val="Heading6"/>
        <w:numPr>
          <w:ilvl w:val="5"/>
          <w:numId w:val="1"/>
        </w:numPr>
        <w:rPr/>
      </w:pPr>
      <w:bookmarkStart w:id="1038" w:name="__RefHeading___Toc4192435_2142443653"/>
      <w:bookmarkStart w:id="1039" w:name="_Toc423"/>
      <w:bookmarkEnd w:id="1038"/>
      <w:r>
        <w:rPr>
          <w:rtl w:val="true"/>
        </w:rPr>
        <w:t>اشارة</w:t>
      </w:r>
      <w:bookmarkEnd w:id="1039"/>
    </w:p>
    <w:p>
      <w:pPr>
        <w:pStyle w:val="BookText"/>
        <w:rPr/>
      </w:pPr>
      <w:r>
        <w:rPr>
          <w:rFonts w:ascii="Amiri" w:hAnsi="Amiri" w:eastAsia="Amiri" w:cs="Amiri"/>
          <w:color w:val="111111"/>
          <w:sz w:val="28"/>
          <w:sz w:val="28"/>
          <w:szCs w:val="28"/>
          <w:rtl w:val="true"/>
          <w:lang w:bidi="ar-SA"/>
        </w:rPr>
        <w:t>يستحبّ تجفيفه بثوب طاهر بعد فراغ الغسل صونا للكفن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غسله، ثم جعلته في ثوب، ثم جففته</w:t>
      </w:r>
      <w:r>
        <w:rPr>
          <w:rFonts w:eastAsia="Amiri" w:cs="Amiri" w:ascii="Amiri" w:hAnsi="Amiri"/>
          <w:color w:val="111111"/>
          <w:sz w:val="28"/>
          <w:szCs w:val="28"/>
          <w:rtl w:val="true"/>
          <w:lang w:bidi="ar-SA"/>
        </w:rPr>
        <w:t>»</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نشفه بثوب طاهر</w:t>
      </w:r>
      <w:r>
        <w:rPr>
          <w:rFonts w:eastAsia="Amiri" w:cs="Amiri" w:ascii="Amiri" w:hAnsi="Amiri"/>
          <w:color w:val="111111"/>
          <w:sz w:val="28"/>
          <w:szCs w:val="28"/>
          <w:rtl w:val="true"/>
          <w:lang w:bidi="ar-SA"/>
        </w:rPr>
        <w:t>»</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يجفّفه بثوب نظيف</w:t>
      </w:r>
      <w:r>
        <w:rPr>
          <w:rFonts w:eastAsia="Amiri" w:cs="Amiri" w:ascii="Amiri" w:hAnsi="Amiri"/>
          <w:color w:val="111111"/>
          <w:sz w:val="28"/>
          <w:szCs w:val="28"/>
          <w:rtl w:val="true"/>
          <w:lang w:bidi="ar-SA"/>
        </w:rPr>
        <w:t>»</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تقديم تهيئة الأكفان على تغسيله، فيبسط الحبرة و يضع عليها الحنوط، ثم يحنّط الميت، ثم يشد الخامسة و عليها قطن و حنوط، بعد أن يضع بين أليتيه القطن أيضا و عليه الحنوط، كما في خبر يونس</w:t>
      </w:r>
      <w:r>
        <w:rPr>
          <w:rStyle w:val="FootnoteAnchor"/>
          <w:rtl w:val="true"/>
        </w:rPr>
        <w:footnoteReference w:id="2106"/>
      </w:r>
      <w:r>
        <w:rPr>
          <w:rFonts w:ascii="Amiri" w:hAnsi="Amiri" w:eastAsia="Amiri" w:cs="Amiri"/>
          <w:color w:val="111111"/>
          <w:sz w:val="28"/>
          <w:sz w:val="28"/>
          <w:szCs w:val="28"/>
          <w:rtl w:val="true"/>
          <w:lang w:bidi="ar-SA"/>
        </w:rPr>
        <w:t>، و كذا على قبله، رواه أيضا</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يحشو ما يخاف الخروج منه، و ليكثر في قبل المرأة الى نصف منّ، لخبر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يؤزّره بالمئزر، و يستحبّ أن يكون عريضا يغطّي الصدر و الرجلين، لخبر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ينقله إلى الأكفان، و هو الأفضل، قاله الأصحاب</w:t>
      </w:r>
      <w:r>
        <w:rPr>
          <w:rStyle w:val="FootnoteAnchor"/>
          <w:rtl w:val="true"/>
        </w:rPr>
        <w:footnoteReference w:id="2110"/>
      </w:r>
      <w:r>
        <w:rPr>
          <w:rFonts w:ascii="Amiri" w:hAnsi="Amiri" w:eastAsia="Amiri" w:cs="Amiri"/>
          <w:color w:val="111111"/>
          <w:sz w:val="28"/>
          <w:sz w:val="28"/>
          <w:szCs w:val="28"/>
          <w:rtl w:val="true"/>
          <w:lang w:bidi="ar-SA"/>
        </w:rPr>
        <w:t xml:space="preserve">و هو في خبر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يحمل فيوضع على قميصه، و يردّ مقدّم القميص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2111"/>
      </w:r>
      <w:r>
        <w:rPr>
          <w:rFonts w:ascii="Amiri" w:hAnsi="Amiri" w:eastAsia="Amiri" w:cs="Amiri"/>
          <w:color w:val="111111"/>
          <w:sz w:val="28"/>
          <w:sz w:val="28"/>
          <w:szCs w:val="28"/>
          <w:rtl w:val="true"/>
          <w:lang w:bidi="ar-SA"/>
        </w:rPr>
        <w:t>و يجوز ان ينقلها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ذلك بعد غسل الغاسل من المسّ، أو بعد وضوءه الذي يجامع الغسل، فإن خيف على الميت فليغسل الغاسل يديه الى المنكبين، كما رواه يعقوب بن يقطين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محمد بن مسلم عن أحدهما، و 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يغتسل الغاسل قبل تكفينه؟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يده من العاتق، ثم يلبسه أكفانه، ثم يغتسل</w:t>
      </w:r>
      <w:r>
        <w:rPr>
          <w:rFonts w:eastAsia="Amiri" w:cs="Amiri" w:ascii="Amiri" w:hAnsi="Amiri"/>
          <w:color w:val="111111"/>
          <w:sz w:val="28"/>
          <w:szCs w:val="28"/>
          <w:rtl w:val="true"/>
          <w:lang w:bidi="ar-SA"/>
        </w:rPr>
        <w:t>»</w:t>
      </w:r>
      <w:r>
        <w:rPr>
          <w:rStyle w:val="FootnoteAnchor"/>
          <w:rtl w:val="true"/>
        </w:rPr>
        <w:footnoteReference w:id="2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على تأخير الغسل، و يمكن حمله على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 يديك الى المرافق، و رجليك الى الركبتين، ثمّ تكفّنه</w:t>
      </w:r>
      <w:r>
        <w:rPr>
          <w:rFonts w:eastAsia="Amiri" w:cs="Amiri" w:ascii="Amiri" w:hAnsi="Amiri"/>
          <w:color w:val="111111"/>
          <w:sz w:val="28"/>
          <w:szCs w:val="28"/>
          <w:rtl w:val="true"/>
          <w:lang w:bidi="ar-SA"/>
        </w:rPr>
        <w:t>»</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بعض الأصحاب إلى أنّ البرد لا يلف و لكن يطرح عليه طرحا، فإذا دخل القبر وضع تحت خدّه و تحت جنبه، و هو رواية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15"/>
      </w:r>
      <w:r>
        <w:rPr>
          <w:rFonts w:ascii="Amiri" w:hAnsi="Amiri" w:eastAsia="Amiri" w:cs="Amiri"/>
          <w:color w:val="111111"/>
          <w:sz w:val="28"/>
          <w:sz w:val="28"/>
          <w:szCs w:val="28"/>
          <w:rtl w:val="true"/>
          <w:lang w:bidi="ar-SA"/>
        </w:rPr>
        <w:t>، و الظاهر أنّ المراد به الحبرة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شاء لم يجعل الحبر معه حتى يدخله قبره فيلقيه عليه</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بالقميص ثمّ بالخرقة فوق القميص، ثمّ يشدّ الإزار ثم اللفافة ثم العمامة</w:t>
      </w:r>
      <w:r>
        <w:rPr>
          <w:rFonts w:eastAsia="Amiri" w:cs="Amiri" w:ascii="Amiri" w:hAnsi="Amiri"/>
          <w:color w:val="111111"/>
          <w:sz w:val="28"/>
          <w:szCs w:val="28"/>
          <w:rtl w:val="true"/>
          <w:lang w:bidi="ar-SA"/>
        </w:rPr>
        <w:t>»</w:t>
      </w:r>
      <w:r>
        <w:rPr>
          <w:rStyle w:val="FootnoteAnchor"/>
          <w:rtl w:val="true"/>
        </w:rPr>
        <w:footnoteReference w:id="2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مخالف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الخرقة تحت المئزر، و القميص فوقه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الشيخ فيه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تطوى اللفّافتان جانبهما الأيسر على جانبه الأيمن، و جانبهما الأيمن على جانبه الأيسر، و يعقد طرفهما ممّا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040" w:name="pg15253_219888"/>
    </w:p>
    <w:p>
      <w:pPr>
        <w:pStyle w:val="BookText"/>
        <w:rPr/>
      </w:pPr>
      <w:bookmarkEnd w:id="1040"/>
      <w:r>
        <w:rPr>
          <w:rFonts w:ascii="Amiri" w:hAnsi="Amiri" w:eastAsia="Amiri" w:cs="Amiri"/>
          <w:color w:val="111111"/>
          <w:sz w:val="28"/>
          <w:sz w:val="28"/>
          <w:szCs w:val="28"/>
          <w:rtl w:val="true"/>
          <w:lang w:bidi="ar-SA"/>
        </w:rPr>
        <w:t>يلي رأسه و رجليه</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حاشية الظاهرة منهما و يعقد بها</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الإكثار من الذكر حال تكفينه، و أن يكون في حال تكفينه مستقبل القبلة كما كان في حال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سقط من شعره أو ظفره يغسل و يجعل معه في كفنه</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بإسناده الى عبد الحميد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انقلع ضرسه، فحمد اللّه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 إذا أنت دفنتني فادفنه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انقلع آخر فأوصاه بذلك</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تشدّ الأكفان بشداد خيفة انتشارها عند الحمل، و إن خيطت في مواضع أو عملت بخلال أمكن ذلك، ثمّ تزال الشداد و الخياطة عند الحادة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بذلك فوائد</w:t>
      </w:r>
      <w:r>
        <w:rPr>
          <w:rFonts w:eastAsia="Amiri" w:cs="Amiri" w:ascii="Amiri" w:hAnsi="Amiri"/>
          <w:color w:val="111111"/>
          <w:sz w:val="28"/>
          <w:szCs w:val="28"/>
          <w:rtl w:val="true"/>
          <w:lang w:bidi="ar-SA"/>
        </w:rPr>
        <w:t>:</w:t>
      </w:r>
    </w:p>
    <w:p>
      <w:pPr>
        <w:pStyle w:val="Heading6"/>
        <w:numPr>
          <w:ilvl w:val="5"/>
          <w:numId w:val="1"/>
        </w:numPr>
        <w:rPr/>
      </w:pPr>
      <w:bookmarkStart w:id="1041" w:name="__RefHeading___Toc4192437_2142443653"/>
      <w:bookmarkStart w:id="1042" w:name="_Toc424"/>
      <w:bookmarkEnd w:id="1041"/>
      <w:r>
        <w:rPr>
          <w:rtl w:val="true"/>
        </w:rPr>
        <w:t>الأول قد مرّ أنّ العمامة و الخرقة ليسا من الكفن الواجب،</w:t>
      </w:r>
      <w:bookmarkEnd w:id="1042"/>
    </w:p>
    <w:p>
      <w:pPr>
        <w:pStyle w:val="BookText"/>
        <w:rPr/>
      </w:pPr>
      <w:r>
        <w:rPr>
          <w:rFonts w:ascii="Amiri" w:hAnsi="Amiri" w:eastAsia="Amiri" w:cs="Amiri"/>
          <w:color w:val="111111"/>
          <w:sz w:val="28"/>
          <w:sz w:val="28"/>
          <w:szCs w:val="28"/>
          <w:rtl w:val="true"/>
          <w:lang w:bidi="ar-SA"/>
        </w:rPr>
        <w:t>أو ليستا ممّا يعدّ كفنا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لو سرقها سارق لم يقطع، لأنّ القبر حرز للكفن لا غير</w:t>
      </w:r>
      <w:r>
        <w:rPr>
          <w:rStyle w:val="FootnoteAnchor"/>
          <w:rtl w:val="true"/>
        </w:rPr>
        <w:footnoteReference w:id="2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يتأتّى على التفسير الثاني، و لكن يلزمه مثله في الخرقة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أنّهما بالنسبة إلى النبّاش من الكفن، لشمول الاسم لهما، و الأخبار محمولة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كونهما لا يعدّان من الكفن، فهو بالنسبة إلى المهم، أو نظرا الى ما يدرج فيه الميت كما مرّ</w:t>
      </w:r>
      <w:r>
        <w:rPr>
          <w:rFonts w:eastAsia="Amiri" w:cs="Amiri" w:ascii="Amiri" w:hAnsi="Amiri"/>
          <w:color w:val="111111"/>
          <w:sz w:val="28"/>
          <w:szCs w:val="28"/>
          <w:rtl w:val="true"/>
          <w:lang w:bidi="ar-SA"/>
        </w:rPr>
        <w:t>.</w:t>
      </w:r>
    </w:p>
    <w:p>
      <w:pPr>
        <w:pStyle w:val="Heading6"/>
        <w:numPr>
          <w:ilvl w:val="5"/>
          <w:numId w:val="1"/>
        </w:numPr>
        <w:rPr/>
      </w:pPr>
      <w:bookmarkStart w:id="1043" w:name="__RefHeading___Toc4192439_2142443653"/>
      <w:bookmarkStart w:id="1044" w:name="_Toc425"/>
      <w:bookmarkEnd w:id="1043"/>
      <w:r>
        <w:rPr>
          <w:rtl w:val="true"/>
        </w:rPr>
        <w:t>الثانية</w:t>
      </w:r>
      <w:r>
        <w:rPr>
          <w:rtl w:val="true"/>
        </w:rPr>
        <w:t xml:space="preserve">: </w:t>
      </w:r>
      <w:r>
        <w:rPr>
          <w:rtl w:val="true"/>
        </w:rPr>
        <w:t>لو خرج من الميت نجاسة غسلت عن بدنه مطلقا،</w:t>
      </w:r>
      <w:bookmarkEnd w:id="104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لوجوب ازالة </w:t>
      </w:r>
      <w:bookmarkStart w:id="1045" w:name="pg15253_219889"/>
    </w:p>
    <w:p>
      <w:pPr>
        <w:pStyle w:val="BookText"/>
        <w:rPr/>
      </w:pPr>
      <w:bookmarkEnd w:id="1045"/>
      <w:r>
        <w:rPr>
          <w:rFonts w:ascii="Amiri" w:hAnsi="Amiri" w:eastAsia="Amiri" w:cs="Amiri"/>
          <w:color w:val="111111"/>
          <w:sz w:val="28"/>
          <w:sz w:val="28"/>
          <w:szCs w:val="28"/>
          <w:rtl w:val="true"/>
          <w:lang w:bidi="ar-SA"/>
        </w:rPr>
        <w:t>النجاسة، و عن كفنه، ما لم يوضع في القبر فيقرض، قاله الصدوقان</w:t>
      </w:r>
      <w:r>
        <w:rPr>
          <w:rStyle w:val="FootnoteAnchor"/>
          <w:rtl w:val="true"/>
        </w:rPr>
        <w:footnoteReference w:id="2123"/>
      </w:r>
      <w:r>
        <w:rPr>
          <w:rFonts w:ascii="Amiri" w:hAnsi="Amiri" w:eastAsia="Amiri" w:cs="Amiri"/>
          <w:color w:val="111111"/>
          <w:sz w:val="28"/>
          <w:sz w:val="28"/>
          <w:szCs w:val="28"/>
          <w:rtl w:val="true"/>
          <w:lang w:bidi="ar-SA"/>
        </w:rPr>
        <w:t>و ابن إدريس</w:t>
      </w:r>
      <w:r>
        <w:rPr>
          <w:rStyle w:val="FootnoteAnchor"/>
          <w:rtl w:val="true"/>
        </w:rPr>
        <w:footnoteReference w:id="2124"/>
      </w:r>
      <w:r>
        <w:rPr>
          <w:rFonts w:ascii="Amiri" w:hAnsi="Amiri" w:eastAsia="Amiri" w:cs="Amiri"/>
          <w:color w:val="111111"/>
          <w:sz w:val="28"/>
          <w:sz w:val="28"/>
          <w:szCs w:val="28"/>
          <w:rtl w:val="true"/>
          <w:lang w:bidi="ar-SA"/>
        </w:rPr>
        <w:t>لاستبقاء الكفن مع إمكان غسله، و النهي عن إتلاف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الشيخ قرضها</w:t>
      </w:r>
      <w:r>
        <w:rPr>
          <w:rStyle w:val="FootnoteAnchor"/>
          <w:rtl w:val="true"/>
        </w:rPr>
        <w:footnoteReference w:id="2125"/>
      </w:r>
      <w:r>
        <w:rPr>
          <w:rFonts w:ascii="Amiri" w:hAnsi="Amiri" w:eastAsia="Amiri" w:cs="Amiri"/>
          <w:color w:val="111111"/>
          <w:sz w:val="28"/>
          <w:sz w:val="28"/>
          <w:szCs w:val="28"/>
          <w:rtl w:val="true"/>
          <w:lang w:bidi="ar-SA"/>
        </w:rPr>
        <w:t xml:space="preserve">لصحيح الكاهلي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26"/>
      </w:r>
      <w:r>
        <w:rPr>
          <w:rFonts w:ascii="Amiri" w:hAnsi="Amiri" w:eastAsia="Amiri" w:cs="Amiri"/>
          <w:color w:val="111111"/>
          <w:sz w:val="28"/>
          <w:sz w:val="28"/>
          <w:szCs w:val="28"/>
          <w:rtl w:val="true"/>
          <w:lang w:bidi="ar-SA"/>
        </w:rPr>
        <w:t>و مرسل ابن أبي عمير</w:t>
      </w:r>
      <w:r>
        <w:rPr>
          <w:rStyle w:val="FootnoteAnchor"/>
          <w:rtl w:val="true"/>
        </w:rPr>
        <w:footnoteReference w:id="2127"/>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قرضت مدّ أحد الثوبين على الآخر</w:t>
      </w:r>
      <w:r>
        <w:rPr>
          <w:rStyle w:val="FootnoteAnchor"/>
          <w:rtl w:val="true"/>
        </w:rPr>
        <w:footnoteReference w:id="2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خرج منه دم كثير لا ينقطع عولج بالطين الحر فإنّه ينقطع</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أفسد الدم معظم الكفن، أو ما يفحش قطعه، فالظاهر وجوب الغسل مطلقا، استبقاء للكفن لامتناع إتلافه على هذا الوجه، و مع التعذّر يسقط للحرج</w:t>
      </w:r>
      <w:r>
        <w:rPr>
          <w:rFonts w:eastAsia="Amiri" w:cs="Amiri" w:ascii="Amiri" w:hAnsi="Amiri"/>
          <w:color w:val="111111"/>
          <w:sz w:val="28"/>
          <w:szCs w:val="28"/>
          <w:rtl w:val="true"/>
          <w:lang w:bidi="ar-SA"/>
        </w:rPr>
        <w:t>.</w:t>
      </w:r>
    </w:p>
    <w:p>
      <w:pPr>
        <w:pStyle w:val="Heading6"/>
        <w:numPr>
          <w:ilvl w:val="5"/>
          <w:numId w:val="1"/>
        </w:numPr>
        <w:rPr/>
      </w:pPr>
      <w:bookmarkStart w:id="1046" w:name="__RefHeading___Toc4192441_2142443653"/>
      <w:bookmarkStart w:id="1047" w:name="_Toc426"/>
      <w:bookmarkEnd w:id="1046"/>
      <w:r>
        <w:rPr>
          <w:rtl w:val="true"/>
        </w:rPr>
        <w:t>الثالثة</w:t>
      </w:r>
      <w:r>
        <w:rPr>
          <w:rtl w:val="true"/>
        </w:rPr>
        <w:t xml:space="preserve">: </w:t>
      </w:r>
      <w:r>
        <w:rPr>
          <w:rtl w:val="true"/>
        </w:rPr>
        <w:t>لو تعذّر شيء من الواجبات في الغسل و الكفن</w:t>
      </w:r>
      <w:bookmarkEnd w:id="10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كالحنوط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و لا يتدارك بعد الدفن لو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قبله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يكفي وضع الحنوط على النعش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يستحبّ؟ في خبر غياث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ربما كان يجعل الحنوط على النعش</w:t>
      </w:r>
      <w:r>
        <w:rPr>
          <w:rFonts w:eastAsia="Amiri" w:cs="Amiri" w:ascii="Amiri" w:hAnsi="Amiri"/>
          <w:color w:val="111111"/>
          <w:sz w:val="28"/>
          <w:szCs w:val="28"/>
          <w:rtl w:val="true"/>
          <w:lang w:bidi="ar-SA"/>
        </w:rPr>
        <w:t>»</w:t>
      </w:r>
      <w:r>
        <w:rPr>
          <w:rStyle w:val="FootnoteAnchor"/>
          <w:rtl w:val="true"/>
        </w:rPr>
        <w:footnoteReference w:id="2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نهى أن يوضع الحنوط على النعش</w:t>
      </w:r>
      <w:r>
        <w:rPr>
          <w:rFonts w:eastAsia="Amiri" w:cs="Amiri" w:ascii="Amiri" w:hAnsi="Amiri"/>
          <w:color w:val="111111"/>
          <w:sz w:val="28"/>
          <w:szCs w:val="28"/>
          <w:rtl w:val="true"/>
          <w:lang w:bidi="ar-SA"/>
        </w:rPr>
        <w:t>»</w:t>
      </w:r>
      <w:r>
        <w:rPr>
          <w:rStyle w:val="FootnoteAnchor"/>
          <w:rtl w:val="true"/>
        </w:rPr>
        <w:footnoteReference w:id="2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الخبران ضعيفا السند، و إن كان الأخير أقوى في العمل، و المستحبّات أولى بالسقوط عند التعذّر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48" w:name="__RefHeading___Toc4192443_2142443653"/>
      <w:bookmarkStart w:id="1049" w:name="_Toc427"/>
      <w:bookmarkEnd w:id="1048"/>
      <w:r>
        <w:rPr>
          <w:rtl w:val="true"/>
        </w:rPr>
        <w:t>الرابعة</w:t>
      </w:r>
      <w:r>
        <w:rPr>
          <w:rtl w:val="true"/>
        </w:rPr>
        <w:t xml:space="preserve">: </w:t>
      </w:r>
      <w:r>
        <w:rPr>
          <w:rtl w:val="true"/>
        </w:rPr>
        <w:t>في خبر أمّ أنس عن النبي صلّى اللّه عليه و آله في وصف غسل المرأة</w:t>
      </w:r>
      <w:r>
        <w:rPr>
          <w:rtl w:val="true"/>
        </w:rPr>
        <w:t>:</w:t>
      </w:r>
      <w:bookmarkStart w:id="1050" w:name="pg15253_219890"/>
      <w:bookmarkEnd w:id="1049"/>
    </w:p>
    <w:p>
      <w:pPr>
        <w:pStyle w:val="BookText"/>
        <w:rPr/>
      </w:pPr>
      <w:bookmarkEnd w:id="10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وضّئيها بماء فيه سدر</w:t>
      </w:r>
      <w:r>
        <w:rPr>
          <w:rFonts w:eastAsia="Amiri" w:cs="Amiri" w:ascii="Amiri" w:hAnsi="Amiri"/>
          <w:color w:val="111111"/>
          <w:sz w:val="28"/>
          <w:szCs w:val="28"/>
          <w:rtl w:val="true"/>
          <w:lang w:bidi="ar-SA"/>
        </w:rPr>
        <w:t>»</w:t>
      </w:r>
      <w:r>
        <w:rPr>
          <w:rStyle w:val="FootnoteAnchor"/>
          <w:rtl w:val="true"/>
        </w:rPr>
        <w:footnoteReference w:id="2132"/>
      </w:r>
      <w:r>
        <w:rPr>
          <w:rFonts w:ascii="Amiri" w:hAnsi="Amiri" w:eastAsia="Amiri" w:cs="Amiri"/>
          <w:color w:val="111111"/>
          <w:sz w:val="28"/>
          <w:sz w:val="28"/>
          <w:szCs w:val="28"/>
          <w:rtl w:val="true"/>
          <w:lang w:bidi="ar-SA"/>
        </w:rPr>
        <w:t>كما مرّ، و لم يذكره الأصحاب، و الطريق ضعيف</w:t>
      </w:r>
      <w:r>
        <w:rPr>
          <w:rFonts w:eastAsia="Amiri" w:cs="Amiri" w:ascii="Amiri" w:hAnsi="Amiri"/>
          <w:color w:val="111111"/>
          <w:sz w:val="28"/>
          <w:szCs w:val="28"/>
          <w:rtl w:val="true"/>
          <w:lang w:bidi="ar-SA"/>
        </w:rPr>
        <w:t>.</w:t>
      </w:r>
    </w:p>
    <w:p>
      <w:pPr>
        <w:pStyle w:val="Heading6"/>
        <w:numPr>
          <w:ilvl w:val="5"/>
          <w:numId w:val="1"/>
        </w:numPr>
        <w:rPr/>
      </w:pPr>
      <w:bookmarkStart w:id="1051" w:name="__RefHeading___Toc4192445_2142443653"/>
      <w:bookmarkStart w:id="1052" w:name="_Toc428"/>
      <w:bookmarkEnd w:id="1051"/>
      <w:r>
        <w:rPr>
          <w:rtl w:val="true"/>
        </w:rPr>
        <w:t>الخامسة</w:t>
      </w:r>
      <w:r>
        <w:rPr>
          <w:rtl w:val="true"/>
        </w:rPr>
        <w:t xml:space="preserve">: </w:t>
      </w:r>
      <w:r>
        <w:rPr>
          <w:rtl w:val="true"/>
        </w:rPr>
        <w:t>لو كفّنه في قميصه نزع أزراره دون أكمامه،</w:t>
      </w:r>
      <w:bookmarkEnd w:id="1052"/>
    </w:p>
    <w:p>
      <w:pPr>
        <w:pStyle w:val="BookText"/>
        <w:rPr/>
      </w:pPr>
      <w:r>
        <w:rPr>
          <w:rFonts w:ascii="Amiri" w:hAnsi="Amiri" w:eastAsia="Amiri" w:cs="Amiri"/>
          <w:color w:val="111111"/>
          <w:sz w:val="28"/>
          <w:sz w:val="28"/>
          <w:szCs w:val="28"/>
          <w:rtl w:val="true"/>
          <w:lang w:bidi="ar-SA"/>
        </w:rPr>
        <w:t xml:space="preserve">لمرسل محمد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33"/>
      </w:r>
      <w:r>
        <w:rPr>
          <w:rFonts w:ascii="Amiri" w:hAnsi="Amiri" w:eastAsia="Amiri" w:cs="Amiri"/>
          <w:color w:val="111111"/>
          <w:sz w:val="28"/>
          <w:sz w:val="28"/>
          <w:szCs w:val="28"/>
          <w:rtl w:val="true"/>
          <w:lang w:bidi="ar-SA"/>
        </w:rPr>
        <w:t>، و لأمر أبي جعفر محمد بن بزيع بنزع الأزرار</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يخرق القميص إذا غسل، و ينزع من رجليه</w:t>
      </w:r>
      <w:r>
        <w:rPr>
          <w:rFonts w:eastAsia="Amiri" w:cs="Amiri" w:ascii="Amiri" w:hAnsi="Amiri"/>
          <w:color w:val="111111"/>
          <w:sz w:val="28"/>
          <w:szCs w:val="28"/>
          <w:rtl w:val="true"/>
          <w:lang w:bidi="ar-SA"/>
        </w:rPr>
        <w:t>»</w:t>
      </w:r>
      <w:r>
        <w:rPr>
          <w:rStyle w:val="FootnoteAnchor"/>
          <w:rtl w:val="true"/>
        </w:rPr>
        <w:footnoteReference w:id="2135"/>
      </w:r>
      <w:r>
        <w:rPr>
          <w:rFonts w:ascii="Amiri" w:hAnsi="Amiri" w:eastAsia="Amiri" w:cs="Amiri"/>
          <w:color w:val="111111"/>
          <w:sz w:val="28"/>
          <w:sz w:val="28"/>
          <w:szCs w:val="28"/>
          <w:rtl w:val="true"/>
          <w:lang w:bidi="ar-SA"/>
        </w:rPr>
        <w:t>، و الظاهر أنّ المراد به إذا غسل في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يفعله الولي، أو من أذن له شرعا</w:t>
      </w:r>
      <w:r>
        <w:rPr>
          <w:rFonts w:eastAsia="Amiri" w:cs="Amiri" w:ascii="Amiri" w:hAnsi="Amiri"/>
          <w:color w:val="111111"/>
          <w:sz w:val="28"/>
          <w:szCs w:val="28"/>
          <w:rtl w:val="true"/>
          <w:lang w:bidi="ar-SA"/>
        </w:rPr>
        <w:t>.</w:t>
      </w:r>
    </w:p>
    <w:p>
      <w:pPr>
        <w:pStyle w:val="Heading6"/>
        <w:numPr>
          <w:ilvl w:val="5"/>
          <w:numId w:val="1"/>
        </w:numPr>
        <w:rPr/>
      </w:pPr>
      <w:bookmarkStart w:id="1053" w:name="__RefHeading___Toc4192447_2142443653"/>
      <w:bookmarkStart w:id="1054" w:name="_Toc429"/>
      <w:bookmarkEnd w:id="1053"/>
      <w:r>
        <w:rPr>
          <w:rtl w:val="true"/>
        </w:rPr>
        <w:t>السادسة</w:t>
      </w:r>
      <w:r>
        <w:rPr>
          <w:rtl w:val="true"/>
        </w:rPr>
        <w:t xml:space="preserve">: </w:t>
      </w:r>
      <w:r>
        <w:rPr>
          <w:rtl w:val="true"/>
        </w:rPr>
        <w:t>لا بأس بمسّ الميت عند موته،</w:t>
      </w:r>
      <w:bookmarkEnd w:id="1054"/>
    </w:p>
    <w:p>
      <w:pPr>
        <w:pStyle w:val="BookText"/>
        <w:rPr/>
      </w:pPr>
      <w:r>
        <w:rPr>
          <w:rFonts w:ascii="Amiri" w:hAnsi="Amiri" w:eastAsia="Amiri" w:cs="Amiri"/>
          <w:color w:val="111111"/>
          <w:sz w:val="28"/>
          <w:sz w:val="28"/>
          <w:szCs w:val="28"/>
          <w:rtl w:val="true"/>
          <w:lang w:bidi="ar-SA"/>
        </w:rPr>
        <w:t xml:space="preserve">و تقبيله بعد غسله و قبله، فقد قبّل رسول اللّه صلّى اللّه عليه و آله عثمان بن مظعون بعد موته، رواه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36"/>
      </w:r>
      <w:r>
        <w:rPr>
          <w:rFonts w:ascii="Amiri" w:hAnsi="Amiri" w:eastAsia="Amiri" w:cs="Amiri"/>
          <w:color w:val="111111"/>
          <w:sz w:val="28"/>
          <w:sz w:val="28"/>
          <w:szCs w:val="28"/>
          <w:rtl w:val="true"/>
          <w:lang w:bidi="ar-SA"/>
        </w:rPr>
        <w:t xml:space="preserve">، و قبّل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إسماعيل قبل غسله، رواه إسماعيل بن جابر</w:t>
      </w:r>
      <w:r>
        <w:rPr>
          <w:rStyle w:val="FootnoteAnchor"/>
          <w:rtl w:val="true"/>
        </w:rPr>
        <w:footnoteReference w:id="2137"/>
      </w:r>
      <w:r>
        <w:rPr>
          <w:rFonts w:ascii="Amiri" w:hAnsi="Amiri" w:eastAsia="Amiri" w:cs="Amiri"/>
          <w:color w:val="111111"/>
          <w:sz w:val="28"/>
          <w:sz w:val="28"/>
          <w:szCs w:val="28"/>
          <w:rtl w:val="true"/>
          <w:lang w:bidi="ar-SA"/>
        </w:rPr>
        <w:t>و قبّله أيضا بعد تكفينه</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بمسّه و قبلته</w:t>
      </w:r>
      <w:r>
        <w:rPr>
          <w:rFonts w:eastAsia="Amiri" w:cs="Amiri" w:ascii="Amiri" w:hAnsi="Amiri"/>
          <w:color w:val="111111"/>
          <w:sz w:val="28"/>
          <w:szCs w:val="28"/>
          <w:rtl w:val="true"/>
          <w:lang w:bidi="ar-SA"/>
        </w:rPr>
        <w:t>»</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يمنع أهل الميت من رؤيته بعد تكفينه، لما روى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أبي جعلت أكشف عن وجهه و أبكي، و رسول اللّه لا ينهاني</w:t>
      </w:r>
      <w:r>
        <w:rPr>
          <w:rStyle w:val="FootnoteAnchor"/>
          <w:rtl w:val="true"/>
        </w:rPr>
        <w:footnoteReference w:id="2140"/>
      </w:r>
      <w:r>
        <w:rPr>
          <w:rFonts w:ascii="Amiri" w:hAnsi="Amiri" w:eastAsia="Amiri" w:cs="Amiri"/>
          <w:color w:val="111111"/>
          <w:sz w:val="28"/>
          <w:sz w:val="28"/>
          <w:szCs w:val="28"/>
          <w:rtl w:val="true"/>
          <w:lang w:bidi="ar-SA"/>
        </w:rPr>
        <w:t>و تقريره صلّى اللّه عليه و آله حجّة</w:t>
      </w:r>
      <w:r>
        <w:rPr>
          <w:rFonts w:eastAsia="Amiri" w:cs="Amiri" w:ascii="Amiri" w:hAnsi="Amiri"/>
          <w:color w:val="111111"/>
          <w:sz w:val="28"/>
          <w:szCs w:val="28"/>
          <w:rtl w:val="true"/>
          <w:lang w:bidi="ar-SA"/>
        </w:rPr>
        <w:t xml:space="preserve">. </w:t>
      </w:r>
      <w:bookmarkStart w:id="1055" w:name="pg15253_219891"/>
    </w:p>
    <w:p>
      <w:pPr>
        <w:pStyle w:val="BookText"/>
        <w:rPr/>
      </w:pPr>
      <w:bookmarkEnd w:id="1055"/>
      <w:r>
        <w:rPr>
          <w:rFonts w:ascii="Amiri" w:hAnsi="Amiri" w:eastAsia="Amiri" w:cs="Amiri"/>
          <w:color w:val="111111"/>
          <w:sz w:val="28"/>
          <w:sz w:val="28"/>
          <w:szCs w:val="28"/>
          <w:rtl w:val="true"/>
          <w:lang w:bidi="ar-SA"/>
        </w:rPr>
        <w:t>و حمل الشيخ التقبيل على ما كان قبل برده أو بعد غسله</w:t>
      </w:r>
      <w:r>
        <w:rPr>
          <w:rStyle w:val="FootnoteAnchor"/>
          <w:rtl w:val="true"/>
        </w:rPr>
        <w:footnoteReference w:id="2141"/>
      </w:r>
      <w:r>
        <w:rPr>
          <w:rFonts w:ascii="Amiri" w:hAnsi="Amiri" w:eastAsia="Amiri" w:cs="Amiri"/>
          <w:color w:val="111111"/>
          <w:sz w:val="28"/>
          <w:sz w:val="28"/>
          <w:szCs w:val="28"/>
          <w:rtl w:val="true"/>
          <w:lang w:bidi="ar-SA"/>
        </w:rPr>
        <w:t>فإن أراد به التحرّز من وجوب الغسل فمسلّم، و إن جعله شرطا في جواز القبلة فممنوع</w:t>
      </w:r>
      <w:r>
        <w:rPr>
          <w:rFonts w:eastAsia="Amiri" w:cs="Amiri" w:ascii="Amiri" w:hAnsi="Amiri"/>
          <w:color w:val="111111"/>
          <w:sz w:val="28"/>
          <w:szCs w:val="28"/>
          <w:rtl w:val="true"/>
          <w:lang w:bidi="ar-SA"/>
        </w:rPr>
        <w:t>.</w:t>
      </w:r>
    </w:p>
    <w:p>
      <w:pPr>
        <w:pStyle w:val="Heading6"/>
        <w:numPr>
          <w:ilvl w:val="5"/>
          <w:numId w:val="1"/>
        </w:numPr>
        <w:rPr/>
      </w:pPr>
      <w:bookmarkStart w:id="1056" w:name="__RefHeading___Toc4192449_2142443653"/>
      <w:bookmarkStart w:id="1057" w:name="_Toc430"/>
      <w:bookmarkEnd w:id="1056"/>
      <w:r>
        <w:rPr>
          <w:rtl w:val="true"/>
        </w:rPr>
        <w:t>السابعة</w:t>
      </w:r>
      <w:r>
        <w:rPr>
          <w:rtl w:val="true"/>
        </w:rPr>
        <w:t xml:space="preserve">: </w:t>
      </w:r>
      <w:r>
        <w:rPr>
          <w:rtl w:val="true"/>
        </w:rPr>
        <w:t>لا فرق بين حنوط الرجل و المرأة،</w:t>
      </w:r>
      <w:bookmarkEnd w:id="1057"/>
    </w:p>
    <w:p>
      <w:pPr>
        <w:pStyle w:val="BookText"/>
        <w:rPr/>
      </w:pPr>
      <w:r>
        <w:rPr>
          <w:rFonts w:ascii="Amiri" w:hAnsi="Amiri" w:eastAsia="Amiri" w:cs="Amiri"/>
          <w:color w:val="111111"/>
          <w:sz w:val="28"/>
          <w:sz w:val="28"/>
          <w:szCs w:val="28"/>
          <w:rtl w:val="true"/>
          <w:lang w:bidi="ar-SA"/>
        </w:rPr>
        <w:t xml:space="preserve">لأغلبية تساويهما في الأحكام، و لخبر زرارة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حنوط الرجل و المرأة سواء</w:t>
      </w:r>
      <w:r>
        <w:rPr>
          <w:rFonts w:eastAsia="Amiri" w:cs="Amiri" w:ascii="Amiri" w:hAnsi="Amiri"/>
          <w:color w:val="111111"/>
          <w:sz w:val="28"/>
          <w:szCs w:val="28"/>
          <w:rtl w:val="true"/>
          <w:lang w:bidi="ar-SA"/>
        </w:rPr>
        <w:t>»</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8" w:name="__RefHeading___Toc4192451_2142443653"/>
      <w:bookmarkStart w:id="1059" w:name="_Toc431"/>
      <w:bookmarkEnd w:id="1058"/>
      <w:r>
        <w:rPr>
          <w:rtl w:val="true"/>
        </w:rPr>
        <w:t>الثامنة</w:t>
      </w:r>
      <w:r>
        <w:rPr>
          <w:rtl w:val="true"/>
        </w:rPr>
        <w:t xml:space="preserve">: </w:t>
      </w:r>
      <w:r>
        <w:rPr>
          <w:rtl w:val="true"/>
        </w:rPr>
        <w:t>الكفن من أصل المال</w:t>
      </w:r>
      <w:bookmarkEnd w:id="10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قبل الدين إجماعا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الثلث، و قد روي أنّ حمزة و مصعب بن عمير لم يتركا إلاّ قدر الكفن فكفّنا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و لقول النبي صلّى اللّه عليه و آله في الذي و قصت به راحلته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كفّنوه في ثوبيه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لم يسأل عن ثلثه، و لأنّ الإرث بعد الدين و المئونة قبله، و لخبر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الكفن من جميع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بين أن يوصى به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الوجوب منحصرا في ساتر العورة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المرتهن مقدّم بخلاف غرماء المفلس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يجوز تكفينه من الزكاة، لرواية الفضل بن يونس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بدن المؤمن ميتا كحرمته حيّا، فوار بدنه و عورته، و جهّزه و كفّنه و حنّطه، و احتسب بذلك من الزكاة</w:t>
      </w:r>
      <w:r>
        <w:rPr>
          <w:rFonts w:eastAsia="Amiri" w:cs="Amiri" w:ascii="Amiri" w:hAnsi="Amiri"/>
          <w:color w:val="111111"/>
          <w:sz w:val="28"/>
          <w:szCs w:val="28"/>
          <w:rtl w:val="true"/>
          <w:lang w:bidi="ar-SA"/>
        </w:rPr>
        <w:t>»</w:t>
      </w:r>
      <w:r>
        <w:rPr>
          <w:rStyle w:val="FootnoteAnchor"/>
          <w:rtl w:val="true"/>
        </w:rPr>
        <w:footnoteReference w:id="2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دفعت الزكاة إلى وارثه، و كفّنه هو و جهّزه كان أفضل،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عياله من الزكاة قدر ما يجهّزونه، فيكونون هم الذين يجهّزونه</w:t>
      </w:r>
      <w:r>
        <w:rPr>
          <w:rFonts w:eastAsia="Amiri" w:cs="Amiri" w:ascii="Amiri" w:hAnsi="Amiri"/>
          <w:color w:val="111111"/>
          <w:sz w:val="28"/>
          <w:szCs w:val="28"/>
          <w:rtl w:val="true"/>
          <w:lang w:bidi="ar-SA"/>
        </w:rPr>
        <w:t>»</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خلّف كفنا، فتبرّع عليه بآخر، ففي هذا الخبر</w:t>
      </w:r>
      <w:r>
        <w:rPr>
          <w:rStyle w:val="FootnoteAnchor"/>
          <w:rtl w:val="true"/>
        </w:rPr>
        <w:footnoteReference w:id="2145"/>
      </w:r>
      <w:r>
        <w:rPr>
          <w:rFonts w:ascii="Amiri" w:hAnsi="Amiri" w:eastAsia="Amiri" w:cs="Amiri"/>
          <w:color w:val="111111"/>
          <w:sz w:val="28"/>
          <w:sz w:val="28"/>
          <w:szCs w:val="28"/>
          <w:rtl w:val="true"/>
          <w:lang w:bidi="ar-SA"/>
        </w:rPr>
        <w:t xml:space="preserve">يكفّن بالمتبرع به </w:t>
      </w:r>
      <w:bookmarkStart w:id="1060" w:name="pg15253_219892"/>
    </w:p>
    <w:p>
      <w:pPr>
        <w:pStyle w:val="BookText"/>
        <w:rPr/>
      </w:pPr>
      <w:bookmarkEnd w:id="1060"/>
      <w:r>
        <w:rPr>
          <w:rFonts w:ascii="Amiri" w:hAnsi="Amiri" w:eastAsia="Amiri" w:cs="Amiri"/>
          <w:color w:val="111111"/>
          <w:sz w:val="28"/>
          <w:sz w:val="28"/>
          <w:szCs w:val="28"/>
          <w:rtl w:val="true"/>
          <w:lang w:bidi="ar-SA"/>
        </w:rPr>
        <w:t>عليه، و الآخر للورثة لا يقضى منه الدين، لأنّه شيء صار إليه بعد الوفاة فلا يعدّ تركة</w:t>
      </w:r>
      <w:r>
        <w:rPr>
          <w:rFonts w:eastAsia="Amiri" w:cs="Amiri" w:ascii="Amiri" w:hAnsi="Amiri"/>
          <w:color w:val="111111"/>
          <w:sz w:val="28"/>
          <w:szCs w:val="28"/>
          <w:rtl w:val="true"/>
          <w:lang w:bidi="ar-SA"/>
        </w:rPr>
        <w:t>.</w:t>
      </w:r>
    </w:p>
    <w:p>
      <w:pPr>
        <w:pStyle w:val="Heading6"/>
        <w:numPr>
          <w:ilvl w:val="5"/>
          <w:numId w:val="1"/>
        </w:numPr>
        <w:rPr/>
      </w:pPr>
      <w:bookmarkStart w:id="1061" w:name="__RefHeading___Toc4192453_2142443653"/>
      <w:bookmarkStart w:id="1062" w:name="_Toc432"/>
      <w:bookmarkEnd w:id="1061"/>
      <w:r>
        <w:rPr>
          <w:rtl w:val="true"/>
        </w:rPr>
        <w:t>التاسعة</w:t>
      </w:r>
      <w:r>
        <w:rPr>
          <w:rtl w:val="true"/>
        </w:rPr>
        <w:t xml:space="preserve">: </w:t>
      </w:r>
      <w:r>
        <w:rPr>
          <w:rtl w:val="true"/>
        </w:rPr>
        <w:t>لو تشاحّ الورثة في الكفن اقتصر على الواجب</w:t>
      </w:r>
      <w:r>
        <w:rPr>
          <w:rtl w:val="true"/>
        </w:rPr>
        <w:t>.</w:t>
      </w:r>
      <w:bookmarkEnd w:id="1062"/>
    </w:p>
    <w:p>
      <w:pPr>
        <w:pStyle w:val="BookText"/>
        <w:rPr/>
      </w:pPr>
      <w:r>
        <w:rPr>
          <w:rFonts w:ascii="Amiri" w:hAnsi="Amiri" w:eastAsia="Amiri" w:cs="Amiri"/>
          <w:color w:val="111111"/>
          <w:sz w:val="28"/>
          <w:sz w:val="28"/>
          <w:szCs w:val="28"/>
          <w:rtl w:val="true"/>
          <w:lang w:bidi="ar-SA"/>
        </w:rPr>
        <w:t>و لو تبرّع بعضهم أخذ من نصيبه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هناك دين مستوعب منع من الندب، و ان كنا لا نبيع ثياب التجمّل للمفلس لحاجته الى التجمّل، بخلاف الميت فإنّه أحوج إلى براءة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بالندب، فهو من الثلث إلاّ مع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اوصى بإسقاطه،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للوارث الخيار،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تنفذ وصيته، فإن أريد تحريم الندب على الوارث و على غيره فهو بعيد، و توصية بعض الصحابة بأن يكفّن في ثوبه الخلق و إنفاذ أهله</w:t>
      </w:r>
      <w:r>
        <w:rPr>
          <w:rStyle w:val="FootnoteAnchor"/>
          <w:rtl w:val="true"/>
        </w:rPr>
        <w:footnoteReference w:id="2146"/>
      </w:r>
      <w:r>
        <w:rPr>
          <w:rFonts w:ascii="Amiri" w:hAnsi="Amiri" w:eastAsia="Amiri" w:cs="Amiri"/>
          <w:color w:val="111111"/>
          <w:sz w:val="28"/>
          <w:sz w:val="28"/>
          <w:szCs w:val="28"/>
          <w:rtl w:val="true"/>
          <w:lang w:bidi="ar-SA"/>
        </w:rPr>
        <w:t>ليس حجّة، و لو سلّم فغير دال على الوجوب، فلو تبرّع بالندب متبرّع من الورثة أو غيرهم لم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الحنوط و مئونة التجهيز حكم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قصر الكفن عنه، غطّى رأسه و جعل على رجليه حشيش و شبهه يستره، كما فعل النبي صلّى اللّه عليه و آله بحمزة أو بمصعب بن عمير لما قتل يوم أحد، فلم يخلّف إلاّ نمرة إذا غطّي بها رأسه بدت رجلاه و بالعكس،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غطّوا بها رأسه، و اجعلوا على رجليه من الإذخر</w:t>
      </w:r>
      <w:r>
        <w:rPr>
          <w:rFonts w:eastAsia="Amiri" w:cs="Amiri" w:ascii="Amiri" w:hAnsi="Amiri"/>
          <w:color w:val="111111"/>
          <w:sz w:val="28"/>
          <w:szCs w:val="28"/>
          <w:rtl w:val="true"/>
          <w:lang w:bidi="ar-SA"/>
        </w:rPr>
        <w:t>»</w:t>
      </w:r>
      <w:r>
        <w:rPr>
          <w:rStyle w:val="FootnoteAnchor"/>
          <w:rtl w:val="true"/>
        </w:rPr>
        <w:footnoteReference w:id="2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بردة صوف يلبسها الأعراب</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كثر الموتى و قلّت الأكفان،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اثنان و ثلاثة في ثوب واحد</w:t>
      </w:r>
      <w:r>
        <w:rPr>
          <w:rStyle w:val="FootnoteAnchor"/>
          <w:rtl w:val="true"/>
        </w:rPr>
        <w:footnoteReference w:id="2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لخبر أنس</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 xml:space="preserve">. </w:t>
      </w:r>
      <w:bookmarkStart w:id="1063" w:name="pg15253_219893"/>
    </w:p>
    <w:p>
      <w:pPr>
        <w:pStyle w:val="BookText"/>
        <w:rPr/>
      </w:pPr>
      <w:bookmarkEnd w:id="106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و غيره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يجمع بين الرجلين من قتلى أحد في ثوب واحد</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لم يكن له مال فمن بيت المال أو الزكاة، و مع عدمهما يدفن عاريا، و لا يجب على المسلمين كفنه و لا مئونته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جماعة من الأصحاب</w:t>
      </w:r>
      <w:r>
        <w:rPr>
          <w:rStyle w:val="FootnoteAnchor"/>
          <w:rtl w:val="true"/>
        </w:rPr>
        <w:footnoteReference w:id="2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يستحبّ استحبابا مؤكّدا، لرواية سعيد بن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كفّن مؤمنا كان كمن ضمن كسوته الى يوم القيامة</w:t>
      </w:r>
      <w:r>
        <w:rPr>
          <w:rFonts w:eastAsia="Amiri" w:cs="Amiri" w:ascii="Amiri" w:hAnsi="Amiri"/>
          <w:color w:val="111111"/>
          <w:sz w:val="28"/>
          <w:szCs w:val="28"/>
          <w:rtl w:val="true"/>
          <w:lang w:bidi="ar-SA"/>
        </w:rPr>
        <w:t>»</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4" w:name="__RefHeading___Toc4192455_2142443653"/>
      <w:bookmarkStart w:id="1065" w:name="_Toc433"/>
      <w:bookmarkEnd w:id="1064"/>
      <w:r>
        <w:rPr>
          <w:rtl w:val="true"/>
        </w:rPr>
        <w:t>العاشرة</w:t>
      </w:r>
      <w:r>
        <w:rPr>
          <w:rtl w:val="true"/>
        </w:rPr>
        <w:t xml:space="preserve">: </w:t>
      </w:r>
      <w:r>
        <w:rPr>
          <w:rtl w:val="true"/>
        </w:rPr>
        <w:t>كفن الزوجة على زوجها و إن كانت ذات يسار،</w:t>
      </w:r>
      <w:bookmarkEnd w:id="1065"/>
    </w:p>
    <w:p>
      <w:pPr>
        <w:pStyle w:val="BookText"/>
        <w:rPr/>
      </w:pPr>
      <w:r>
        <w:rPr>
          <w:rFonts w:ascii="IRNazanin" w:hAnsi="IRNazanin" w:eastAsia="IRNazanin"/>
          <w:color w:val="111111"/>
          <w:sz w:val="28"/>
          <w:sz w:val="28"/>
          <w:szCs w:val="28"/>
          <w:rtl w:val="true"/>
          <w:lang w:bidi="fa-IR"/>
        </w:rPr>
        <w:t>أفتى به الأصحاب</w:t>
      </w:r>
      <w:r>
        <w:rPr>
          <w:rStyle w:val="FootnoteAnchor"/>
          <w:rtl w:val="true"/>
        </w:rPr>
        <w:footnoteReference w:id="2153"/>
      </w:r>
      <w:r>
        <w:rPr>
          <w:rFonts w:ascii="Amiri" w:hAnsi="Amiri" w:eastAsia="Amiri" w:cs="Amiri"/>
          <w:color w:val="111111"/>
          <w:sz w:val="28"/>
          <w:sz w:val="28"/>
          <w:szCs w:val="28"/>
          <w:rtl w:val="true"/>
          <w:lang w:bidi="ar-SA"/>
        </w:rPr>
        <w:t>و نقل فيه الشيخ الإجماع</w:t>
      </w:r>
      <w:r>
        <w:rPr>
          <w:rStyle w:val="FootnoteAnchor"/>
          <w:rtl w:val="true"/>
        </w:rPr>
        <w:footnoteReference w:id="2154"/>
      </w:r>
      <w:r>
        <w:rPr>
          <w:rFonts w:ascii="Amiri" w:hAnsi="Amiri" w:eastAsia="Amiri" w:cs="Amiri"/>
          <w:color w:val="111111"/>
          <w:sz w:val="28"/>
          <w:sz w:val="28"/>
          <w:szCs w:val="28"/>
          <w:rtl w:val="true"/>
          <w:lang w:bidi="ar-SA"/>
        </w:rPr>
        <w:t>و رواه السكوني عن الصادق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الزوج كفن امرأته إذا ماتت</w:t>
      </w:r>
      <w:r>
        <w:rPr>
          <w:rFonts w:eastAsia="Amiri" w:cs="Amiri" w:ascii="Amiri" w:hAnsi="Amiri"/>
          <w:color w:val="111111"/>
          <w:sz w:val="28"/>
          <w:szCs w:val="28"/>
          <w:rtl w:val="true"/>
          <w:lang w:bidi="ar-SA"/>
        </w:rPr>
        <w:t>»</w:t>
      </w:r>
      <w:r>
        <w:rPr>
          <w:rStyle w:val="FootnoteAnchor"/>
          <w:rtl w:val="true"/>
        </w:rPr>
        <w:footnoteReference w:id="2155"/>
      </w:r>
      <w:r>
        <w:rPr>
          <w:rFonts w:ascii="Amiri" w:hAnsi="Amiri" w:eastAsia="Amiri" w:cs="Amiri"/>
          <w:color w:val="111111"/>
          <w:sz w:val="28"/>
          <w:sz w:val="28"/>
          <w:szCs w:val="28"/>
          <w:rtl w:val="true"/>
          <w:lang w:bidi="ar-SA"/>
        </w:rPr>
        <w:t>و لبقاء أثر الزوجية و من ثم حلّ تغسيلها و رؤيتها، و لأنّها زوجة لآية الإرث</w:t>
      </w:r>
      <w:r>
        <w:rPr>
          <w:rStyle w:val="FootnoteAnchor"/>
          <w:rtl w:val="true"/>
        </w:rPr>
        <w:footnoteReference w:id="2156"/>
      </w:r>
      <w:r>
        <w:rPr>
          <w:rFonts w:ascii="Amiri" w:hAnsi="Amiri" w:eastAsia="Amiri" w:cs="Amiri"/>
          <w:color w:val="111111"/>
          <w:sz w:val="28"/>
          <w:sz w:val="28"/>
          <w:szCs w:val="28"/>
          <w:rtl w:val="true"/>
          <w:lang w:bidi="ar-SA"/>
        </w:rPr>
        <w:t>فيجب مئونتها لأنّها من أحكام الزوجية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مئونة التجهيز أيضا على الزوج، كالحنوط و غيره من الواجب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زوجها كفنها و تجهيزها، و لا يلزم ذلك في مالها</w:t>
      </w:r>
      <w:r>
        <w:rPr>
          <w:rStyle w:val="FootnoteAnchor"/>
          <w:rtl w:val="true"/>
        </w:rPr>
        <w:footnoteReference w:id="2157"/>
      </w:r>
      <w:r>
        <w:rPr>
          <w:rFonts w:ascii="Amiri" w:hAnsi="Amiri" w:eastAsia="Amiri" w:cs="Amiri"/>
          <w:color w:val="111111"/>
          <w:sz w:val="28"/>
          <w:sz w:val="28"/>
          <w:szCs w:val="28"/>
          <w:rtl w:val="true"/>
          <w:lang w:bidi="ar-SA"/>
        </w:rPr>
        <w:t xml:space="preserve">و كذا </w:t>
      </w:r>
      <w:bookmarkStart w:id="1066" w:name="pg15253_219894"/>
    </w:p>
    <w:p>
      <w:pPr>
        <w:pStyle w:val="BookText"/>
        <w:rPr/>
      </w:pPr>
      <w:bookmarkEnd w:id="1066"/>
      <w:r>
        <w:rPr>
          <w:rFonts w:ascii="Amiri" w:hAnsi="Amiri" w:eastAsia="Amiri" w:cs="Amiri"/>
          <w:color w:val="111111"/>
          <w:sz w:val="28"/>
          <w:sz w:val="28"/>
          <w:szCs w:val="28"/>
          <w:rtl w:val="true"/>
          <w:lang w:bidi="ar-SA"/>
        </w:rPr>
        <w:t>ابن إدريس</w:t>
      </w:r>
      <w:r>
        <w:rPr>
          <w:rStyle w:val="FootnoteAnchor"/>
          <w:rtl w:val="true"/>
        </w:rPr>
        <w:footnoteReference w:id="2158"/>
      </w:r>
      <w:r>
        <w:rPr>
          <w:rFonts w:ascii="Amiri" w:hAnsi="Amiri" w:eastAsia="Amiri" w:cs="Amiri"/>
          <w:color w:val="111111"/>
          <w:sz w:val="28"/>
          <w:sz w:val="28"/>
          <w:szCs w:val="28"/>
          <w:rtl w:val="true"/>
          <w:lang w:bidi="ar-SA"/>
        </w:rPr>
        <w:t>و صرّح به الفاضل في النهاية</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أعسر عن الكفن، بأن لا يفضل شيء عن قوت يوم و ليلة، و ما يستثني في الدين، كفّنت من تركتها، قاله الفاضل</w:t>
      </w:r>
      <w:r>
        <w:rPr>
          <w:rStyle w:val="FootnoteAnchor"/>
          <w:rtl w:val="true"/>
        </w:rPr>
        <w:footnoteReference w:id="2160"/>
      </w:r>
      <w:r>
        <w:rPr>
          <w:rFonts w:ascii="Amiri" w:hAnsi="Amiri" w:eastAsia="Amiri" w:cs="Amiri"/>
          <w:color w:val="111111"/>
          <w:sz w:val="28"/>
          <w:sz w:val="28"/>
          <w:szCs w:val="28"/>
          <w:rtl w:val="true"/>
          <w:lang w:bidi="ar-SA"/>
        </w:rPr>
        <w:t>لأنّ الإرث بعد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ملك البعض أخرج الباقي من تركتها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الحرّة و الأمة في ذلك، و كذا المطلقة 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الناشز فالتعليل بالإنفاق ينفي وجوب الكفن، و إطلاق الخبر يشمله</w:t>
      </w:r>
      <w:r>
        <w:rPr>
          <w:rStyle w:val="FootnoteAnchor"/>
          <w:rtl w:val="true"/>
        </w:rPr>
        <w:footnoteReference w:id="2161"/>
      </w:r>
      <w:r>
        <w:rPr>
          <w:rFonts w:ascii="Amiri" w:hAnsi="Amiri" w:eastAsia="Amiri" w:cs="Amiri"/>
          <w:color w:val="111111"/>
          <w:sz w:val="28"/>
          <w:sz w:val="28"/>
          <w:szCs w:val="28"/>
          <w:rtl w:val="true"/>
          <w:lang w:bidi="ar-SA"/>
        </w:rPr>
        <w:t>، و كذا المستمتع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ماتا معا،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كفنها، لخروجه عن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بعدها لم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إلاّ واحدا أمكن اختصاصه، لأنّ مئونته مقدّمة في حال الحياة، و اختصاصها، لسبق التعلّق، و هو ضعيف لعدم تعلّقه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أوصت بالكفن فهو من الثلث، لعدم وجوبه من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واجب النفقة بالزوجة، للأصل، إلاّ العبد، للإجماع عليه، و إن كان مدبّرا، أو مكاتبا مشروطا، أو مطلقا لم يتحرّر منه شيء، أو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تحرّر منه شيء، فبالنسبة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w:t>
      </w:r>
    </w:p>
    <w:p>
      <w:pPr>
        <w:pStyle w:val="Heading6"/>
        <w:numPr>
          <w:ilvl w:val="5"/>
          <w:numId w:val="1"/>
        </w:numPr>
        <w:rPr/>
      </w:pPr>
      <w:bookmarkStart w:id="1067" w:name="__RefHeading___Toc4192457_2142443653"/>
      <w:bookmarkStart w:id="1068" w:name="_Toc434"/>
      <w:bookmarkEnd w:id="1067"/>
      <w:r>
        <w:rPr>
          <w:rtl w:val="true"/>
        </w:rPr>
        <w:t>الحادية عشرة</w:t>
      </w:r>
      <w:r>
        <w:rPr>
          <w:rtl w:val="true"/>
        </w:rPr>
        <w:t xml:space="preserve">: </w:t>
      </w:r>
      <w:r>
        <w:rPr>
          <w:rtl w:val="true"/>
        </w:rPr>
        <w:t>لو وجد الكفن و يئس من الميت عاد ميراثا،</w:t>
      </w:r>
      <w:bookmarkEnd w:id="106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مال متروك فيرثه الوارث، للعموم في آي الإرث</w:t>
      </w:r>
      <w:r>
        <w:rPr>
          <w:rStyle w:val="FootnoteAnchor"/>
          <w:rtl w:val="true"/>
        </w:rPr>
        <w:footnoteReference w:id="2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الزكاة، أو بيت المال، أو متبرع، عاد الى ما كان، لأنّه مشروط ببقائه كفنا و قد زال الشرط، فإن تطوّع به على الورثة فهو عطيّة مستأنفة</w:t>
      </w:r>
      <w:r>
        <w:rPr>
          <w:rFonts w:eastAsia="Amiri" w:cs="Amiri" w:ascii="Amiri" w:hAnsi="Amiri"/>
          <w:color w:val="111111"/>
          <w:sz w:val="28"/>
          <w:szCs w:val="28"/>
          <w:rtl w:val="true"/>
          <w:lang w:bidi="ar-SA"/>
        </w:rPr>
        <w:t xml:space="preserve">. </w:t>
      </w:r>
      <w:bookmarkStart w:id="1069" w:name="pg15253_219895"/>
    </w:p>
    <w:p>
      <w:pPr>
        <w:pStyle w:val="Heading6"/>
        <w:numPr>
          <w:ilvl w:val="5"/>
          <w:numId w:val="1"/>
        </w:numPr>
        <w:rPr/>
      </w:pPr>
      <w:bookmarkStart w:id="1070" w:name="__RefHeading___Toc4192459_2142443653"/>
      <w:bookmarkStart w:id="1071" w:name="_Toc435"/>
      <w:bookmarkEnd w:id="1069"/>
      <w:bookmarkEnd w:id="1070"/>
      <w:r>
        <w:rPr>
          <w:rtl w:val="true"/>
        </w:rPr>
        <w:t>الثانية عشرة</w:t>
      </w:r>
      <w:r>
        <w:rPr>
          <w:rtl w:val="true"/>
        </w:rPr>
        <w:t xml:space="preserve">: </w:t>
      </w:r>
      <w:r>
        <w:rPr>
          <w:rtl w:val="true"/>
        </w:rPr>
        <w:t xml:space="preserve">روى السكوني عن الصادق </w:t>
      </w:r>
      <w:r>
        <w:rPr>
          <w:rtl w:val="true"/>
        </w:rPr>
        <w:t>(</w:t>
      </w:r>
      <w:r>
        <w:rPr>
          <w:rtl w:val="true"/>
        </w:rPr>
        <w:t>ع</w:t>
      </w:r>
      <w:r>
        <w:rPr>
          <w:rtl w:val="true"/>
        </w:rPr>
        <w:t>)</w:t>
      </w:r>
      <w:r>
        <w:rPr>
          <w:rtl w:val="true"/>
        </w:rPr>
        <w:t>، قال</w:t>
      </w:r>
      <w:r>
        <w:rPr>
          <w:rtl w:val="true"/>
        </w:rPr>
        <w:t>: «</w:t>
      </w:r>
      <w:r>
        <w:rPr>
          <w:rtl w:val="true"/>
        </w:rPr>
        <w:t xml:space="preserve">قال رسول اللّه </w:t>
      </w:r>
      <w:r>
        <w:rPr>
          <w:rtl w:val="true"/>
        </w:rPr>
        <w:t>(</w:t>
      </w:r>
      <w:r>
        <w:rPr>
          <w:rtl w:val="true"/>
        </w:rPr>
        <w:t>ص</w:t>
      </w:r>
      <w:r>
        <w:rPr>
          <w:rtl w:val="true"/>
        </w:rPr>
        <w:t xml:space="preserve">): </w:t>
      </w:r>
      <w:r>
        <w:rPr>
          <w:rtl w:val="true"/>
        </w:rPr>
        <w:t>نعم الكفن الحلّة</w:t>
      </w:r>
      <w:r>
        <w:rPr>
          <w:rtl w:val="true"/>
        </w:rPr>
        <w:t xml:space="preserve">» </w:t>
      </w:r>
      <w:r>
        <w:rPr>
          <w:rtl w:val="true"/>
        </w:rPr>
        <w:t>،</w:t>
      </w:r>
      <w:bookmarkEnd w:id="1071"/>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الكفن الحلّة</w:t>
      </w:r>
      <w:r>
        <w:rPr>
          <w:rFonts w:eastAsia="Amiri" w:cs="Amiri" w:ascii="Amiri" w:hAnsi="Amiri"/>
          <w:color w:val="111111"/>
          <w:sz w:val="28"/>
          <w:szCs w:val="28"/>
          <w:rtl w:val="true"/>
          <w:lang w:bidi="ar-SA"/>
        </w:rPr>
        <w:t>»</w:t>
      </w:r>
      <w:r>
        <w:rPr>
          <w:rStyle w:val="FootnoteAnchor"/>
          <w:rtl w:val="true"/>
        </w:rPr>
        <w:footnoteReference w:id="2163"/>
      </w:r>
      <w:r>
        <w:rPr>
          <w:rFonts w:ascii="Amiri" w:hAnsi="Amiri" w:eastAsia="Amiri" w:cs="Amiri"/>
          <w:color w:val="111111"/>
          <w:sz w:val="28"/>
          <w:sz w:val="28"/>
          <w:szCs w:val="28"/>
          <w:rtl w:val="true"/>
          <w:lang w:bidi="ar-SA"/>
        </w:rPr>
        <w:t>، قال الشيخ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يعمل بهذا الخبر، لعدم جواز الإبريسم</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 و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 و رداء لا يسمّى حتى يكون ثوبين، و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الحلل برود اليمن</w:t>
      </w:r>
      <w:r>
        <w:rPr>
          <w:rStyle w:val="FootnoteAnchor"/>
          <w:rtl w:val="true"/>
        </w:rPr>
        <w:footnoteReference w:id="2165"/>
      </w:r>
      <w:r>
        <w:rPr>
          <w:rFonts w:ascii="Amiri" w:hAnsi="Amiri" w:eastAsia="Amiri" w:cs="Amiri"/>
          <w:color w:val="111111"/>
          <w:sz w:val="28"/>
          <w:sz w:val="28"/>
          <w:szCs w:val="28"/>
          <w:rtl w:val="true"/>
          <w:lang w:bidi="ar-SA"/>
        </w:rPr>
        <w:t>و ليس في هذا إشعار بأنّها من حرير، لأنّا أجمعنا على استحباب الحبرة، و قد 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برد يمان، و حلّة الدّية لم يشرط أحد كونها من حرير، فالخبر يمكن العمل بظاهره من غير احتياج إلى تأويل</w:t>
      </w:r>
      <w:r>
        <w:rPr>
          <w:rFonts w:eastAsia="Amiri" w:cs="Amiri" w:ascii="Amiri" w:hAnsi="Amiri"/>
          <w:color w:val="111111"/>
          <w:sz w:val="28"/>
          <w:szCs w:val="28"/>
          <w:rtl w:val="true"/>
          <w:lang w:bidi="ar-SA"/>
        </w:rPr>
        <w:t>.</w:t>
      </w:r>
    </w:p>
    <w:p>
      <w:pPr>
        <w:pStyle w:val="Heading6"/>
        <w:numPr>
          <w:ilvl w:val="5"/>
          <w:numId w:val="1"/>
        </w:numPr>
        <w:rPr/>
      </w:pPr>
      <w:bookmarkStart w:id="1072" w:name="__RefHeading___Toc4192461_2142443653"/>
      <w:bookmarkStart w:id="1073" w:name="_Toc436"/>
      <w:bookmarkEnd w:id="1072"/>
      <w:r>
        <w:rPr>
          <w:rtl w:val="true"/>
        </w:rPr>
        <w:t>الثالثة عشرة</w:t>
      </w:r>
      <w:r>
        <w:rPr>
          <w:rtl w:val="true"/>
        </w:rPr>
        <w:t xml:space="preserve">: </w:t>
      </w:r>
      <w:r>
        <w:rPr>
          <w:rtl w:val="true"/>
        </w:rPr>
        <w:t>يستحبّ إعداد الكفن في حال الحياة،</w:t>
      </w:r>
      <w:bookmarkEnd w:id="1073"/>
    </w:p>
    <w:p>
      <w:pPr>
        <w:pStyle w:val="BookText"/>
        <w:rPr/>
      </w:pPr>
      <w:r>
        <w:rPr>
          <w:rFonts w:ascii="Amiri" w:hAnsi="Amiri" w:eastAsia="Amiri" w:cs="Amiri"/>
          <w:color w:val="111111"/>
          <w:sz w:val="28"/>
          <w:sz w:val="28"/>
          <w:szCs w:val="28"/>
          <w:rtl w:val="true"/>
          <w:lang w:bidi="ar-SA"/>
        </w:rPr>
        <w:t xml:space="preserve">لخبر محمد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كفنه في بيته لم يكتب من الغافلين، و كان مأجورا كلّما نظر إليه</w:t>
      </w:r>
      <w:r>
        <w:rPr>
          <w:rFonts w:eastAsia="Amiri" w:cs="Amiri" w:ascii="Amiri" w:hAnsi="Amiri"/>
          <w:color w:val="111111"/>
          <w:sz w:val="28"/>
          <w:szCs w:val="28"/>
          <w:rtl w:val="true"/>
          <w:lang w:bidi="ar-SA"/>
        </w:rPr>
        <w:t>»</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إجادته عندنا، لمرسل ابن أبي عمير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أجيدوا أكفان موتاكم، فإنّها زينتهم</w:t>
      </w:r>
      <w:r>
        <w:rPr>
          <w:rFonts w:eastAsia="Amiri" w:cs="Amiri" w:ascii="Amiri" w:hAnsi="Amiri"/>
          <w:color w:val="111111"/>
          <w:sz w:val="28"/>
          <w:szCs w:val="28"/>
          <w:rtl w:val="true"/>
          <w:lang w:bidi="ar-SA"/>
        </w:rPr>
        <w:t>»</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يونس بن يعقوب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أوصى بإجادة كفنه،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الموتى يتباهون بأكفانهم</w:t>
      </w:r>
      <w:r>
        <w:rPr>
          <w:rFonts w:eastAsia="Amiri" w:cs="Amiri" w:ascii="Amiri" w:hAnsi="Amiri"/>
          <w:color w:val="111111"/>
          <w:sz w:val="28"/>
          <w:szCs w:val="28"/>
          <w:rtl w:val="true"/>
          <w:lang w:bidi="ar-SA"/>
        </w:rPr>
        <w:t>»</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تنوقوا في الأكفان، فإنّكم تبعثون بها</w:t>
      </w:r>
      <w:r>
        <w:rPr>
          <w:rFonts w:eastAsia="Amiri" w:cs="Amiri" w:ascii="Amiri" w:hAnsi="Amiri"/>
          <w:color w:val="111111"/>
          <w:sz w:val="28"/>
          <w:szCs w:val="28"/>
          <w:rtl w:val="true"/>
          <w:lang w:bidi="ar-SA"/>
        </w:rPr>
        <w:t>»</w:t>
      </w:r>
      <w:r>
        <w:rPr>
          <w:rStyle w:val="FootnoteAnchor"/>
          <w:rtl w:val="true"/>
        </w:rPr>
        <w:footnoteReference w:id="2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التنوّق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أحسنها و أعجبها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يثبت عندنا الخبر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تغالوا بالكفن،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يسلب سلبا سريعا</w:t>
      </w:r>
      <w:r>
        <w:rPr>
          <w:rFonts w:eastAsia="Amiri" w:cs="Amiri" w:ascii="Amiri" w:hAnsi="Amiri"/>
          <w:color w:val="111111"/>
          <w:sz w:val="28"/>
          <w:szCs w:val="28"/>
          <w:rtl w:val="true"/>
          <w:lang w:bidi="ar-SA"/>
        </w:rPr>
        <w:t>»</w:t>
      </w:r>
      <w:r>
        <w:rPr>
          <w:rStyle w:val="FootnoteAnchor"/>
          <w:rtl w:val="true"/>
        </w:rPr>
        <w:footnoteReference w:id="2170"/>
      </w:r>
      <w:r>
        <w:rPr>
          <w:rFonts w:ascii="Amiri" w:hAnsi="Amiri" w:eastAsia="Amiri" w:cs="Amiri"/>
          <w:color w:val="111111"/>
          <w:sz w:val="28"/>
          <w:sz w:val="28"/>
          <w:szCs w:val="28"/>
          <w:rtl w:val="true"/>
          <w:lang w:bidi="ar-SA"/>
        </w:rPr>
        <w:t xml:space="preserve">مع معارضته بما في الصحاح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كفّن أحدكم أخاه فليحسن كفنه</w:t>
      </w:r>
      <w:r>
        <w:rPr>
          <w:rFonts w:eastAsia="Amiri" w:cs="Amiri" w:ascii="Amiri" w:hAnsi="Amiri"/>
          <w:color w:val="111111"/>
          <w:sz w:val="28"/>
          <w:szCs w:val="28"/>
          <w:rtl w:val="true"/>
          <w:lang w:bidi="ar-SA"/>
        </w:rPr>
        <w:t>»</w:t>
      </w:r>
      <w:r>
        <w:rPr>
          <w:rStyle w:val="FootnoteAnchor"/>
          <w:rtl w:val="true"/>
        </w:rPr>
        <w:footnoteReference w:id="2171"/>
      </w:r>
      <w:r>
        <w:rPr>
          <w:rFonts w:ascii="Amiri" w:hAnsi="Amiri" w:eastAsia="Amiri" w:cs="Amiri"/>
          <w:color w:val="111111"/>
          <w:sz w:val="28"/>
          <w:sz w:val="28"/>
          <w:szCs w:val="28"/>
          <w:rtl w:val="true"/>
          <w:lang w:bidi="ar-SA"/>
        </w:rPr>
        <w:t xml:space="preserve">و بما مرّ من حديث الحلّة، و هو من الحسان عند العامة، رواه عبادة بن الصامت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حمل على البلوغ في ذلك الى حدّ الإسراف، أو الإجحاف بالوارث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074" w:name="pg15253_219897"/>
    </w:p>
    <w:p>
      <w:pPr>
        <w:pStyle w:val="Heading6"/>
        <w:numPr>
          <w:ilvl w:val="5"/>
          <w:numId w:val="1"/>
        </w:numPr>
        <w:rPr/>
      </w:pPr>
      <w:bookmarkStart w:id="1075" w:name="__RefHeading___Toc4192463_2142443653"/>
      <w:bookmarkStart w:id="1076" w:name="_Toc437"/>
      <w:bookmarkEnd w:id="1074"/>
      <w:bookmarkEnd w:id="1075"/>
      <w:r>
        <w:rPr>
          <w:rtl w:val="true"/>
        </w:rPr>
        <w:t>الحكم الرابع</w:t>
      </w:r>
      <w:r>
        <w:rPr>
          <w:rtl w:val="true"/>
        </w:rPr>
        <w:t xml:space="preserve">: </w:t>
      </w:r>
      <w:r>
        <w:rPr>
          <w:rtl w:val="true"/>
        </w:rPr>
        <w:t>في الصلاة عليه</w:t>
      </w:r>
      <w:r>
        <w:rPr>
          <w:rtl w:val="true"/>
        </w:rPr>
        <w:t>.</w:t>
      </w:r>
      <w:bookmarkEnd w:id="1076"/>
    </w:p>
    <w:p>
      <w:pPr>
        <w:pStyle w:val="Heading6"/>
        <w:numPr>
          <w:ilvl w:val="5"/>
          <w:numId w:val="1"/>
        </w:numPr>
        <w:rPr/>
      </w:pPr>
      <w:bookmarkStart w:id="1077" w:name="__RefHeading___Toc4192465_2142443653"/>
      <w:bookmarkStart w:id="1078" w:name="_Toc438"/>
      <w:bookmarkEnd w:id="1077"/>
      <w:r>
        <w:rPr>
          <w:rtl w:val="true"/>
        </w:rPr>
        <w:t>اشارة</w:t>
      </w:r>
      <w:bookmarkEnd w:id="1078"/>
    </w:p>
    <w:p>
      <w:pPr>
        <w:pStyle w:val="BookText"/>
        <w:rPr/>
      </w:pPr>
      <w:r>
        <w:rPr>
          <w:rFonts w:ascii="Amiri" w:hAnsi="Amiri" w:eastAsia="Amiri" w:cs="Amiri"/>
          <w:color w:val="111111"/>
          <w:sz w:val="28"/>
          <w:sz w:val="28"/>
          <w:szCs w:val="28"/>
          <w:rtl w:val="true"/>
          <w:lang w:bidi="ar-SA"/>
        </w:rPr>
        <w:t>و النظر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و المحل، و المصلّي، و الكيفية</w:t>
      </w:r>
      <w:r>
        <w:rPr>
          <w:rFonts w:eastAsia="Amiri" w:cs="Amiri" w:ascii="Amiri" w:hAnsi="Amiri"/>
          <w:color w:val="111111"/>
          <w:sz w:val="28"/>
          <w:szCs w:val="28"/>
          <w:rtl w:val="true"/>
          <w:lang w:bidi="ar-SA"/>
        </w:rPr>
        <w:t>.</w:t>
      </w:r>
    </w:p>
    <w:p>
      <w:pPr>
        <w:pStyle w:val="Heading6"/>
        <w:numPr>
          <w:ilvl w:val="5"/>
          <w:numId w:val="1"/>
        </w:numPr>
        <w:rPr/>
      </w:pPr>
      <w:bookmarkStart w:id="1079" w:name="__RefHeading___Toc4192467_2142443653"/>
      <w:bookmarkStart w:id="1080" w:name="_Toc439"/>
      <w:bookmarkEnd w:id="1079"/>
      <w:r>
        <w:rPr>
          <w:rtl w:val="true"/>
        </w:rPr>
        <w:t>النظر الأول</w:t>
      </w:r>
      <w:r>
        <w:rPr>
          <w:rtl w:val="true"/>
        </w:rPr>
        <w:t xml:space="preserve">: </w:t>
      </w:r>
      <w:r>
        <w:rPr>
          <w:rtl w:val="true"/>
        </w:rPr>
        <w:t>في الحمل</w:t>
      </w:r>
      <w:r>
        <w:rPr>
          <w:rtl w:val="true"/>
        </w:rPr>
        <w:t>:</w:t>
      </w:r>
      <w:bookmarkEnd w:id="1080"/>
    </w:p>
    <w:p>
      <w:pPr>
        <w:pStyle w:val="Heading6"/>
        <w:numPr>
          <w:ilvl w:val="5"/>
          <w:numId w:val="1"/>
        </w:numPr>
        <w:rPr/>
      </w:pPr>
      <w:bookmarkStart w:id="1081" w:name="__RefHeading___Toc4192469_2142443653"/>
      <w:bookmarkStart w:id="1082" w:name="_Toc440"/>
      <w:bookmarkEnd w:id="1081"/>
      <w:r>
        <w:rPr>
          <w:rtl w:val="true"/>
        </w:rPr>
        <w:t>اشارة</w:t>
      </w:r>
      <w:bookmarkEnd w:id="1082"/>
    </w:p>
    <w:p>
      <w:pPr>
        <w:pStyle w:val="BookText"/>
        <w:rPr/>
      </w:pPr>
      <w:r>
        <w:rPr>
          <w:rFonts w:ascii="Amiri" w:hAnsi="Amiri" w:eastAsia="Amiri" w:cs="Amiri"/>
          <w:color w:val="111111"/>
          <w:sz w:val="28"/>
          <w:sz w:val="28"/>
          <w:szCs w:val="28"/>
          <w:rtl w:val="true"/>
          <w:lang w:bidi="ar-SA"/>
        </w:rPr>
        <w:t xml:space="preserve">و هو واجب على الكفاية، و ليس فيه لزوم دنوءة و لا سقوط مروءة، فقد حمل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سعد بن معاذ</w:t>
      </w:r>
      <w:r>
        <w:rPr>
          <w:rStyle w:val="FootnoteAnchor"/>
          <w:rtl w:val="true"/>
        </w:rPr>
        <w:footnoteReference w:id="2173"/>
      </w:r>
      <w:r>
        <w:rPr>
          <w:rFonts w:ascii="Amiri" w:hAnsi="Amiri" w:eastAsia="Amiri" w:cs="Amiri"/>
          <w:color w:val="111111"/>
          <w:sz w:val="28"/>
          <w:sz w:val="28"/>
          <w:szCs w:val="28"/>
          <w:rtl w:val="true"/>
          <w:lang w:bidi="ar-SA"/>
        </w:rPr>
        <w:t>و لم تزل الصحابة و التابعون على ذلك، لما فيه من البرّ و الإكرام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وظيفة الرجال لا النساء و ان كان الميت امرأة، إلاّ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الحمل جائز كيف اتفق، الا على أحوال مزرية، أو على هيئة يخاف منها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على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الخالي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أفضله التربيع عندنا، و هو مروي عن أكابر الصحابة، و لأنّه أسهل من الحمل بين العمودين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شيع أحدكم جنازة، فليأخذ بجوانب السرير الأربعة، ثم ليتطوع بعد أو ليذر، فإنّه السنّة</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أن يحمل السرير من جوانبه الأربعة، و ما كان بعد ذلك من حمل فهو تطوع</w:t>
      </w:r>
      <w:r>
        <w:rPr>
          <w:rFonts w:eastAsia="Amiri" w:cs="Amiri" w:ascii="Amiri" w:hAnsi="Amiri"/>
          <w:color w:val="111111"/>
          <w:sz w:val="28"/>
          <w:szCs w:val="28"/>
          <w:rtl w:val="true"/>
          <w:lang w:bidi="ar-SA"/>
        </w:rPr>
        <w:t>»</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حمل جنازة من أربع جوانبها غفر له أربعون كبيرة</w:t>
      </w:r>
      <w:r>
        <w:rPr>
          <w:rFonts w:eastAsia="Amiri" w:cs="Amiri" w:ascii="Amiri" w:hAnsi="Amiri"/>
          <w:color w:val="111111"/>
          <w:sz w:val="28"/>
          <w:szCs w:val="28"/>
          <w:rtl w:val="true"/>
          <w:lang w:bidi="ar-SA"/>
        </w:rPr>
        <w:t>»</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بقوائم السرير غفر اللّه له خمسا و عشرين كبيرة، و إذا ربّع خرج من الذنوب</w:t>
      </w:r>
      <w:r>
        <w:rPr>
          <w:rFonts w:eastAsia="Amiri" w:cs="Amiri" w:ascii="Amiri" w:hAnsi="Amiri"/>
          <w:color w:val="111111"/>
          <w:sz w:val="28"/>
          <w:szCs w:val="28"/>
          <w:rtl w:val="true"/>
          <w:lang w:bidi="ar-SA"/>
        </w:rPr>
        <w:t>»</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حملت جوانب سرير الميت خرجت من الذنوب كما ولدتك أمّك</w:t>
      </w:r>
      <w:r>
        <w:rPr>
          <w:rFonts w:eastAsia="Amiri" w:cs="Amiri" w:ascii="Amiri" w:hAnsi="Amiri"/>
          <w:color w:val="111111"/>
          <w:sz w:val="28"/>
          <w:szCs w:val="28"/>
          <w:rtl w:val="true"/>
          <w:lang w:bidi="ar-SA"/>
        </w:rPr>
        <w:t>»</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بالتربيع حملها من جوانبها الأربعة كيف اتفق بأربعة رجال، و أفضله التناوب ليشترك الجميع في الأجر للتعاون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أفضله أن يكون على هذه الهيئة، و هي ما رواه العلاء بن سيابة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في الحمل من الجانب الأيمن، ثمّ تمرّ عليه من خلفه الى الجانب الآخر حتى ترجع الى المقدّم، كذلك دور الرحى</w:t>
      </w:r>
      <w:r>
        <w:rPr>
          <w:rFonts w:eastAsia="Amiri" w:cs="Amiri" w:ascii="Amiri" w:hAnsi="Amiri"/>
          <w:color w:val="111111"/>
          <w:sz w:val="28"/>
          <w:szCs w:val="28"/>
          <w:rtl w:val="true"/>
          <w:lang w:bidi="ar-SA"/>
        </w:rPr>
        <w:t>»</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الفضل بن يونس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يكن تقية، فالسنّة البدأة باليد اليمنى، ثم بالرجل اليمنى، ثم بالرجل اليسرى، ثم باليد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التقيّة يبدأ باليد اليمنى، ثم الرّجل اليمنى ثم يرجع الى اليد اليسرى من قدّام الميت، ثم رجله اليسرى</w:t>
      </w:r>
      <w:r>
        <w:rPr>
          <w:rFonts w:eastAsia="Amiri" w:cs="Amiri" w:ascii="Amiri" w:hAnsi="Amiri"/>
          <w:color w:val="111111"/>
          <w:sz w:val="28"/>
          <w:szCs w:val="28"/>
          <w:rtl w:val="true"/>
          <w:lang w:bidi="ar-SA"/>
        </w:rPr>
        <w:t>»</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بعضهم لا يرى المشي خلف الجنازة فلذلك يرجع الى مقدّمها، و بعضهم يحمل الأيسر من مقدمها على عاتقة الأيمن ثم يسلمه الى غيره، ثم يأخذ العمود الأيسر من مؤخّرها فيحمله على العاتق الأيمن أيضا، ثم يتقدّم بين يديها و يأخذ العمود الأيمن من مقدّمها و يحمله على عاتقه الأيسر، ثم يأخذ العمود الأيمن من مؤخّرها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يبطل قولهم بأفضليّة الحمل بين العمودين، لأنّه انما يتأتّى إذا حملت على وجه التربيع</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جواز الحمل كيف كان مكاتبة الحسين بن سعيد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سرير الميت أ له جانب يبتدأ به في الحمل من جوانبه الأربع أو ما شاء الرجل؟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أيّها شاء</w:t>
      </w:r>
      <w:r>
        <w:rPr>
          <w:rFonts w:eastAsia="Amiri" w:cs="Amiri" w:ascii="Amiri" w:hAnsi="Amiri"/>
          <w:color w:val="111111"/>
          <w:sz w:val="28"/>
          <w:szCs w:val="28"/>
          <w:rtl w:val="true"/>
          <w:lang w:bidi="ar-SA"/>
        </w:rPr>
        <w:t>»</w:t>
      </w:r>
      <w:r>
        <w:rPr>
          <w:rStyle w:val="FootnoteAnchor"/>
          <w:rtl w:val="true"/>
        </w:rPr>
        <w:footnoteReference w:id="2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عمل ابن الجنيد</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في الخلاف</w:t>
      </w:r>
      <w:r>
        <w:rPr>
          <w:rStyle w:val="FootnoteAnchor"/>
          <w:rtl w:val="true"/>
        </w:rPr>
        <w:footnoteReference w:id="2183"/>
      </w:r>
      <w:r>
        <w:rPr>
          <w:rFonts w:ascii="Amiri" w:hAnsi="Amiri" w:eastAsia="Amiri" w:cs="Amiri"/>
          <w:color w:val="111111"/>
          <w:sz w:val="28"/>
          <w:sz w:val="28"/>
          <w:szCs w:val="28"/>
          <w:rtl w:val="true"/>
          <w:lang w:bidi="ar-SA"/>
        </w:rPr>
        <w:t xml:space="preserve">عمل على خبر علي بن يقطين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باستقبال السرير بشقّه الأيمن، فيحمل الأيسر بكفّه الأيمن، ثم يمرّ عليه الى الجانب الرابع ممّا يلي يسار الحامل</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حمله على التربيع المشهور، لأنّ الشيخ ادّعى عليه الإجماع</w:t>
      </w:r>
      <w:r>
        <w:rPr>
          <w:rStyle w:val="FootnoteAnchor"/>
          <w:rtl w:val="true"/>
        </w:rPr>
        <w:footnoteReference w:id="2185"/>
      </w:r>
      <w:r>
        <w:rPr>
          <w:rFonts w:ascii="Amiri" w:hAnsi="Amiri" w:eastAsia="Amiri" w:cs="Amiri"/>
          <w:color w:val="111111"/>
          <w:sz w:val="28"/>
          <w:sz w:val="28"/>
          <w:szCs w:val="28"/>
          <w:rtl w:val="true"/>
          <w:lang w:bidi="ar-SA"/>
        </w:rPr>
        <w:t>و هو في المبسوط و النهاية</w:t>
      </w:r>
      <w:r>
        <w:rPr>
          <w:rStyle w:val="FootnoteAnchor"/>
          <w:rtl w:val="true"/>
        </w:rPr>
        <w:footnoteReference w:id="2186"/>
      </w:r>
      <w:r>
        <w:rPr>
          <w:rFonts w:ascii="Amiri" w:hAnsi="Amiri" w:eastAsia="Amiri" w:cs="Amiri"/>
          <w:color w:val="111111"/>
          <w:sz w:val="28"/>
          <w:sz w:val="28"/>
          <w:szCs w:val="28"/>
          <w:rtl w:val="true"/>
          <w:lang w:bidi="ar-SA"/>
        </w:rPr>
        <w:t xml:space="preserve">و باقي الأصحاب على التفسير الأول، فكيف يخالف دعواه؟ و لأنّه قال في الخلاف يدور دور 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الرواية</w:t>
      </w:r>
      <w:r>
        <w:rPr>
          <w:rStyle w:val="FootnoteAnchor"/>
          <w:rtl w:val="true"/>
        </w:rPr>
        <w:footnoteReference w:id="2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يتصور إلاّ على البدأة بمقدّم السرير الأيمن و الختم بمقدّمه الأيسر، و الإضافة هنا قد تتعاكس، و الراوندي حكى كلام النهاية و الخلاف،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معناهما لا يتغير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تشييع الجنازة،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تبع جنازة كتب له أربعة قراريط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قيراط لاتّباعها، و قيراط للصلاة عليها، و قيراط للانتظار حتى يفرغ من دفنه، و قيراط للتعزية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الأصبغ</w:t>
      </w:r>
      <w:r>
        <w:rPr>
          <w:rStyle w:val="FootnoteAnchor"/>
          <w:rtl w:val="true"/>
        </w:rPr>
        <w:footnoteReference w:id="2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مع جنازة حتى يصلّى عليها ثم رجع كان له قيراط، فإذا مشى معها حتى تدفن فله قيراطان، و القيراط مثل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أبو بصير</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شيع جنازة مسلم اعطي يوم القيامة أربع شفاعات، و لم يقل شيئا إلا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ميسر</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شيّع جنازة مؤمن حتى تدفن، وكّل اللّه به سبعين ملكا من المشيعين، يشيّعونه و يستغفرون له إذا اخرج من قبره الى الموقف</w:t>
      </w:r>
      <w:r>
        <w:rPr>
          <w:rFonts w:eastAsia="Amiri" w:cs="Amiri" w:ascii="Amiri" w:hAnsi="Amiri"/>
          <w:color w:val="111111"/>
          <w:sz w:val="28"/>
          <w:szCs w:val="28"/>
          <w:rtl w:val="true"/>
          <w:lang w:bidi="ar-SA"/>
        </w:rPr>
        <w:t>»</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يتحف به المؤمن في قبره أن يغفر لمن شيّع جنازته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إسحاق بن عمار</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 المؤمن قبره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أول حبائك الجنة، و أول حباء من تبعك المغفرة</w:t>
      </w:r>
      <w:r>
        <w:rPr>
          <w:rFonts w:eastAsia="Amiri" w:cs="Amiri" w:ascii="Amiri" w:hAnsi="Amiri"/>
          <w:color w:val="111111"/>
          <w:sz w:val="28"/>
          <w:szCs w:val="28"/>
          <w:rtl w:val="true"/>
          <w:lang w:bidi="ar-SA"/>
        </w:rPr>
        <w:t>»</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دعي إلى وليمة و جنازة قدّم الجنازة، لخبر إسماعيل بن أبي زياد عن الصادق، عن أبيه،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الجنازة تذكّر الآخرة، و الوليمة تذكّر الدنيا</w:t>
      </w:r>
      <w:r>
        <w:rPr>
          <w:rFonts w:eastAsia="Amiri" w:cs="Amiri" w:ascii="Amiri" w:hAnsi="Amiri"/>
          <w:color w:val="111111"/>
          <w:sz w:val="28"/>
          <w:szCs w:val="28"/>
          <w:rtl w:val="true"/>
          <w:lang w:bidi="ar-SA"/>
        </w:rPr>
        <w:t>»</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يقول حامل الجنازة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w:t>
      </w:r>
      <w:r>
        <w:rPr>
          <w:rFonts w:eastAsia="Amiri" w:cs="Amiri" w:ascii="Amiri" w:hAnsi="Amiri"/>
          <w:color w:val="111111"/>
          <w:sz w:val="28"/>
          <w:szCs w:val="28"/>
          <w:rtl w:val="true"/>
          <w:lang w:bidi="ar-SA"/>
        </w:rPr>
        <w:t>)</w:t>
      </w:r>
      <w:r>
        <w:rPr>
          <w:rStyle w:val="FootnoteAnchor"/>
          <w:rtl w:val="true"/>
        </w:rPr>
        <w:footnoteReference w:id="2195"/>
      </w:r>
      <w:r>
        <w:rPr>
          <w:rFonts w:ascii="Amiri" w:hAnsi="Amiri" w:eastAsia="Amiri" w:cs="Amiri"/>
          <w:color w:val="111111"/>
          <w:sz w:val="28"/>
          <w:sz w:val="28"/>
          <w:szCs w:val="28"/>
          <w:rtl w:val="true"/>
          <w:lang w:bidi="ar-SA"/>
        </w:rPr>
        <w:t>على محمد و آل محمد، اللّهم اغفر للمؤمنين و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من رآه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هذا ما وعدنا اللّه و رسوله، و صدق اللّه و رسوله، اللّهم زدنا ايمانا و تسليما، الحمد للّه الذي تعزّز بالقدرة، و قهر العباد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عنبسة بن مصعب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جنازة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يجعلني من السواد المخترم</w:t>
      </w:r>
      <w:r>
        <w:rPr>
          <w:rFonts w:eastAsia="Amiri" w:cs="Amiri" w:ascii="Amiri" w:hAnsi="Amiri"/>
          <w:color w:val="111111"/>
          <w:sz w:val="28"/>
          <w:szCs w:val="28"/>
          <w:rtl w:val="true"/>
          <w:lang w:bidi="ar-SA"/>
        </w:rPr>
        <w:t>»</w:t>
      </w:r>
      <w:r>
        <w:rPr>
          <w:rStyle w:val="FootnoteAnchor"/>
          <w:rtl w:val="true"/>
        </w:rPr>
        <w:footnoteReference w:id="2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أيضا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 أو المستأصل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w:t>
      </w:r>
      <w:r>
        <w:rPr>
          <w:rStyle w:val="FootnoteAnchor"/>
          <w:rtl w:val="true"/>
        </w:rPr>
        <w:footnoteReference w:id="2200"/>
      </w:r>
      <w:r>
        <w:rPr>
          <w:rFonts w:ascii="Amiri" w:hAnsi="Amiri" w:eastAsia="Amiri" w:cs="Amiri"/>
          <w:color w:val="111111"/>
          <w:sz w:val="28"/>
          <w:sz w:val="28"/>
          <w:szCs w:val="28"/>
          <w:rtl w:val="true"/>
          <w:lang w:bidi="ar-SA"/>
        </w:rPr>
        <w:t>الجنس،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الأعظم،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يجعلني من هذا القبيل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ينافي هذا حبّ لقاء اللّه تعالى لأنّه غير مقيّد بوقت، فيحمل على حال الاحتضار و معاينة ما يحب، كما روينا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01"/>
      </w:r>
      <w:r>
        <w:rPr>
          <w:rFonts w:ascii="Amiri" w:hAnsi="Amiri" w:eastAsia="Amiri" w:cs="Amiri"/>
          <w:color w:val="111111"/>
          <w:sz w:val="28"/>
          <w:sz w:val="28"/>
          <w:szCs w:val="28"/>
          <w:rtl w:val="true"/>
          <w:lang w:bidi="ar-SA"/>
        </w:rPr>
        <w:t xml:space="preserve">و رووه في الصحاح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لقاء اللّه أحب اللّه لقاءه، و من كره لقاء اللّه كره اللّه لقاءه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لنكره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و لكن المؤمن إذا حضره الموت بشر برضوان اللّه و كرامته، فليس شيء أحبّ إليه ممّا أمامه، فأحب لقاء اللّه و أحب اللّه لقاءه، و ان الكافر إذا حضر بشّر بعذاب اللّه، فليس شيء أكره إليه ممّا أمامه، كره لقاء اللّه فكره اللّه لقاءه</w:t>
      </w:r>
      <w:r>
        <w:rPr>
          <w:rFonts w:eastAsia="Amiri" w:cs="Amiri" w:ascii="Amiri" w:hAnsi="Amiri"/>
          <w:color w:val="111111"/>
          <w:sz w:val="28"/>
          <w:szCs w:val="28"/>
          <w:rtl w:val="true"/>
          <w:lang w:bidi="ar-SA"/>
        </w:rPr>
        <w:t>»</w:t>
      </w:r>
      <w:r>
        <w:rPr>
          <w:rStyle w:val="FootnoteAnchor"/>
          <w:rtl w:val="true"/>
        </w:rPr>
        <w:footnoteReference w:id="2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بقية عمر المؤمن نفيسة، كما أشار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يتمنّ أحدكم الموت، و لا يدع به من قبل أن يأتيه، انه إذا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مات انقطع عمله، و انه لا يزيد المؤمن عمره إلاّ خيرا</w:t>
      </w:r>
      <w:r>
        <w:rPr>
          <w:rFonts w:eastAsia="Amiri" w:cs="Amiri" w:ascii="Amiri" w:hAnsi="Amiri"/>
          <w:color w:val="111111"/>
          <w:sz w:val="28"/>
          <w:szCs w:val="28"/>
          <w:rtl w:val="true"/>
          <w:lang w:bidi="ar-SA"/>
        </w:rPr>
        <w:t>»</w:t>
      </w:r>
      <w:r>
        <w:rPr>
          <w:rStyle w:val="FootnoteAnchor"/>
          <w:rtl w:val="true"/>
        </w:rPr>
        <w:footnoteReference w:id="2203"/>
      </w:r>
      <w:r>
        <w:rPr>
          <w:rFonts w:ascii="Amiri" w:hAnsi="Amiri" w:eastAsia="Amiri" w:cs="Amiri"/>
          <w:color w:val="111111"/>
          <w:sz w:val="28"/>
          <w:sz w:val="28"/>
          <w:szCs w:val="28"/>
          <w:rtl w:val="true"/>
          <w:lang w:bidi="ar-SA"/>
        </w:rPr>
        <w:t xml:space="preserve">، 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عمر المؤمن لا ثمن لها، يدرك بها ما فات، و يحيى بها ما مات</w:t>
      </w:r>
      <w:r>
        <w:rPr>
          <w:rFonts w:eastAsia="Amiri" w:cs="Amiri" w:ascii="Amiri" w:hAnsi="Amiri"/>
          <w:color w:val="111111"/>
          <w:sz w:val="28"/>
          <w:szCs w:val="28"/>
          <w:rtl w:val="true"/>
          <w:lang w:bidi="ar-SA"/>
        </w:rPr>
        <w:t>»</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أن يكنى بالمخترم عن الكافر، لأنه الهالك على الإطلاق بخلاف المؤمن، أو يراد بالمخترم من مات دون أربعين سنة كما</w:t>
      </w:r>
      <w:r>
        <w:rPr>
          <w:rStyle w:val="FootnoteAnchor"/>
          <w:rtl w:val="true"/>
        </w:rPr>
        <w:footnoteReference w:id="2205"/>
      </w:r>
      <w:r>
        <w:rPr>
          <w:rFonts w:ascii="Amiri" w:hAnsi="Amiri" w:eastAsia="Amiri" w:cs="Amiri"/>
          <w:color w:val="111111"/>
          <w:sz w:val="28"/>
          <w:sz w:val="28"/>
          <w:szCs w:val="28"/>
          <w:rtl w:val="true"/>
          <w:lang w:bidi="ar-SA"/>
        </w:rPr>
        <w:t>مر و إذا أريد به المستأصل فالجمع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أفضل مشي المشيّع وراءها، لأنّها متبوعة لا تابعة، و لرواية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الجنازة و لا تتبعكم، خالفوا أهل الكتاب</w:t>
      </w:r>
      <w:r>
        <w:rPr>
          <w:rFonts w:eastAsia="Amiri" w:cs="Amiri" w:ascii="Amiri" w:hAnsi="Amiri"/>
          <w:color w:val="111111"/>
          <w:sz w:val="28"/>
          <w:szCs w:val="28"/>
          <w:rtl w:val="true"/>
          <w:lang w:bidi="ar-SA"/>
        </w:rPr>
        <w:t>»</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عن جانبيها، لرواية سدير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يمشي ممشى الكرام الكاتبين فليمش جنبي السرير</w:t>
      </w:r>
      <w:r>
        <w:rPr>
          <w:rFonts w:eastAsia="Amiri" w:cs="Amiri" w:ascii="Amiri" w:hAnsi="Amiri"/>
          <w:color w:val="111111"/>
          <w:sz w:val="28"/>
          <w:szCs w:val="28"/>
          <w:rtl w:val="true"/>
          <w:lang w:bidi="ar-SA"/>
        </w:rPr>
        <w:t>»</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العامة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الماشي خلف الجنازة على الماشي أمامها كفضل المكتوبة على التطوّع</w:t>
      </w:r>
      <w:r>
        <w:rPr>
          <w:rFonts w:eastAsia="Amiri" w:cs="Amiri" w:ascii="Amiri" w:hAnsi="Amiri"/>
          <w:color w:val="111111"/>
          <w:sz w:val="28"/>
          <w:szCs w:val="28"/>
          <w:rtl w:val="true"/>
          <w:lang w:bidi="ar-SA"/>
        </w:rPr>
        <w:t>»</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أمامها، لرواية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يديها، و عن يمينها، و عن شمالها، و من خلفها</w:t>
      </w:r>
      <w:r>
        <w:rPr>
          <w:rFonts w:eastAsia="Amiri" w:cs="Amiri" w:ascii="Amiri" w:hAnsi="Amiri"/>
          <w:color w:val="111111"/>
          <w:sz w:val="28"/>
          <w:szCs w:val="28"/>
          <w:rtl w:val="true"/>
          <w:lang w:bidi="ar-SA"/>
        </w:rPr>
        <w:t>»</w:t>
      </w:r>
      <w:r>
        <w:rPr>
          <w:rStyle w:val="FootnoteAnchor"/>
          <w:rtl w:val="true"/>
        </w:rPr>
        <w:footnoteReference w:id="2209"/>
      </w:r>
      <w:r>
        <w:rPr>
          <w:rFonts w:ascii="Amiri" w:hAnsi="Amiri" w:eastAsia="Amiri" w:cs="Amiri"/>
          <w:color w:val="111111"/>
          <w:sz w:val="28"/>
          <w:sz w:val="28"/>
          <w:szCs w:val="28"/>
          <w:rtl w:val="true"/>
          <w:lang w:bidi="ar-SA"/>
        </w:rPr>
        <w:t xml:space="preserve">و لرواية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المشي خلف الجنازة أفضل من المشي بين يديها، و 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بأس ان يمشي بين يديها</w:t>
      </w:r>
      <w:r>
        <w:rPr>
          <w:rFonts w:eastAsia="Amiri" w:cs="Amiri" w:ascii="Amiri" w:hAnsi="Amiri"/>
          <w:color w:val="111111"/>
          <w:sz w:val="28"/>
          <w:szCs w:val="28"/>
          <w:rtl w:val="true"/>
          <w:lang w:bidi="ar-SA"/>
        </w:rPr>
        <w:t>»</w:t>
      </w:r>
      <w:r>
        <w:rPr>
          <w:rStyle w:val="FootnoteAnchor"/>
          <w:rtl w:val="true"/>
        </w:rPr>
        <w:footnoteReference w:id="2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مشيه خلفها،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رأيتهم يمشون أمامها و نحن تبع لهم</w:t>
      </w:r>
      <w:r>
        <w:rPr>
          <w:rFonts w:eastAsia="Amiri" w:cs="Amiri" w:ascii="Amiri" w:hAnsi="Amiri"/>
          <w:color w:val="111111"/>
          <w:sz w:val="28"/>
          <w:szCs w:val="28"/>
          <w:rtl w:val="true"/>
          <w:lang w:bidi="ar-SA"/>
        </w:rPr>
        <w:t>»</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التأخر خلف جنازة المعادي لذي القربى، لخبر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المشي أمام جنازة المخالف لاستقبال ملائكة العذاب إياه</w:t>
      </w:r>
      <w:r>
        <w:rPr>
          <w:rStyle w:val="FootnoteAnchor"/>
          <w:rtl w:val="true"/>
        </w:rPr>
        <w:footnoteReference w:id="2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العامة من رؤية ابن 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الأوّلين يمشون أمامها</w:t>
      </w:r>
      <w:r>
        <w:rPr>
          <w:rStyle w:val="FootnoteAnchor"/>
          <w:rtl w:val="true"/>
        </w:rPr>
        <w:footnoteReference w:id="2213"/>
      </w:r>
      <w:r>
        <w:rPr>
          <w:rFonts w:ascii="Amiri" w:hAnsi="Amiri" w:eastAsia="Amiri" w:cs="Amiri"/>
          <w:color w:val="111111"/>
          <w:sz w:val="28"/>
          <w:sz w:val="28"/>
          <w:szCs w:val="28"/>
          <w:rtl w:val="true"/>
          <w:lang w:bidi="ar-SA"/>
        </w:rPr>
        <w:t xml:space="preserve">لم يثبت، و لو سلم فهو حكاية حال، فجاز أن يكون لبيان الجواز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فعلهما فليس حجّة بمجرده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صاحب الجنازة بين يديها، و القاضون حقه وراءها، و روى الحسين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سرير</w:t>
      </w:r>
      <w:r>
        <w:rPr>
          <w:rStyle w:val="FootnoteAnchor"/>
          <w:rtl w:val="true"/>
        </w:rPr>
        <w:footnoteReference w:id="2214"/>
      </w:r>
      <w:r>
        <w:rPr>
          <w:rFonts w:ascii="Amiri" w:hAnsi="Amiri" w:eastAsia="Amiri" w:cs="Amiri"/>
          <w:color w:val="111111"/>
          <w:sz w:val="28"/>
          <w:sz w:val="28"/>
          <w:szCs w:val="28"/>
          <w:rtl w:val="true"/>
          <w:lang w:bidi="ar-SA"/>
        </w:rPr>
        <w:t>ابنه إسماعيل بلا حذاء و لا رداء</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كثير من الأصحاب يرى كراهية المشي أمامها</w:t>
      </w:r>
      <w:r>
        <w:rPr>
          <w:rStyle w:val="FootnoteAnchor"/>
          <w:rtl w:val="true"/>
        </w:rPr>
        <w:footnoteReference w:id="2216"/>
      </w:r>
      <w:r>
        <w:rPr>
          <w:rFonts w:ascii="Amiri" w:hAnsi="Amiri" w:eastAsia="Amiri" w:cs="Amiri"/>
          <w:color w:val="111111"/>
          <w:sz w:val="28"/>
          <w:sz w:val="28"/>
          <w:szCs w:val="28"/>
          <w:rtl w:val="true"/>
          <w:lang w:bidi="ar-SA"/>
        </w:rPr>
        <w:t>، و في النهاية جعل تركه أفضل</w:t>
      </w:r>
      <w:r>
        <w:rPr>
          <w:rStyle w:val="FootnoteAnchor"/>
          <w:rtl w:val="true"/>
        </w:rPr>
        <w:footnoteReference w:id="2217"/>
      </w:r>
      <w:r>
        <w:rPr>
          <w:rFonts w:ascii="IRNazanin" w:hAnsi="IRNazanin" w:eastAsia="IRNazanin"/>
          <w:color w:val="111111"/>
          <w:sz w:val="28"/>
          <w:sz w:val="28"/>
          <w:szCs w:val="28"/>
          <w:rtl w:val="true"/>
          <w:lang w:bidi="fa-IR"/>
        </w:rPr>
        <w:t>، و هو الأولى</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الركوب،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تشييع جنازة 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أن أركب و الملائكة يمشون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عبد الرحمن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العامة عن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083" w:name="pg15253_219904"/>
    </w:p>
    <w:p>
      <w:pPr>
        <w:pStyle w:val="BookText"/>
        <w:rPr/>
      </w:pPr>
      <w:bookmarkEnd w:id="1083"/>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جنازة فرأى ركبانا،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تستحيون فإن ملائكة اللّه على أقدامهم و أنتم على ظهور الدواب</w:t>
      </w:r>
      <w:r>
        <w:rPr>
          <w:rFonts w:eastAsia="Amiri" w:cs="Amiri" w:ascii="Amiri" w:hAnsi="Amiri"/>
          <w:color w:val="111111"/>
          <w:sz w:val="28"/>
          <w:szCs w:val="28"/>
          <w:rtl w:val="true"/>
          <w:lang w:bidi="ar-SA"/>
        </w:rPr>
        <w:t>»</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يجوز مع العذر، لخبر غياث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كره الركوب معها في بدأة الاّ من عذر،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إذا رجع</w:t>
      </w:r>
      <w:r>
        <w:rPr>
          <w:rFonts w:eastAsia="Amiri" w:cs="Amiri" w:ascii="Amiri" w:hAnsi="Amiri"/>
          <w:color w:val="111111"/>
          <w:sz w:val="28"/>
          <w:szCs w:val="28"/>
          <w:rtl w:val="true"/>
          <w:lang w:bidi="ar-SA"/>
        </w:rPr>
        <w:t>»</w:t>
      </w:r>
      <w:r>
        <w:rPr>
          <w:rStyle w:val="FootnoteAnchor"/>
          <w:rtl w:val="true"/>
        </w:rPr>
        <w:footnoteReference w:id="2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ركب يتأكد له التأخير، لما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الراكب يمشي خلف الجنازة، و الماشي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خلفها و امامها و عن جانبيها قريبا منها</w:t>
      </w:r>
      <w:r>
        <w:rPr>
          <w:rFonts w:eastAsia="Amiri" w:cs="Amiri" w:ascii="Amiri" w:hAnsi="Amiri"/>
          <w:color w:val="111111"/>
          <w:sz w:val="28"/>
          <w:szCs w:val="28"/>
          <w:rtl w:val="true"/>
          <w:lang w:bidi="ar-SA"/>
        </w:rPr>
        <w:t>»</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يركب فيها صاحب الجنازة، و لا اهله، و لا إخوان الميت</w:t>
      </w:r>
      <w:r>
        <w:rPr>
          <w:rFonts w:eastAsia="Amiri" w:cs="Amiri" w:ascii="Amiri" w:hAnsi="Amiri"/>
          <w:color w:val="111111"/>
          <w:sz w:val="28"/>
          <w:szCs w:val="28"/>
          <w:rtl w:val="true"/>
          <w:lang w:bidi="ar-SA"/>
        </w:rPr>
        <w:t>.</w:t>
      </w:r>
    </w:p>
    <w:p>
      <w:pPr>
        <w:pStyle w:val="Heading6"/>
        <w:numPr>
          <w:ilvl w:val="5"/>
          <w:numId w:val="1"/>
        </w:numPr>
        <w:rPr/>
      </w:pPr>
      <w:bookmarkStart w:id="1084" w:name="__RefHeading___Toc4192471_2142443653"/>
      <w:bookmarkStart w:id="1085" w:name="_Toc441"/>
      <w:bookmarkEnd w:id="1084"/>
      <w:r>
        <w:rPr>
          <w:rtl w:val="true"/>
        </w:rPr>
        <w:t>و هنا مسائل</w:t>
      </w:r>
      <w:r>
        <w:rPr>
          <w:rtl w:val="true"/>
        </w:rPr>
        <w:t>.</w:t>
      </w:r>
      <w:bookmarkEnd w:id="1085"/>
    </w:p>
    <w:p>
      <w:pPr>
        <w:pStyle w:val="Heading6"/>
        <w:numPr>
          <w:ilvl w:val="5"/>
          <w:numId w:val="1"/>
        </w:numPr>
        <w:rPr/>
      </w:pPr>
      <w:bookmarkStart w:id="1086" w:name="__RefHeading___Toc4192473_2142443653"/>
      <w:bookmarkStart w:id="1087" w:name="_Toc442"/>
      <w:bookmarkEnd w:id="1086"/>
      <w:r>
        <w:rPr>
          <w:rtl w:val="true"/>
        </w:rPr>
        <w:t>الأولى</w:t>
      </w:r>
      <w:r>
        <w:rPr>
          <w:rtl w:val="true"/>
        </w:rPr>
        <w:t xml:space="preserve">: </w:t>
      </w:r>
      <w:r>
        <w:rPr>
          <w:rtl w:val="true"/>
        </w:rPr>
        <w:t>يستحب للمشيّع ان يحضر قلبه التفكر في مآله،</w:t>
      </w:r>
      <w:bookmarkEnd w:id="1087"/>
    </w:p>
    <w:p>
      <w:pPr>
        <w:pStyle w:val="BookText"/>
        <w:rPr/>
      </w:pPr>
      <w:r>
        <w:rPr>
          <w:rFonts w:ascii="IRNazanin" w:hAnsi="IRNazanin" w:eastAsia="IRNazanin"/>
          <w:color w:val="111111"/>
          <w:sz w:val="28"/>
          <w:sz w:val="28"/>
          <w:szCs w:val="28"/>
          <w:rtl w:val="true"/>
          <w:lang w:bidi="fa-IR"/>
        </w:rPr>
        <w:t>و التخشّع و الاتّعاظ بالموت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يكره له الضحك و اللّهو، لما روي ان النبي أو عليا صلّى اللّه عليهما شيّع جنازة فسمع رجلا يضحك،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الموت فيها على غيرنا كتب</w:t>
      </w:r>
      <w:r>
        <w:rPr>
          <w:rFonts w:eastAsia="Amiri" w:cs="Amiri" w:ascii="Amiri" w:hAnsi="Amiri"/>
          <w:color w:val="111111"/>
          <w:sz w:val="28"/>
          <w:szCs w:val="28"/>
          <w:rtl w:val="true"/>
          <w:lang w:bidi="ar-SA"/>
        </w:rPr>
        <w:t>»</w:t>
      </w:r>
      <w:r>
        <w:rPr>
          <w:rStyle w:val="FootnoteAnchor"/>
          <w:rtl w:val="true"/>
        </w:rPr>
        <w:footnoteReference w:id="2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 الصوت، 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تتبع الجنازة بصوت</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تقول ارفقوا به، أو ترحّموا عليه، أو تضرب يدك على فخذك فيحبط أجرك</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رواية نادرة، و لا بأس بمتابعته تفصيا من المكروه</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ما أدري أيهم أعظم جرما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يمشي مع الجنازة بغير رداء، و الذي يقول قفوا، و الذي يقول استغفروا له غفر اللّه لكم</w:t>
      </w:r>
      <w:r>
        <w:rPr>
          <w:rFonts w:eastAsia="Amiri" w:cs="Amiri" w:ascii="Amiri" w:hAnsi="Amiri"/>
          <w:color w:val="111111"/>
          <w:sz w:val="28"/>
          <w:szCs w:val="28"/>
          <w:rtl w:val="true"/>
          <w:lang w:bidi="ar-SA"/>
        </w:rPr>
        <w:t>»</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يعلم كراهية مشي غير صاحب الجنازة بغير رداء، و يظهر من ابن حمزة تحريمه</w:t>
      </w:r>
      <w:r>
        <w:rPr>
          <w:rStyle w:val="FootnoteAnchor"/>
          <w:rtl w:val="true"/>
        </w:rPr>
        <w:footnoteReference w:id="2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صاحب الجنازة، فيخلعه ليتميز عن غيره، لما مرّ، و لخبر ابن أبي عمير المرسل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28"/>
      </w:r>
      <w:r>
        <w:rPr>
          <w:rFonts w:ascii="Amiri" w:hAnsi="Amiri" w:eastAsia="Amiri" w:cs="Amiri"/>
          <w:color w:val="111111"/>
          <w:sz w:val="28"/>
          <w:sz w:val="28"/>
          <w:szCs w:val="28"/>
          <w:rtl w:val="true"/>
          <w:lang w:bidi="ar-SA"/>
        </w:rPr>
        <w:t xml:space="preserve">و خبر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الجعفي، و ابن حمزة</w:t>
      </w:r>
      <w:r>
        <w:rPr>
          <w:rStyle w:val="FootnoteAnchor"/>
          <w:rtl w:val="true"/>
        </w:rPr>
        <w:footnoteReference w:id="2230"/>
      </w:r>
      <w:r>
        <w:rPr>
          <w:rFonts w:ascii="IRNazanin" w:hAnsi="IRNazanin" w:eastAsia="IRNazanin"/>
          <w:color w:val="111111"/>
          <w:sz w:val="28"/>
          <w:sz w:val="28"/>
          <w:szCs w:val="28"/>
          <w:rtl w:val="true"/>
          <w:lang w:bidi="fa-IR"/>
        </w:rPr>
        <w:t>و الفاضلان</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ابن الجنيد أيضا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بطرح بعض زيّه بإرسال طرف العمامة، أو أخذ مئزر من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الأب و الأخ، و لا يجوز على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حمزة منع هنا مع تجويزه الامتياز</w:t>
      </w:r>
      <w:r>
        <w:rPr>
          <w:rStyle w:val="FootnoteAnchor"/>
          <w:rtl w:val="true"/>
        </w:rPr>
        <w:footnoteReference w:id="2232"/>
      </w:r>
      <w:r>
        <w:rPr>
          <w:rFonts w:ascii="Amiri" w:hAnsi="Amiri" w:eastAsia="Amiri" w:cs="Amiri"/>
          <w:color w:val="111111"/>
          <w:sz w:val="28"/>
          <w:sz w:val="28"/>
          <w:szCs w:val="28"/>
          <w:rtl w:val="true"/>
          <w:lang w:bidi="ar-SA"/>
        </w:rPr>
        <w:t>فكأنّه يخصّ النهي</w:t>
      </w:r>
      <w:r>
        <w:rPr>
          <w:rStyle w:val="FootnoteAnchor"/>
          <w:rtl w:val="true"/>
        </w:rPr>
        <w:footnoteReference w:id="2233"/>
      </w:r>
      <w:r>
        <w:rPr>
          <w:rFonts w:ascii="Amiri" w:hAnsi="Amiri" w:eastAsia="Amiri" w:cs="Amiri"/>
          <w:color w:val="111111"/>
          <w:sz w:val="28"/>
          <w:sz w:val="28"/>
          <w:szCs w:val="28"/>
          <w:rtl w:val="true"/>
          <w:lang w:bidi="ar-SA"/>
        </w:rPr>
        <w:t>في غير الأب و الأخ بهذا النوع من الامتياز</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أنكر ابن إدريس الامتياز بهذين، لعدم الدليل عليهما، و زعم أنّه من خصوصيات الشيخ</w:t>
      </w:r>
      <w:r>
        <w:rPr>
          <w:rStyle w:val="FootnoteAnchor"/>
          <w:rtl w:val="true"/>
        </w:rPr>
        <w:footnoteReference w:id="2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الفاضلان بأحاديث الامتياز</w:t>
      </w:r>
      <w:r>
        <w:rPr>
          <w:rStyle w:val="FootnoteAnchor"/>
          <w:rtl w:val="true"/>
        </w:rPr>
        <w:footnoteReference w:id="2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إنّما أنكر هذا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088" w:name="pg15253_219906"/>
    </w:p>
    <w:p>
      <w:pPr>
        <w:pStyle w:val="BookText"/>
        <w:rPr/>
      </w:pPr>
      <w:bookmarkEnd w:id="1088"/>
      <w:r>
        <w:rPr>
          <w:rFonts w:ascii="Amiri" w:hAnsi="Amiri" w:eastAsia="Amiri" w:cs="Amiri"/>
          <w:color w:val="111111"/>
          <w:sz w:val="28"/>
          <w:sz w:val="28"/>
          <w:szCs w:val="28"/>
          <w:rtl w:val="true"/>
          <w:lang w:bidi="ar-SA"/>
        </w:rPr>
        <w:t>النوع من الامتياز و ظاهر أنّ الأخبار لا تتناوله، ثم لم نقف على دليل الشيخ عليه، و لا على اختصاص الأب و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يتحفّى، و يحلّ أزراره في جنازة أبيه و جدّه خاصة</w:t>
      </w:r>
      <w:r>
        <w:rPr>
          <w:rStyle w:val="FootnoteAnchor"/>
          <w:rtl w:val="true"/>
        </w:rPr>
        <w:footnoteReference w:id="2236"/>
      </w:r>
      <w:r>
        <w:rPr>
          <w:rFonts w:ascii="Amiri" w:hAnsi="Amiri" w:eastAsia="Amiri" w:cs="Amiri"/>
          <w:color w:val="111111"/>
          <w:sz w:val="28"/>
          <w:sz w:val="28"/>
          <w:szCs w:val="28"/>
          <w:rtl w:val="true"/>
          <w:lang w:bidi="ar-SA"/>
        </w:rPr>
        <w:t>و يردّه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مسّ الجنازة بالأيدي و الأكمام، لأنّه لا يؤمن معه فساد الميت</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9" w:name="__RefHeading___Toc4192475_2142443653"/>
      <w:bookmarkStart w:id="1090" w:name="_Toc443"/>
      <w:bookmarkEnd w:id="1089"/>
      <w:r>
        <w:rPr>
          <w:rtl w:val="true"/>
        </w:rPr>
        <w:t>الثانية</w:t>
      </w:r>
      <w:r>
        <w:rPr>
          <w:rtl w:val="true"/>
        </w:rPr>
        <w:t xml:space="preserve">: </w:t>
      </w:r>
      <w:r>
        <w:rPr>
          <w:rtl w:val="true"/>
        </w:rPr>
        <w:t>نقل الشيخ الإجماع على كراهية الإسراع بالجنازة</w:t>
      </w:r>
      <w:bookmarkEnd w:id="1090"/>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الشيخ الإجماع على كراهية الإسراع بالجنازة</w:t>
      </w:r>
      <w:r>
        <w:rPr>
          <w:rStyle w:val="FootnoteAnchor"/>
          <w:rtl w:val="true"/>
        </w:rPr>
        <w:footnoteReference w:id="2238"/>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بالقصد في جنائزكم</w:t>
      </w:r>
      <w:r>
        <w:rPr>
          <w:rFonts w:eastAsia="Amiri" w:cs="Amiri" w:ascii="Amiri" w:hAnsi="Amiri"/>
          <w:color w:val="111111"/>
          <w:sz w:val="28"/>
          <w:szCs w:val="28"/>
          <w:rtl w:val="true"/>
          <w:lang w:bidi="ar-SA"/>
        </w:rPr>
        <w:t>»</w:t>
      </w:r>
      <w:r>
        <w:rPr>
          <w:rStyle w:val="FootnoteAnchor"/>
          <w:rtl w:val="true"/>
        </w:rPr>
        <w:footnoteReference w:id="2239"/>
      </w:r>
      <w:r>
        <w:rPr>
          <w:rFonts w:ascii="Amiri" w:hAnsi="Amiri" w:eastAsia="Amiri" w:cs="Amiri"/>
          <w:color w:val="111111"/>
          <w:sz w:val="28"/>
          <w:sz w:val="28"/>
          <w:szCs w:val="28"/>
          <w:rtl w:val="true"/>
          <w:lang w:bidi="ar-SA"/>
        </w:rPr>
        <w:t>لما رأى جنازة تمخض مخضا، و قال ابن عباس في جنازة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ارفقوا فإنّها أمكم</w:t>
      </w:r>
      <w:r>
        <w:rPr>
          <w:rStyle w:val="FootnoteAnchor"/>
          <w:rtl w:val="true"/>
        </w:rPr>
        <w:footnoteReference w:id="2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خيف على الميت فالإسراع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الشيخ كراهية ما زاد على المعتاد</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بها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بها خببا</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و الخبب ضرب منه، فهما دالاّن على 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إذا كان من أهل الجنة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بي، و إن كان من أهل النار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w:t>
      </w:r>
      <w:r>
        <w:rPr>
          <w:rFonts w:eastAsia="Amiri" w:cs="Amiri" w:ascii="Amiri" w:hAnsi="Amiri"/>
          <w:color w:val="111111"/>
          <w:sz w:val="28"/>
          <w:szCs w:val="28"/>
          <w:rtl w:val="true"/>
          <w:lang w:bidi="ar-SA"/>
        </w:rPr>
        <w:t>»</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91" w:name="__RefHeading___Toc4192477_2142443653"/>
      <w:bookmarkStart w:id="1092" w:name="_Toc444"/>
      <w:bookmarkEnd w:id="1091"/>
      <w:r>
        <w:rPr>
          <w:rtl w:val="true"/>
        </w:rPr>
        <w:t>الثالثة</w:t>
      </w:r>
      <w:r>
        <w:rPr>
          <w:rtl w:val="true"/>
        </w:rPr>
        <w:t xml:space="preserve">: </w:t>
      </w:r>
      <w:r>
        <w:rPr>
          <w:rtl w:val="true"/>
        </w:rPr>
        <w:t>يستحبّ حمل النساء في النعش، للستر</w:t>
      </w:r>
      <w:r>
        <w:rPr>
          <w:rtl w:val="true"/>
        </w:rPr>
        <w:t>.</w:t>
      </w:r>
      <w:bookmarkStart w:id="1093" w:name="pg15253_219907"/>
      <w:bookmarkEnd w:id="1092"/>
    </w:p>
    <w:p>
      <w:pPr>
        <w:pStyle w:val="BookText"/>
        <w:rPr/>
      </w:pPr>
      <w:bookmarkEnd w:id="1093"/>
      <w:r>
        <w:rPr>
          <w:rFonts w:ascii="Amiri" w:hAnsi="Amiri" w:eastAsia="Amiri" w:cs="Amiri"/>
          <w:color w:val="111111"/>
          <w:sz w:val="28"/>
          <w:sz w:val="28"/>
          <w:szCs w:val="28"/>
          <w:rtl w:val="true"/>
          <w:lang w:bidi="ar-SA"/>
        </w:rPr>
        <w:t xml:space="preserve">و عن سليمان بن خالد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جعل له النعش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الحذّاء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 نعش أحدث في الإسلام، اتخذته لها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رأت بالحبشة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جرائد فشدّت على قوائمه، ثم جلّلته ثوبا</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النعش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بحمل الصبي على أيدي الرجال، و الجنازة على ظهور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السرير عليه الميت، أو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المظلّل عليه</w:t>
      </w:r>
      <w:r>
        <w:rPr>
          <w:rFonts w:eastAsia="Amiri" w:cs="Amiri" w:ascii="Amiri" w:hAnsi="Amiri"/>
          <w:color w:val="111111"/>
          <w:sz w:val="28"/>
          <w:szCs w:val="28"/>
          <w:rtl w:val="true"/>
          <w:lang w:bidi="ar-SA"/>
        </w:rPr>
        <w:t>.</w:t>
      </w:r>
    </w:p>
    <w:p>
      <w:pPr>
        <w:pStyle w:val="Heading6"/>
        <w:numPr>
          <w:ilvl w:val="5"/>
          <w:numId w:val="1"/>
        </w:numPr>
        <w:rPr/>
      </w:pPr>
      <w:bookmarkStart w:id="1094" w:name="__RefHeading___Toc4192479_2142443653"/>
      <w:bookmarkStart w:id="1095" w:name="_Toc445"/>
      <w:bookmarkEnd w:id="1094"/>
      <w:r>
        <w:rPr>
          <w:rtl w:val="true"/>
        </w:rPr>
        <w:t>الرابعة</w:t>
      </w:r>
      <w:r>
        <w:rPr>
          <w:rtl w:val="true"/>
        </w:rPr>
        <w:t xml:space="preserve">: </w:t>
      </w:r>
      <w:r>
        <w:rPr>
          <w:rtl w:val="true"/>
        </w:rPr>
        <w:t>يكره الاتباع بنار،</w:t>
      </w:r>
      <w:bookmarkEnd w:id="1095"/>
    </w:p>
    <w:p>
      <w:pPr>
        <w:pStyle w:val="BookText"/>
        <w:rPr/>
      </w:pPr>
      <w:r>
        <w:rPr>
          <w:rFonts w:ascii="Amiri" w:hAnsi="Amiri" w:eastAsia="Amiri" w:cs="Amiri"/>
          <w:color w:val="111111"/>
          <w:sz w:val="28"/>
          <w:sz w:val="28"/>
          <w:szCs w:val="28"/>
          <w:rtl w:val="true"/>
          <w:lang w:bidi="ar-SA"/>
        </w:rPr>
        <w:t xml:space="preserve">إجماعا، و هو 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ان تتبع بمجمرة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السكوني</w:t>
      </w:r>
      <w:r>
        <w:rPr>
          <w:rStyle w:val="FootnoteAnchor"/>
          <w:rtl w:val="true"/>
        </w:rPr>
        <w:footnoteReference w:id="2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كان ليلا جاز المصباح،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ليلا و معها مصابيح</w:t>
      </w:r>
      <w:r>
        <w:rPr>
          <w:rFonts w:eastAsia="Amiri" w:cs="Amiri" w:ascii="Amiri" w:hAnsi="Amiri"/>
          <w:color w:val="111111"/>
          <w:sz w:val="28"/>
          <w:szCs w:val="28"/>
          <w:rtl w:val="true"/>
          <w:lang w:bidi="ar-SA"/>
        </w:rPr>
        <w:t>»</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6" w:name="__RefHeading___Toc4192481_2142443653"/>
      <w:bookmarkStart w:id="1097" w:name="_Toc446"/>
      <w:bookmarkEnd w:id="1096"/>
      <w:r>
        <w:rPr>
          <w:rtl w:val="true"/>
        </w:rPr>
        <w:t>الخامسة</w:t>
      </w:r>
      <w:r>
        <w:rPr>
          <w:rtl w:val="true"/>
        </w:rPr>
        <w:t xml:space="preserve">: </w:t>
      </w:r>
      <w:r>
        <w:rPr>
          <w:rtl w:val="true"/>
        </w:rPr>
        <w:t>يكره اتباع النساء الجنازة،</w:t>
      </w:r>
      <w:bookmarkEnd w:id="1097"/>
    </w:p>
    <w:p>
      <w:pPr>
        <w:pStyle w:val="BookText"/>
        <w:rPr/>
      </w:pP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ارجعن مأزورات غير مأجورات</w:t>
      </w:r>
      <w:r>
        <w:rPr>
          <w:rFonts w:eastAsia="Amiri" w:cs="Amiri" w:ascii="Amiri" w:hAnsi="Amiri"/>
          <w:color w:val="111111"/>
          <w:sz w:val="28"/>
          <w:szCs w:val="28"/>
          <w:rtl w:val="true"/>
          <w:lang w:bidi="ar-SA"/>
        </w:rPr>
        <w:t>»</w:t>
      </w:r>
      <w:r>
        <w:rPr>
          <w:rStyle w:val="FootnoteAnchor"/>
          <w:rtl w:val="true"/>
        </w:rPr>
        <w:footnoteReference w:id="2250"/>
      </w:r>
      <w:r>
        <w:rPr>
          <w:rFonts w:ascii="Amiri" w:hAnsi="Amiri" w:eastAsia="Amiri" w:cs="Amiri"/>
          <w:color w:val="111111"/>
          <w:sz w:val="28"/>
          <w:sz w:val="28"/>
          <w:szCs w:val="28"/>
          <w:rtl w:val="true"/>
          <w:lang w:bidi="ar-SA"/>
        </w:rPr>
        <w:t>و لقول أم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نهينا عن اتباع الجنازة</w:t>
      </w:r>
      <w:r>
        <w:rPr>
          <w:rStyle w:val="FootnoteAnchor"/>
          <w:rtl w:val="true"/>
        </w:rPr>
        <w:footnoteReference w:id="2251"/>
      </w:r>
      <w:bookmarkStart w:id="1098" w:name="pg15253_219908"/>
    </w:p>
    <w:p>
      <w:pPr>
        <w:pStyle w:val="BookText"/>
        <w:rPr/>
      </w:pPr>
      <w:bookmarkEnd w:id="1098"/>
      <w:r>
        <w:rPr>
          <w:rFonts w:ascii="Amiri" w:hAnsi="Amiri" w:eastAsia="Amiri" w:cs="Amiri"/>
          <w:color w:val="111111"/>
          <w:sz w:val="28"/>
          <w:sz w:val="28"/>
          <w:szCs w:val="28"/>
          <w:rtl w:val="true"/>
          <w:lang w:bidi="ar-SA"/>
        </w:rPr>
        <w:t>و لأنّه تبرّج</w:t>
      </w:r>
      <w:r>
        <w:rPr>
          <w:rFonts w:eastAsia="Amiri" w:cs="Amiri" w:ascii="Amiri" w:hAnsi="Amiri"/>
          <w:color w:val="111111"/>
          <w:sz w:val="28"/>
          <w:szCs w:val="28"/>
          <w:rtl w:val="true"/>
          <w:lang w:bidi="ar-SA"/>
        </w:rPr>
        <w:t>.</w:t>
      </w:r>
    </w:p>
    <w:p>
      <w:pPr>
        <w:pStyle w:val="Heading6"/>
        <w:numPr>
          <w:ilvl w:val="5"/>
          <w:numId w:val="1"/>
        </w:numPr>
        <w:rPr/>
      </w:pPr>
      <w:bookmarkStart w:id="1099" w:name="__RefHeading___Toc4192483_2142443653"/>
      <w:bookmarkStart w:id="1100" w:name="_Toc447"/>
      <w:bookmarkEnd w:id="1099"/>
      <w:r>
        <w:rPr>
          <w:rtl w:val="true"/>
        </w:rPr>
        <w:t>السادسة</w:t>
      </w:r>
      <w:r>
        <w:rPr>
          <w:rtl w:val="true"/>
        </w:rPr>
        <w:t xml:space="preserve">: </w:t>
      </w:r>
      <w:r>
        <w:rPr>
          <w:rtl w:val="true"/>
        </w:rPr>
        <w:t>لا يستحبّ القيام لمن مرّت عليه الجنازة،</w:t>
      </w:r>
      <w:bookmarkEnd w:id="1100"/>
    </w:p>
    <w:p>
      <w:pPr>
        <w:pStyle w:val="BookText"/>
        <w:rPr/>
      </w:pPr>
      <w:r>
        <w:rPr>
          <w:rFonts w:ascii="Amiri" w:hAnsi="Amiri" w:eastAsia="Amiri" w:cs="Amiri"/>
          <w:color w:val="111111"/>
          <w:sz w:val="28"/>
          <w:sz w:val="28"/>
          <w:szCs w:val="28"/>
          <w:rtl w:val="true"/>
          <w:lang w:bidi="ar-SA"/>
        </w:rPr>
        <w:t xml:space="preserve">لقول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قعد</w:t>
      </w:r>
      <w:r>
        <w:rPr>
          <w:rFonts w:eastAsia="Amiri" w:cs="Amiri" w:ascii="Amiri" w:hAnsi="Amiri"/>
          <w:color w:val="111111"/>
          <w:sz w:val="28"/>
          <w:szCs w:val="28"/>
          <w:rtl w:val="true"/>
          <w:lang w:bidi="ar-SA"/>
        </w:rPr>
        <w:t>»</w:t>
      </w:r>
      <w:r>
        <w:rPr>
          <w:rStyle w:val="FootnoteAnchor"/>
          <w:rtl w:val="true"/>
        </w:rPr>
        <w:footnoteReference w:id="2252"/>
      </w:r>
      <w:r>
        <w:rPr>
          <w:rFonts w:ascii="Amiri" w:hAnsi="Amiri" w:eastAsia="Amiri" w:cs="Amiri"/>
          <w:color w:val="111111"/>
          <w:sz w:val="28"/>
          <w:sz w:val="28"/>
          <w:szCs w:val="28"/>
          <w:rtl w:val="true"/>
          <w:lang w:bidi="ar-SA"/>
        </w:rPr>
        <w:t xml:space="preserve">و لخبر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فعله الحسين، و لا أحد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فتشكّك القائل</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لو كان الميت كافرا جاز القيام، لخبر مثنّى الحناط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الحسين جالسا، فمرّت به جنازة فقام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جنازة يهودي،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فكره أن تعلو رأسه</w:t>
      </w:r>
      <w:r>
        <w:rPr>
          <w:rFonts w:eastAsia="Amiri" w:cs="Amiri" w:ascii="Amiri" w:hAnsi="Amiri"/>
          <w:color w:val="111111"/>
          <w:sz w:val="28"/>
          <w:szCs w:val="28"/>
          <w:rtl w:val="true"/>
          <w:lang w:bidi="ar-SA"/>
        </w:rPr>
        <w:t>»</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الجنازة فقوموا</w:t>
      </w:r>
      <w:r>
        <w:rPr>
          <w:rFonts w:eastAsia="Amiri" w:cs="Amiri" w:ascii="Amiri" w:hAnsi="Amiri"/>
          <w:color w:val="111111"/>
          <w:sz w:val="28"/>
          <w:szCs w:val="28"/>
          <w:rtl w:val="true"/>
          <w:lang w:bidi="ar-SA"/>
        </w:rPr>
        <w:t>»</w:t>
      </w:r>
      <w:r>
        <w:rPr>
          <w:rStyle w:val="FootnoteAnchor"/>
          <w:rtl w:val="true"/>
        </w:rPr>
        <w:footnoteReference w:id="2255"/>
      </w:r>
      <w:r>
        <w:rPr>
          <w:rFonts w:ascii="IRNazanin" w:hAnsi="IRNazanin" w:eastAsia="IRNazanin"/>
          <w:color w:val="111111"/>
          <w:sz w:val="28"/>
          <w:sz w:val="28"/>
          <w:szCs w:val="28"/>
          <w:rtl w:val="true"/>
          <w:lang w:bidi="fa-IR"/>
        </w:rPr>
        <w:t>منسوخ</w:t>
      </w:r>
      <w:r>
        <w:rPr>
          <w:rFonts w:eastAsia="IRNazanin" w:cs="IRNazanin"/>
          <w:color w:val="111111"/>
          <w:sz w:val="28"/>
          <w:szCs w:val="28"/>
          <w:rtl w:val="true"/>
          <w:lang w:bidi="fa-IR"/>
        </w:rPr>
        <w:t>.</w:t>
      </w:r>
    </w:p>
    <w:p>
      <w:pPr>
        <w:pStyle w:val="Heading6"/>
        <w:numPr>
          <w:ilvl w:val="5"/>
          <w:numId w:val="1"/>
        </w:numPr>
        <w:rPr/>
      </w:pPr>
      <w:bookmarkStart w:id="1101" w:name="__RefHeading___Toc4192485_2142443653"/>
      <w:bookmarkStart w:id="1102" w:name="_Toc448"/>
      <w:bookmarkEnd w:id="1101"/>
      <w:r>
        <w:rPr>
          <w:rtl w:val="true"/>
        </w:rPr>
        <w:t>السابعة</w:t>
      </w:r>
      <w:r>
        <w:rPr>
          <w:rtl w:val="true"/>
        </w:rPr>
        <w:t xml:space="preserve">: </w:t>
      </w:r>
      <w:r>
        <w:rPr>
          <w:rtl w:val="true"/>
        </w:rPr>
        <w:t>اختلف الأصحاب في كراهة جلوس المشيّع قبل الوضع في اللّحد</w:t>
      </w:r>
      <w:r>
        <w:rPr>
          <w:rtl w:val="true"/>
        </w:rPr>
        <w:t>:</w:t>
      </w:r>
      <w:bookmarkEnd w:id="1102"/>
    </w:p>
    <w:p>
      <w:pPr>
        <w:pStyle w:val="BookText"/>
        <w:rPr/>
      </w:pPr>
      <w:r>
        <w:rPr>
          <w:rFonts w:ascii="Amiri" w:hAnsi="Amiri" w:eastAsia="Amiri" w:cs="Amiri"/>
          <w:color w:val="111111"/>
          <w:sz w:val="28"/>
          <w:sz w:val="28"/>
          <w:szCs w:val="28"/>
          <w:rtl w:val="true"/>
          <w:lang w:bidi="ar-SA"/>
        </w:rPr>
        <w:t>فجوّزه في الخلاف</w:t>
      </w:r>
      <w:r>
        <w:rPr>
          <w:rStyle w:val="FootnoteAnchor"/>
          <w:rtl w:val="true"/>
        </w:rPr>
        <w:footnoteReference w:id="2256"/>
      </w:r>
      <w:r>
        <w:rPr>
          <w:rFonts w:ascii="Amiri" w:hAnsi="Amiri" w:eastAsia="Amiri" w:cs="Amiri"/>
          <w:color w:val="111111"/>
          <w:sz w:val="28"/>
          <w:sz w:val="28"/>
          <w:szCs w:val="28"/>
          <w:rtl w:val="true"/>
          <w:lang w:bidi="ar-SA"/>
        </w:rPr>
        <w:t>، و نفى عنه البأس ابن الجنيد</w:t>
      </w:r>
      <w:r>
        <w:rPr>
          <w:rStyle w:val="FootnoteAnchor"/>
          <w:rtl w:val="true"/>
        </w:rPr>
        <w:footnoteReference w:id="2257"/>
      </w:r>
      <w:r>
        <w:rPr>
          <w:rFonts w:ascii="Amiri" w:hAnsi="Amiri" w:eastAsia="Amiri" w:cs="Amiri"/>
          <w:color w:val="111111"/>
          <w:sz w:val="28"/>
          <w:sz w:val="28"/>
          <w:szCs w:val="28"/>
          <w:rtl w:val="true"/>
          <w:lang w:bidi="ar-SA"/>
        </w:rPr>
        <w:t>للأصل، و لرواية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جنازة لم يجلس حتى توضع في اللّحد،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لنفعل ذلك، فجلس و قال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خالفوهم</w:t>
      </w:r>
      <w:r>
        <w:rPr>
          <w:rFonts w:eastAsia="IRNazanin" w:cs="IRNazanin"/>
          <w:color w:val="111111"/>
          <w:sz w:val="28"/>
          <w:szCs w:val="28"/>
          <w:rtl w:val="true"/>
          <w:lang w:bidi="fa-IR"/>
        </w:rPr>
        <w:t>»</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 xml:space="preserve">. </w:t>
      </w:r>
      <w:bookmarkStart w:id="1103" w:name="pg15253_219909"/>
    </w:p>
    <w:p>
      <w:pPr>
        <w:pStyle w:val="BookText"/>
        <w:rPr/>
      </w:pPr>
      <w:bookmarkEnd w:id="1103"/>
      <w:r>
        <w:rPr>
          <w:rFonts w:ascii="Amiri" w:hAnsi="Amiri" w:eastAsia="Amiri" w:cs="Amiri"/>
          <w:color w:val="111111"/>
          <w:sz w:val="28"/>
          <w:sz w:val="28"/>
          <w:szCs w:val="28"/>
          <w:rtl w:val="true"/>
          <w:lang w:bidi="ar-SA"/>
        </w:rPr>
        <w:t>و كرهه ابن أبي عقيل</w:t>
      </w:r>
      <w:r>
        <w:rPr>
          <w:rStyle w:val="FootnoteAnchor"/>
          <w:rtl w:val="true"/>
        </w:rPr>
        <w:footnoteReference w:id="2259"/>
      </w:r>
      <w:r>
        <w:rPr>
          <w:rFonts w:ascii="Amiri" w:hAnsi="Amiri" w:eastAsia="Amiri" w:cs="Amiri"/>
          <w:color w:val="111111"/>
          <w:sz w:val="28"/>
          <w:sz w:val="28"/>
          <w:szCs w:val="28"/>
          <w:rtl w:val="true"/>
          <w:lang w:bidi="ar-SA"/>
        </w:rPr>
        <w:t>و ابن حمزة</w:t>
      </w:r>
      <w:r>
        <w:rPr>
          <w:rStyle w:val="FootnoteAnchor"/>
          <w:rtl w:val="true"/>
        </w:rPr>
        <w:footnoteReference w:id="2260"/>
      </w:r>
      <w:r>
        <w:rPr>
          <w:rFonts w:ascii="IRNazanin" w:hAnsi="IRNazanin" w:eastAsia="IRNazanin"/>
          <w:color w:val="111111"/>
          <w:sz w:val="28"/>
          <w:sz w:val="28"/>
          <w:szCs w:val="28"/>
          <w:rtl w:val="true"/>
          <w:lang w:bidi="fa-IR"/>
        </w:rPr>
        <w:t>و الفاضلان</w:t>
      </w:r>
      <w:r>
        <w:rPr>
          <w:rStyle w:val="FootnoteAnchor"/>
          <w:rtl w:val="true"/>
        </w:rPr>
        <w:footnoteReference w:id="2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الأقرب، لصحيح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لمن شيّع جنازة أن لا يجلس حتّى يوضع في لحده</w:t>
      </w:r>
      <w:r>
        <w:rPr>
          <w:rFonts w:eastAsia="Amiri" w:cs="Amiri" w:ascii="Amiri" w:hAnsi="Amiri"/>
          <w:color w:val="111111"/>
          <w:sz w:val="28"/>
          <w:szCs w:val="28"/>
          <w:rtl w:val="true"/>
          <w:lang w:bidi="ar-SA"/>
        </w:rPr>
        <w:t>»</w:t>
      </w:r>
      <w:r>
        <w:rPr>
          <w:rStyle w:val="FootnoteAnchor"/>
          <w:rtl w:val="true"/>
        </w:rPr>
        <w:footnoteReference w:id="2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حجّة لنا،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الدوام، و الجلوس لمجرّد إظهار المخالفة، و لأنّ الفعل لا عموم له فجاز وقوع الجلوس تلك المرّة خاصة، و لأنّ القول أقوى من الفعل عند التعارض، و الأصل يخالف للدليل</w:t>
      </w:r>
      <w:r>
        <w:rPr>
          <w:rFonts w:eastAsia="Amiri" w:cs="Amiri" w:ascii="Amiri" w:hAnsi="Amiri"/>
          <w:color w:val="111111"/>
          <w:sz w:val="28"/>
          <w:szCs w:val="28"/>
          <w:rtl w:val="true"/>
          <w:lang w:bidi="ar-SA"/>
        </w:rPr>
        <w:t>.</w:t>
      </w:r>
    </w:p>
    <w:p>
      <w:pPr>
        <w:pStyle w:val="Heading6"/>
        <w:numPr>
          <w:ilvl w:val="5"/>
          <w:numId w:val="1"/>
        </w:numPr>
        <w:rPr/>
      </w:pPr>
      <w:bookmarkStart w:id="1104" w:name="__RefHeading___Toc4192487_2142443653"/>
      <w:bookmarkStart w:id="1105" w:name="_Toc449"/>
      <w:bookmarkEnd w:id="1104"/>
      <w:r>
        <w:rPr>
          <w:rtl w:val="true"/>
        </w:rPr>
        <w:t>الثامنة</w:t>
      </w:r>
      <w:r>
        <w:rPr>
          <w:rtl w:val="true"/>
        </w:rPr>
        <w:t xml:space="preserve">: </w:t>
      </w:r>
      <w:r>
        <w:rPr>
          <w:rtl w:val="true"/>
        </w:rPr>
        <w:t>لا يمنع من الاتّباع كون المنكر مع الجنازة،</w:t>
      </w:r>
      <w:bookmarkEnd w:id="1105"/>
    </w:p>
    <w:p>
      <w:pPr>
        <w:pStyle w:val="BookText"/>
        <w:rPr/>
      </w:pPr>
      <w:r>
        <w:rPr>
          <w:rFonts w:ascii="Amiri" w:hAnsi="Amiri" w:eastAsia="Amiri" w:cs="Amiri"/>
          <w:color w:val="111111"/>
          <w:sz w:val="28"/>
          <w:sz w:val="28"/>
          <w:szCs w:val="28"/>
          <w:rtl w:val="true"/>
          <w:lang w:bidi="ar-SA"/>
        </w:rPr>
        <w:t xml:space="preserve">لأنّ عطاء لما رجع لسماع صارخة،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بنا، لو أنّا إذا رأينا شيئا من الباطل تركنا الحق، لم نقض حقّ مسلم</w:t>
      </w:r>
      <w:r>
        <w:rPr>
          <w:rFonts w:eastAsia="Amiri" w:cs="Amiri" w:ascii="Amiri" w:hAnsi="Amiri"/>
          <w:color w:val="111111"/>
          <w:sz w:val="28"/>
          <w:szCs w:val="28"/>
          <w:rtl w:val="true"/>
          <w:lang w:bidi="ar-SA"/>
        </w:rPr>
        <w:t>»</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6" w:name="__RefHeading___Toc4192489_2142443653"/>
      <w:bookmarkStart w:id="1107" w:name="_Toc450"/>
      <w:bookmarkEnd w:id="1106"/>
      <w:r>
        <w:rPr>
          <w:rtl w:val="true"/>
        </w:rPr>
        <w:t>التاسعة</w:t>
      </w:r>
      <w:r>
        <w:rPr>
          <w:rtl w:val="true"/>
        </w:rPr>
        <w:t xml:space="preserve">: </w:t>
      </w:r>
      <w:r>
        <w:rPr>
          <w:rtl w:val="true"/>
        </w:rPr>
        <w:t>قال الشيخ و جماعة من الأصحاب</w:t>
      </w:r>
      <w:r>
        <w:rPr>
          <w:rtl w:val="true"/>
        </w:rPr>
        <w:t xml:space="preserve">: </w:t>
      </w:r>
      <w:r>
        <w:rPr>
          <w:rtl w:val="true"/>
        </w:rPr>
        <w:t>يكره حمل ميتين على سرير،</w:t>
      </w:r>
      <w:bookmarkEnd w:id="1107"/>
    </w:p>
    <w:p>
      <w:pPr>
        <w:pStyle w:val="BookText"/>
        <w:rPr/>
      </w:pPr>
      <w:r>
        <w:rPr>
          <w:rFonts w:ascii="Amiri" w:hAnsi="Amiri" w:eastAsia="Amiri" w:cs="Amiri"/>
          <w:color w:val="111111"/>
          <w:sz w:val="28"/>
          <w:sz w:val="28"/>
          <w:szCs w:val="28"/>
          <w:rtl w:val="true"/>
          <w:lang w:bidi="ar-SA"/>
        </w:rPr>
        <w:t>رجلين كانا أو امرأتين، أو رجلا و امرأة حتى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 هو بدعة</w:t>
      </w:r>
      <w:r>
        <w:rPr>
          <w:rStyle w:val="FootnoteAnchor"/>
          <w:rtl w:val="true"/>
        </w:rPr>
        <w:footnoteReference w:id="2264"/>
      </w:r>
      <w:r>
        <w:rPr>
          <w:rFonts w:ascii="Amiri" w:hAnsi="Amiri" w:eastAsia="Amiri" w:cs="Amiri"/>
          <w:color w:val="111111"/>
          <w:sz w:val="28"/>
          <w:sz w:val="28"/>
          <w:szCs w:val="28"/>
          <w:rtl w:val="true"/>
          <w:lang w:bidi="ar-SA"/>
        </w:rPr>
        <w:t>، و كذا ابن إدريس، هذا مع الاختيار</w:t>
      </w:r>
      <w:r>
        <w:rPr>
          <w:rStyle w:val="FootnoteAnchor"/>
          <w:rtl w:val="true"/>
        </w:rPr>
        <w:footnoteReference w:id="2265"/>
      </w:r>
      <w:r>
        <w:rPr>
          <w:rFonts w:ascii="Amiri" w:hAnsi="Amiri" w:eastAsia="Amiri" w:cs="Amiri"/>
          <w:color w:val="111111"/>
          <w:sz w:val="28"/>
          <w:sz w:val="28"/>
          <w:szCs w:val="28"/>
          <w:rtl w:val="true"/>
          <w:lang w:bidi="ar-SA"/>
        </w:rPr>
        <w:t>، و ممن صرّح بالكراهية ابن حمزة</w:t>
      </w:r>
      <w:r>
        <w:rPr>
          <w:rStyle w:val="FootnoteAnchor"/>
          <w:rtl w:val="true"/>
        </w:rPr>
        <w:footnoteReference w:id="2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 ميتان على نعش واحد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في مكاتبة الصفار إلى أبي محمد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جواز حمل ميتين على سرير، و الصلاة عليهما و إن كان الميتان رجلا و امرأة مع الحاجة أو كثرة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يحمل الرجل مع المرأة على سرير واحد</w:t>
      </w:r>
      <w:r>
        <w:rPr>
          <w:rFonts w:eastAsia="Amiri" w:cs="Amiri" w:ascii="Amiri" w:hAnsi="Amiri"/>
          <w:color w:val="111111"/>
          <w:sz w:val="28"/>
          <w:szCs w:val="28"/>
          <w:rtl w:val="true"/>
          <w:lang w:bidi="ar-SA"/>
        </w:rPr>
        <w:t>»</w:t>
      </w:r>
      <w:r>
        <w:rPr>
          <w:rStyle w:val="FootnoteAnchor"/>
          <w:rtl w:val="true"/>
        </w:rPr>
        <w:footnoteReference w:id="2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أخصّ من الدعوى، و ظاهره عدم جوازه مع الحاجة</w:t>
      </w:r>
      <w:r>
        <w:rPr>
          <w:rFonts w:eastAsia="Amiri" w:cs="Amiri" w:ascii="Amiri" w:hAnsi="Amiri"/>
          <w:color w:val="111111"/>
          <w:sz w:val="28"/>
          <w:szCs w:val="28"/>
          <w:rtl w:val="true"/>
          <w:lang w:bidi="ar-SA"/>
        </w:rPr>
        <w:t xml:space="preserve">. </w:t>
      </w:r>
      <w:bookmarkStart w:id="1108" w:name="pg15253_219910"/>
    </w:p>
    <w:p>
      <w:pPr>
        <w:pStyle w:val="Heading6"/>
        <w:numPr>
          <w:ilvl w:val="5"/>
          <w:numId w:val="1"/>
        </w:numPr>
        <w:rPr/>
      </w:pPr>
      <w:bookmarkStart w:id="1109" w:name="__RefHeading___Toc4192491_2142443653"/>
      <w:bookmarkStart w:id="1110" w:name="_Toc451"/>
      <w:bookmarkEnd w:id="1108"/>
      <w:bookmarkEnd w:id="1109"/>
      <w:r>
        <w:rPr>
          <w:rtl w:val="true"/>
        </w:rPr>
        <w:t>العاشرة</w:t>
      </w:r>
      <w:r>
        <w:rPr>
          <w:rtl w:val="true"/>
        </w:rPr>
        <w:t xml:space="preserve">: </w:t>
      </w:r>
      <w:r>
        <w:rPr>
          <w:rtl w:val="true"/>
        </w:rPr>
        <w:t>قال ابن الجنيد</w:t>
      </w:r>
      <w:r>
        <w:rPr>
          <w:rtl w:val="true"/>
        </w:rPr>
        <w:t xml:space="preserve">: </w:t>
      </w:r>
      <w:r>
        <w:rPr>
          <w:rtl w:val="true"/>
        </w:rPr>
        <w:t>من صلّى على جنازة لم يبرح حتى تدفن،</w:t>
      </w:r>
      <w:bookmarkEnd w:id="1110"/>
    </w:p>
    <w:p>
      <w:pPr>
        <w:pStyle w:val="BookText"/>
        <w:rPr/>
      </w:pPr>
      <w:r>
        <w:rPr>
          <w:rFonts w:ascii="Amiri" w:hAnsi="Amiri" w:eastAsia="Amiri" w:cs="Amiri"/>
          <w:color w:val="111111"/>
          <w:sz w:val="28"/>
          <w:sz w:val="28"/>
          <w:szCs w:val="28"/>
          <w:rtl w:val="true"/>
          <w:lang w:bidi="ar-SA"/>
        </w:rPr>
        <w:t xml:space="preserve">أو يأذن أهله في الانصراف، إلاّ من ضرورة، لرواية الكليني بإسناده الى من رفعه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أميران و ليسا بأميرين، ليس لمن شيع جنازة أن يرجع حتى تدفن أو يؤذن له، و رجل يحجّ مع امرأة ليس له أن ينفر حتى تقضي نسكها</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له وليّ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مأجورا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اذن لك في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بإذنه جئنا، و لا بإذنه نرجع، إنّما هو فضل و أجر طلبناه، فبقدر ما يتبع الجنازة الرجل يؤجر على ذلك</w:t>
      </w:r>
      <w:r>
        <w:rPr>
          <w:rFonts w:eastAsia="Amiri" w:cs="Amiri" w:ascii="Amiri" w:hAnsi="Amiri"/>
          <w:color w:val="111111"/>
          <w:sz w:val="28"/>
          <w:szCs w:val="28"/>
          <w:rtl w:val="true"/>
          <w:lang w:bidi="ar-SA"/>
        </w:rPr>
        <w:t>»</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بينهما منافاة، و كلام زرارة يدلّ على أنّ الإذن مؤثّر، و الظاهر أنّ المراد به الاستحباب قضيّة للأصل، و لندب الحضور في أصله فيستصحب</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1" w:name="__RefHeading___Toc4192493_2142443653"/>
      <w:bookmarkStart w:id="1112" w:name="_Toc452"/>
      <w:bookmarkEnd w:id="1111"/>
      <w:r>
        <w:rPr>
          <w:rtl w:val="true"/>
        </w:rPr>
        <w:t>الحادية عشرة</w:t>
      </w:r>
      <w:r>
        <w:rPr>
          <w:rtl w:val="true"/>
        </w:rPr>
        <w:t xml:space="preserve">: </w:t>
      </w:r>
      <w:r>
        <w:rPr>
          <w:rtl w:val="true"/>
        </w:rPr>
        <w:t>يجب التغسيل، ثم الكفن، ثم الصلاة، ثم الدفن،</w:t>
      </w:r>
      <w:bookmarkEnd w:id="1112"/>
    </w:p>
    <w:p>
      <w:pPr>
        <w:pStyle w:val="BookText"/>
        <w:rPr/>
      </w:pPr>
      <w:r>
        <w:rPr>
          <w:rFonts w:ascii="Amiri" w:hAnsi="Amiri" w:eastAsia="Amiri" w:cs="Amiri"/>
          <w:color w:val="111111"/>
          <w:sz w:val="28"/>
          <w:sz w:val="28"/>
          <w:szCs w:val="28"/>
          <w:rtl w:val="true"/>
          <w:lang w:bidi="ar-SA"/>
        </w:rPr>
        <w:t xml:space="preserve">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على الميت بعد ما يدفن، و لا يصلّى عليه و هو عريان</w:t>
      </w:r>
      <w:r>
        <w:rPr>
          <w:rFonts w:eastAsia="Amiri" w:cs="Amiri" w:ascii="Amiri" w:hAnsi="Amiri"/>
          <w:color w:val="111111"/>
          <w:sz w:val="28"/>
          <w:szCs w:val="28"/>
          <w:rtl w:val="true"/>
          <w:lang w:bidi="ar-SA"/>
        </w:rPr>
        <w:t>»</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لم يكن كفن، و أمكن ستره بثوب، صلّي عليه قبل الوضع في اللّحد و إلاّ فبعده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يستر عورته بما أمكن، و لو باللبن و الحجر، لما رواه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ميت وجده قوم عريانا لفظه البحر، و ليس معهم فضل ثوب يكفّنونه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يحفر له، و يوضع في لحده، و تستر عورته باللبن و الحجر، ثم يصلّى عليه، ثم يدفن</w:t>
      </w:r>
      <w:r>
        <w:rPr>
          <w:rFonts w:eastAsia="Amiri" w:cs="Amiri" w:ascii="Amiri" w:hAnsi="Amiri"/>
          <w:color w:val="111111"/>
          <w:sz w:val="28"/>
          <w:szCs w:val="28"/>
          <w:rtl w:val="true"/>
          <w:lang w:bidi="ar-SA"/>
        </w:rPr>
        <w:t>»</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الشهيد فالصلاة عليه بلا غسل و لا كفن، إلاّ أن يجرّد كما مرّ</w:t>
      </w:r>
      <w:r>
        <w:rPr>
          <w:rFonts w:eastAsia="Amiri" w:cs="Amiri" w:ascii="Amiri" w:hAnsi="Amiri"/>
          <w:color w:val="111111"/>
          <w:sz w:val="28"/>
          <w:szCs w:val="28"/>
          <w:rtl w:val="true"/>
          <w:lang w:bidi="ar-SA"/>
        </w:rPr>
        <w:t xml:space="preserve">. </w:t>
      </w:r>
      <w:bookmarkStart w:id="1113" w:name="pg15253_219911"/>
    </w:p>
    <w:p>
      <w:pPr>
        <w:pStyle w:val="Heading6"/>
        <w:numPr>
          <w:ilvl w:val="5"/>
          <w:numId w:val="1"/>
        </w:numPr>
        <w:rPr/>
      </w:pPr>
      <w:bookmarkStart w:id="1114" w:name="__RefHeading___Toc4192495_2142443653"/>
      <w:bookmarkStart w:id="1115" w:name="_Toc453"/>
      <w:bookmarkEnd w:id="1113"/>
      <w:bookmarkEnd w:id="1114"/>
      <w:r>
        <w:rPr>
          <w:rtl w:val="true"/>
        </w:rPr>
        <w:t>النظر الثاني</w:t>
      </w:r>
      <w:r>
        <w:rPr>
          <w:rtl w:val="true"/>
        </w:rPr>
        <w:t xml:space="preserve">: </w:t>
      </w:r>
      <w:r>
        <w:rPr>
          <w:rtl w:val="true"/>
        </w:rPr>
        <w:t>في المحل</w:t>
      </w:r>
      <w:r>
        <w:rPr>
          <w:rtl w:val="true"/>
        </w:rPr>
        <w:t xml:space="preserve">. </w:t>
      </w:r>
      <w:r>
        <w:rPr>
          <w:rtl w:val="true"/>
        </w:rPr>
        <w:t>و هو الميت المسلم،</w:t>
      </w:r>
      <w:bookmarkEnd w:id="1115"/>
    </w:p>
    <w:p>
      <w:pPr>
        <w:pStyle w:val="Heading6"/>
        <w:numPr>
          <w:ilvl w:val="5"/>
          <w:numId w:val="1"/>
        </w:numPr>
        <w:rPr/>
      </w:pPr>
      <w:bookmarkStart w:id="1116" w:name="__RefHeading___Toc4192497_2142443653"/>
      <w:bookmarkStart w:id="1117" w:name="_Toc454"/>
      <w:bookmarkEnd w:id="1116"/>
      <w:r>
        <w:rPr>
          <w:rtl w:val="true"/>
        </w:rPr>
        <w:t>اشارة</w:t>
      </w:r>
      <w:bookmarkEnd w:id="1117"/>
    </w:p>
    <w:p>
      <w:pPr>
        <w:pStyle w:val="BookText"/>
        <w:rPr/>
      </w:pPr>
      <w:r>
        <w:rPr>
          <w:rFonts w:ascii="Amiri" w:hAnsi="Amiri" w:eastAsia="Amiri" w:cs="Amiri"/>
          <w:color w:val="111111"/>
          <w:sz w:val="28"/>
          <w:sz w:val="28"/>
          <w:szCs w:val="28"/>
          <w:rtl w:val="true"/>
          <w:lang w:bidi="ar-SA"/>
        </w:rPr>
        <w:t xml:space="preserve">و حكمه، الحاضر،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سعيد بن غزوان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المرجوم من أمتي، و على القتّال نفسه من أمتي، لا تدعوا أحدا من أمتي بغير صلاة</w:t>
      </w:r>
      <w:r>
        <w:rPr>
          <w:rFonts w:eastAsia="Amiri" w:cs="Amiri" w:ascii="Amiri" w:hAnsi="Amiri"/>
          <w:color w:val="111111"/>
          <w:sz w:val="28"/>
          <w:szCs w:val="28"/>
          <w:rtl w:val="true"/>
          <w:lang w:bidi="ar-SA"/>
        </w:rPr>
        <w:t>»</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على كلّ برّ و فاجر</w:t>
      </w:r>
      <w:r>
        <w:rPr>
          <w:rFonts w:eastAsia="Amiri" w:cs="Amiri" w:ascii="Amiri" w:hAnsi="Amiri"/>
          <w:color w:val="111111"/>
          <w:sz w:val="28"/>
          <w:szCs w:val="28"/>
          <w:rtl w:val="true"/>
          <w:lang w:bidi="ar-SA"/>
        </w:rPr>
        <w:t>»</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على من قال لا إله إلاّ اللّه</w:t>
      </w:r>
      <w:r>
        <w:rPr>
          <w:rFonts w:eastAsia="Amiri" w:cs="Amiri" w:ascii="Amiri" w:hAnsi="Amiri"/>
          <w:color w:val="111111"/>
          <w:sz w:val="28"/>
          <w:szCs w:val="28"/>
          <w:rtl w:val="true"/>
          <w:lang w:bidi="ar-SA"/>
        </w:rPr>
        <w:t>»</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لخبر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آدم، قال هبة اللّه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رسول اللّه فصلّ على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أمرنا بالسجود لأبيك فلسنا نتقدم أبرار ولده، و أنت من أبرّهم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فكبّر عليه خمسا عدّة الصلاة التي فرضها اللّه على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السنّة الجارية إلى يوم القيامة</w:t>
      </w:r>
      <w:r>
        <w:rPr>
          <w:rFonts w:eastAsia="Amiri" w:cs="Amiri" w:ascii="Amiri" w:hAnsi="Amiri"/>
          <w:color w:val="111111"/>
          <w:sz w:val="28"/>
          <w:szCs w:val="28"/>
          <w:rtl w:val="true"/>
          <w:lang w:bidi="ar-SA"/>
        </w:rPr>
        <w:t>»</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الملائكة صلّت على آدم، و قالت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سنة موتاكم</w:t>
      </w:r>
      <w:r>
        <w:rPr>
          <w:rFonts w:eastAsia="Amiri" w:cs="Amiri" w:ascii="Amiri" w:hAnsi="Amiri"/>
          <w:color w:val="111111"/>
          <w:sz w:val="28"/>
          <w:szCs w:val="28"/>
          <w:rtl w:val="true"/>
          <w:lang w:bidi="ar-SA"/>
        </w:rPr>
        <w:t>»</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احترزنا بالميت عن أبعاضه، فلا صلاة على بعض غير الصدر و القلب، لما مرّ في خبر الفضل بن عثمان</w:t>
      </w:r>
      <w:r>
        <w:rPr>
          <w:rStyle w:val="FootnoteAnchor"/>
          <w:rtl w:val="true"/>
        </w:rPr>
        <w:footnoteReference w:id="2278"/>
      </w:r>
      <w:r>
        <w:rPr>
          <w:rFonts w:ascii="Amiri" w:hAnsi="Amiri" w:eastAsia="Amiri" w:cs="Amiri"/>
          <w:color w:val="111111"/>
          <w:sz w:val="28"/>
          <w:sz w:val="28"/>
          <w:szCs w:val="28"/>
          <w:rtl w:val="true"/>
          <w:lang w:bidi="ar-SA"/>
        </w:rPr>
        <w:t>، و في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المقتول إذا قطّع أعضاء يصلى على العضو الذي فيه القلب</w:t>
      </w:r>
      <w:r>
        <w:rPr>
          <w:rFonts w:eastAsia="Amiri" w:cs="Amiri" w:ascii="Amiri" w:hAnsi="Amiri"/>
          <w:color w:val="111111"/>
          <w:sz w:val="28"/>
          <w:szCs w:val="28"/>
          <w:rtl w:val="true"/>
          <w:lang w:bidi="ar-SA"/>
        </w:rPr>
        <w:t>»</w:t>
      </w:r>
      <w:r>
        <w:rPr>
          <w:rStyle w:val="FootnoteAnchor"/>
          <w:rtl w:val="true"/>
        </w:rPr>
        <w:footnoteReference w:id="2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عظام الميت فيصلّى عليها، لما مرّ في أكيل </w:t>
      </w:r>
    </w:p>
    <w:p>
      <w:pPr>
        <w:pStyle w:val="BookText"/>
        <w:rPr/>
      </w:pPr>
      <w:r>
        <w:rPr>
          <w:rFonts w:ascii="Amiri" w:hAnsi="Amiri" w:eastAsia="Amiri" w:cs="Amiri"/>
          <w:color w:val="111111"/>
          <w:sz w:val="28"/>
          <w:sz w:val="28"/>
          <w:szCs w:val="28"/>
          <w:rtl w:val="true"/>
          <w:lang w:bidi="ar-SA"/>
        </w:rPr>
        <w:t xml:space="preserve">السبع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يصلى على العضو التام في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عبد اللّه بن المغيرة،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يصلّى على كل عضو رجلا أو يدا أو الرأس، فإذا نقص عن رأس أو يد أو رجل لم يصلّ عليه</w:t>
      </w:r>
      <w:r>
        <w:rPr>
          <w:rStyle w:val="FootnoteAnchor"/>
          <w:rtl w:val="true"/>
        </w:rPr>
        <w:footnoteReference w:id="2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خالد، عمّن ذكره،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 له عضو تام صلّي على ذلك العضو، فإن لم يوجد له عضو تام لم يصلّ عليه</w:t>
      </w:r>
      <w:r>
        <w:rPr>
          <w:rFonts w:eastAsia="Amiri" w:cs="Amiri" w:ascii="Amiri" w:hAnsi="Amiri"/>
          <w:color w:val="111111"/>
          <w:sz w:val="28"/>
          <w:szCs w:val="28"/>
          <w:rtl w:val="true"/>
          <w:lang w:bidi="ar-SA"/>
        </w:rPr>
        <w:t>»</w:t>
      </w:r>
      <w:r>
        <w:rPr>
          <w:rStyle w:val="FootnoteAnchor"/>
          <w:rtl w:val="true"/>
        </w:rPr>
        <w:footnoteReference w:id="2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مطّرحان، مع إرسالهما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خبر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وجد قطعا من ميت، فجمعت ثمّ صلّى عليها</w:t>
      </w:r>
      <w:r>
        <w:rPr>
          <w:rFonts w:eastAsia="Amiri" w:cs="Amiri" w:ascii="Amiri" w:hAnsi="Amiri"/>
          <w:color w:val="111111"/>
          <w:sz w:val="28"/>
          <w:szCs w:val="28"/>
          <w:rtl w:val="true"/>
          <w:lang w:bidi="ar-SA"/>
        </w:rPr>
        <w:t>»</w:t>
      </w:r>
      <w:r>
        <w:rPr>
          <w:rStyle w:val="FootnoteAnchor"/>
          <w:rtl w:val="true"/>
        </w:rPr>
        <w:footnoteReference w:id="2283"/>
      </w:r>
      <w:r>
        <w:rPr>
          <w:rFonts w:ascii="Amiri" w:hAnsi="Amiri" w:eastAsia="Amiri" w:cs="Amiri"/>
          <w:color w:val="111111"/>
          <w:sz w:val="28"/>
          <w:sz w:val="28"/>
          <w:szCs w:val="28"/>
          <w:rtl w:val="true"/>
          <w:lang w:bidi="ar-SA"/>
        </w:rPr>
        <w:t>محمول على ما فيه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أهل مكة على يد عبد الرّحمن ممنوعة، لأنّ البلاذري روى أنّ اليد ألقيت باليمامة</w:t>
      </w:r>
      <w:r>
        <w:rPr>
          <w:rStyle w:val="FootnoteAnchor"/>
          <w:rtl w:val="true"/>
        </w:rPr>
        <w:footnoteReference w:id="2284"/>
      </w:r>
      <w:r>
        <w:rPr>
          <w:rFonts w:ascii="Amiri" w:hAnsi="Amiri" w:eastAsia="Amiri" w:cs="Amiri"/>
          <w:color w:val="111111"/>
          <w:sz w:val="28"/>
          <w:sz w:val="28"/>
          <w:szCs w:val="28"/>
          <w:rtl w:val="true"/>
          <w:lang w:bidi="ar-SA"/>
        </w:rPr>
        <w:t>، و فعل أهل اليمامة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 لم يبق بمكة من يعتدّ بفعله من الصحابة لخروجهم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من صلّى كان يرى الصلاة على الغائب و سنبطله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العضو غير التام فالقطع فيه بعدم الصلاة مطلقا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بالغ بعض العامة فاحتمل الصلاة على الشعرة مع علم موته</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صلّي على الصدر، أو قلنا بالصلاة على العضو التام، فالشرط فيه موت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صاحبه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ينوي الصلاة عليه خاصة، أو على الجملة؟ قضية المذهب الصلاة عليه خاصة إذ لا صلاة على الغائب، فلو وجد الباقي وجبت الصلاة على ما لم يصلّ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احترزنا بالمسلم عن الكافر فلا يصلّى عليه، لقوله تعالى وَ لا تُصَلِّ عَلى أَحَدٍ مِنْهُمْ ماتَ أَبَداً </w:t>
      </w:r>
      <w:r>
        <w:rPr>
          <w:rStyle w:val="FootnoteAnchor"/>
          <w:rtl w:val="true"/>
        </w:rPr>
        <w:footnoteReference w:id="2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الأصلي و المرتد، و الذمي و الحربي،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اشتبه المسلم بالكافر،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الجميع بنية الصلاة على المسلمين، لتوقّف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حمّاد بن يحيى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بدر أمر بمواراة كميش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في كرام الناس</w:t>
      </w:r>
      <w:r>
        <w:rPr>
          <w:rFonts w:eastAsia="Amiri" w:cs="Amiri" w:ascii="Amiri" w:hAnsi="Amiri"/>
          <w:color w:val="111111"/>
          <w:sz w:val="28"/>
          <w:szCs w:val="28"/>
          <w:rtl w:val="true"/>
          <w:lang w:bidi="ar-SA"/>
        </w:rPr>
        <w:t>»</w:t>
      </w:r>
      <w:r>
        <w:rPr>
          <w:rStyle w:val="FootnoteAnchor"/>
          <w:rtl w:val="true"/>
        </w:rPr>
        <w:footnoteReference w:id="2287"/>
      </w:r>
      <w:r>
        <w:rPr>
          <w:rFonts w:ascii="Amiri" w:hAnsi="Amiri" w:eastAsia="Amiri" w:cs="Amiri"/>
          <w:color w:val="111111"/>
          <w:sz w:val="28"/>
          <w:sz w:val="28"/>
          <w:szCs w:val="28"/>
          <w:rtl w:val="true"/>
          <w:lang w:bidi="ar-SA"/>
        </w:rPr>
        <w:t xml:space="preserve">و أورده الشيخ في الخلاف و المبسوط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فحينئذ يمكن العمل به في الصلاة في كلّ مشتبه، لعدم تعقّل معنى في اختصاص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المبسوط أورد الرواية في اشتباه قتلى المسلمين بالمشركين، و بنى عليها الصلاة، ثم قوّى ما قلناه أولا، و احتاط بان يصلّى على كلّ واحد واحد بشرط إسلامه</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بمواراة الجميع ترجيحا لجانب حرمة المسلم كان صوابا</w:t>
      </w:r>
      <w:r>
        <w:rPr>
          <w:rStyle w:val="FootnoteAnchor"/>
          <w:rtl w:val="true"/>
        </w:rPr>
        <w:footnoteReference w:id="2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فيه طرح للرواية لضعفها، و الصلاة على الجميع حينئذ بطريق الأولى</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وجد ميت لا يعلم إسلامه الحق بالدار، إلاّ أن يغلب الظن على إسلامه في دار الكفر، لقوة العلامة، فيصلّى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القرعة فاستعمالها في هذين ضعيف، لأنّ محلّها الإشكال في مواضع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أطردت القرعة، لجنح إليها فيما اختلف فيه من الأحكام، فيستغني عن الاجتهاد فقهاء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بالمسلم من أظهر الشهادتين، و لم يجحد ما علم ثبوته من الدّين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فيصلّي على غير الناصب و الغالي، للعموم السالف، و لخبر طلحة 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من مات من أهل القبلة، و حسابه على اللّه</w:t>
      </w:r>
      <w:r>
        <w:rPr>
          <w:rFonts w:eastAsia="Amiri" w:cs="Amiri" w:ascii="Amiri" w:hAnsi="Amiri"/>
          <w:color w:val="111111"/>
          <w:sz w:val="28"/>
          <w:szCs w:val="28"/>
          <w:rtl w:val="true"/>
          <w:lang w:bidi="ar-SA"/>
        </w:rPr>
        <w:t>»</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على سائر أهل القبلة، ممّن لم يخرج منها بقول 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على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بجبر، أو تشبيه، أو اعتزال، أو خارجية، أو إنكار امامة، إلاّ 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لعنه بعد الرابعة</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يغسّل مخالفا للحق في الولاء، و لا يصلّي عليه، إلاّ أن تدعوه ضرورة الى ذلك من جهة التقيّة، فيلعنه في صلاته</w:t>
      </w:r>
      <w:r>
        <w:rPr>
          <w:rStyle w:val="FootnoteAnchor"/>
          <w:rtl w:val="true"/>
        </w:rPr>
        <w:footnoteReference w:id="2293"/>
      </w:r>
      <w:r>
        <w:rPr>
          <w:rFonts w:ascii="Amiri" w:hAnsi="Amiri" w:eastAsia="Amiri" w:cs="Amiri"/>
          <w:color w:val="111111"/>
          <w:sz w:val="28"/>
          <w:sz w:val="28"/>
          <w:szCs w:val="28"/>
          <w:rtl w:val="true"/>
          <w:lang w:bidi="ar-SA"/>
        </w:rPr>
        <w:t>مع أنّه جوّز الصلاة على المستضعف</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شرط سلاّر في الغسل اعتقاد الميت للحق</w:t>
      </w:r>
      <w:r>
        <w:rPr>
          <w:rStyle w:val="FootnoteAnchor"/>
          <w:rtl w:val="true"/>
        </w:rPr>
        <w:footnoteReference w:id="2295"/>
      </w:r>
      <w:r>
        <w:rPr>
          <w:rFonts w:ascii="Amiri" w:hAnsi="Amiri" w:eastAsia="Amiri" w:cs="Amiri"/>
          <w:color w:val="111111"/>
          <w:sz w:val="28"/>
          <w:sz w:val="28"/>
          <w:szCs w:val="28"/>
          <w:rtl w:val="true"/>
          <w:lang w:bidi="ar-SA"/>
        </w:rPr>
        <w:t>و يلزمه ذلك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الصلاة إلاّ على المعتقد للحق، و من بحكمه كابن ست أو المستضعف، محتجّا بكفر غير المحق</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و ابن البراج لم يصرّحا بغير لعنة الناصب</w:t>
      </w:r>
      <w:r>
        <w:rPr>
          <w:rStyle w:val="FootnoteAnchor"/>
          <w:rtl w:val="true"/>
        </w:rPr>
        <w:footnoteReference w:id="2297"/>
      </w:r>
      <w:r>
        <w:rPr>
          <w:rFonts w:ascii="Amiri" w:hAnsi="Amiri" w:eastAsia="Amiri" w:cs="Amiri"/>
          <w:color w:val="111111"/>
          <w:sz w:val="28"/>
          <w:sz w:val="28"/>
          <w:szCs w:val="28"/>
          <w:rtl w:val="true"/>
          <w:lang w:bidi="ar-SA"/>
        </w:rPr>
        <w:t>لكن قال في باب الصلاة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على الباغي لكفره</w:t>
      </w:r>
      <w:r>
        <w:rPr>
          <w:rStyle w:val="FootnoteAnchor"/>
          <w:rtl w:val="true"/>
        </w:rPr>
        <w:footnoteReference w:id="2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قتال أهل البغي من المبسوط</w:t>
      </w:r>
      <w:r>
        <w:rPr>
          <w:rStyle w:val="FootnoteAnchor"/>
          <w:rtl w:val="true"/>
        </w:rPr>
        <w:footnoteReference w:id="2299"/>
      </w:r>
      <w:r>
        <w:rPr>
          <w:rFonts w:ascii="Amiri" w:hAnsi="Amiri" w:eastAsia="Amiri" w:cs="Amiri"/>
          <w:color w:val="111111"/>
          <w:sz w:val="28"/>
          <w:sz w:val="28"/>
          <w:szCs w:val="28"/>
          <w:rtl w:val="true"/>
          <w:lang w:bidi="ar-SA"/>
        </w:rPr>
        <w:t>و أمّا في هذا الباب من الخلاف فأوجب الصلاة على الباغي، محتجّا بالعمومات</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ابن إدريس عن الشيخ إيجاب الصلاة على أهل القبلة</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على ولد الزنا تابعة لإسلامه، و من ثم منعه ابن إدريس بناء على كفره عنده</w:t>
      </w:r>
      <w:r>
        <w:rPr>
          <w:rStyle w:val="FootnoteAnchor"/>
          <w:rtl w:val="true"/>
        </w:rPr>
        <w:footnoteReference w:id="2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في الخلاف أوجبها عليه، محتجّا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العمومات</w:t>
      </w:r>
      <w:r>
        <w:rPr>
          <w:rStyle w:val="FootnoteAnchor"/>
          <w:rtl w:val="true"/>
        </w:rPr>
        <w:footnoteReference w:id="2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قبل بلوغه إذ لا لحاق له بأحد الأبوين، و يمكن تبعيّة الإسلام هنا للغة كالتحريم، و يؤيد الإسلام تبعية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النفساء المسلمة فالصلاة عليها بالإجماع، الا من الحسن البصري</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الذي كمل ست سنين في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w:t>
      </w:r>
      <w:r>
        <w:rPr>
          <w:rStyle w:val="FootnoteAnchor"/>
          <w:rtl w:val="true"/>
        </w:rPr>
        <w:footnoteReference w:id="2305"/>
      </w:r>
      <w:r>
        <w:rPr>
          <w:rFonts w:ascii="IRNazanin" w:hAnsi="IRNazanin" w:eastAsia="IRNazanin"/>
          <w:color w:val="111111"/>
          <w:sz w:val="28"/>
          <w:sz w:val="28"/>
          <w:szCs w:val="28"/>
          <w:rtl w:val="true"/>
          <w:lang w:bidi="fa-IR"/>
        </w:rPr>
        <w:t>و ابن البراج</w:t>
      </w:r>
      <w:r>
        <w:rPr>
          <w:rStyle w:val="FootnoteAnchor"/>
          <w:rtl w:val="true"/>
        </w:rPr>
        <w:footnoteReference w:id="2306"/>
      </w:r>
      <w:r>
        <w:rPr>
          <w:rFonts w:ascii="Amiri" w:hAnsi="Amiri" w:eastAsia="Amiri" w:cs="Amiri"/>
          <w:color w:val="111111"/>
          <w:sz w:val="28"/>
          <w:sz w:val="28"/>
          <w:szCs w:val="28"/>
          <w:rtl w:val="true"/>
          <w:lang w:bidi="ar-SA"/>
        </w:rPr>
        <w:t>و ابن زهرة</w:t>
      </w:r>
      <w:r>
        <w:rPr>
          <w:rStyle w:val="FootnoteAnchor"/>
          <w:rtl w:val="true"/>
        </w:rPr>
        <w:footnoteReference w:id="2307"/>
      </w:r>
      <w:r>
        <w:rPr>
          <w:rFonts w:ascii="Amiri" w:hAnsi="Amiri" w:eastAsia="Amiri" w:cs="Amiri"/>
          <w:color w:val="111111"/>
          <w:sz w:val="28"/>
          <w:sz w:val="28"/>
          <w:szCs w:val="28"/>
          <w:rtl w:val="true"/>
          <w:lang w:bidi="ar-SA"/>
        </w:rPr>
        <w:t>و ابن حمزة</w:t>
      </w:r>
      <w:r>
        <w:rPr>
          <w:rStyle w:val="FootnoteAnchor"/>
          <w:rtl w:val="true"/>
        </w:rPr>
        <w:footnoteReference w:id="2308"/>
      </w:r>
      <w:r>
        <w:rPr>
          <w:rFonts w:ascii="IRNazanin" w:hAnsi="IRNazanin" w:eastAsia="IRNazanin"/>
          <w:color w:val="111111"/>
          <w:sz w:val="28"/>
          <w:sz w:val="28"/>
          <w:szCs w:val="28"/>
          <w:rtl w:val="true"/>
          <w:lang w:bidi="fa-IR"/>
        </w:rPr>
        <w:t>و سلار</w:t>
      </w:r>
      <w:r>
        <w:rPr>
          <w:rStyle w:val="FootnoteAnchor"/>
          <w:rtl w:val="true"/>
        </w:rPr>
        <w:footnoteReference w:id="2309"/>
      </w:r>
      <w:r>
        <w:rPr>
          <w:rFonts w:ascii="Amiri" w:hAnsi="Amiri" w:eastAsia="Amiri" w:cs="Amiri"/>
          <w:color w:val="111111"/>
          <w:sz w:val="28"/>
          <w:sz w:val="28"/>
          <w:szCs w:val="28"/>
          <w:rtl w:val="true"/>
          <w:lang w:bidi="ar-SA"/>
        </w:rPr>
        <w:t>و البصروي،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المتأخرون</w:t>
      </w:r>
      <w:r>
        <w:rPr>
          <w:rStyle w:val="FootnoteAnchor"/>
          <w:rtl w:val="true"/>
        </w:rPr>
        <w:footnoteReference w:id="2310"/>
      </w:r>
      <w:r>
        <w:rPr>
          <w:rFonts w:ascii="Amiri" w:hAnsi="Amiri" w:eastAsia="Amiri" w:cs="Amiri"/>
          <w:color w:val="111111"/>
          <w:sz w:val="28"/>
          <w:sz w:val="28"/>
          <w:szCs w:val="28"/>
          <w:rtl w:val="true"/>
          <w:lang w:bidi="ar-SA"/>
        </w:rPr>
        <w:t>و نقل المرتضى فيه الإجماع</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 بان يعقل الصلاة</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الجعفي لا يصلّى على صبي حتى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أسقطها ابن أبي عقيل ما لم يبلغ</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أوجبها ابن الجنيد على المستهل</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عليه حتى يعقل الصلاة، ذكره في المقنع</w:t>
      </w:r>
      <w:r>
        <w:rPr>
          <w:rStyle w:val="FootnoteAnchor"/>
          <w:rtl w:val="true"/>
        </w:rPr>
        <w:footnoteReference w:id="2315"/>
      </w:r>
      <w:r>
        <w:rPr>
          <w:rFonts w:ascii="Amiri" w:hAnsi="Amiri" w:eastAsia="Amiri" w:cs="Amiri"/>
          <w:color w:val="111111"/>
          <w:sz w:val="28"/>
          <w:sz w:val="28"/>
          <w:szCs w:val="28"/>
          <w:rtl w:val="true"/>
          <w:lang w:bidi="ar-SA"/>
        </w:rPr>
        <w:t xml:space="preserve">و روى الست في الفقيه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يتعرّض أبو الصلاح لغير كيفيّة الدعاء في الطفل</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تجب الصلاة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ابن ست سنين</w:t>
      </w:r>
      <w:r>
        <w:rPr>
          <w:rFonts w:eastAsia="Amiri" w:cs="Amiri" w:ascii="Amiri" w:hAnsi="Amiri"/>
          <w:color w:val="111111"/>
          <w:sz w:val="28"/>
          <w:szCs w:val="28"/>
          <w:rtl w:val="true"/>
          <w:lang w:bidi="ar-SA"/>
        </w:rPr>
        <w:t>»</w:t>
      </w:r>
      <w:r>
        <w:rPr>
          <w:rStyle w:val="FootnoteAnchor"/>
          <w:rtl w:val="true"/>
        </w:rPr>
        <w:footnoteReference w:id="2318"/>
      </w:r>
      <w:r>
        <w:rPr>
          <w:rFonts w:ascii="Amiri" w:hAnsi="Amiri" w:eastAsia="Amiri" w:cs="Amiri"/>
          <w:color w:val="111111"/>
          <w:sz w:val="28"/>
          <w:sz w:val="28"/>
          <w:szCs w:val="28"/>
          <w:rtl w:val="true"/>
          <w:lang w:bidi="ar-SA"/>
        </w:rPr>
        <w:t xml:space="preserve">و لأنه ليس من أهل الصلاة لو نقص عن الست، و لأن الصلاة استغفار للميت و شفاعة له، و من لا يخاطب بالصلاة لا يتحقق فيه المعنى، و نبه عليه رواية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عقل الصلاة صلّ عليه</w:t>
      </w:r>
      <w:r>
        <w:rPr>
          <w:rFonts w:eastAsia="Amiri" w:cs="Amiri" w:ascii="Amiri" w:hAnsi="Amiri"/>
          <w:color w:val="111111"/>
          <w:sz w:val="28"/>
          <w:szCs w:val="28"/>
          <w:rtl w:val="true"/>
          <w:lang w:bidi="ar-SA"/>
        </w:rPr>
        <w:t>»</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لو توقّفت الصلاة على الصلاة لم يصل على الميت بعد إسلامه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يجب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يصلّى على من وجبت عليه الصلاة و الحدّ، و لا يصلّى على من لم تجب عليه الصلاة و لا الحدّ</w:t>
      </w:r>
      <w:r>
        <w:rPr>
          <w:rFonts w:eastAsia="Amiri" w:cs="Amiri" w:ascii="Amiri" w:hAnsi="Amiri"/>
          <w:color w:val="111111"/>
          <w:sz w:val="28"/>
          <w:szCs w:val="28"/>
          <w:rtl w:val="true"/>
          <w:lang w:bidi="ar-SA"/>
        </w:rPr>
        <w:t>»</w:t>
      </w:r>
      <w:r>
        <w:rPr>
          <w:rStyle w:val="FootnoteAnchor"/>
          <w:rtl w:val="true"/>
        </w:rPr>
        <w:footnoteReference w:id="2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اشعار بمذهب ابن أبي عقيل، إلاّ ان يريد بالوجوب هنا ما لا بدّ منه، فيكون شاملا</w:t>
      </w:r>
      <w:r>
        <w:rPr>
          <w:rStyle w:val="FootnoteAnchor"/>
          <w:rtl w:val="true"/>
        </w:rPr>
        <w:footnoteReference w:id="2321"/>
      </w:r>
      <w:r>
        <w:rPr>
          <w:rFonts w:ascii="Amiri" w:hAnsi="Amiri" w:eastAsia="Amiri" w:cs="Amiri"/>
          <w:color w:val="111111"/>
          <w:sz w:val="28"/>
          <w:sz w:val="28"/>
          <w:szCs w:val="28"/>
          <w:rtl w:val="true"/>
          <w:lang w:bidi="ar-SA"/>
        </w:rPr>
        <w:t>لتأكد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 أيضا 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الصلاة على الرجل و المرأة إذا جرى عليهما القلم</w:t>
      </w:r>
      <w:r>
        <w:rPr>
          <w:rFonts w:eastAsia="Amiri" w:cs="Amiri" w:ascii="Amiri" w:hAnsi="Amiri"/>
          <w:color w:val="111111"/>
          <w:sz w:val="28"/>
          <w:szCs w:val="28"/>
          <w:rtl w:val="true"/>
          <w:lang w:bidi="ar-SA"/>
        </w:rPr>
        <w:t>»</w:t>
      </w:r>
      <w:r>
        <w:rPr>
          <w:rStyle w:val="FootnoteAnchor"/>
          <w:rtl w:val="true"/>
        </w:rPr>
        <w:footnoteReference w:id="2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يراد بجري القلم مطلق الخطاب الشرعي، و التمرين خطاب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ابنه عبد اللّه و كان فطيما دارجا،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لم يكن يصلّى على الأطفال، إنّما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بهم فيدفنون، و انما صلّيت عليهم من أجل أهل المدينة كراهية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يصلون على أطفالهم</w:t>
      </w:r>
      <w:r>
        <w:rPr>
          <w:rFonts w:eastAsia="Amiri" w:cs="Amiri" w:ascii="Amiri" w:hAnsi="Amiri"/>
          <w:color w:val="111111"/>
          <w:sz w:val="28"/>
          <w:szCs w:val="28"/>
          <w:rtl w:val="true"/>
          <w:lang w:bidi="ar-SA"/>
        </w:rPr>
        <w:t>»</w:t>
      </w:r>
      <w:r>
        <w:rPr>
          <w:rStyle w:val="FootnoteAnchor"/>
          <w:rtl w:val="true"/>
        </w:rPr>
        <w:footnoteReference w:id="2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مطلق فيقيّد بما دون الست، و ذكر الصدوق انّ الطفل كان عمره ثلاث سنين</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حجّة ابن الجنيد بصحيح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على المنفوس، و هو المولود الذي لم يستهلّ، و إذا استهل فصلّ عليه و ورّثه</w:t>
      </w:r>
      <w:r>
        <w:rPr>
          <w:rFonts w:eastAsia="Amiri" w:cs="Amiri" w:ascii="Amiri" w:hAnsi="Amiri"/>
          <w:color w:val="111111"/>
          <w:sz w:val="28"/>
          <w:szCs w:val="28"/>
          <w:rtl w:val="true"/>
          <w:lang w:bidi="ar-SA"/>
        </w:rPr>
        <w:t>»</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السكوني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الصبي و يصلّى عليه إذا سقط من بطن امّه فاستهلّ صارخا، و إذا لم يستهلّ صارخا لم يورث و لم يصل عليه</w:t>
      </w:r>
      <w:r>
        <w:rPr>
          <w:rFonts w:eastAsia="Amiri" w:cs="Amiri" w:ascii="Amiri" w:hAnsi="Amiri"/>
          <w:color w:val="111111"/>
          <w:sz w:val="28"/>
          <w:szCs w:val="28"/>
          <w:rtl w:val="true"/>
          <w:lang w:bidi="ar-SA"/>
        </w:rPr>
        <w:t>»</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مرسلة أحمد بن محمد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الصبي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عليه على كل حال، الا ان يسقط لغير تمام</w:t>
      </w:r>
      <w:r>
        <w:rPr>
          <w:rFonts w:eastAsia="Amiri" w:cs="Amiri" w:ascii="Amiri" w:hAnsi="Amiri"/>
          <w:color w:val="111111"/>
          <w:sz w:val="28"/>
          <w:szCs w:val="28"/>
          <w:rtl w:val="true"/>
          <w:lang w:bidi="ar-SA"/>
        </w:rPr>
        <w:t>»</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حملها الشيخ على التقية أو الندب، جمعا بين الأخبار</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على من نقص عن ست استحبابا و تقية</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لقيط دار الإسلام لو مات طفلا، فبحكم المسلم تغليبا للدار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لقيط دار الحرب إذا كان فيها مسلم، تغليبا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المجنون المتولد من مسلم، أو كان أحد اللقيطين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الأخرس، فاسلامه حقيقي بالإشارة إذا كان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احترزنا بالحاضر عن الغائب،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يشاهده المصلي حقيقة و لا حكما، أو من كان بعيدا بما لم تجر العادة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لو جاز لصلّي على النبي صلّى اللّه عليه و آله في الأمصار و على من مات بعده من الصحابة، و لو وقع ذلك لاشتهر، و لأنّ استقبال القبلة بالميت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صلّى اللّه عليه و آله على النجاشي</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زويت له، أو محمولة على الدعاء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الخلاف و المبسوط استدل على المنع بعدم دليل الثبوت، و لم يذكر خبرا و لا إجماعا</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البعد بما لم تجر العادة به، فلأنّه كالغائب، و لان عمل الناس على القرب في جميع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يتباعد عنها يسيرا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اعتبرنا الحقيقة و الحكم، لتدخل فيه الصلاة على القبر في أشهر الخبرين، فإنه و ان لم يكن مشاهدا حقيقة فهو في حكم المشاهد، لصحيح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يصلي الرجل على الميت بعد ما يدفن</w:t>
      </w:r>
      <w:r>
        <w:rPr>
          <w:rFonts w:eastAsia="Amiri" w:cs="Amiri" w:ascii="Amiri" w:hAnsi="Amiri"/>
          <w:color w:val="111111"/>
          <w:sz w:val="28"/>
          <w:szCs w:val="28"/>
          <w:rtl w:val="true"/>
          <w:lang w:bidi="ar-SA"/>
        </w:rPr>
        <w:t>»</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مالك مولى الجهم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فاتتك الصلاة على الميت حتى يدفن، فلا بأس بالصلاة عليه و قد دفن</w:t>
      </w:r>
      <w:r>
        <w:rPr>
          <w:rFonts w:eastAsia="Amiri" w:cs="Amiri" w:ascii="Amiri" w:hAnsi="Amiri"/>
          <w:color w:val="111111"/>
          <w:sz w:val="28"/>
          <w:szCs w:val="28"/>
          <w:rtl w:val="true"/>
          <w:lang w:bidi="ar-SA"/>
        </w:rPr>
        <w:t>»</w:t>
      </w:r>
      <w:r>
        <w:rPr>
          <w:rStyle w:val="FootnoteAnchor"/>
          <w:rtl w:val="true"/>
        </w:rPr>
        <w:footnoteReference w:id="2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الخبران يشملان من صلّي عليه، و من لم يصل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عمرو بن جميع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فاتته الصلاة على الميت صلّى على القبر</w:t>
      </w:r>
      <w:r>
        <w:rPr>
          <w:rFonts w:eastAsia="Amiri" w:cs="Amiri" w:ascii="Amiri" w:hAnsi="Amiri"/>
          <w:color w:val="111111"/>
          <w:sz w:val="28"/>
          <w:szCs w:val="28"/>
          <w:rtl w:val="true"/>
          <w:lang w:bidi="ar-SA"/>
        </w:rPr>
        <w:t>»</w:t>
      </w:r>
      <w:r>
        <w:rPr>
          <w:rStyle w:val="FootnoteAnchor"/>
          <w:rtl w:val="true"/>
        </w:rPr>
        <w:footnoteReference w:id="2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صلّى على قبر مسكينة دفنت ليلا</w:t>
      </w:r>
      <w:r>
        <w:rPr>
          <w:rStyle w:val="FootnoteAnchor"/>
          <w:rtl w:val="true"/>
        </w:rPr>
        <w:footnoteReference w:id="2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ظاهران فيمن صلّي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بإزاء هذه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يونس بن ظبيان،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نهى أن يصلّى على قبر، أو يقعد عليه، أو يبنى عليه</w:t>
      </w:r>
      <w:r>
        <w:rPr>
          <w:rFonts w:eastAsia="Amiri" w:cs="Amiri" w:ascii="Amiri" w:hAnsi="Amiri"/>
          <w:color w:val="111111"/>
          <w:sz w:val="28"/>
          <w:szCs w:val="28"/>
          <w:rtl w:val="true"/>
          <w:lang w:bidi="ar-SA"/>
        </w:rPr>
        <w:t>»</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ميت صلّي عليه و هو مقلوب رجلاه الى موضع رأسه،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يسوّى و تعاد الصلاة ما لم يدفن، فان دفن فقد مضت الصلاة، و لا يصلّي عليه و هو مدفون</w:t>
      </w:r>
      <w:r>
        <w:rPr>
          <w:rFonts w:eastAsia="Amiri" w:cs="Amiri" w:ascii="Amiri" w:hAnsi="Amiri"/>
          <w:color w:val="111111"/>
          <w:sz w:val="28"/>
          <w:szCs w:val="28"/>
          <w:rtl w:val="true"/>
          <w:lang w:bidi="ar-SA"/>
        </w:rPr>
        <w:t>»</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عمار أيضا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على الميت بعد ما يدفن</w:t>
      </w:r>
      <w:r>
        <w:rPr>
          <w:rFonts w:eastAsia="Amiri" w:cs="Amiri" w:ascii="Amiri" w:hAnsi="Amiri"/>
          <w:color w:val="111111"/>
          <w:sz w:val="28"/>
          <w:szCs w:val="28"/>
          <w:rtl w:val="true"/>
          <w:lang w:bidi="ar-SA"/>
        </w:rPr>
        <w:t>»</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ذلك عن رجل من أهل الجزيرة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المدفون،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لو جاز ذلك لجاز لرسول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شامل لنفي الصلاة على القبر، و نفيها على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جعفر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حين أخبره بموت عبد اللّه بن أعين بمكة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بنا الى قبره حتى نصلي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نصلي عليه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يدعو و اجتهد في الدعاء و ترحم عليه</w:t>
      </w:r>
      <w:r>
        <w:rPr>
          <w:rStyle w:val="FootnoteAnchor"/>
          <w:rtl w:val="true"/>
        </w:rPr>
        <w:footnoteReference w:id="2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يحتمل أن يريد بالصلاة الأولى حقيقتها، فتكون من قبيل الأخبار الأول، و ان يريد بها الدعاء المجرّد، و يكون قد اعرض عن الدعاء على القبر الى الدعاء في موضعه، فيكون محتملا لعدم الصلاة بالمعنى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مقطوع محمد بن مسلم أو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على الميت بعد ما يدفن انما هو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فالنجاشي ألم يصلّ عليه النبي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انما دعا له</w:t>
      </w:r>
      <w:r>
        <w:rPr>
          <w:rFonts w:eastAsia="Amiri" w:cs="Amiri" w:ascii="Amiri" w:hAnsi="Amiri"/>
          <w:color w:val="111111"/>
          <w:sz w:val="28"/>
          <w:szCs w:val="28"/>
          <w:rtl w:val="true"/>
          <w:lang w:bidi="ar-SA"/>
        </w:rPr>
        <w:t>»</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جمع بين الأخبار بالحمل على يوم و ليلة</w:t>
      </w:r>
      <w:r>
        <w:rPr>
          <w:rStyle w:val="FootnoteAnchor"/>
          <w:rtl w:val="true"/>
        </w:rPr>
        <w:footnoteReference w:id="2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المفيد رحمه اللّه</w:t>
      </w:r>
      <w:r>
        <w:rPr>
          <w:rStyle w:val="FootnoteAnchor"/>
          <w:rtl w:val="true"/>
        </w:rPr>
        <w:footnoteReference w:id="2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القدر 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اختاره في المبسوط و النهاية،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فاتته الصلاة على الجنازة، جاز ان يصلي على القبر يوما و ليلة</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جنازة يكره أن يصلي عليها ثانيا، و من فاتته الصلاة جاز ان يصلّي على القبر يوما و ليلة، و قد روي ثلاثة أيام</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حددنا الصلاة على القبر يوما و ليلة، و أكثره ثلاثة أيام</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جمع أيضا بين الأخبار بحمل أخبار الصلاة على الدعاء</w:t>
      </w:r>
      <w:r>
        <w:rPr>
          <w:rStyle w:val="FootnoteAnchor"/>
          <w:rtl w:val="true"/>
        </w:rPr>
        <w:footnoteReference w:id="2347"/>
      </w:r>
      <w:r>
        <w:rPr>
          <w:rFonts w:ascii="Amiri" w:hAnsi="Amiri" w:eastAsia="Amiri" w:cs="Amiri"/>
          <w:color w:val="111111"/>
          <w:sz w:val="28"/>
          <w:sz w:val="28"/>
          <w:szCs w:val="28"/>
          <w:rtl w:val="true"/>
          <w:lang w:bidi="ar-SA"/>
        </w:rPr>
        <w:t>و في هذا الحمل إنكار للصلاة على المدفون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جنح إليه في المعتبر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حكاية المذاهب فيما إذا لم يصل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عندي انها لا تجب، و لا أمنع الجواز، لأن المدفون خرج بدفنه عن أهل الدنيا فساوى من فني في قبره، و لأنه لو جازت الصلاة عليه بعد دفنه لصلّي على الأنبياء في قبورهم و الصلحاء و ان تقادم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ما رواه عمار، و تلا بعض الروايات المذكورة</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التقدير باليوم و الليلة و ثلاثة أيام فلم أقف به على مستند، و ما روي من الصلاة على القبر محمول على الجواز أو الدعاء المحض</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المختلف جمع بحمل أخبار الجواز على ميت لم يصل عليه، و صرف أخبار المنع الى ميت صلّي عليه، لاعتضاد الأول بالعمومات الدالة على الصلاة على الميت</w:t>
      </w:r>
      <w:r>
        <w:rPr>
          <w:rStyle w:val="FootnoteAnchor"/>
          <w:rtl w:val="true"/>
        </w:rPr>
        <w:footnoteReference w:id="2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بعد هذا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إنكار الصلاة على المدفون يخالف 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الشيخان فقد ذكرا، و اما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الصلاة على الميت، صلّى عليه ما لم يعلم منه تغير صورته</w:t>
      </w:r>
      <w:r>
        <w:rPr>
          <w:rStyle w:val="FootnoteAnchor"/>
          <w:rtl w:val="true"/>
        </w:rPr>
        <w:footnoteReference w:id="2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فيمن فاتته الصلاة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فاتته الصلاة، جاز له ان يصلي على القبر يوما و ليلة</w:t>
      </w:r>
      <w:r>
        <w:rPr>
          <w:rStyle w:val="FootnoteAnchor"/>
          <w:rtl w:val="true"/>
        </w:rPr>
        <w:footnoteReference w:id="2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الكيدري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يصلّي على الميت بعد أن يمضي عليه يوم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ليلة</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فاتته الصلاة، صلّى على القبر الى انقضاء يوم و ليلة</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الصلاة على القبر إلى ثلاثة أيام</w:t>
      </w:r>
      <w:r>
        <w:rPr>
          <w:rStyle w:val="FootnoteAnchor"/>
          <w:rtl w:val="true"/>
        </w:rPr>
        <w:footnoteReference w:id="2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الشيخ يشعر بأنّ به رواية</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فاتته الصلاة على الجنازة، جاز أن يصلي على القبر يوما و ليلة، و جعله أظهر من القول بثلاثة أيام</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هذه ظاهرة فيمن صلّي عليه، و في الجواز بمعناه الحقيقي لا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من جوازها فيمن صلّي عليه وجوبها في فاقد الصلاة، لأن العمومات الدّالة سالمة عن معارض كون الميت غير صالح للصلاة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يساوي من فني في قبره، محض الدعوى، و لأنّه مهما قدّر</w:t>
      </w:r>
      <w:r>
        <w:rPr>
          <w:rStyle w:val="FootnoteAnchor"/>
          <w:rtl w:val="true"/>
        </w:rPr>
        <w:footnoteReference w:id="2358"/>
      </w:r>
      <w:r>
        <w:rPr>
          <w:rFonts w:ascii="Amiri" w:hAnsi="Amiri" w:eastAsia="Amiri" w:cs="Amiri"/>
          <w:color w:val="111111"/>
          <w:sz w:val="28"/>
          <w:sz w:val="28"/>
          <w:szCs w:val="28"/>
          <w:rtl w:val="true"/>
          <w:lang w:bidi="ar-SA"/>
        </w:rPr>
        <w:t>الجواز به قدّرنا به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الصلاة على الأنبياء، لانتفاء ما قدّره به العلماء، أو لما حكاه الشيخ في الخلاف من استلزامه الفتنة، لما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قبري وثنا يعبد، لعن اللّه اليهود فإنّهم اتخذوا قبور أنبيائهم مساجد</w:t>
      </w:r>
      <w:r>
        <w:rPr>
          <w:rStyle w:val="FootnoteAnchor"/>
          <w:rtl w:val="true"/>
        </w:rPr>
        <w:footnoteReference w:id="2359"/>
      </w:r>
      <w:r>
        <w:rPr>
          <w:rFonts w:ascii="Amiri" w:hAnsi="Amiri" w:eastAsia="Amiri" w:cs="Amiri"/>
          <w:color w:val="111111"/>
          <w:sz w:val="28"/>
          <w:sz w:val="28"/>
          <w:szCs w:val="28"/>
          <w:rtl w:val="true"/>
          <w:lang w:bidi="ar-SA"/>
        </w:rPr>
        <w:t>، أو لما روي عنه صلّى اللّه عليه و آله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أكرم على ربي من أن يتركني في قبري أكثر من ثلاث</w:t>
      </w:r>
      <w:r>
        <w:rPr>
          <w:rFonts w:eastAsia="Amiri" w:cs="Amiri" w:ascii="Amiri" w:hAnsi="Amiri"/>
          <w:color w:val="111111"/>
          <w:sz w:val="28"/>
          <w:szCs w:val="28"/>
          <w:rtl w:val="true"/>
          <w:lang w:bidi="ar-SA"/>
        </w:rPr>
        <w:t>»</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هؤلاء حكموا بكراهية الصلاة على الجنازة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 اختصاص الكراهية بمن صلّى على الميت، لما تلوناه عنهم من جواز صلاة من فاتته على القبر، أو يريدون بالكراهية قبل الدفن حتى ينتظم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إدريس قيّد الكراهية بالصلاة جماعة، لتكرار الصحابة الصلاة على النبي صلّى اللّه عليه و آله فرادى</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روى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صلى على جنازة، فلما فرغ جاء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فاتتنا الصلاة عليها،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الجنازة لا يصلّى عليها مرّتين، ادعوا له و قولوا خيرا</w:t>
      </w:r>
      <w:r>
        <w:rPr>
          <w:rFonts w:eastAsia="Amiri" w:cs="Amiri" w:ascii="Amiri" w:hAnsi="Amiri"/>
          <w:color w:val="111111"/>
          <w:sz w:val="28"/>
          <w:szCs w:val="28"/>
          <w:rtl w:val="true"/>
          <w:lang w:bidi="ar-SA"/>
        </w:rPr>
        <w:t>»</w:t>
      </w:r>
      <w:r>
        <w:rPr>
          <w:rStyle w:val="FootnoteAnchor"/>
          <w:rtl w:val="true"/>
        </w:rPr>
        <w:footnoteReference w:id="2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رواية وهب بن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رسول اللّه صلّى اللّه عليه و آله</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بإزاء هاتين الروايتين روايات،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يصلّى عليه ما لم يوار بالتراب و ان كان قد صلّي عليه</w:t>
      </w:r>
      <w:r>
        <w:rPr>
          <w:rFonts w:eastAsia="Amiri" w:cs="Amiri" w:ascii="Amiri" w:hAnsi="Amiri"/>
          <w:color w:val="111111"/>
          <w:sz w:val="28"/>
          <w:szCs w:val="28"/>
          <w:rtl w:val="true"/>
          <w:lang w:bidi="ar-SA"/>
        </w:rPr>
        <w:t>»</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يونس بن يعقوب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أدركتها قبل أن تدفن، فإن شئت فصلّ عليها</w:t>
      </w:r>
      <w:r>
        <w:rPr>
          <w:rFonts w:eastAsia="Amiri" w:cs="Amiri" w:ascii="Amiri" w:hAnsi="Amiri"/>
          <w:color w:val="111111"/>
          <w:sz w:val="28"/>
          <w:szCs w:val="28"/>
          <w:rtl w:val="true"/>
          <w:lang w:bidi="ar-SA"/>
        </w:rPr>
        <w:t>»</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عمرو بن شمر 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خرج على جنازة امرأة من بني النجار فصلّى عليها، فوجد الحفرة لم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يمكثوا</w:t>
      </w:r>
      <w:r>
        <w:rPr>
          <w:rStyle w:val="FootnoteAnchor"/>
          <w:rtl w:val="true"/>
        </w:rPr>
        <w:footnoteReference w:id="2366"/>
      </w:r>
      <w:r>
        <w:rPr>
          <w:rFonts w:ascii="Amiri" w:hAnsi="Amiri" w:eastAsia="Amiri" w:cs="Amiri"/>
          <w:color w:val="111111"/>
          <w:sz w:val="28"/>
          <w:sz w:val="28"/>
          <w:szCs w:val="28"/>
          <w:rtl w:val="true"/>
          <w:lang w:bidi="ar-SA"/>
        </w:rPr>
        <w:t xml:space="preserve">فوضعوا الجنازة، فلم يجئ قوم إلاّ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عليها</w:t>
      </w:r>
      <w:r>
        <w:rPr>
          <w:rFonts w:eastAsia="Amiri" w:cs="Amiri" w:ascii="Amiri" w:hAnsi="Amiri"/>
          <w:color w:val="111111"/>
          <w:sz w:val="28"/>
          <w:szCs w:val="28"/>
          <w:rtl w:val="true"/>
          <w:lang w:bidi="ar-SA"/>
        </w:rPr>
        <w:t>»</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الحسن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سهل بن حنيف و كان بدريا خمس تكبيرات، ثم مشى ساعة، ثم وضعه و كبّر عليه خمس تكبيرات اخرى، يصنع ذلك حتى كبّر عليه خمسا و عشرين تكبيرة</w:t>
      </w:r>
      <w:r>
        <w:rPr>
          <w:rFonts w:eastAsia="Amiri" w:cs="Amiri" w:ascii="Amiri" w:hAnsi="Amiri"/>
          <w:color w:val="111111"/>
          <w:sz w:val="28"/>
          <w:szCs w:val="28"/>
          <w:rtl w:val="true"/>
          <w:lang w:bidi="ar-SA"/>
        </w:rPr>
        <w:t>»</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بلغكم انّ رجلا صلّى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عليه خمسا حتى صلّى عليه خمس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بدري، عقبي، أحدي، من النقباء الاثني عشر، و له خمس مناقب فصلّى عليه لكل منقبة صلاة</w:t>
      </w:r>
      <w:r>
        <w:rPr>
          <w:rFonts w:eastAsia="Amiri" w:cs="Amiri" w:ascii="Amiri" w:hAnsi="Amiri"/>
          <w:color w:val="111111"/>
          <w:sz w:val="28"/>
          <w:szCs w:val="28"/>
          <w:rtl w:val="true"/>
          <w:lang w:bidi="ar-SA"/>
        </w:rPr>
        <w:t>»</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رسول اللّه صلّى اللّه عليه و آله على حمزة سبعين تكبيرة، و كبّر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على سهل بن حنيف خمسا و عشرين تكبيرة، كلّما أدركه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ندرك الصلاة على سهل، فيضعه و يكبّر حتى انتهى الى قبره، خمس مرات</w:t>
      </w:r>
      <w:r>
        <w:rPr>
          <w:rFonts w:eastAsia="Amiri" w:cs="Amiri" w:ascii="Amiri" w:hAnsi="Amiri"/>
          <w:color w:val="111111"/>
          <w:sz w:val="28"/>
          <w:szCs w:val="28"/>
          <w:rtl w:val="true"/>
          <w:lang w:bidi="ar-SA"/>
        </w:rPr>
        <w:t>»</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فتبين رجحان الصلاة بظهور الفتوى، و كثرة الأخبار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خيف على الميت كره تكرار الصلاة و الا فلا، و ظاهره انه إن نافى التعجيل أيضا</w:t>
      </w:r>
      <w:r>
        <w:rPr>
          <w:rStyle w:val="FootnoteAnchor"/>
          <w:rtl w:val="true"/>
        </w:rPr>
        <w:footnoteReference w:id="2371"/>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فيه جمع بين الأخبار، الا انه لا يرد في الصلاة على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18" w:name="pg15253_219925"/>
    </w:p>
    <w:p>
      <w:pPr>
        <w:pStyle w:val="BookText"/>
        <w:rPr/>
      </w:pPr>
      <w:bookmarkEnd w:id="1118"/>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كراهة التكرار</w:t>
      </w:r>
      <w:r>
        <w:rPr>
          <w:rStyle w:val="FootnoteAnchor"/>
          <w:rtl w:val="true"/>
        </w:rPr>
        <w:footnoteReference w:id="2372"/>
      </w:r>
      <w:r>
        <w:rPr>
          <w:rFonts w:ascii="Amiri" w:hAnsi="Amiri" w:eastAsia="Amiri" w:cs="Amiri"/>
          <w:color w:val="111111"/>
          <w:sz w:val="28"/>
          <w:sz w:val="28"/>
          <w:szCs w:val="28"/>
          <w:rtl w:val="true"/>
          <w:lang w:bidi="ar-SA"/>
        </w:rPr>
        <w:t>و قد علمت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 الميت، صلى عليه من غير تقدير</w:t>
      </w:r>
      <w:r>
        <w:rPr>
          <w:rStyle w:val="FootnoteAnchor"/>
          <w:rtl w:val="true"/>
        </w:rPr>
        <w:footnoteReference w:id="2373"/>
      </w:r>
      <w:r>
        <w:rPr>
          <w:rFonts w:ascii="Amiri" w:hAnsi="Amiri" w:eastAsia="Amiri" w:cs="Amiri"/>
          <w:color w:val="111111"/>
          <w:sz w:val="28"/>
          <w:sz w:val="28"/>
          <w:szCs w:val="28"/>
          <w:rtl w:val="true"/>
          <w:lang w:bidi="ar-SA"/>
        </w:rPr>
        <w:t>لزوال المانع بالظهور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تام مع بقاء شيء منه، و القلع يدل عليه، فلو صار رميما ففي الصلاة بعد إذ لا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فيمن لم يصل عليه، و لو كان قد صلى عليه ثم ظهر، ففي استحباب التثنية القولان، و كذا ينسحب تقديرها أيضا باليوم أو الثلاثة، و يمكن عدم التقدير لعدم مقتضيه</w:t>
      </w:r>
      <w:r>
        <w:rPr>
          <w:rFonts w:eastAsia="Amiri" w:cs="Amiri" w:ascii="Amiri" w:hAnsi="Amiri"/>
          <w:color w:val="111111"/>
          <w:sz w:val="28"/>
          <w:szCs w:val="28"/>
          <w:rtl w:val="true"/>
          <w:lang w:bidi="ar-SA"/>
        </w:rPr>
        <w:t>.</w:t>
      </w:r>
    </w:p>
    <w:p>
      <w:pPr>
        <w:pStyle w:val="Heading6"/>
        <w:numPr>
          <w:ilvl w:val="5"/>
          <w:numId w:val="1"/>
        </w:numPr>
        <w:rPr/>
      </w:pPr>
      <w:bookmarkStart w:id="1119" w:name="__RefHeading___Toc4192499_2142443653"/>
      <w:bookmarkStart w:id="1120" w:name="_Toc455"/>
      <w:bookmarkEnd w:id="1119"/>
      <w:r>
        <w:rPr>
          <w:rtl w:val="true"/>
        </w:rPr>
        <w:t>تنبيهات</w:t>
      </w:r>
      <w:bookmarkEnd w:id="1120"/>
    </w:p>
    <w:p>
      <w:pPr>
        <w:pStyle w:val="Heading6"/>
        <w:numPr>
          <w:ilvl w:val="5"/>
          <w:numId w:val="1"/>
        </w:numPr>
        <w:rPr/>
      </w:pPr>
      <w:bookmarkStart w:id="1121" w:name="__RefHeading___Toc4192501_2142443653"/>
      <w:bookmarkStart w:id="1122" w:name="_Toc456"/>
      <w:bookmarkEnd w:id="1121"/>
      <w:r>
        <w:rPr>
          <w:rtl w:val="true"/>
        </w:rPr>
        <w:t>الأول</w:t>
      </w:r>
      <w:r>
        <w:rPr>
          <w:rtl w:val="true"/>
        </w:rPr>
        <w:t xml:space="preserve">: </w:t>
      </w:r>
      <w:r>
        <w:rPr>
          <w:rtl w:val="true"/>
        </w:rPr>
        <w:t>لا فرق في تكرار الصلاة بين الولي و غيره،</w:t>
      </w:r>
      <w:bookmarkEnd w:id="1122"/>
    </w:p>
    <w:p>
      <w:pPr>
        <w:pStyle w:val="BookText"/>
        <w:rPr/>
      </w:pPr>
      <w:r>
        <w:rPr>
          <w:rFonts w:ascii="Amiri" w:hAnsi="Amiri" w:eastAsia="Amiri" w:cs="Amiri"/>
          <w:color w:val="111111"/>
          <w:sz w:val="28"/>
          <w:sz w:val="28"/>
          <w:szCs w:val="28"/>
          <w:rtl w:val="true"/>
          <w:lang w:bidi="ar-SA"/>
        </w:rPr>
        <w:t>لأن النبي صلّى اللّه عليه و آله صلى على المدفون ليلا جماعة، رواه ابن 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فيهم</w:t>
      </w:r>
      <w:r>
        <w:rPr>
          <w:rStyle w:val="FootnoteAnchor"/>
          <w:rtl w:val="true"/>
        </w:rPr>
        <w:footnoteReference w:id="2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اختص التكرار بالولي صلّى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توجيه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أول حدّ الكثرة و آخر حدّ القلّة،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التحديد بالشهر أخذا من صلاة النبي صلّى اللّه عليه و آله على النجاشي</w:t>
      </w:r>
      <w:r>
        <w:rPr>
          <w:rStyle w:val="FootnoteAnchor"/>
          <w:rtl w:val="true"/>
        </w:rPr>
        <w:footnoteReference w:id="2375"/>
      </w:r>
      <w:r>
        <w:rPr>
          <w:rFonts w:ascii="Amiri" w:hAnsi="Amiri" w:eastAsia="Amiri" w:cs="Amiri"/>
          <w:color w:val="111111"/>
          <w:sz w:val="28"/>
          <w:sz w:val="28"/>
          <w:szCs w:val="28"/>
          <w:rtl w:val="true"/>
          <w:lang w:bidi="ar-SA"/>
        </w:rPr>
        <w:t>و بينهما مسيرة شهر و لو لا الوحي لتأخّر علمه به، ظاهر الضعف، فإنه صلّى عليه ليوم موته باخبار اللّه تعالى، و لا طريق الى علم عدم صلاته لو زاد على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نقل من صلاته صلّى اللّه عليه و آله على البراء بن معرور بعد شهر</w:t>
      </w:r>
      <w:r>
        <w:rPr>
          <w:rStyle w:val="FootnoteAnchor"/>
          <w:rtl w:val="true"/>
        </w:rPr>
        <w:footnoteReference w:id="2376"/>
      </w:r>
      <w:r>
        <w:rPr>
          <w:rFonts w:ascii="Amiri" w:hAnsi="Amiri" w:eastAsia="Amiri" w:cs="Amiri"/>
          <w:color w:val="111111"/>
          <w:sz w:val="28"/>
          <w:sz w:val="28"/>
          <w:szCs w:val="28"/>
          <w:rtl w:val="true"/>
          <w:lang w:bidi="ar-SA"/>
        </w:rPr>
        <w:t>لا ينفي الزيادة عليه</w:t>
      </w:r>
      <w:r>
        <w:rPr>
          <w:rFonts w:eastAsia="Amiri" w:cs="Amiri" w:ascii="Amiri" w:hAnsi="Amiri"/>
          <w:color w:val="111111"/>
          <w:sz w:val="28"/>
          <w:szCs w:val="28"/>
          <w:rtl w:val="true"/>
          <w:lang w:bidi="ar-SA"/>
        </w:rPr>
        <w:t>.</w:t>
      </w:r>
    </w:p>
    <w:p>
      <w:pPr>
        <w:pStyle w:val="Heading6"/>
        <w:numPr>
          <w:ilvl w:val="5"/>
          <w:numId w:val="1"/>
        </w:numPr>
        <w:rPr/>
      </w:pPr>
      <w:bookmarkStart w:id="1123" w:name="__RefHeading___Toc4192503_2142443653"/>
      <w:bookmarkStart w:id="1124" w:name="_Toc457"/>
      <w:bookmarkEnd w:id="1123"/>
      <w:r>
        <w:rPr>
          <w:rtl w:val="true"/>
        </w:rPr>
        <w:t>الثاني</w:t>
      </w:r>
      <w:r>
        <w:rPr>
          <w:rtl w:val="true"/>
        </w:rPr>
        <w:t xml:space="preserve">: </w:t>
      </w:r>
      <w:r>
        <w:rPr>
          <w:rtl w:val="true"/>
        </w:rPr>
        <w:t>لو قدّرنا بتقدير ابن الجنيد فالظاهر</w:t>
      </w:r>
      <w:r>
        <w:rPr>
          <w:rtl w:val="true"/>
        </w:rPr>
        <w:t xml:space="preserve">: </w:t>
      </w:r>
      <w:r>
        <w:rPr>
          <w:rtl w:val="true"/>
        </w:rPr>
        <w:t>انّ البلى غير شرط،</w:t>
      </w:r>
      <w:bookmarkEnd w:id="112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قدّرنا بتقدير ابن الجنيد</w:t>
      </w:r>
      <w:r>
        <w:rPr>
          <w:rStyle w:val="FootnoteAnchor"/>
          <w:rtl w:val="true"/>
        </w:rPr>
        <w:footnoteReference w:id="2377"/>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البلى غير شرط، إذ </w:t>
      </w:r>
      <w:bookmarkStart w:id="1125" w:name="pg15253_219926"/>
    </w:p>
    <w:p>
      <w:pPr>
        <w:pStyle w:val="BookText"/>
        <w:rPr/>
      </w:pPr>
      <w:bookmarkEnd w:id="1125"/>
      <w:r>
        <w:rPr>
          <w:rFonts w:ascii="Amiri" w:hAnsi="Amiri" w:eastAsia="Amiri" w:cs="Amiri"/>
          <w:color w:val="111111"/>
          <w:sz w:val="28"/>
          <w:sz w:val="28"/>
          <w:szCs w:val="28"/>
          <w:rtl w:val="true"/>
          <w:lang w:bidi="ar-SA"/>
        </w:rPr>
        <w:t>الصورة الإنسانية تتغيّر بدونه، و لو شككنا في تغيّر الصورة، فالأصل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و عليه نبّه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تغيّر صورته، و يمكن أن يراد بتغير الصورة انمحاق الاجزاء، لأن المعتبر اسم البدن، و هو حاصل قبل الانمحاق</w:t>
      </w:r>
      <w:r>
        <w:rPr>
          <w:rFonts w:eastAsia="Amiri" w:cs="Amiri" w:ascii="Amiri" w:hAnsi="Amiri"/>
          <w:color w:val="111111"/>
          <w:sz w:val="28"/>
          <w:szCs w:val="28"/>
          <w:rtl w:val="true"/>
          <w:lang w:bidi="ar-SA"/>
        </w:rPr>
        <w:t>.</w:t>
      </w:r>
    </w:p>
    <w:p>
      <w:pPr>
        <w:pStyle w:val="Heading6"/>
        <w:numPr>
          <w:ilvl w:val="5"/>
          <w:numId w:val="1"/>
        </w:numPr>
        <w:rPr/>
      </w:pPr>
      <w:bookmarkStart w:id="1126" w:name="__RefHeading___Toc4192505_2142443653"/>
      <w:bookmarkStart w:id="1127" w:name="_Toc458"/>
      <w:bookmarkEnd w:id="1126"/>
      <w:r>
        <w:rPr>
          <w:rtl w:val="true"/>
        </w:rPr>
        <w:t>الثالث</w:t>
      </w:r>
      <w:r>
        <w:rPr>
          <w:rtl w:val="true"/>
        </w:rPr>
        <w:t xml:space="preserve">: </w:t>
      </w:r>
      <w:r>
        <w:rPr>
          <w:rtl w:val="true"/>
        </w:rPr>
        <w:t>لا فرق في هذه الصلاة بين الموجود عند موته و غيره،</w:t>
      </w:r>
      <w:bookmarkEnd w:id="1127"/>
    </w:p>
    <w:p>
      <w:pPr>
        <w:pStyle w:val="BookText"/>
        <w:rPr/>
      </w:pPr>
      <w:r>
        <w:rPr>
          <w:rFonts w:ascii="Amiri" w:hAnsi="Amiri" w:eastAsia="Amiri" w:cs="Amiri"/>
          <w:color w:val="111111"/>
          <w:sz w:val="28"/>
          <w:sz w:val="28"/>
          <w:szCs w:val="28"/>
          <w:rtl w:val="true"/>
          <w:lang w:bidi="ar-SA"/>
        </w:rPr>
        <w:t>و لا بين المكلف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الفرق، لأن غير الموجود لم يكن متوجّها اليه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يشترط ان يكون مكلّفا حتى يكون من أهل فرض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الاجتزاء بكونه مميّزا، اعتبارا بكونه من أهل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 المميّز عند موته، فعلى الأول لا يصلّي، و على الثاني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الميت لم يصل عليه اشترط الأول، و ان كان ممن فاتته الصلاة كفى اعتبار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الشرط انما يظهر على مذهب ابن الجنيد، أو على القول بعدم التقدير</w:t>
      </w:r>
      <w:r>
        <w:rPr>
          <w:rFonts w:eastAsia="Amiri" w:cs="Amiri" w:ascii="Amiri" w:hAnsi="Amiri"/>
          <w:color w:val="111111"/>
          <w:sz w:val="28"/>
          <w:szCs w:val="28"/>
          <w:rtl w:val="true"/>
          <w:lang w:bidi="ar-SA"/>
        </w:rPr>
        <w:t>.</w:t>
      </w:r>
    </w:p>
    <w:p>
      <w:pPr>
        <w:pStyle w:val="Heading6"/>
        <w:numPr>
          <w:ilvl w:val="5"/>
          <w:numId w:val="1"/>
        </w:numPr>
        <w:rPr/>
      </w:pPr>
      <w:bookmarkStart w:id="1128" w:name="__RefHeading___Toc4192507_2142443653"/>
      <w:bookmarkStart w:id="1129" w:name="_Toc459"/>
      <w:bookmarkEnd w:id="1128"/>
      <w:r>
        <w:rPr>
          <w:rtl w:val="true"/>
        </w:rPr>
        <w:t>الرابع</w:t>
      </w:r>
      <w:r>
        <w:rPr>
          <w:rtl w:val="true"/>
        </w:rPr>
        <w:t xml:space="preserve">: </w:t>
      </w:r>
      <w:r>
        <w:rPr>
          <w:rtl w:val="true"/>
        </w:rPr>
        <w:t>يعتبر هنا مشاهدة القبر أو في حكمه،</w:t>
      </w:r>
      <w:bookmarkEnd w:id="1129"/>
    </w:p>
    <w:p>
      <w:pPr>
        <w:pStyle w:val="BookText"/>
        <w:rPr/>
      </w:pPr>
      <w:r>
        <w:rPr>
          <w:rFonts w:ascii="Amiri" w:hAnsi="Amiri" w:eastAsia="Amiri" w:cs="Amiri"/>
          <w:color w:val="111111"/>
          <w:sz w:val="28"/>
          <w:sz w:val="28"/>
          <w:szCs w:val="28"/>
          <w:rtl w:val="true"/>
          <w:lang w:bidi="ar-SA"/>
        </w:rPr>
        <w:t>و إلاّ لكان صلاة على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وقوفه مستقبلا، جاعلا لما يلي الرأس عن يمينه، كالميت الظاهر</w:t>
      </w:r>
      <w:r>
        <w:rPr>
          <w:rFonts w:eastAsia="Amiri" w:cs="Amiri" w:ascii="Amiri" w:hAnsi="Amiri"/>
          <w:color w:val="111111"/>
          <w:sz w:val="28"/>
          <w:szCs w:val="28"/>
          <w:rtl w:val="true"/>
          <w:lang w:bidi="ar-SA"/>
        </w:rPr>
        <w:t>.</w:t>
      </w:r>
    </w:p>
    <w:p>
      <w:pPr>
        <w:pStyle w:val="Heading6"/>
        <w:numPr>
          <w:ilvl w:val="5"/>
          <w:numId w:val="1"/>
        </w:numPr>
        <w:rPr/>
      </w:pPr>
      <w:bookmarkStart w:id="1130" w:name="__RefHeading___Toc4192509_2142443653"/>
      <w:bookmarkStart w:id="1131" w:name="_Toc460"/>
      <w:bookmarkEnd w:id="1130"/>
      <w:r>
        <w:rPr>
          <w:rtl w:val="true"/>
        </w:rPr>
        <w:t>الخامس</w:t>
      </w:r>
      <w:r>
        <w:rPr>
          <w:rtl w:val="true"/>
        </w:rPr>
        <w:t xml:space="preserve">: </w:t>
      </w:r>
      <w:r>
        <w:rPr>
          <w:rtl w:val="true"/>
        </w:rPr>
        <w:t>لا يتقدّر التباعد عن الجنازة بثلاثمائة ذراع</w:t>
      </w:r>
      <w:bookmarkEnd w:id="1131"/>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يتقدّر التباعد عن الجنازة بثلاثمائة ذراع</w:t>
      </w:r>
      <w:r>
        <w:rPr>
          <w:rStyle w:val="FootnoteAnchor"/>
          <w:rtl w:val="true"/>
        </w:rPr>
        <w:footnoteReference w:id="2378"/>
      </w:r>
      <w:r>
        <w:rPr>
          <w:rFonts w:ascii="Amiri" w:hAnsi="Amiri" w:eastAsia="Amiri" w:cs="Amiri"/>
          <w:color w:val="111111"/>
          <w:sz w:val="28"/>
          <w:sz w:val="28"/>
          <w:szCs w:val="28"/>
          <w:rtl w:val="true"/>
          <w:lang w:bidi="ar-SA"/>
        </w:rPr>
        <w:t>لأنه بعد مفرط لم يعتد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على الجماعة اليومية</w:t>
      </w:r>
      <w:r>
        <w:rPr>
          <w:rStyle w:val="FootnoteAnchor"/>
          <w:rtl w:val="true"/>
        </w:rPr>
        <w:footnoteReference w:id="2379"/>
      </w:r>
      <w:r>
        <w:rPr>
          <w:rFonts w:ascii="Amiri" w:hAnsi="Amiri" w:eastAsia="Amiri" w:cs="Amiri"/>
          <w:color w:val="111111"/>
          <w:sz w:val="28"/>
          <w:sz w:val="28"/>
          <w:szCs w:val="28"/>
          <w:rtl w:val="true"/>
          <w:lang w:bidi="ar-SA"/>
        </w:rPr>
        <w:t>غلط في غلط</w:t>
      </w:r>
      <w:r>
        <w:rPr>
          <w:rFonts w:eastAsia="Amiri" w:cs="Amiri" w:ascii="Amiri" w:hAnsi="Amiri"/>
          <w:color w:val="111111"/>
          <w:sz w:val="28"/>
          <w:szCs w:val="28"/>
          <w:rtl w:val="true"/>
          <w:lang w:bidi="ar-SA"/>
        </w:rPr>
        <w:t>.</w:t>
      </w:r>
    </w:p>
    <w:p>
      <w:pPr>
        <w:pStyle w:val="Heading6"/>
        <w:numPr>
          <w:ilvl w:val="5"/>
          <w:numId w:val="1"/>
        </w:numPr>
        <w:rPr/>
      </w:pPr>
      <w:bookmarkStart w:id="1132" w:name="__RefHeading___Toc4192511_2142443653"/>
      <w:bookmarkStart w:id="1133" w:name="_Toc461"/>
      <w:bookmarkEnd w:id="1132"/>
      <w:r>
        <w:rPr>
          <w:rtl w:val="true"/>
        </w:rPr>
        <w:t>السادس</w:t>
      </w:r>
      <w:r>
        <w:rPr>
          <w:rtl w:val="true"/>
        </w:rPr>
        <w:t xml:space="preserve">: </w:t>
      </w:r>
      <w:r>
        <w:rPr>
          <w:rtl w:val="true"/>
        </w:rPr>
        <w:t>إذا كان الميت لم يصلّ عليه،</w:t>
      </w:r>
      <w:bookmarkEnd w:id="1133"/>
    </w:p>
    <w:p>
      <w:pPr>
        <w:pStyle w:val="BookText"/>
        <w:rPr/>
      </w:pPr>
      <w:r>
        <w:rPr>
          <w:rFonts w:ascii="Amiri" w:hAnsi="Amiri" w:eastAsia="Amiri" w:cs="Amiri"/>
          <w:color w:val="111111"/>
          <w:sz w:val="28"/>
          <w:sz w:val="28"/>
          <w:szCs w:val="28"/>
          <w:rtl w:val="true"/>
          <w:lang w:bidi="ar-SA"/>
        </w:rPr>
        <w:t>فايقاعها بنيّة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قد صلّي عليه،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بنيّة النفل، لجواز تركها لا الى بدل و النية تابعة للوجه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 فرضيّتها في حقّ الأولين دون الآخرين، لاختلافهما في المقتضى، و هو كونه ميتا لم يصلّ عليه أولا بخلاف من صلّي عليه</w:t>
      </w:r>
      <w:r>
        <w:rPr>
          <w:rFonts w:eastAsia="Amiri" w:cs="Amiri" w:ascii="Amiri" w:hAnsi="Amiri"/>
          <w:color w:val="111111"/>
          <w:sz w:val="28"/>
          <w:szCs w:val="28"/>
          <w:rtl w:val="true"/>
          <w:lang w:bidi="ar-SA"/>
        </w:rPr>
        <w:t>.</w:t>
      </w:r>
    </w:p>
    <w:p>
      <w:pPr>
        <w:pStyle w:val="Heading6"/>
        <w:numPr>
          <w:ilvl w:val="5"/>
          <w:numId w:val="1"/>
        </w:numPr>
        <w:rPr/>
      </w:pPr>
      <w:bookmarkStart w:id="1134" w:name="__RefHeading___Toc4192513_2142443653"/>
      <w:bookmarkStart w:id="1135" w:name="_Toc462"/>
      <w:bookmarkEnd w:id="1134"/>
      <w:r>
        <w:rPr>
          <w:rtl w:val="true"/>
        </w:rPr>
        <w:t>السابع</w:t>
      </w:r>
      <w:r>
        <w:rPr>
          <w:rtl w:val="true"/>
        </w:rPr>
        <w:t xml:space="preserve">: </w:t>
      </w:r>
      <w:r>
        <w:rPr>
          <w:rtl w:val="true"/>
        </w:rPr>
        <w:t>يصلّى على المرجوم،</w:t>
      </w:r>
      <w:bookmarkEnd w:id="113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للعموم، و لصلاة النبي صلّى اللّه عليه و آله </w:t>
      </w:r>
      <w:bookmarkStart w:id="1136" w:name="pg15253_219927"/>
    </w:p>
    <w:p>
      <w:pPr>
        <w:pStyle w:val="BookText"/>
        <w:rPr/>
      </w:pPr>
      <w:bookmarkEnd w:id="1136"/>
      <w:r>
        <w:rPr>
          <w:rFonts w:ascii="Amiri" w:hAnsi="Amiri" w:eastAsia="Amiri" w:cs="Amiri"/>
          <w:color w:val="111111"/>
          <w:sz w:val="28"/>
          <w:sz w:val="28"/>
          <w:szCs w:val="28"/>
          <w:rtl w:val="true"/>
          <w:lang w:bidi="ar-SA"/>
        </w:rPr>
        <w:t>على الغامدية</w:t>
      </w:r>
      <w:r>
        <w:rPr>
          <w:rStyle w:val="FootnoteAnchor"/>
          <w:rtl w:val="true"/>
        </w:rPr>
        <w:footnoteReference w:id="2380"/>
      </w:r>
      <w:r>
        <w:rPr>
          <w:rFonts w:ascii="Amiri" w:hAnsi="Amiri" w:eastAsia="Amiri" w:cs="Amiri"/>
          <w:color w:val="111111"/>
          <w:sz w:val="28"/>
          <w:sz w:val="28"/>
          <w:szCs w:val="28"/>
          <w:rtl w:val="true"/>
          <w:lang w:bidi="ar-SA"/>
        </w:rPr>
        <w:t xml:space="preserve">و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على سراحة الهمدانية</w:t>
      </w:r>
      <w:r>
        <w:rPr>
          <w:rStyle w:val="FootnoteAnchor"/>
          <w:rtl w:val="true"/>
        </w:rPr>
        <w:footnoteReference w:id="2381"/>
      </w:r>
      <w:r>
        <w:rPr>
          <w:rFonts w:ascii="Amiri" w:hAnsi="Amiri" w:eastAsia="Amiri" w:cs="Amiri"/>
          <w:color w:val="111111"/>
          <w:sz w:val="28"/>
          <w:sz w:val="28"/>
          <w:szCs w:val="28"/>
          <w:rtl w:val="true"/>
          <w:lang w:bidi="ar-SA"/>
        </w:rPr>
        <w:t>و هما مرجومتان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يصلّي الامام عليه،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يصلى على الغالّ،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كاتم الغنيمة ليخص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النبي صلّى اللّه عليه و آله في الجهنيّ الغال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على صاحبكم</w:t>
      </w:r>
      <w:r>
        <w:rPr>
          <w:rFonts w:eastAsia="Amiri" w:cs="Amiri" w:ascii="Amiri" w:hAnsi="Amiri"/>
          <w:color w:val="111111"/>
          <w:sz w:val="28"/>
          <w:szCs w:val="28"/>
          <w:rtl w:val="true"/>
          <w:lang w:bidi="ar-SA"/>
        </w:rPr>
        <w:t>»</w:t>
      </w:r>
      <w:r>
        <w:rPr>
          <w:rStyle w:val="FootnoteAnchor"/>
          <w:rtl w:val="true"/>
        </w:rPr>
        <w:footnoteReference w:id="2382"/>
      </w:r>
      <w:r>
        <w:rPr>
          <w:rFonts w:ascii="Amiri" w:hAnsi="Amiri" w:eastAsia="Amiri" w:cs="Amiri"/>
          <w:color w:val="111111"/>
          <w:sz w:val="28"/>
          <w:sz w:val="28"/>
          <w:szCs w:val="28"/>
          <w:rtl w:val="true"/>
          <w:lang w:bidi="ar-SA"/>
        </w:rPr>
        <w:t>للمبالغة في المنع من الغلول، كما امتنع من الصلاة على المديون</w:t>
      </w:r>
      <w:r>
        <w:rPr>
          <w:rStyle w:val="FootnoteAnchor"/>
          <w:rtl w:val="true"/>
        </w:rPr>
        <w:footnoteReference w:id="2383"/>
      </w:r>
      <w:r>
        <w:rPr>
          <w:rFonts w:ascii="Amiri" w:hAnsi="Amiri" w:eastAsia="Amiri" w:cs="Amiri"/>
          <w:color w:val="111111"/>
          <w:sz w:val="28"/>
          <w:sz w:val="28"/>
          <w:szCs w:val="28"/>
          <w:rtl w:val="true"/>
          <w:lang w:bidi="ar-SA"/>
        </w:rPr>
        <w:t>مع أنّ الصلاة عليه مشروعة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يصلّى على قاتل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امتناع النبي صلّى اللّه عليه و آله من الصلاة على قاتل نفسه بمشاقص</w:t>
      </w:r>
      <w:r>
        <w:rPr>
          <w:rStyle w:val="FootnoteAnchor"/>
          <w:rtl w:val="true"/>
        </w:rPr>
        <w:footnoteReference w:id="2384"/>
      </w:r>
      <w:r>
        <w:rPr>
          <w:rFonts w:ascii="Amiri" w:hAnsi="Amiri" w:eastAsia="Amiri" w:cs="Amiri"/>
          <w:color w:val="111111"/>
          <w:sz w:val="28"/>
          <w:sz w:val="28"/>
          <w:szCs w:val="28"/>
          <w:rtl w:val="true"/>
          <w:lang w:bidi="ar-SA"/>
        </w:rPr>
        <w:t>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يصلّى على تارك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قتل لتركها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قاطع الطريق</w:t>
      </w:r>
      <w:r>
        <w:rPr>
          <w:rFonts w:eastAsia="Amiri" w:cs="Amiri" w:ascii="Amiri" w:hAnsi="Amiri"/>
          <w:color w:val="111111"/>
          <w:sz w:val="28"/>
          <w:szCs w:val="28"/>
          <w:rtl w:val="true"/>
          <w:lang w:bidi="ar-SA"/>
        </w:rPr>
        <w:t>.</w:t>
      </w:r>
    </w:p>
    <w:p>
      <w:pPr>
        <w:pStyle w:val="Heading6"/>
        <w:numPr>
          <w:ilvl w:val="5"/>
          <w:numId w:val="1"/>
        </w:numPr>
        <w:rPr/>
      </w:pPr>
      <w:bookmarkStart w:id="1137" w:name="__RefHeading___Toc4192515_2142443653"/>
      <w:bookmarkStart w:id="1138" w:name="_Toc463"/>
      <w:bookmarkEnd w:id="1137"/>
      <w:r>
        <w:rPr>
          <w:rtl w:val="true"/>
        </w:rPr>
        <w:t>الثامن</w:t>
      </w:r>
      <w:r>
        <w:rPr>
          <w:rtl w:val="true"/>
        </w:rPr>
        <w:t xml:space="preserve">: </w:t>
      </w:r>
      <w:r>
        <w:rPr>
          <w:rtl w:val="true"/>
        </w:rPr>
        <w:t>لا صلاة على السقط</w:t>
      </w:r>
      <w:bookmarkEnd w:id="1138"/>
    </w:p>
    <w:p>
      <w:pPr>
        <w:pStyle w:val="BookText"/>
        <w:rPr/>
      </w:pPr>
      <w:r>
        <w:rPr>
          <w:rFonts w:ascii="Amiri" w:hAnsi="Amiri" w:eastAsia="Amiri" w:cs="Amiri"/>
          <w:color w:val="111111"/>
          <w:sz w:val="28"/>
          <w:sz w:val="28"/>
          <w:szCs w:val="28"/>
          <w:rtl w:val="true"/>
          <w:lang w:bidi="ar-SA"/>
        </w:rPr>
        <w:t>إذا لم يستهل و ان ولجته الروح، أو مضى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أشهر التي ورد في الخبر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ينفخ فيه الروح بعدها</w:t>
      </w:r>
      <w:r>
        <w:rPr>
          <w:rFonts w:eastAsia="Amiri" w:cs="Amiri" w:ascii="Amiri" w:hAnsi="Amiri"/>
          <w:color w:val="111111"/>
          <w:sz w:val="28"/>
          <w:szCs w:val="28"/>
          <w:rtl w:val="true"/>
          <w:lang w:bidi="ar-SA"/>
        </w:rPr>
        <w:t>»</w:t>
      </w:r>
      <w:r>
        <w:rPr>
          <w:rStyle w:val="FootnoteAnchor"/>
          <w:rtl w:val="true"/>
        </w:rPr>
        <w:footnoteReference w:id="2385"/>
      </w:r>
      <w:r>
        <w:rPr>
          <w:rFonts w:ascii="Amiri" w:hAnsi="Amiri" w:eastAsia="Amiri" w:cs="Amiri"/>
          <w:color w:val="111111"/>
          <w:sz w:val="28"/>
          <w:sz w:val="28"/>
          <w:szCs w:val="28"/>
          <w:rtl w:val="true"/>
          <w:lang w:bidi="ar-SA"/>
        </w:rPr>
        <w:t>لعدم تناول العموم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اولى إذا لم ينفخ الروح فيه و ان ظهر التخطط أو اختلج</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السقط يصلى عليه</w:t>
      </w:r>
      <w:r>
        <w:rPr>
          <w:rFonts w:eastAsia="Amiri" w:cs="Amiri" w:ascii="Amiri" w:hAnsi="Amiri"/>
          <w:color w:val="111111"/>
          <w:sz w:val="28"/>
          <w:szCs w:val="28"/>
          <w:rtl w:val="true"/>
          <w:lang w:bidi="ar-SA"/>
        </w:rPr>
        <w:t>»</w:t>
      </w:r>
      <w:r>
        <w:rPr>
          <w:rStyle w:val="FootnoteAnchor"/>
          <w:rtl w:val="true"/>
        </w:rPr>
        <w:footnoteReference w:id="2386"/>
      </w:r>
      <w:r>
        <w:rPr>
          <w:rFonts w:ascii="Amiri" w:hAnsi="Amiri" w:eastAsia="Amiri" w:cs="Amiri"/>
          <w:color w:val="111111"/>
          <w:sz w:val="28"/>
          <w:sz w:val="28"/>
          <w:szCs w:val="28"/>
          <w:rtl w:val="true"/>
          <w:lang w:bidi="ar-SA"/>
        </w:rPr>
        <w:t xml:space="preserve">مطلق، فيحمل على المقيد بالاستهلال، مع ان راويه المغيرة بن شعبة و هو مشهور بالانحراف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ولاّه عمر الكوفة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القويّ </w:t>
      </w:r>
      <w:bookmarkStart w:id="1139" w:name="pg15253_219928"/>
    </w:p>
    <w:p>
      <w:pPr>
        <w:pStyle w:val="BookText"/>
        <w:rPr/>
      </w:pPr>
      <w:bookmarkEnd w:id="1139"/>
      <w:r>
        <w:rPr>
          <w:rFonts w:ascii="IRNazanin" w:hAnsi="IRNazanin" w:eastAsia="IRNazanin"/>
          <w:color w:val="111111"/>
          <w:sz w:val="28"/>
          <w:sz w:val="28"/>
          <w:szCs w:val="28"/>
          <w:rtl w:val="true"/>
          <w:lang w:bidi="fa-IR"/>
        </w:rPr>
        <w:t>الفاجر</w:t>
      </w:r>
      <w:r>
        <w:rPr>
          <w:rStyle w:val="FootnoteAnchor"/>
          <w:rtl w:val="true"/>
        </w:rPr>
        <w:footnoteReference w:id="2387"/>
      </w:r>
      <w:r>
        <w:rPr>
          <w:rFonts w:ascii="Amiri" w:hAnsi="Amiri" w:eastAsia="Amiri" w:cs="Amiri"/>
          <w:color w:val="111111"/>
          <w:sz w:val="28"/>
          <w:sz w:val="28"/>
          <w:szCs w:val="28"/>
          <w:rtl w:val="true"/>
          <w:lang w:bidi="ar-SA"/>
        </w:rPr>
        <w:t>فلا تنهض روايته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استهل بعد خروج بعضه، ثم مات قبل تمام خروجه، صلّي عليه ندبا و ان خرج أقلّه، لدخوله تحت ما روي عن النبي صلّى اللّه عليه و آله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استهلّ السقط صلي عليه</w:t>
      </w:r>
      <w:r>
        <w:rPr>
          <w:rFonts w:eastAsia="Amiri" w:cs="Amiri" w:ascii="Amiri" w:hAnsi="Amiri"/>
          <w:color w:val="111111"/>
          <w:sz w:val="28"/>
          <w:szCs w:val="28"/>
          <w:rtl w:val="true"/>
          <w:lang w:bidi="ar-SA"/>
        </w:rPr>
        <w:t>»</w:t>
      </w:r>
      <w:r>
        <w:rPr>
          <w:rStyle w:val="FootnoteAnchor"/>
          <w:rtl w:val="true"/>
        </w:rPr>
        <w:footnoteReference w:id="2388"/>
      </w:r>
      <w:r>
        <w:rPr>
          <w:rFonts w:ascii="IRNazanin" w:hAnsi="IRNazanin" w:eastAsia="IRNazanin"/>
          <w:color w:val="111111"/>
          <w:sz w:val="28"/>
          <w:sz w:val="28"/>
          <w:szCs w:val="28"/>
          <w:rtl w:val="true"/>
          <w:lang w:bidi="fa-IR"/>
        </w:rPr>
        <w:t>و لما مر</w:t>
      </w:r>
      <w:r>
        <w:rPr>
          <w:rFonts w:eastAsia="IRNazanin" w:cs="IRNazanin"/>
          <w:color w:val="111111"/>
          <w:sz w:val="28"/>
          <w:szCs w:val="28"/>
          <w:rtl w:val="true"/>
          <w:lang w:bidi="fa-IR"/>
        </w:rPr>
        <w:t>.</w:t>
      </w:r>
    </w:p>
    <w:p>
      <w:pPr>
        <w:pStyle w:val="Heading6"/>
        <w:numPr>
          <w:ilvl w:val="5"/>
          <w:numId w:val="1"/>
        </w:numPr>
        <w:rPr/>
      </w:pPr>
      <w:bookmarkStart w:id="1140" w:name="__RefHeading___Toc4192517_2142443653"/>
      <w:bookmarkStart w:id="1141" w:name="_Toc464"/>
      <w:bookmarkEnd w:id="1140"/>
      <w:r>
        <w:rPr>
          <w:rtl w:val="true"/>
        </w:rPr>
        <w:t>التاسع</w:t>
      </w:r>
      <w:r>
        <w:rPr>
          <w:rtl w:val="true"/>
        </w:rPr>
        <w:t xml:space="preserve">: </w:t>
      </w:r>
      <w:r>
        <w:rPr>
          <w:rtl w:val="true"/>
        </w:rPr>
        <w:t>يصلّى على من غسّله الكافر، أو غسّل بالصب، أو يمّم</w:t>
      </w:r>
      <w:r>
        <w:rPr>
          <w:rtl w:val="true"/>
        </w:rPr>
        <w:t>.</w:t>
      </w:r>
      <w:bookmarkEnd w:id="1141"/>
    </w:p>
    <w:p>
      <w:pPr>
        <w:pStyle w:val="BookText"/>
        <w:rPr/>
      </w:pPr>
      <w:r>
        <w:rPr>
          <w:rFonts w:ascii="Amiri" w:hAnsi="Amiri" w:eastAsia="Amiri" w:cs="Amiri"/>
          <w:color w:val="111111"/>
          <w:sz w:val="28"/>
          <w:sz w:val="28"/>
          <w:szCs w:val="28"/>
          <w:rtl w:val="true"/>
          <w:lang w:bidi="ar-SA"/>
        </w:rPr>
        <w:t xml:space="preserve">و لو لم يحصل أحد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لتعذّرها كمن مات في بئر أو معدن انهدما عليه و تعذّر إخراجه، و اما لعدم وجود فاعلها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غير مشروطة بتقدّم الغسل أو بدله، للعموم، و عدم ثبوت التلازم بين الغسل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العلاء بن سيابة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بئر مخرج مات فيه رجل و لم يمكن إخراجه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تجعل قبرا</w:t>
      </w:r>
      <w:r>
        <w:rPr>
          <w:rFonts w:eastAsia="Amiri" w:cs="Amiri" w:ascii="Amiri" w:hAnsi="Amiri"/>
          <w:color w:val="111111"/>
          <w:sz w:val="28"/>
          <w:szCs w:val="28"/>
          <w:rtl w:val="true"/>
          <w:lang w:bidi="ar-SA"/>
        </w:rPr>
        <w:t>»</w:t>
      </w:r>
      <w:r>
        <w:rPr>
          <w:rStyle w:val="FootnoteAnchor"/>
          <w:rtl w:val="true"/>
        </w:rPr>
        <w:footnoteReference w:id="2389"/>
      </w:r>
      <w:r>
        <w:rPr>
          <w:rFonts w:ascii="Amiri" w:hAnsi="Amiri" w:eastAsia="Amiri" w:cs="Amiri"/>
          <w:color w:val="111111"/>
          <w:sz w:val="28"/>
          <w:sz w:val="28"/>
          <w:szCs w:val="28"/>
          <w:rtl w:val="true"/>
          <w:lang w:bidi="ar-SA"/>
        </w:rPr>
        <w:t>و لم يذكر الصلاة عليه، و الظّاهر انه معلوم من عموم الصلاة بعد الدفن،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أمكن إخراجه أخرج و غسّل و كفّن</w:t>
      </w:r>
      <w:r>
        <w:rPr>
          <w:rFonts w:eastAsia="Amiri" w:cs="Amiri" w:ascii="Amiri" w:hAnsi="Amiri"/>
          <w:color w:val="111111"/>
          <w:sz w:val="28"/>
          <w:szCs w:val="28"/>
          <w:rtl w:val="true"/>
          <w:lang w:bidi="ar-SA"/>
        </w:rPr>
        <w:t>»</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تعذر الا بالتمثيل به لم يجز، لقول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المسلم ميتا كحرمته و هو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اضطر أهل البئر بان خافوا التلف، جاز إخراجه و لو تقطع إذا لم يمكن بدونه</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 xml:space="preserve">. </w:t>
      </w:r>
      <w:bookmarkStart w:id="1142" w:name="pg15253_219929"/>
    </w:p>
    <w:p>
      <w:pPr>
        <w:pStyle w:val="Heading6"/>
        <w:numPr>
          <w:ilvl w:val="5"/>
          <w:numId w:val="1"/>
        </w:numPr>
        <w:rPr/>
      </w:pPr>
      <w:bookmarkStart w:id="1143" w:name="__RefHeading___Toc4192519_2142443653"/>
      <w:bookmarkStart w:id="1144" w:name="_Toc465"/>
      <w:bookmarkEnd w:id="1142"/>
      <w:bookmarkEnd w:id="1143"/>
      <w:r>
        <w:rPr>
          <w:rtl w:val="true"/>
        </w:rPr>
        <w:t>النظر الثالث</w:t>
      </w:r>
      <w:r>
        <w:rPr>
          <w:rtl w:val="true"/>
        </w:rPr>
        <w:t xml:space="preserve">: </w:t>
      </w:r>
      <w:r>
        <w:rPr>
          <w:rtl w:val="true"/>
        </w:rPr>
        <w:t>في المصلّي،</w:t>
      </w:r>
      <w:bookmarkEnd w:id="1144"/>
    </w:p>
    <w:p>
      <w:pPr>
        <w:pStyle w:val="Heading6"/>
        <w:numPr>
          <w:ilvl w:val="5"/>
          <w:numId w:val="1"/>
        </w:numPr>
        <w:rPr/>
      </w:pPr>
      <w:bookmarkStart w:id="1145" w:name="__RefHeading___Toc4192521_2142443653"/>
      <w:bookmarkStart w:id="1146" w:name="_Toc466"/>
      <w:bookmarkEnd w:id="1145"/>
      <w:r>
        <w:rPr>
          <w:rtl w:val="true"/>
        </w:rPr>
        <w:t>اشارة</w:t>
      </w:r>
      <w:bookmarkEnd w:id="1146"/>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1147" w:name="__RefHeading___Toc4192523_2142443653"/>
      <w:bookmarkStart w:id="1148" w:name="_Toc467"/>
      <w:bookmarkEnd w:id="1147"/>
      <w:r>
        <w:rPr>
          <w:rtl w:val="true"/>
        </w:rPr>
        <w:t>الأولى</w:t>
      </w:r>
      <w:r>
        <w:rPr>
          <w:rtl w:val="true"/>
        </w:rPr>
        <w:t xml:space="preserve">: </w:t>
      </w:r>
      <w:r>
        <w:rPr>
          <w:rtl w:val="true"/>
        </w:rPr>
        <w:t>الأولى بالإرث أولى بالصلاة،</w:t>
      </w:r>
      <w:bookmarkEnd w:id="1148"/>
    </w:p>
    <w:p>
      <w:pPr>
        <w:pStyle w:val="BookText"/>
        <w:rPr/>
      </w:pPr>
      <w:r>
        <w:rPr>
          <w:rFonts w:ascii="Amiri" w:hAnsi="Amiri" w:eastAsia="Amiri" w:cs="Amiri"/>
          <w:color w:val="111111"/>
          <w:sz w:val="28"/>
          <w:sz w:val="28"/>
          <w:szCs w:val="28"/>
          <w:rtl w:val="true"/>
          <w:lang w:bidi="ar-SA"/>
        </w:rPr>
        <w:t>لآية اولي الأرحام</w:t>
      </w:r>
      <w:r>
        <w:rPr>
          <w:rStyle w:val="FootnoteAnchor"/>
          <w:rtl w:val="true"/>
        </w:rPr>
        <w:footnoteReference w:id="2392"/>
      </w:r>
      <w:r>
        <w:rPr>
          <w:rFonts w:ascii="Amiri" w:hAnsi="Amiri" w:eastAsia="Amiri" w:cs="Amiri"/>
          <w:color w:val="111111"/>
          <w:sz w:val="28"/>
          <w:sz w:val="28"/>
          <w:szCs w:val="28"/>
          <w:rtl w:val="true"/>
          <w:lang w:bidi="ar-SA"/>
        </w:rPr>
        <w:t xml:space="preserve">و مرسل ابن أبي عمير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على الجنازة أولى الناس بها، أو يأمر من يحب</w:t>
      </w:r>
      <w:r>
        <w:rPr>
          <w:rFonts w:eastAsia="Amiri" w:cs="Amiri" w:ascii="Amiri" w:hAnsi="Amiri"/>
          <w:color w:val="111111"/>
          <w:sz w:val="28"/>
          <w:szCs w:val="28"/>
          <w:rtl w:val="true"/>
          <w:lang w:bidi="ar-SA"/>
        </w:rPr>
        <w:t>»</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امام الأصل أولى منه عند حضوره، لقيامه مقام النبي صلّى اللّه عليه و آله الذي هو أولى بالمؤمنين، و لخبر طلحة 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الإمام الجنازة، فهو أحق الناس بالصلاة عليها</w:t>
      </w:r>
      <w:r>
        <w:rPr>
          <w:rFonts w:eastAsia="Amiri" w:cs="Amiri" w:ascii="Amiri" w:hAnsi="Amiri"/>
          <w:color w:val="111111"/>
          <w:sz w:val="28"/>
          <w:szCs w:val="28"/>
          <w:rtl w:val="true"/>
          <w:lang w:bidi="ar-SA"/>
        </w:rPr>
        <w:t>»</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منهما عدم احتياجه إلى اذن،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أولى، فإن تعذر حضوره و اذنه فولي الميت</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w:t>
      </w:r>
      <w:r>
        <w:rPr>
          <w:rStyle w:val="FootnoteAnchor"/>
          <w:rtl w:val="true"/>
        </w:rPr>
        <w:footnoteReference w:id="2396"/>
      </w:r>
      <w:r>
        <w:rPr>
          <w:rFonts w:ascii="Amiri" w:hAnsi="Amiri" w:eastAsia="Amiri" w:cs="Amiri"/>
          <w:color w:val="111111"/>
          <w:sz w:val="28"/>
          <w:sz w:val="28"/>
          <w:szCs w:val="28"/>
          <w:rtl w:val="true"/>
          <w:lang w:bidi="ar-SA"/>
        </w:rPr>
        <w:t xml:space="preserve">لخبر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سلطان من سلطان اللّه جنازة، فهو أحق بالصلاة عليها ان قدّمه وليّ الميت، و إلاّ فهو غاصب</w:t>
      </w:r>
      <w:r>
        <w:rPr>
          <w:rFonts w:eastAsia="Amiri" w:cs="Amiri" w:ascii="Amiri" w:hAnsi="Amiri"/>
          <w:color w:val="111111"/>
          <w:sz w:val="28"/>
          <w:szCs w:val="28"/>
          <w:rtl w:val="true"/>
          <w:lang w:bidi="ar-SA"/>
        </w:rPr>
        <w:t>»</w:t>
      </w:r>
      <w:r>
        <w:rPr>
          <w:rStyle w:val="FootnoteAnchor"/>
          <w:rtl w:val="true"/>
        </w:rPr>
        <w:footnoteReference w:id="2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على غير إمام الأصل، لأن تنكيره مشعر بالكثرة، و فيه اشعار باستحباب تقديم الولي إياه، و كذا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الرجل في سلطانه</w:t>
      </w:r>
      <w:r>
        <w:rPr>
          <w:rFonts w:eastAsia="Amiri" w:cs="Amiri" w:ascii="Amiri" w:hAnsi="Amiri"/>
          <w:color w:val="111111"/>
          <w:sz w:val="28"/>
          <w:szCs w:val="28"/>
          <w:rtl w:val="true"/>
          <w:lang w:bidi="ar-SA"/>
        </w:rPr>
        <w:t>»</w:t>
      </w:r>
      <w:r>
        <w:rPr>
          <w:rStyle w:val="FootnoteAnchor"/>
          <w:rtl w:val="true"/>
        </w:rPr>
        <w:footnoteReference w:id="2398"/>
      </w:r>
      <w:r>
        <w:rPr>
          <w:rFonts w:ascii="Amiri" w:hAnsi="Amiri" w:eastAsia="Amiri" w:cs="Amiri"/>
          <w:color w:val="111111"/>
          <w:sz w:val="28"/>
          <w:sz w:val="28"/>
          <w:szCs w:val="28"/>
          <w:rtl w:val="true"/>
          <w:lang w:bidi="ar-SA"/>
        </w:rPr>
        <w:t>ان حملناه على العموم في السلطان و الامامات</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تقديم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العاص في الصلاة على الحسن </w:t>
      </w:r>
      <w:bookmarkStart w:id="1149" w:name="pg15253_219930"/>
    </w:p>
    <w:p>
      <w:pPr>
        <w:pStyle w:val="BookText"/>
        <w:rPr/>
      </w:pPr>
      <w:bookmarkEnd w:id="11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السنّة لما قدمتك</w:t>
      </w:r>
      <w:r>
        <w:rPr>
          <w:rFonts w:eastAsia="Amiri" w:cs="Amiri" w:ascii="Amiri" w:hAnsi="Amiri"/>
          <w:color w:val="111111"/>
          <w:sz w:val="28"/>
          <w:szCs w:val="28"/>
          <w:rtl w:val="true"/>
          <w:lang w:bidi="ar-SA"/>
        </w:rPr>
        <w:t>»</w:t>
      </w:r>
      <w:r>
        <w:rPr>
          <w:rStyle w:val="FootnoteAnchor"/>
          <w:rtl w:val="true"/>
        </w:rPr>
        <w:footnoteReference w:id="2399"/>
      </w:r>
      <w:r>
        <w:rPr>
          <w:rFonts w:ascii="Amiri" w:hAnsi="Amiri" w:eastAsia="Amiri" w:cs="Amiri"/>
          <w:color w:val="111111"/>
          <w:sz w:val="28"/>
          <w:sz w:val="28"/>
          <w:szCs w:val="28"/>
          <w:rtl w:val="true"/>
          <w:lang w:bidi="ar-SA"/>
        </w:rPr>
        <w:t xml:space="preserve">لإطفاء الفتنة، فإنه من السنّة إطفاؤها، لأن السلطان عندنا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الإمام، ثم خلفاؤه، ثم إمام القبيلة كباقي الصلوات</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الولي أولى من الوالي عند علمائنا</w:t>
      </w:r>
      <w:r>
        <w:rPr>
          <w:rStyle w:val="FootnoteAnchor"/>
          <w:rtl w:val="true"/>
        </w:rPr>
        <w:footnoteReference w:id="2401"/>
      </w:r>
      <w:r>
        <w:rPr>
          <w:rFonts w:ascii="Amiri" w:hAnsi="Amiri" w:eastAsia="Amiri" w:cs="Amiri"/>
          <w:color w:val="111111"/>
          <w:sz w:val="28"/>
          <w:sz w:val="28"/>
          <w:szCs w:val="28"/>
          <w:rtl w:val="true"/>
          <w:lang w:bidi="ar-SA"/>
        </w:rPr>
        <w:t>فإن أراد توقّفه على تقديمه و ان كان تقديمه مستحبا فحسن، و ان أراد نفي استحباب تقديمه فظاهر الخبر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باحتياج الإمام إلى إذن، وجب على الولي تحصيلا للغرض، فان امتنع سقط اعتبار إذنه، لزوال حقه بامتناعه</w:t>
      </w:r>
      <w:r>
        <w:rPr>
          <w:rFonts w:eastAsia="Amiri" w:cs="Amiri" w:ascii="Amiri" w:hAnsi="Amiri"/>
          <w:color w:val="111111"/>
          <w:sz w:val="28"/>
          <w:szCs w:val="28"/>
          <w:rtl w:val="true"/>
          <w:lang w:bidi="ar-SA"/>
        </w:rPr>
        <w:t>.</w:t>
      </w:r>
    </w:p>
    <w:p>
      <w:pPr>
        <w:pStyle w:val="Heading6"/>
        <w:numPr>
          <w:ilvl w:val="5"/>
          <w:numId w:val="1"/>
        </w:numPr>
        <w:rPr/>
      </w:pPr>
      <w:bookmarkStart w:id="1150" w:name="__RefHeading___Toc4192525_2142443653"/>
      <w:bookmarkStart w:id="1151" w:name="_Toc468"/>
      <w:bookmarkEnd w:id="1150"/>
      <w:r>
        <w:rPr>
          <w:rtl w:val="true"/>
        </w:rPr>
        <w:t>الثانية</w:t>
      </w:r>
      <w:r>
        <w:rPr>
          <w:rtl w:val="true"/>
        </w:rPr>
        <w:t xml:space="preserve">: </w:t>
      </w:r>
      <w:r>
        <w:rPr>
          <w:rtl w:val="true"/>
        </w:rPr>
        <w:t>لو كان الأقرب امرأة فهي أولى،</w:t>
      </w:r>
      <w:bookmarkEnd w:id="1151"/>
    </w:p>
    <w:p>
      <w:pPr>
        <w:pStyle w:val="BookText"/>
        <w:rPr/>
      </w:pPr>
      <w:r>
        <w:rPr>
          <w:rFonts w:ascii="Amiri" w:hAnsi="Amiri" w:eastAsia="Amiri" w:cs="Amiri"/>
          <w:color w:val="111111"/>
          <w:sz w:val="28"/>
          <w:sz w:val="28"/>
          <w:szCs w:val="28"/>
          <w:rtl w:val="true"/>
          <w:lang w:bidi="ar-SA"/>
        </w:rPr>
        <w:t xml:space="preserve">لخبر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تؤمّ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الا على الميت إذا لم يكن أحد أولى منها، تقوم وسطهن</w:t>
      </w:r>
      <w:r>
        <w:rPr>
          <w:rFonts w:eastAsia="Amiri" w:cs="Amiri" w:ascii="Amiri" w:hAnsi="Amiri"/>
          <w:color w:val="111111"/>
          <w:sz w:val="28"/>
          <w:szCs w:val="28"/>
          <w:rtl w:val="true"/>
          <w:lang w:bidi="ar-SA"/>
        </w:rPr>
        <w:t>»</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يزيد بن خليفة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فاطمة خرجت في نسائها فصلّت على أختها</w:t>
      </w:r>
      <w:r>
        <w:rPr>
          <w:rFonts w:eastAsia="Amiri" w:cs="Amiri" w:ascii="Amiri" w:hAnsi="Amiri"/>
          <w:color w:val="111111"/>
          <w:sz w:val="28"/>
          <w:szCs w:val="28"/>
          <w:rtl w:val="true"/>
          <w:lang w:bidi="ar-SA"/>
        </w:rPr>
        <w:t>»</w:t>
      </w:r>
      <w:r>
        <w:rPr>
          <w:rStyle w:val="FootnoteAnchor"/>
          <w:rtl w:val="true"/>
        </w:rPr>
        <w:footnoteReference w:id="2403"/>
      </w:r>
      <w:r>
        <w:rPr>
          <w:rFonts w:ascii="Amiri" w:hAnsi="Amiri" w:eastAsia="Amiri" w:cs="Amiri"/>
          <w:color w:val="111111"/>
          <w:sz w:val="28"/>
          <w:sz w:val="28"/>
          <w:szCs w:val="28"/>
          <w:rtl w:val="true"/>
          <w:lang w:bidi="ar-SA"/>
        </w:rPr>
        <w:t>يعني زينب عليهما السلام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محمول على خروجها بهن في سترة عن الرجال، لكراهة خروج الشواب لصلاة الجنازة، لخبر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ينبغي للشابة، الا ان تكون مسنّة</w:t>
      </w:r>
      <w:r>
        <w:rPr>
          <w:rFonts w:eastAsia="Amiri" w:cs="Amiri" w:ascii="Amiri" w:hAnsi="Amiri"/>
          <w:color w:val="111111"/>
          <w:sz w:val="28"/>
          <w:szCs w:val="28"/>
          <w:rtl w:val="true"/>
          <w:lang w:bidi="ar-SA"/>
        </w:rPr>
        <w:t>»</w:t>
      </w:r>
      <w:r>
        <w:rPr>
          <w:rStyle w:val="FootnoteAnchor"/>
          <w:rtl w:val="true"/>
        </w:rPr>
        <w:footnoteReference w:id="2404"/>
      </w:r>
      <w:r>
        <w:rPr>
          <w:rFonts w:ascii="Amiri" w:hAnsi="Amiri" w:eastAsia="Amiri" w:cs="Amiri"/>
          <w:color w:val="111111"/>
          <w:sz w:val="28"/>
          <w:sz w:val="28"/>
          <w:szCs w:val="28"/>
          <w:rtl w:val="true"/>
          <w:lang w:bidi="ar-SA"/>
        </w:rPr>
        <w:t xml:space="preserve">، و لعلّه لخوف الفتنة، و لو أمن فلا بأس، لخبر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w:t>
      </w:r>
      <w:bookmarkStart w:id="1152" w:name="pg15253_219931"/>
    </w:p>
    <w:p>
      <w:pPr>
        <w:pStyle w:val="BookText"/>
        <w:rPr/>
      </w:pPr>
      <w:bookmarkEnd w:id="1152"/>
      <w:r>
        <w:rPr>
          <w:rFonts w:ascii="Amiri" w:hAnsi="Amiri" w:eastAsia="Amiri" w:cs="Amiri"/>
          <w:color w:val="111111"/>
          <w:sz w:val="28"/>
          <w:sz w:val="28"/>
          <w:szCs w:val="28"/>
          <w:rtl w:val="true"/>
          <w:lang w:bidi="ar-SA"/>
        </w:rPr>
        <w:t>الصفوف في الجنازة المؤخّر لستره النساء</w:t>
      </w:r>
      <w:r>
        <w:rPr>
          <w:rFonts w:eastAsia="Amiri" w:cs="Amiri" w:ascii="Amiri" w:hAnsi="Amiri"/>
          <w:color w:val="111111"/>
          <w:sz w:val="28"/>
          <w:szCs w:val="28"/>
          <w:rtl w:val="true"/>
          <w:lang w:bidi="ar-SA"/>
        </w:rPr>
        <w:t>»</w:t>
      </w:r>
      <w:r>
        <w:rPr>
          <w:rStyle w:val="FootnoteAnchor"/>
          <w:rtl w:val="true"/>
        </w:rPr>
        <w:footnoteReference w:id="2405"/>
      </w:r>
      <w:r>
        <w:rPr>
          <w:rFonts w:ascii="Amiri" w:hAnsi="Amiri" w:eastAsia="Amiri" w:cs="Amiri"/>
          <w:color w:val="111111"/>
          <w:sz w:val="28"/>
          <w:sz w:val="28"/>
          <w:szCs w:val="28"/>
          <w:rtl w:val="true"/>
          <w:lang w:bidi="ar-SA"/>
        </w:rPr>
        <w:t xml:space="preserve">و خبر الحسن الصيقل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النساء بلا 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تتقدمهن امرأة</w:t>
      </w:r>
      <w:r>
        <w:rPr>
          <w:rFonts w:eastAsia="Amiri" w:cs="Amiri" w:ascii="Amiri" w:hAnsi="Amiri"/>
          <w:color w:val="111111"/>
          <w:sz w:val="28"/>
          <w:szCs w:val="28"/>
          <w:rtl w:val="true"/>
          <w:lang w:bidi="ar-SA"/>
        </w:rPr>
        <w:t>»</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انفراد الحائض هنا نظر، من خبر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تقف معهم، تقف منفردة</w:t>
      </w:r>
      <w:r>
        <w:rPr>
          <w:rFonts w:eastAsia="Amiri" w:cs="Amiri" w:ascii="Amiri" w:hAnsi="Amiri"/>
          <w:color w:val="111111"/>
          <w:sz w:val="28"/>
          <w:szCs w:val="28"/>
          <w:rtl w:val="true"/>
          <w:lang w:bidi="ar-SA"/>
        </w:rPr>
        <w:t>»</w:t>
      </w:r>
      <w:r>
        <w:rPr>
          <w:rStyle w:val="FootnoteAnchor"/>
          <w:rtl w:val="true"/>
        </w:rPr>
        <w:footnoteReference w:id="2407"/>
      </w:r>
      <w:r>
        <w:rPr>
          <w:rFonts w:ascii="Amiri" w:hAnsi="Amiri" w:eastAsia="Amiri" w:cs="Amiri"/>
          <w:color w:val="111111"/>
          <w:sz w:val="28"/>
          <w:sz w:val="28"/>
          <w:szCs w:val="28"/>
          <w:rtl w:val="true"/>
          <w:lang w:bidi="ar-SA"/>
        </w:rPr>
        <w:t>فإن الضمير يدل على الرجال، و إطلاق الانفراد يشمل النساء، و به قطع في المبسوط</w:t>
      </w:r>
      <w:r>
        <w:rPr>
          <w:rStyle w:val="FootnoteAnchor"/>
          <w:rtl w:val="true"/>
        </w:rPr>
        <w:footnoteReference w:id="2408"/>
      </w:r>
      <w:r>
        <w:rPr>
          <w:rFonts w:ascii="Amiri" w:hAnsi="Amiri" w:eastAsia="Amiri" w:cs="Amiri"/>
          <w:color w:val="111111"/>
          <w:sz w:val="28"/>
          <w:sz w:val="28"/>
          <w:szCs w:val="28"/>
          <w:rtl w:val="true"/>
          <w:lang w:bidi="ar-SA"/>
        </w:rPr>
        <w:t>و تبعه ابن إدريس</w:t>
      </w:r>
      <w:r>
        <w:rPr>
          <w:rStyle w:val="FootnoteAnchor"/>
          <w:rtl w:val="true"/>
        </w:rPr>
        <w:footnoteReference w:id="2409"/>
      </w:r>
      <w:r>
        <w:rPr>
          <w:rFonts w:ascii="IRNazanin" w:hAnsi="IRNazanin" w:eastAsia="IRNazanin"/>
          <w:color w:val="111111"/>
          <w:sz w:val="28"/>
          <w:sz w:val="28"/>
          <w:szCs w:val="28"/>
          <w:rtl w:val="true"/>
          <w:lang w:bidi="fa-IR"/>
        </w:rPr>
        <w:t>و المحقق</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3" w:name="__RefHeading___Toc4192527_2142443653"/>
      <w:bookmarkStart w:id="1154" w:name="_Toc469"/>
      <w:bookmarkEnd w:id="1153"/>
      <w:r>
        <w:rPr>
          <w:rtl w:val="true"/>
        </w:rPr>
        <w:t>الثالثة</w:t>
      </w:r>
      <w:r>
        <w:rPr>
          <w:rtl w:val="true"/>
        </w:rPr>
        <w:t xml:space="preserve">: </w:t>
      </w:r>
      <w:r>
        <w:rPr>
          <w:rtl w:val="true"/>
        </w:rPr>
        <w:t>لو تعدد الوارث فالزوج أولى،</w:t>
      </w:r>
      <w:bookmarkEnd w:id="1154"/>
    </w:p>
    <w:p>
      <w:pPr>
        <w:pStyle w:val="BookText"/>
        <w:rPr/>
      </w:pPr>
      <w:r>
        <w:rPr>
          <w:rFonts w:ascii="Amiri" w:hAnsi="Amiri" w:eastAsia="Amiri" w:cs="Amiri"/>
          <w:color w:val="111111"/>
          <w:sz w:val="28"/>
          <w:sz w:val="28"/>
          <w:szCs w:val="28"/>
          <w:rtl w:val="true"/>
          <w:lang w:bidi="ar-SA"/>
        </w:rPr>
        <w:t xml:space="preserve">لخبر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أحقّ من الأب و الولد و الأخ</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معتبري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أحقّ من الزوج</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حملا على التقية، و ضعّفهما في المعتبر بابان بن عثمان في أحدهما، و بحفص بن البختري في الأخر</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الكشي الإجماع على تصحيح ما يصحّ عن أبان</w:t>
      </w:r>
      <w:r>
        <w:rPr>
          <w:rStyle w:val="FootnoteAnchor"/>
          <w:rtl w:val="true"/>
        </w:rPr>
        <w:footnoteReference w:id="2414"/>
      </w:r>
      <w:r>
        <w:rPr>
          <w:rFonts w:ascii="Amiri" w:hAnsi="Amiri" w:eastAsia="Amiri" w:cs="Amiri"/>
          <w:color w:val="111111"/>
          <w:sz w:val="28"/>
          <w:sz w:val="28"/>
          <w:szCs w:val="28"/>
          <w:rtl w:val="true"/>
          <w:lang w:bidi="ar-SA"/>
        </w:rPr>
        <w:t>و وثّق النجاشي حفصا</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سند الأولى سالم</w:t>
      </w:r>
      <w:r>
        <w:rPr>
          <w:rStyle w:val="FootnoteAnchor"/>
          <w:rtl w:val="true"/>
        </w:rPr>
        <w:footnoteReference w:id="2416"/>
      </w:r>
      <w:r>
        <w:rPr>
          <w:rFonts w:ascii="Amiri" w:hAnsi="Amiri" w:eastAsia="Amiri" w:cs="Amiri"/>
          <w:color w:val="111111"/>
          <w:sz w:val="28"/>
          <w:sz w:val="28"/>
          <w:szCs w:val="28"/>
          <w:rtl w:val="true"/>
          <w:lang w:bidi="ar-SA"/>
        </w:rPr>
        <w:t xml:space="preserve">مع ان فيه علي بن أبي حمزة رأس </w:t>
      </w:r>
      <w:bookmarkStart w:id="1155" w:name="pg15253_219932"/>
    </w:p>
    <w:p>
      <w:pPr>
        <w:pStyle w:val="BookText"/>
        <w:rPr/>
      </w:pPr>
      <w:bookmarkEnd w:id="1155"/>
      <w:r>
        <w:rPr>
          <w:rFonts w:ascii="Amiri" w:hAnsi="Amiri" w:eastAsia="Amiri" w:cs="Amiri"/>
          <w:color w:val="111111"/>
          <w:sz w:val="28"/>
          <w:sz w:val="28"/>
          <w:szCs w:val="28"/>
          <w:rtl w:val="true"/>
          <w:lang w:bidi="ar-SA"/>
        </w:rPr>
        <w:t xml:space="preserve">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لعنه ابن الغضائري</w:t>
      </w:r>
      <w:r>
        <w:rPr>
          <w:rStyle w:val="FootnoteAnchor"/>
          <w:rtl w:val="true"/>
        </w:rPr>
        <w:footnoteReference w:id="2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انه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واقفيا</w:t>
      </w:r>
      <w:r>
        <w:rPr>
          <w:rStyle w:val="FootnoteAnchor"/>
          <w:rtl w:val="true"/>
        </w:rPr>
        <w:footnoteReference w:id="2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مضمون الأولى أشهر في العمل، لا اعلم فيها مخالفا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ميراث الزوج أكثر مع الأبوين و الاخوة</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عمر لأهل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أحق بها</w:t>
      </w:r>
      <w:r>
        <w:rPr>
          <w:rStyle w:val="FootnoteAnchor"/>
          <w:rtl w:val="true"/>
        </w:rPr>
        <w:footnoteReference w:id="2420"/>
      </w:r>
      <w:r>
        <w:rPr>
          <w:rFonts w:ascii="Amiri" w:hAnsi="Amiri" w:eastAsia="Amiri" w:cs="Amiri"/>
          <w:color w:val="111111"/>
          <w:sz w:val="28"/>
          <w:sz w:val="28"/>
          <w:szCs w:val="28"/>
          <w:rtl w:val="true"/>
          <w:lang w:bidi="ar-SA"/>
        </w:rPr>
        <w:t>لا حجّة فيه، و جاز ان يكون إيثارا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فقد الزوج،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أولى، ثم الولد، ثم ولد الولد، ثم الجد للأب</w:t>
      </w:r>
      <w:r>
        <w:rPr>
          <w:rStyle w:val="FootnoteAnchor"/>
          <w:rtl w:val="true"/>
        </w:rPr>
        <w:footnoteReference w:id="2421"/>
      </w:r>
      <w:r>
        <w:rPr>
          <w:rFonts w:ascii="Amiri" w:hAnsi="Amiri" w:eastAsia="Amiri" w:cs="Amiri"/>
          <w:color w:val="111111"/>
          <w:sz w:val="28"/>
          <w:sz w:val="28"/>
          <w:szCs w:val="28"/>
          <w:rtl w:val="true"/>
          <w:lang w:bidi="ar-SA"/>
        </w:rPr>
        <w:t>، ثم الأخ للأبوين، ثم الأخ للأب، ثم الأخ للأمّ، ثم العم، ثم الخال، ثم ابن العم، ثم ابن الخال</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من كان أولى بالإرث فهو أولى بالصلاة، للآية</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يمكن تعليل هذا بأولويّة الإرث، لعدم اطّرادها في الأب، فإنّه أقلّ إرثا مع الولد، و لهذا عدوّه في باب الغرقى أضعف، و الجد مساو للأخ في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الأب مزيد اختصاص بالحنوّ و الشفقة، و في الجدّ بالتولّد، و لكنه خروج عن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ثم الأب ثم الولد</w:t>
      </w:r>
      <w:r>
        <w:rPr>
          <w:rStyle w:val="FootnoteAnchor"/>
          <w:rtl w:val="true"/>
        </w:rPr>
        <w:footnoteReference w:id="2424"/>
      </w:r>
      <w:r>
        <w:rPr>
          <w:rFonts w:ascii="Amiri" w:hAnsi="Amiri" w:eastAsia="Amiri" w:cs="Amiri"/>
          <w:color w:val="111111"/>
          <w:sz w:val="28"/>
          <w:sz w:val="28"/>
          <w:szCs w:val="28"/>
          <w:rtl w:val="true"/>
          <w:lang w:bidi="ar-SA"/>
        </w:rPr>
        <w:t>و كأنّه يراعي الشرف</w:t>
      </w:r>
      <w:r>
        <w:rPr>
          <w:rFonts w:eastAsia="Amiri" w:cs="Amiri" w:ascii="Amiri" w:hAnsi="Amiri"/>
          <w:color w:val="111111"/>
          <w:sz w:val="28"/>
          <w:szCs w:val="28"/>
          <w:rtl w:val="true"/>
          <w:lang w:bidi="ar-SA"/>
        </w:rPr>
        <w:t>.</w:t>
      </w:r>
    </w:p>
    <w:p>
      <w:pPr>
        <w:pStyle w:val="Heading6"/>
        <w:numPr>
          <w:ilvl w:val="5"/>
          <w:numId w:val="1"/>
        </w:numPr>
        <w:rPr/>
      </w:pPr>
      <w:bookmarkStart w:id="1156" w:name="__RefHeading___Toc4192529_2142443653"/>
      <w:bookmarkStart w:id="1157" w:name="_Toc470"/>
      <w:bookmarkEnd w:id="1156"/>
      <w:r>
        <w:rPr>
          <w:rtl w:val="true"/>
        </w:rPr>
        <w:t>الرابعة</w:t>
      </w:r>
      <w:r>
        <w:rPr>
          <w:rtl w:val="true"/>
        </w:rPr>
        <w:t xml:space="preserve">: </w:t>
      </w:r>
      <w:r>
        <w:rPr>
          <w:rtl w:val="true"/>
        </w:rPr>
        <w:t>لو لم يكن الا المولى أو قرابته، فهو أولى لإرثه</w:t>
      </w:r>
      <w:r>
        <w:rPr>
          <w:rtl w:val="true"/>
        </w:rPr>
        <w:t>.</w:t>
      </w:r>
      <w:bookmarkEnd w:id="1157"/>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الموصى إليه بالصلاة، فابن الجنيد قدّمه، وفاء بعهد الميت</w:t>
      </w:r>
      <w:r>
        <w:rPr>
          <w:rStyle w:val="FootnoteAnchor"/>
          <w:rtl w:val="true"/>
        </w:rPr>
        <w:footnoteReference w:id="2425"/>
      </w:r>
      <w:r>
        <w:rPr>
          <w:rFonts w:ascii="IRNazanin" w:hAnsi="IRNazanin" w:eastAsia="IRNazanin"/>
          <w:color w:val="111111"/>
          <w:sz w:val="28"/>
          <w:sz w:val="28"/>
          <w:szCs w:val="28"/>
          <w:rtl w:val="true"/>
          <w:lang w:bidi="fa-IR"/>
        </w:rPr>
        <w:t xml:space="preserve">و لاشتهار </w:t>
      </w:r>
      <w:bookmarkStart w:id="1158" w:name="pg15253_219933"/>
    </w:p>
    <w:p>
      <w:pPr>
        <w:pStyle w:val="BookText"/>
        <w:rPr/>
      </w:pPr>
      <w:bookmarkEnd w:id="1158"/>
      <w:r>
        <w:rPr>
          <w:rFonts w:ascii="Amiri" w:hAnsi="Amiri" w:eastAsia="Amiri" w:cs="Amiri"/>
          <w:color w:val="111111"/>
          <w:sz w:val="28"/>
          <w:sz w:val="28"/>
          <w:szCs w:val="28"/>
          <w:rtl w:val="true"/>
          <w:lang w:bidi="ar-SA"/>
        </w:rPr>
        <w:t>ذلك بين السلف، كوصية الأول بصلاة الثاني، و وصية الثاني بصلاة صهيب، و وصية عائشة بصلاة أبي هريرة، و وصية ابن مسعود بصلاة الزبير، و وصية ابن جبير بصلاة أنس، و وصية أبي شريحة بصلاة زيد بن أرقم، فجاء عمرو بن حريث أمير الكوفة ليتقدم فأعلمه بوصيته فقدم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إيصاءه إليه لظنه فيه مزيّة، فلا ينبغي منعه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الوارث أولى</w:t>
      </w:r>
      <w:r>
        <w:rPr>
          <w:rStyle w:val="FootnoteAnchor"/>
          <w:rtl w:val="true"/>
        </w:rPr>
        <w:footnoteReference w:id="2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أقرب، للآية و الخبر، و نقل المذكورين ليس حجة، و جاز أن يكون برضى الوارث و نحن لا نمنعه إذا رضي، بل يستحب له إنفاذه مع الأهليّة</w:t>
      </w:r>
      <w:r>
        <w:rPr>
          <w:rFonts w:eastAsia="Amiri" w:cs="Amiri" w:ascii="Amiri" w:hAnsi="Amiri"/>
          <w:color w:val="111111"/>
          <w:sz w:val="28"/>
          <w:szCs w:val="28"/>
          <w:rtl w:val="true"/>
          <w:lang w:bidi="ar-SA"/>
        </w:rPr>
        <w:t>.</w:t>
      </w:r>
    </w:p>
    <w:p>
      <w:pPr>
        <w:pStyle w:val="Heading6"/>
        <w:numPr>
          <w:ilvl w:val="5"/>
          <w:numId w:val="1"/>
        </w:numPr>
        <w:rPr/>
      </w:pPr>
      <w:bookmarkStart w:id="1159" w:name="__RefHeading___Toc4192531_2142443653"/>
      <w:bookmarkStart w:id="1160" w:name="_Toc471"/>
      <w:bookmarkEnd w:id="1159"/>
      <w:r>
        <w:rPr>
          <w:rtl w:val="true"/>
        </w:rPr>
        <w:t>الخامسة</w:t>
      </w:r>
      <w:r>
        <w:rPr>
          <w:rtl w:val="true"/>
        </w:rPr>
        <w:t xml:space="preserve">: </w:t>
      </w:r>
      <w:r>
        <w:rPr>
          <w:rtl w:val="true"/>
        </w:rPr>
        <w:t>لو تساوى الأولياء،</w:t>
      </w:r>
      <w:bookmarkEnd w:id="1160"/>
    </w:p>
    <w:p>
      <w:pPr>
        <w:pStyle w:val="Heading6"/>
        <w:numPr>
          <w:ilvl w:val="5"/>
          <w:numId w:val="1"/>
        </w:numPr>
        <w:rPr/>
      </w:pPr>
      <w:bookmarkStart w:id="1161" w:name="__RefHeading___Toc4192533_2142443653"/>
      <w:bookmarkStart w:id="1162" w:name="_Toc472"/>
      <w:bookmarkEnd w:id="1161"/>
      <w:r>
        <w:rPr>
          <w:rtl w:val="true"/>
        </w:rPr>
        <w:t>اشارة</w:t>
      </w:r>
      <w:bookmarkEnd w:id="1162"/>
    </w:p>
    <w:p>
      <w:pPr>
        <w:pStyle w:val="BookText"/>
        <w:rPr/>
      </w:pPr>
      <w:r>
        <w:rPr>
          <w:rFonts w:ascii="Amiri" w:hAnsi="Amiri" w:eastAsia="Amiri" w:cs="Amiri"/>
          <w:color w:val="111111"/>
          <w:sz w:val="28"/>
          <w:sz w:val="28"/>
          <w:szCs w:val="28"/>
          <w:rtl w:val="true"/>
          <w:lang w:bidi="ar-SA"/>
        </w:rPr>
        <w:t>قال في المبسوط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الأقرأ فالأفقه فالأسن</w:t>
      </w:r>
      <w:r>
        <w:rPr>
          <w:rStyle w:val="FootnoteAnchor"/>
          <w:rtl w:val="true"/>
        </w:rPr>
        <w:footnoteReference w:id="2427"/>
      </w:r>
      <w:r>
        <w:rPr>
          <w:rFonts w:ascii="Amiri" w:hAnsi="Amiri" w:eastAsia="Amiri" w:cs="Amiri"/>
          <w:color w:val="111111"/>
          <w:sz w:val="28"/>
          <w:sz w:val="28"/>
          <w:szCs w:val="28"/>
          <w:rtl w:val="true"/>
          <w:lang w:bidi="ar-SA"/>
        </w:rPr>
        <w:t>و تبعه الفاضلان في المعتبر و التذكرة</w:t>
      </w:r>
      <w:r>
        <w:rPr>
          <w:rStyle w:val="FootnoteAnchor"/>
          <w:rtl w:val="true"/>
        </w:rPr>
        <w:footnoteReference w:id="2428"/>
      </w:r>
      <w:r>
        <w:rPr>
          <w:rFonts w:ascii="Amiri" w:hAnsi="Amiri" w:eastAsia="Amiri" w:cs="Amiri"/>
          <w:color w:val="111111"/>
          <w:sz w:val="28"/>
          <w:sz w:val="28"/>
          <w:szCs w:val="28"/>
          <w:rtl w:val="true"/>
          <w:lang w:bidi="ar-SA"/>
        </w:rPr>
        <w:t>لعموم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يؤمّكم أقرؤكم</w:t>
      </w:r>
      <w:r>
        <w:rPr>
          <w:rFonts w:eastAsia="Amiri" w:cs="Amiri" w:ascii="Amiri" w:hAnsi="Amiri"/>
          <w:color w:val="111111"/>
          <w:sz w:val="28"/>
          <w:szCs w:val="28"/>
          <w:rtl w:val="true"/>
          <w:lang w:bidi="ar-SA"/>
        </w:rPr>
        <w:t>»</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تساووا أقرع بينهم</w:t>
      </w:r>
      <w:r>
        <w:rPr>
          <w:rStyle w:val="FootnoteAnchor"/>
          <w:rtl w:val="true"/>
        </w:rPr>
        <w:footnoteReference w:id="24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 أولى من العبد، و الذكر أولى من الأنثى إذا كان ممن يعقل الصلاة</w:t>
      </w:r>
      <w:r>
        <w:rPr>
          <w:rStyle w:val="FootnoteAnchor"/>
          <w:rtl w:val="true"/>
        </w:rPr>
        <w:footnoteReference w:id="2431"/>
      </w:r>
      <w:r>
        <w:rPr>
          <w:rFonts w:ascii="Amiri" w:hAnsi="Amiri" w:eastAsia="Amiri" w:cs="Amiri"/>
          <w:color w:val="111111"/>
          <w:sz w:val="28"/>
          <w:sz w:val="28"/>
          <w:szCs w:val="28"/>
          <w:rtl w:val="true"/>
          <w:lang w:bidi="ar-SA"/>
        </w:rPr>
        <w:t>و تبعه ابن إدريس</w:t>
      </w:r>
      <w:r>
        <w:rPr>
          <w:rStyle w:val="FootnoteAnchor"/>
          <w:rtl w:val="true"/>
        </w:rPr>
        <w:footnoteReference w:id="2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يشعر بان التمييز كاف في الإمامة، كما افتى به في المبسوط و الخلاف في جماعة اليوميّة</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البراج قال في الابنين بالتخيير، فان تشاحّا أقرع، و لم يعتبر أفضلية</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 xml:space="preserve">. </w:t>
      </w:r>
      <w:bookmarkStart w:id="1163" w:name="pg15253_219934"/>
    </w:p>
    <w:p>
      <w:pPr>
        <w:pStyle w:val="BookText"/>
        <w:rPr/>
      </w:pPr>
      <w:bookmarkEnd w:id="1163"/>
      <w:r>
        <w:rPr>
          <w:rFonts w:ascii="Amiri" w:hAnsi="Amiri" w:eastAsia="Amiri" w:cs="Amiri"/>
          <w:color w:val="111111"/>
          <w:sz w:val="28"/>
          <w:sz w:val="28"/>
          <w:szCs w:val="28"/>
          <w:rtl w:val="true"/>
          <w:lang w:bidi="ar-SA"/>
        </w:rPr>
        <w:t>و في الكامل قيّده بالتساوي في العقل 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نقف على مأخذ ذلك في خصوصية الجنازة، و ظاهرهم إلحاقها بجماعة المكتوبة، و هي مرجّحة بهذه الأوصاف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ذكر العبد هنا مشكل، لأنه لا إرث له فيخرج عن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شرائع المحقّق قدّم الأفقه على الأقرأ</w:t>
      </w:r>
      <w:r>
        <w:rPr>
          <w:rStyle w:val="FootnoteAnchor"/>
          <w:rtl w:val="true"/>
        </w:rPr>
        <w:footnoteReference w:id="2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متوجه، لأن القراءة هنا ساقطة، إلاّ أنّه خلاف فتوى الأصحاب بتقديم الأقرأ في الجماعة على الإطلاق</w:t>
      </w:r>
      <w:r>
        <w:rPr>
          <w:rStyle w:val="FootnoteAnchor"/>
          <w:rtl w:val="true"/>
        </w:rPr>
        <w:footnoteReference w:id="2436"/>
      </w:r>
      <w:r>
        <w:rPr>
          <w:rFonts w:ascii="IRNazanin" w:hAnsi="IRNazanin" w:eastAsia="IRNazanin"/>
          <w:color w:val="111111"/>
          <w:sz w:val="28"/>
          <w:sz w:val="28"/>
          <w:szCs w:val="28"/>
          <w:rtl w:val="true"/>
          <w:lang w:bidi="fa-IR"/>
        </w:rPr>
        <w:t>و خلاف فتواه</w:t>
      </w:r>
      <w:r>
        <w:rPr>
          <w:rStyle w:val="FootnoteAnchor"/>
          <w:rtl w:val="true"/>
        </w:rPr>
        <w:footnoteReference w:id="2437"/>
      </w:r>
      <w:r>
        <w:rPr>
          <w:rFonts w:ascii="Amiri" w:hAnsi="Amiri" w:eastAsia="Amiri" w:cs="Amiri"/>
          <w:color w:val="111111"/>
          <w:sz w:val="28"/>
          <w:sz w:val="28"/>
          <w:szCs w:val="28"/>
          <w:rtl w:val="true"/>
          <w:lang w:bidi="ar-SA"/>
        </w:rPr>
        <w:t>، و فتوى الشيخ في هذه الصورة</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4" w:name="__RefHeading___Toc4192535_2142443653"/>
      <w:bookmarkStart w:id="1165" w:name="_Toc473"/>
      <w:bookmarkEnd w:id="1164"/>
      <w:r>
        <w:rPr>
          <w:rtl w:val="true"/>
        </w:rPr>
        <w:t>فروع ستّ</w:t>
      </w:r>
      <w:r>
        <w:rPr>
          <w:rtl w:val="true"/>
        </w:rPr>
        <w:t>:</w:t>
      </w:r>
      <w:bookmarkEnd w:id="1165"/>
    </w:p>
    <w:p>
      <w:pPr>
        <w:pStyle w:val="Heading6"/>
        <w:numPr>
          <w:ilvl w:val="5"/>
          <w:numId w:val="1"/>
        </w:numPr>
        <w:rPr/>
      </w:pPr>
      <w:bookmarkStart w:id="1166" w:name="__RefHeading___Toc4192537_2142443653"/>
      <w:bookmarkStart w:id="1167" w:name="_Toc474"/>
      <w:bookmarkEnd w:id="1166"/>
      <w:r>
        <w:rPr>
          <w:rtl w:val="true"/>
        </w:rPr>
        <w:t>الأول</w:t>
      </w:r>
      <w:r>
        <w:rPr>
          <w:rtl w:val="true"/>
        </w:rPr>
        <w:t xml:space="preserve">: </w:t>
      </w:r>
      <w:r>
        <w:rPr>
          <w:rtl w:val="true"/>
        </w:rPr>
        <w:t>لو كان الذكر صغيرا و الأنثى كاملة،</w:t>
      </w:r>
      <w:bookmarkEnd w:id="1167"/>
    </w:p>
    <w:p>
      <w:pPr>
        <w:pStyle w:val="BookText"/>
        <w:rPr/>
      </w:pPr>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الولاية لها، لأنه لنقصه كالمعدوم، و كذا لو كان ناقص الحكم بجنون أو 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 طبقته مكلّف، ففي كون الولاية للأبعد أو للحاكم عليه نظر، من عموم آية اولي الأرحام، و الناقص كالمعدوم، و انه أولى بالإرث فلتكن الولاية له يتصرف فيها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امتنع الولي من الصلاة و الاذن،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الجماعة، لإطباق الناس على صلاة الجنازة جماعة من عهد النبي صلّى اللّه عليه و آله الى الآن، و هو يدلّ على شدة الاهتمام، فلا يزول هذا المهم بترك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هناك حاكم شرعي كان الأقرب اعتبار إذنه، لعموم ولايته في المناصب الشرعية</w:t>
      </w:r>
      <w:r>
        <w:rPr>
          <w:rFonts w:eastAsia="Amiri" w:cs="Amiri" w:ascii="Amiri" w:hAnsi="Amiri"/>
          <w:color w:val="111111"/>
          <w:sz w:val="28"/>
          <w:szCs w:val="28"/>
          <w:rtl w:val="true"/>
          <w:lang w:bidi="ar-SA"/>
        </w:rPr>
        <w:t>.</w:t>
      </w:r>
    </w:p>
    <w:p>
      <w:pPr>
        <w:pStyle w:val="Heading6"/>
        <w:numPr>
          <w:ilvl w:val="5"/>
          <w:numId w:val="1"/>
        </w:numPr>
        <w:rPr/>
      </w:pPr>
      <w:bookmarkStart w:id="1168" w:name="__RefHeading___Toc4192539_2142443653"/>
      <w:bookmarkStart w:id="1169" w:name="_Toc475"/>
      <w:bookmarkEnd w:id="1168"/>
      <w:r>
        <w:rPr>
          <w:rtl w:val="true"/>
        </w:rPr>
        <w:t>الثاني</w:t>
      </w:r>
      <w:r>
        <w:rPr>
          <w:rtl w:val="true"/>
        </w:rPr>
        <w:t xml:space="preserve">: </w:t>
      </w:r>
      <w:r>
        <w:rPr>
          <w:rtl w:val="true"/>
        </w:rPr>
        <w:t>لم يتعد الشيخ و الجماعة الأسن،</w:t>
      </w:r>
      <w:bookmarkEnd w:id="116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اعتبار الأسن لما روي عنه صلّى </w:t>
      </w:r>
      <w:bookmarkStart w:id="1170" w:name="pg15253_219935"/>
    </w:p>
    <w:p>
      <w:pPr>
        <w:pStyle w:val="BookText"/>
        <w:rPr/>
      </w:pPr>
      <w:bookmarkEnd w:id="1170"/>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يرد دعوة ذي الشيبة المسلم</w:t>
      </w:r>
      <w:r>
        <w:rPr>
          <w:rFonts w:eastAsia="Amiri" w:cs="Amiri" w:ascii="Amiri" w:hAnsi="Amiri"/>
          <w:color w:val="111111"/>
          <w:sz w:val="28"/>
          <w:szCs w:val="28"/>
          <w:rtl w:val="true"/>
          <w:lang w:bidi="ar-SA"/>
        </w:rPr>
        <w:t>»</w:t>
      </w:r>
      <w:r>
        <w:rPr>
          <w:rStyle w:val="FootnoteAnchor"/>
          <w:rtl w:val="true"/>
        </w:rPr>
        <w:footnoteReference w:id="2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مأخذهم ينبغي اعتبار جميع مرجحات المكتوبة من قدم الهجرة و صباحة الوجه، و قد صرّح به في التذكرة</w:t>
      </w:r>
      <w:r>
        <w:rPr>
          <w:rStyle w:val="FootnoteAnchor"/>
          <w:rtl w:val="true"/>
        </w:rPr>
        <w:footnoteReference w:id="2440"/>
      </w:r>
      <w:r>
        <w:rPr>
          <w:rFonts w:ascii="Amiri" w:hAnsi="Amiri" w:eastAsia="Amiri" w:cs="Amiri"/>
          <w:color w:val="111111"/>
          <w:sz w:val="28"/>
          <w:sz w:val="28"/>
          <w:szCs w:val="28"/>
          <w:rtl w:val="true"/>
          <w:lang w:bidi="ar-SA"/>
        </w:rPr>
        <w:t>أخذا بعمومات التراجيح، و يقوى اعتبار هذه المرجّحات في نائب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هناك وليّ، قال في التذكرة، يتقدّم بعض المؤمنين</w:t>
      </w:r>
      <w:r>
        <w:rPr>
          <w:rStyle w:val="FootnoteAnchor"/>
          <w:rtl w:val="true"/>
        </w:rPr>
        <w:footnoteReference w:id="2441"/>
      </w:r>
      <w:r>
        <w:rPr>
          <w:rFonts w:ascii="Amiri" w:hAnsi="Amiri" w:eastAsia="Amiri" w:cs="Amiri"/>
          <w:color w:val="111111"/>
          <w:sz w:val="28"/>
          <w:sz w:val="28"/>
          <w:szCs w:val="28"/>
          <w:rtl w:val="true"/>
          <w:lang w:bidi="ar-SA"/>
        </w:rPr>
        <w:t>و كأنّه أراد به مع عدم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الجنيد ثبوت الولاية هنا لقرابة الرسول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171" w:name="__RefHeading___Toc4192541_2142443653"/>
      <w:bookmarkStart w:id="1172" w:name="_Toc476"/>
      <w:bookmarkEnd w:id="1171"/>
      <w:r>
        <w:rPr>
          <w:rtl w:val="true"/>
        </w:rPr>
        <w:t>الثالث</w:t>
      </w:r>
      <w:r>
        <w:rPr>
          <w:rtl w:val="true"/>
        </w:rPr>
        <w:t xml:space="preserve">: </w:t>
      </w:r>
      <w:r>
        <w:rPr>
          <w:rtl w:val="true"/>
        </w:rPr>
        <w:t>لو لم يكن الولي بصفة الإمام استناب،</w:t>
      </w:r>
      <w:bookmarkEnd w:id="117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الولي بصفة</w:t>
      </w:r>
      <w:r>
        <w:rPr>
          <w:rStyle w:val="FootnoteAnchor"/>
          <w:rtl w:val="true"/>
        </w:rPr>
        <w:footnoteReference w:id="2442"/>
      </w:r>
      <w:r>
        <w:rPr>
          <w:rFonts w:ascii="Amiri" w:hAnsi="Amiri" w:eastAsia="Amiri" w:cs="Amiri"/>
          <w:color w:val="111111"/>
          <w:sz w:val="28"/>
          <w:sz w:val="28"/>
          <w:szCs w:val="28"/>
          <w:rtl w:val="true"/>
          <w:lang w:bidi="ar-SA"/>
        </w:rPr>
        <w:t>الإمام استناب، و مع الصلاحية لو استناب جاز، و لو وجد الأكمل، ففي استحباب الاستنابة قوة، لأنّ كماله قد يكون سببا في إجابة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العالم الفقيه من السنّة إلاّ أنّه بعد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ترجيح مباشرة الولي، لاختصاصه بمزيد الرقّة التي هي مظنّة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ليتحرّ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بابويه و الشيخان و الجعفي و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أولى</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بالغ المفيد رحمه اللّه فأوجب تقديمه</w:t>
      </w:r>
      <w:r>
        <w:rPr>
          <w:rStyle w:val="FootnoteAnchor"/>
          <w:rtl w:val="true"/>
        </w:rPr>
        <w:footnoteReference w:id="2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حمل كلامه على إمام </w:t>
      </w:r>
      <w:bookmarkStart w:id="1173" w:name="pg15253_219936"/>
    </w:p>
    <w:p>
      <w:pPr>
        <w:pStyle w:val="BookText"/>
        <w:rPr/>
      </w:pPr>
      <w:bookmarkEnd w:id="1173"/>
      <w:r>
        <w:rPr>
          <w:rFonts w:ascii="IRNazanin" w:hAnsi="IRNazanin" w:eastAsia="IRNazanin"/>
          <w:color w:val="111111"/>
          <w:sz w:val="28"/>
          <w:sz w:val="28"/>
          <w:szCs w:val="28"/>
          <w:rtl w:val="true"/>
          <w:lang w:bidi="fa-IR"/>
        </w:rPr>
        <w:t>الأصل</w:t>
      </w:r>
      <w:r>
        <w:rPr>
          <w:rStyle w:val="FootnoteAnchor"/>
          <w:rtl w:val="true"/>
        </w:rPr>
        <w:footnoteReference w:id="2445"/>
      </w:r>
      <w:r>
        <w:rPr>
          <w:rFonts w:ascii="Amiri" w:hAnsi="Amiri" w:eastAsia="Amiri" w:cs="Amiri"/>
          <w:color w:val="111111"/>
          <w:sz w:val="28"/>
          <w:sz w:val="28"/>
          <w:szCs w:val="28"/>
          <w:rtl w:val="true"/>
          <w:lang w:bidi="ar-SA"/>
        </w:rPr>
        <w:t>و هو بعيد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حضر رجل من فضلاء بني هاشم</w:t>
      </w:r>
      <w:r>
        <w:rPr>
          <w:rStyle w:val="FootnoteAnchor"/>
          <w:rtl w:val="true"/>
        </w:rPr>
        <w:footnoteReference w:id="2446"/>
      </w:r>
      <w:r>
        <w:rPr>
          <w:rFonts w:ascii="Amiri" w:hAnsi="Amiri" w:eastAsia="Amiri" w:cs="Amiri"/>
          <w:color w:val="111111"/>
          <w:sz w:val="28"/>
          <w:sz w:val="28"/>
          <w:szCs w:val="28"/>
          <w:rtl w:val="true"/>
          <w:lang w:bidi="ar-SA"/>
        </w:rPr>
        <w:t>و هو صريح في كلّ واحد من فضلائهم، و لم أقف على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الصدوق عزاه إلى أبيه في رسالته</w:t>
      </w:r>
      <w:r>
        <w:rPr>
          <w:rStyle w:val="FootnoteAnchor"/>
          <w:rtl w:val="true"/>
        </w:rPr>
        <w:footnoteReference w:id="2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في التهذيب عليه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المعتبر احتج بما 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قريشا و لا تقدموها</w:t>
      </w:r>
      <w:r>
        <w:rPr>
          <w:rFonts w:eastAsia="Amiri" w:cs="Amiri" w:ascii="Amiri" w:hAnsi="Amiri"/>
          <w:color w:val="111111"/>
          <w:sz w:val="28"/>
          <w:szCs w:val="28"/>
          <w:rtl w:val="true"/>
          <w:lang w:bidi="ar-SA"/>
        </w:rPr>
        <w:t>»</w:t>
      </w:r>
      <w:r>
        <w:rPr>
          <w:rStyle w:val="FootnoteAnchor"/>
          <w:rtl w:val="true"/>
        </w:rPr>
        <w:footnoteReference w:id="2448"/>
      </w:r>
      <w:r>
        <w:rPr>
          <w:rFonts w:ascii="Amiri" w:hAnsi="Amiri" w:eastAsia="Amiri" w:cs="Amiri"/>
          <w:color w:val="111111"/>
          <w:sz w:val="28"/>
          <w:sz w:val="28"/>
          <w:szCs w:val="28"/>
          <w:rtl w:val="true"/>
          <w:lang w:bidi="ar-SA"/>
        </w:rPr>
        <w:t>، و لم نستثبته في روايتنا، مع انه أعمّ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أحد له، فالأقعد نسبا برسول اللّه صلّى اللّه عليه و آله من الحاضرين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انّما يقتضي ثبوت الولاية مع عدم الولي، و يقتضي تقديم الأقرب الى رسول اللّه صلّى اللّه عليه و آله فالأقرب، و لعلّه إكرام لرسول اللّه صلّى اللّه عليه و آله، فكلّما كان القرب منه أكثر كان أدخل في استحقاق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للنائب الاستنابة بدون الاذن، اقتصارا على المأذون فيه</w:t>
      </w:r>
      <w:r>
        <w:rPr>
          <w:rFonts w:eastAsia="Amiri" w:cs="Amiri" w:ascii="Amiri" w:hAnsi="Amiri"/>
          <w:color w:val="111111"/>
          <w:sz w:val="28"/>
          <w:szCs w:val="28"/>
          <w:rtl w:val="true"/>
          <w:lang w:bidi="ar-SA"/>
        </w:rPr>
        <w:t>.</w:t>
      </w:r>
    </w:p>
    <w:p>
      <w:pPr>
        <w:pStyle w:val="Heading6"/>
        <w:numPr>
          <w:ilvl w:val="5"/>
          <w:numId w:val="1"/>
        </w:numPr>
        <w:rPr/>
      </w:pPr>
      <w:bookmarkStart w:id="1174" w:name="__RefHeading___Toc4192543_2142443653"/>
      <w:bookmarkStart w:id="1175" w:name="_Toc477"/>
      <w:bookmarkEnd w:id="1174"/>
      <w:r>
        <w:rPr>
          <w:rtl w:val="true"/>
        </w:rPr>
        <w:t>الرابع</w:t>
      </w:r>
      <w:r>
        <w:rPr>
          <w:rtl w:val="true"/>
        </w:rPr>
        <w:t xml:space="preserve">: </w:t>
      </w:r>
      <w:r>
        <w:rPr>
          <w:rtl w:val="true"/>
        </w:rPr>
        <w:t>للوليّ الرجوع عن الاذن ما لم يشرع فيها،</w:t>
      </w:r>
      <w:bookmarkEnd w:id="1175"/>
    </w:p>
    <w:p>
      <w:pPr>
        <w:pStyle w:val="BookText"/>
        <w:rPr/>
      </w:pPr>
      <w:r>
        <w:rPr>
          <w:rFonts w:ascii="Amiri" w:hAnsi="Amiri" w:eastAsia="Amiri" w:cs="Amiri"/>
          <w:color w:val="111111"/>
          <w:sz w:val="28"/>
          <w:sz w:val="28"/>
          <w:szCs w:val="28"/>
          <w:rtl w:val="true"/>
          <w:lang w:bidi="ar-SA"/>
        </w:rPr>
        <w:t>لأنّه وكالة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بعده،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لما فيه من اختلال نظم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صلاة عن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جائز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فيستصحب، و حينئذ يصلّون فرادى إذ لا طريق إلى الإبطال، و العدول الى إمام آخر بعيد</w:t>
      </w:r>
      <w:r>
        <w:rPr>
          <w:rFonts w:eastAsia="Amiri" w:cs="Amiri" w:ascii="Amiri" w:hAnsi="Amiri"/>
          <w:color w:val="111111"/>
          <w:sz w:val="28"/>
          <w:szCs w:val="28"/>
          <w:rtl w:val="true"/>
          <w:lang w:bidi="ar-SA"/>
        </w:rPr>
        <w:t>.</w:t>
      </w:r>
    </w:p>
    <w:p>
      <w:pPr>
        <w:pStyle w:val="Heading6"/>
        <w:numPr>
          <w:ilvl w:val="5"/>
          <w:numId w:val="1"/>
        </w:numPr>
        <w:rPr/>
      </w:pPr>
      <w:bookmarkStart w:id="1176" w:name="__RefHeading___Toc4192545_2142443653"/>
      <w:bookmarkStart w:id="1177" w:name="_Toc478"/>
      <w:bookmarkEnd w:id="1176"/>
      <w:r>
        <w:rPr>
          <w:rtl w:val="true"/>
        </w:rPr>
        <w:t>الخامس</w:t>
      </w:r>
      <w:r>
        <w:rPr>
          <w:rtl w:val="true"/>
        </w:rPr>
        <w:t xml:space="preserve">: </w:t>
      </w:r>
      <w:r>
        <w:rPr>
          <w:rtl w:val="true"/>
        </w:rPr>
        <w:t>لو صلّيت فرادى صحت الصلاة،</w:t>
      </w:r>
      <w:bookmarkEnd w:id="1177"/>
    </w:p>
    <w:p>
      <w:pPr>
        <w:pStyle w:val="BookText"/>
        <w:rPr/>
      </w:pPr>
      <w:r>
        <w:rPr>
          <w:rFonts w:ascii="Amiri" w:hAnsi="Amiri" w:eastAsia="Amiri" w:cs="Amiri"/>
          <w:color w:val="111111"/>
          <w:sz w:val="28"/>
          <w:sz w:val="28"/>
          <w:szCs w:val="28"/>
          <w:rtl w:val="true"/>
          <w:lang w:bidi="ar-SA"/>
        </w:rPr>
        <w:t>لأنّ الصحابة صلّى أكثرهم على النبي صلّى اللّه عليه و آله فرادى</w:t>
      </w:r>
      <w:r>
        <w:rPr>
          <w:rStyle w:val="FootnoteAnchor"/>
          <w:rtl w:val="true"/>
        </w:rPr>
        <w:footnoteReference w:id="2449"/>
      </w:r>
      <w:r>
        <w:rPr>
          <w:rFonts w:ascii="Amiri" w:hAnsi="Amiri" w:eastAsia="Amiri" w:cs="Amiri"/>
          <w:color w:val="111111"/>
          <w:sz w:val="28"/>
          <w:sz w:val="28"/>
          <w:szCs w:val="28"/>
          <w:rtl w:val="true"/>
          <w:lang w:bidi="ar-SA"/>
        </w:rPr>
        <w:t>و لكن الجماعة أفضل قطعا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يشترط الكثرة، فلو صلّى الواحد أجزأ و ان</w:t>
      </w:r>
      <w:r>
        <w:rPr>
          <w:rStyle w:val="FootnoteAnchor"/>
          <w:rtl w:val="true"/>
        </w:rPr>
        <w:footnoteReference w:id="2450"/>
      </w:r>
      <w:r>
        <w:rPr>
          <w:rFonts w:ascii="Amiri" w:hAnsi="Amiri" w:eastAsia="Amiri" w:cs="Amiri"/>
          <w:color w:val="111111"/>
          <w:sz w:val="28"/>
          <w:sz w:val="28"/>
          <w:szCs w:val="28"/>
          <w:rtl w:val="true"/>
          <w:lang w:bidi="ar-SA"/>
        </w:rPr>
        <w:t xml:space="preserve">كان امرأة، لأنّها فرض </w:t>
      </w:r>
      <w:bookmarkStart w:id="1178" w:name="pg15253_219937"/>
    </w:p>
    <w:p>
      <w:pPr>
        <w:pStyle w:val="BookText"/>
        <w:rPr/>
      </w:pPr>
      <w:bookmarkEnd w:id="1178"/>
      <w:r>
        <w:rPr>
          <w:rFonts w:ascii="Amiri" w:hAnsi="Amiri" w:eastAsia="Amiri" w:cs="Amiri"/>
          <w:color w:val="111111"/>
          <w:sz w:val="28"/>
          <w:sz w:val="28"/>
          <w:szCs w:val="28"/>
          <w:rtl w:val="true"/>
          <w:lang w:bidi="ar-SA"/>
        </w:rPr>
        <w:t xml:space="preserve">كفاية، و لرواية القاسم بن عبيد اللّه القمّي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صلاة الرجل وحده على الجنازة أو الاثنين</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w:t>
      </w:r>
      <w:r>
        <w:rPr>
          <w:rStyle w:val="FootnoteAnchor"/>
          <w:rtl w:val="true"/>
        </w:rPr>
        <w:footnoteReference w:id="2452"/>
      </w:r>
      <w:r>
        <w:rPr>
          <w:rFonts w:ascii="Amiri" w:hAnsi="Amiri" w:eastAsia="Amiri" w:cs="Amiri"/>
          <w:color w:val="111111"/>
          <w:sz w:val="28"/>
          <w:sz w:val="28"/>
          <w:szCs w:val="28"/>
          <w:rtl w:val="true"/>
          <w:lang w:bidi="ar-SA"/>
        </w:rPr>
        <w:t>لا تدلّ على الجمع، فإنّ الخطاب هنا لكل واحد لا للجميع، و إلاّ لوجبت على عامة الناس، فلا يشترط الاثنان و لا الثلاثة</w:t>
      </w:r>
      <w:r>
        <w:rPr>
          <w:rStyle w:val="FootnoteAnchor"/>
          <w:rtl w:val="true"/>
        </w:rPr>
        <w:footnoteReference w:id="2453"/>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اشتراط الأربعة لأنّهم الحملة للجنازة</w:t>
      </w:r>
      <w:r>
        <w:rPr>
          <w:rStyle w:val="FootnoteAnchor"/>
          <w:rtl w:val="true"/>
        </w:rPr>
        <w:footnoteReference w:id="2454"/>
      </w:r>
      <w:r>
        <w:rPr>
          <w:rFonts w:ascii="Amiri" w:hAnsi="Amiri" w:eastAsia="Amiri" w:cs="Amiri"/>
          <w:color w:val="111111"/>
          <w:sz w:val="28"/>
          <w:sz w:val="28"/>
          <w:szCs w:val="28"/>
          <w:rtl w:val="true"/>
          <w:lang w:bidi="ar-SA"/>
        </w:rPr>
        <w:t>غلط، إذ لا تلازم بين عدد الحملة و المصلّين، و للاتفاق على جواز حمل واحد أو الحمل على دابّة، على أنّ الحمل بين العمودين عند هذا المشترط أفضل، و هو يحصل بثلاثة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غياث بن إبراهيم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على جنازة معها امرأة</w:t>
      </w:r>
      <w:r>
        <w:rPr>
          <w:rFonts w:eastAsia="Amiri" w:cs="Amiri" w:ascii="Amiri" w:hAnsi="Amiri"/>
          <w:color w:val="111111"/>
          <w:sz w:val="28"/>
          <w:szCs w:val="28"/>
          <w:rtl w:val="true"/>
          <w:lang w:bidi="ar-SA"/>
        </w:rPr>
        <w:t>»</w:t>
      </w:r>
      <w:r>
        <w:rPr>
          <w:rStyle w:val="FootnoteAnchor"/>
          <w:rtl w:val="true"/>
        </w:rPr>
        <w:footnoteReference w:id="2455"/>
      </w:r>
      <w:r>
        <w:rPr>
          <w:rFonts w:ascii="Amiri" w:hAnsi="Amiri" w:eastAsia="Amiri" w:cs="Amiri"/>
          <w:color w:val="111111"/>
          <w:sz w:val="28"/>
          <w:sz w:val="28"/>
          <w:szCs w:val="28"/>
          <w:rtl w:val="true"/>
          <w:lang w:bidi="ar-SA"/>
        </w:rPr>
        <w:t>ضعيف السند، و يجوز أن يكون المنفي الفضل و الكمال لا الصحّة</w:t>
      </w:r>
      <w:r>
        <w:rPr>
          <w:rFonts w:eastAsia="Amiri" w:cs="Amiri" w:ascii="Amiri" w:hAnsi="Amiri"/>
          <w:color w:val="111111"/>
          <w:sz w:val="28"/>
          <w:szCs w:val="28"/>
          <w:rtl w:val="true"/>
          <w:lang w:bidi="ar-SA"/>
        </w:rPr>
        <w:t>.</w:t>
      </w:r>
    </w:p>
    <w:p>
      <w:pPr>
        <w:pStyle w:val="Heading6"/>
        <w:numPr>
          <w:ilvl w:val="5"/>
          <w:numId w:val="1"/>
        </w:numPr>
        <w:rPr/>
      </w:pPr>
      <w:bookmarkStart w:id="1179" w:name="__RefHeading___Toc4192547_2142443653"/>
      <w:bookmarkStart w:id="1180" w:name="_Toc479"/>
      <w:bookmarkEnd w:id="1179"/>
      <w:r>
        <w:rPr>
          <w:rtl w:val="true"/>
        </w:rPr>
        <w:t>السادس</w:t>
      </w:r>
      <w:r>
        <w:rPr>
          <w:rtl w:val="true"/>
        </w:rPr>
        <w:t xml:space="preserve">: </w:t>
      </w:r>
      <w:r>
        <w:rPr>
          <w:rtl w:val="true"/>
        </w:rPr>
        <w:t>لو اجتمع جنائز،</w:t>
      </w:r>
      <w:bookmarkEnd w:id="118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فتشاحّ أولياؤهم و أراد كلّ إفراد ميّته بصلاة جاز، و الاّ فالأقرب تقديم أولاهم بالإمامة في المكتوبة،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أمكن تقديم وليّ من سبق ميّتة، لأنّه استحق الإمامة فيستصحب، و حينئذ لو توافوا جميعا زالت الخصوصيّة</w:t>
      </w:r>
      <w:r>
        <w:rPr>
          <w:rFonts w:eastAsia="Amiri" w:cs="Amiri" w:ascii="Amiri" w:hAnsi="Amiri"/>
          <w:color w:val="111111"/>
          <w:sz w:val="28"/>
          <w:szCs w:val="28"/>
          <w:rtl w:val="true"/>
          <w:lang w:bidi="ar-SA"/>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1" w:name="pg15253_219939"/>
      <w:bookmarkStart w:id="1182" w:name="pg15253_219939"/>
      <w:bookmarkEnd w:id="1182"/>
    </w:p>
    <w:p>
      <w:pPr>
        <w:pStyle w:val="Heading6"/>
        <w:numPr>
          <w:ilvl w:val="5"/>
          <w:numId w:val="1"/>
        </w:numPr>
        <w:rPr/>
      </w:pPr>
      <w:bookmarkStart w:id="1183" w:name="pg15253_219939"/>
      <w:bookmarkStart w:id="1184" w:name="__RefHeading___Toc4192549_2142443653"/>
      <w:bookmarkStart w:id="1185" w:name="_Toc480"/>
      <w:bookmarkEnd w:id="1183"/>
      <w:bookmarkEnd w:id="1184"/>
      <w:r>
        <w:rPr>
          <w:rtl w:val="true"/>
        </w:rPr>
        <w:t>النظر الرابع</w:t>
      </w:r>
      <w:r>
        <w:rPr>
          <w:rtl w:val="true"/>
        </w:rPr>
        <w:t xml:space="preserve">: </w:t>
      </w:r>
      <w:r>
        <w:rPr>
          <w:rtl w:val="true"/>
        </w:rPr>
        <w:t>في الصلاة</w:t>
      </w:r>
      <w:r>
        <w:rPr>
          <w:rtl w:val="true"/>
        </w:rPr>
        <w:t>.</w:t>
      </w:r>
      <w:bookmarkEnd w:id="1185"/>
    </w:p>
    <w:p>
      <w:pPr>
        <w:pStyle w:val="Heading6"/>
        <w:numPr>
          <w:ilvl w:val="5"/>
          <w:numId w:val="1"/>
        </w:numPr>
        <w:rPr/>
      </w:pPr>
      <w:bookmarkStart w:id="1186" w:name="__RefHeading___Toc4192551_2142443653"/>
      <w:bookmarkStart w:id="1187" w:name="_Toc481"/>
      <w:bookmarkEnd w:id="1186"/>
      <w:r>
        <w:rPr>
          <w:rtl w:val="true"/>
        </w:rPr>
        <w:t>ومطالبه ثلاثة</w:t>
      </w:r>
      <w:bookmarkEnd w:id="1187"/>
    </w:p>
    <w:p>
      <w:pPr>
        <w:pStyle w:val="Heading6"/>
        <w:numPr>
          <w:ilvl w:val="5"/>
          <w:numId w:val="1"/>
        </w:numPr>
        <w:rPr/>
      </w:pPr>
      <w:bookmarkStart w:id="1188" w:name="__RefHeading___Toc4192553_2142443653"/>
      <w:bookmarkStart w:id="1189" w:name="_Toc482"/>
      <w:bookmarkEnd w:id="1188"/>
      <w:r>
        <w:rPr>
          <w:rtl w:val="true"/>
        </w:rPr>
        <w:t>المطلب الأول في واجبها،</w:t>
      </w:r>
      <w:bookmarkEnd w:id="1189"/>
    </w:p>
    <w:p>
      <w:pPr>
        <w:pStyle w:val="Heading6"/>
        <w:numPr>
          <w:ilvl w:val="5"/>
          <w:numId w:val="1"/>
        </w:numPr>
        <w:rPr/>
      </w:pPr>
      <w:bookmarkStart w:id="1190" w:name="__RefHeading___Toc4192555_2142443653"/>
      <w:bookmarkStart w:id="1191" w:name="_Toc483"/>
      <w:bookmarkEnd w:id="1190"/>
      <w:r>
        <w:rPr>
          <w:rtl w:val="true"/>
        </w:rPr>
        <w:t>اشارة</w:t>
      </w:r>
      <w:bookmarkEnd w:id="1191"/>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1192" w:name="__RefHeading___Toc4192557_2142443653"/>
      <w:bookmarkStart w:id="1193" w:name="_Toc484"/>
      <w:bookmarkEnd w:id="1192"/>
      <w:r>
        <w:rPr>
          <w:rtl w:val="true"/>
        </w:rPr>
        <w:t>الأولى</w:t>
      </w:r>
      <w:r>
        <w:rPr>
          <w:rtl w:val="true"/>
        </w:rPr>
        <w:t xml:space="preserve">: </w:t>
      </w:r>
      <w:r>
        <w:rPr>
          <w:rtl w:val="true"/>
        </w:rPr>
        <w:t>تجب النيّة المشتملة على قصد الفعل على وجهه تقرّبا الى اللّه تعالى،</w:t>
      </w:r>
      <w:bookmarkEnd w:id="1193"/>
    </w:p>
    <w:p>
      <w:pPr>
        <w:pStyle w:val="BookText"/>
        <w:rPr/>
      </w:pPr>
      <w:r>
        <w:rPr>
          <w:rFonts w:ascii="Amiri" w:hAnsi="Amiri" w:eastAsia="Amiri" w:cs="Amiri"/>
          <w:color w:val="111111"/>
          <w:sz w:val="28"/>
          <w:sz w:val="28"/>
          <w:szCs w:val="28"/>
          <w:rtl w:val="true"/>
          <w:lang w:bidi="ar-SA"/>
        </w:rPr>
        <w:t xml:space="preserve">لأنّها عبادة و عمل، فتدخل تحت وَ ما أُمِرُوا إِلاّ لِيَعْبُدُوا اَللّهَ مُخْلِصِينَ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2457"/>
      </w: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r>
        <w:rPr>
          <w:rStyle w:val="FootnoteAnchor"/>
          <w:rtl w:val="true"/>
        </w:rPr>
        <w:footnoteReference w:id="2458"/>
      </w:r>
      <w:r>
        <w:rPr>
          <w:rFonts w:ascii="Amiri" w:hAnsi="Amiri" w:eastAsia="Amiri" w:cs="Amiri"/>
          <w:color w:val="111111"/>
          <w:sz w:val="28"/>
          <w:sz w:val="28"/>
          <w:szCs w:val="28"/>
          <w:rtl w:val="true"/>
          <w:lang w:bidi="ar-SA"/>
        </w:rPr>
        <w:t>، و لأن الفعل إذا أمكن وقوعه على وجوه بعضها غير مراد للشارع لم يحصل الامتياز إلاّ بالنيّة، و إلاّ لزم الترجيح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فعل قلبي لا عمل للسان فيها، لأنّها إرادة و الإرادة من فعل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جمع بين القلب و اللسان جاز، 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استحبابه، لعدم نقله عن 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تخيّل أنّه زيادة مشقة فيستتبع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لأنّ المشقة المعتبرة هي ما أمر به الشارع، و التقدير خلوّه عن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لتكن مقارنة للتكبير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 الاحتياج الى التمييز و الشروع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استدامتها الى آخر الفعل، لتقع الأفعال بعدها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تكفي الاستدامة الحكميّة، تفاديا من لزوم الحرج المنفي لو لزم البقاء عليها فعلا، لما يعرض من الصوارف و الشواغل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حكم عام في جميع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يشترط التعرّض لكونها فرض كفاية، بل يكفي نية مطلق الفرض، </w:t>
      </w:r>
      <w:bookmarkStart w:id="1194" w:name="pg15253_219940"/>
    </w:p>
    <w:p>
      <w:pPr>
        <w:pStyle w:val="BookText"/>
        <w:rPr/>
      </w:pPr>
      <w:bookmarkEnd w:id="1194"/>
      <w:r>
        <w:rPr>
          <w:rFonts w:ascii="Amiri" w:hAnsi="Amiri" w:eastAsia="Amiri" w:cs="Amiri"/>
          <w:color w:val="111111"/>
          <w:sz w:val="28"/>
          <w:sz w:val="28"/>
          <w:szCs w:val="28"/>
          <w:rtl w:val="true"/>
          <w:lang w:bidi="ar-SA"/>
        </w:rPr>
        <w:t>لحصول الامتياز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نحتمله، لأنّ النية لامتياز الشيء على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الميت واحدا نواه، و ان كانوا جماعة نواهم، و لا يشترط تعيين الميت و معرفته بل يكفي نيّة منويّ الإمام، فلو عيّن و أخطأ فالأقرب البطلان، لخلو الواقع عن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لينو المأموم القدوة كما في سائر الجماعات</w:t>
      </w:r>
      <w:r>
        <w:rPr>
          <w:rFonts w:eastAsia="Amiri" w:cs="Amiri" w:ascii="Amiri" w:hAnsi="Amiri"/>
          <w:color w:val="111111"/>
          <w:sz w:val="28"/>
          <w:szCs w:val="28"/>
          <w:rtl w:val="true"/>
          <w:lang w:bidi="ar-SA"/>
        </w:rPr>
        <w:t>.</w:t>
      </w:r>
    </w:p>
    <w:p>
      <w:pPr>
        <w:pStyle w:val="Heading6"/>
        <w:numPr>
          <w:ilvl w:val="5"/>
          <w:numId w:val="1"/>
        </w:numPr>
        <w:rPr/>
      </w:pPr>
      <w:bookmarkStart w:id="1195" w:name="__RefHeading___Toc4192559_2142443653"/>
      <w:bookmarkStart w:id="1196" w:name="_Toc485"/>
      <w:bookmarkEnd w:id="1195"/>
      <w:r>
        <w:rPr>
          <w:rtl w:val="true"/>
        </w:rPr>
        <w:t>الثانية</w:t>
      </w:r>
      <w:r>
        <w:rPr>
          <w:rtl w:val="true"/>
        </w:rPr>
        <w:t xml:space="preserve">: </w:t>
      </w:r>
      <w:r>
        <w:rPr>
          <w:rtl w:val="true"/>
        </w:rPr>
        <w:t>يجب فيها القيام مع الإمكان إجماعا،</w:t>
      </w:r>
      <w:bookmarkEnd w:id="1196"/>
    </w:p>
    <w:p>
      <w:pPr>
        <w:pStyle w:val="BookText"/>
        <w:rPr/>
      </w:pPr>
      <w:r>
        <w:rPr>
          <w:rFonts w:ascii="Amiri" w:hAnsi="Amiri" w:eastAsia="Amiri" w:cs="Amiri"/>
          <w:color w:val="111111"/>
          <w:sz w:val="28"/>
          <w:sz w:val="28"/>
          <w:szCs w:val="28"/>
          <w:rtl w:val="true"/>
          <w:lang w:bidi="ar-SA"/>
        </w:rPr>
        <w:t xml:space="preserve">بل هو الرّكن الأظهر،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الصحابة صلّوا عليها قياما، و التأسّي واجب و خصوصا في الصلاة،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Style w:val="FootnoteAnchor"/>
          <w:rtl w:val="true"/>
        </w:rPr>
        <w:footnoteReference w:id="2459"/>
      </w:r>
      <w:r>
        <w:rPr>
          <w:rFonts w:ascii="Amiri" w:hAnsi="Amiri" w:eastAsia="Amiri" w:cs="Amiri"/>
          <w:color w:val="111111"/>
          <w:sz w:val="28"/>
          <w:sz w:val="28"/>
          <w:szCs w:val="28"/>
          <w:rtl w:val="true"/>
          <w:lang w:bidi="ar-SA"/>
        </w:rPr>
        <w:t>و لأنّ الأصل بعد شغل الذمّة عدم البراءة إلاّ بالقيام فيتعيّن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عجز عنه صلّى بحسب مكنته، كاليومية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وجد من يمكنه القيام، فهو أولى من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الاجتزاء بصلاة العاجز حينئذ نظر، من صدق الصلاة الواجبة بالنسبة اليه، و من نقصها و قدرة غيره على الكاملة</w:t>
      </w:r>
      <w:r>
        <w:rPr>
          <w:rFonts w:eastAsia="Amiri" w:cs="Amiri" w:ascii="Amiri" w:hAnsi="Amiri"/>
          <w:color w:val="111111"/>
          <w:sz w:val="28"/>
          <w:szCs w:val="28"/>
          <w:rtl w:val="true"/>
          <w:lang w:bidi="ar-SA"/>
        </w:rPr>
        <w:t>.</w:t>
      </w:r>
    </w:p>
    <w:p>
      <w:pPr>
        <w:pStyle w:val="Heading6"/>
        <w:numPr>
          <w:ilvl w:val="5"/>
          <w:numId w:val="1"/>
        </w:numPr>
        <w:rPr/>
      </w:pPr>
      <w:bookmarkStart w:id="1197" w:name="__RefHeading___Toc4192561_2142443653"/>
      <w:bookmarkStart w:id="1198" w:name="_Toc486"/>
      <w:bookmarkEnd w:id="1197"/>
      <w:r>
        <w:rPr>
          <w:rtl w:val="true"/>
        </w:rPr>
        <w:t>الثالثة</w:t>
      </w:r>
      <w:r>
        <w:rPr>
          <w:rtl w:val="true"/>
        </w:rPr>
        <w:t xml:space="preserve">: </w:t>
      </w:r>
      <w:r>
        <w:rPr>
          <w:rtl w:val="true"/>
        </w:rPr>
        <w:t>الأقرب وجوب ستر العورة مع الإمكان،</w:t>
      </w:r>
      <w:bookmarkEnd w:id="1198"/>
    </w:p>
    <w:p>
      <w:pPr>
        <w:pStyle w:val="BookText"/>
        <w:rPr/>
      </w:pPr>
      <w:r>
        <w:rPr>
          <w:rFonts w:ascii="Amiri" w:hAnsi="Amiri" w:eastAsia="Amiri" w:cs="Amiri"/>
          <w:color w:val="111111"/>
          <w:sz w:val="28"/>
          <w:sz w:val="28"/>
          <w:szCs w:val="28"/>
          <w:rtl w:val="true"/>
          <w:lang w:bidi="ar-SA"/>
        </w:rPr>
        <w:t>إلحاقا لها بسائر الصلوات، و بحكم 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التعذّر يسقط كاليومية، و لا يبرز عنهم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أقرب الى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يقف وسطهم، قاله الشيخ في النهاية و المبسوط</w:t>
      </w:r>
      <w:r>
        <w:rPr>
          <w:rStyle w:val="FootnoteAnchor"/>
          <w:rtl w:val="true"/>
        </w:rPr>
        <w:footnoteReference w:id="2460"/>
      </w:r>
      <w:r>
        <w:rPr>
          <w:rFonts w:ascii="Amiri" w:hAnsi="Amiri" w:eastAsia="Amiri" w:cs="Amiri"/>
          <w:color w:val="111111"/>
          <w:sz w:val="28"/>
          <w:sz w:val="28"/>
          <w:szCs w:val="28"/>
          <w:rtl w:val="true"/>
          <w:lang w:bidi="ar-SA"/>
        </w:rPr>
        <w:t>مع أنّ مذهبه في جماعة العراة في اليوميّة الجلوس</w:t>
      </w:r>
      <w:r>
        <w:rPr>
          <w:rStyle w:val="FootnoteAnchor"/>
          <w:rtl w:val="true"/>
        </w:rPr>
        <w:footnoteReference w:id="2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الفرق بالاحتياج إلى الركوع و السجود هناك</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الستر شرطا في صلاة الجنازة، لأنّها دعاء</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 xml:space="preserve">. </w:t>
      </w:r>
      <w:bookmarkStart w:id="1199" w:name="pg15253_219941"/>
    </w:p>
    <w:p>
      <w:pPr>
        <w:pStyle w:val="BookText"/>
        <w:rPr/>
      </w:pPr>
      <w:bookmarkEnd w:id="1199"/>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أنّها تسمّى صلاة و ان اشتملت على الدعاء، فتدخل تحت عموم الصلاة، و يعارض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الاستقبال و القيام فيها</w:t>
      </w:r>
      <w:r>
        <w:rPr>
          <w:rFonts w:eastAsia="Amiri" w:cs="Amiri" w:ascii="Amiri" w:hAnsi="Amiri"/>
          <w:color w:val="111111"/>
          <w:sz w:val="28"/>
          <w:szCs w:val="28"/>
          <w:rtl w:val="true"/>
          <w:lang w:bidi="ar-SA"/>
        </w:rPr>
        <w:t>.</w:t>
      </w:r>
    </w:p>
    <w:p>
      <w:pPr>
        <w:pStyle w:val="Heading6"/>
        <w:numPr>
          <w:ilvl w:val="5"/>
          <w:numId w:val="1"/>
        </w:numPr>
        <w:rPr/>
      </w:pPr>
      <w:bookmarkStart w:id="1200" w:name="__RefHeading___Toc4192563_2142443653"/>
      <w:bookmarkStart w:id="1201" w:name="_Toc487"/>
      <w:bookmarkEnd w:id="1200"/>
      <w:r>
        <w:rPr>
          <w:rtl w:val="true"/>
        </w:rPr>
        <w:t>الرابعة</w:t>
      </w:r>
      <w:r>
        <w:rPr>
          <w:rtl w:val="true"/>
        </w:rPr>
        <w:t xml:space="preserve">: </w:t>
      </w:r>
      <w:r>
        <w:rPr>
          <w:rtl w:val="true"/>
        </w:rPr>
        <w:t>يجب فيها خمس تكبيرات،</w:t>
      </w:r>
      <w:bookmarkEnd w:id="1201"/>
    </w:p>
    <w:p>
      <w:pPr>
        <w:pStyle w:val="BookText"/>
        <w:rPr/>
      </w:pPr>
      <w:r>
        <w:rPr>
          <w:rFonts w:ascii="Amiri" w:hAnsi="Amiri" w:eastAsia="Amiri" w:cs="Amiri"/>
          <w:color w:val="111111"/>
          <w:sz w:val="28"/>
          <w:sz w:val="28"/>
          <w:szCs w:val="28"/>
          <w:rtl w:val="true"/>
          <w:lang w:bidi="ar-SA"/>
        </w:rPr>
        <w:t>لخبر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كبّر على جنازة خمسا،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يكبّرها، أوردها مسلم و أكثر المساند</w:t>
      </w:r>
      <w:r>
        <w:rPr>
          <w:rStyle w:val="FootnoteAnchor"/>
          <w:rtl w:val="true"/>
        </w:rPr>
        <w:footnoteReference w:id="2463"/>
      </w: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الأربع و ان رويت</w:t>
      </w:r>
      <w:r>
        <w:rPr>
          <w:rStyle w:val="FootnoteAnchor"/>
          <w:rtl w:val="true"/>
        </w:rPr>
        <w:footnoteReference w:id="2464"/>
      </w:r>
      <w:r>
        <w:rPr>
          <w:rFonts w:ascii="Amiri" w:hAnsi="Amiri" w:eastAsia="Amiri" w:cs="Amiri"/>
          <w:color w:val="111111"/>
          <w:sz w:val="28"/>
          <w:sz w:val="28"/>
          <w:szCs w:val="28"/>
          <w:rtl w:val="true"/>
          <w:lang w:bidi="ar-SA"/>
        </w:rPr>
        <w:t>فالإثبات مقدّم على النفي، و جاز أن يكون راوي الأربع لم يسمع الخامسة أو أنساها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ثابتة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الاختلافات المنقولة في العدد من جملة الاختلاف في المباح، و الكلّ سائغ</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كلام بعض شرّاح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ترك القول بالخمس لأنّه صار علما لتشيّع</w:t>
      </w:r>
      <w:r>
        <w:rPr>
          <w:rStyle w:val="FootnoteAnchor"/>
          <w:rtl w:val="true"/>
        </w:rPr>
        <w:footnoteReference w:id="2466"/>
      </w:r>
      <w:r>
        <w:rPr>
          <w:rFonts w:ascii="Amiri" w:hAnsi="Amiri" w:eastAsia="Amiri" w:cs="Amiri"/>
          <w:color w:val="111111"/>
          <w:sz w:val="28"/>
          <w:sz w:val="28"/>
          <w:szCs w:val="28"/>
          <w:rtl w:val="true"/>
          <w:lang w:bidi="ar-SA"/>
        </w:rPr>
        <w:t>و هذا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الأصحاب فمتفقون على ذلك، و به أخبار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خمسا</w:t>
      </w:r>
      <w:r>
        <w:rPr>
          <w:rFonts w:eastAsia="Amiri" w:cs="Amiri" w:ascii="Amiri" w:hAnsi="Amiri"/>
          <w:color w:val="111111"/>
          <w:sz w:val="28"/>
          <w:szCs w:val="28"/>
          <w:rtl w:val="true"/>
          <w:lang w:bidi="ar-SA"/>
        </w:rPr>
        <w:t>»</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أم سلمة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خمسا</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قدّامة بن زائدة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على ابنه إبراهيم خمسا</w:t>
      </w:r>
      <w:r>
        <w:rPr>
          <w:rFonts w:eastAsia="Amiri" w:cs="Amiri" w:ascii="Amiri" w:hAnsi="Amiri"/>
          <w:color w:val="111111"/>
          <w:sz w:val="28"/>
          <w:szCs w:val="28"/>
          <w:rtl w:val="true"/>
          <w:lang w:bidi="ar-SA"/>
        </w:rPr>
        <w:t>»</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ذلك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2470"/>
      </w: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أبو بكر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تكبيرة من كلّ صلاة من الخمس</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ان اللّه تعالى فرض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الصوم، و الحج،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للميت من كل فريضة تكبيرة، و انما تكبّر العامة أربعا لأنّهم تركوا الولاية</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الخمس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w:t>
      </w:r>
      <w:r>
        <w:rPr>
          <w:rStyle w:val="FootnoteAnchor"/>
          <w:rtl w:val="true"/>
        </w:rPr>
        <w:footnoteReference w:id="2473"/>
      </w:r>
      <w:r>
        <w:rPr>
          <w:rFonts w:ascii="Amiri" w:hAnsi="Amiri" w:eastAsia="Amiri" w:cs="Amiri"/>
          <w:color w:val="111111"/>
          <w:sz w:val="28"/>
          <w:sz w:val="28"/>
          <w:szCs w:val="28"/>
          <w:rtl w:val="true"/>
          <w:lang w:bidi="ar-SA"/>
        </w:rPr>
        <w:t>و أبو بصير</w:t>
      </w:r>
      <w:r>
        <w:rPr>
          <w:rStyle w:val="FootnoteAnchor"/>
          <w:rtl w:val="true"/>
        </w:rPr>
        <w:footnoteReference w:id="2474"/>
      </w:r>
      <w:r>
        <w:rPr>
          <w:rFonts w:ascii="Amiri" w:hAnsi="Amiri" w:eastAsia="Amiri" w:cs="Amiri"/>
          <w:color w:val="111111"/>
          <w:sz w:val="28"/>
          <w:sz w:val="28"/>
          <w:szCs w:val="28"/>
          <w:rtl w:val="true"/>
          <w:lang w:bidi="ar-SA"/>
        </w:rPr>
        <w:t>و كليب الأسدي</w:t>
      </w:r>
      <w:r>
        <w:rPr>
          <w:rStyle w:val="FootnoteAnchor"/>
          <w:rtl w:val="true"/>
        </w:rPr>
        <w:footnoteReference w:id="2475"/>
      </w:r>
      <w:r>
        <w:rPr>
          <w:rFonts w:ascii="Amiri" w:hAnsi="Amiri" w:eastAsia="Amiri" w:cs="Amiri"/>
          <w:color w:val="111111"/>
          <w:sz w:val="28"/>
          <w:sz w:val="28"/>
          <w:szCs w:val="28"/>
          <w:rtl w:val="true"/>
          <w:lang w:bidi="ar-SA"/>
        </w:rPr>
        <w:t>و أبو ولاّد</w:t>
      </w:r>
      <w:r>
        <w:rPr>
          <w:rStyle w:val="FootnoteAnchor"/>
          <w:rtl w:val="true"/>
        </w:rPr>
        <w:footnoteReference w:id="2476"/>
      </w:r>
      <w:r>
        <w:rPr>
          <w:rFonts w:ascii="Amiri" w:hAnsi="Amiri" w:eastAsia="Amiri" w:cs="Amiri"/>
          <w:color w:val="111111"/>
          <w:sz w:val="28"/>
          <w:sz w:val="28"/>
          <w:szCs w:val="28"/>
          <w:rtl w:val="true"/>
          <w:lang w:bidi="ar-SA"/>
        </w:rPr>
        <w:t>و يونس</w:t>
      </w:r>
      <w:r>
        <w:rPr>
          <w:rStyle w:val="FootnoteAnchor"/>
          <w:rtl w:val="true"/>
        </w:rPr>
        <w:footnoteReference w:id="2477"/>
      </w:r>
      <w:r>
        <w:rPr>
          <w:rFonts w:ascii="Amiri" w:hAnsi="Amiri" w:eastAsia="Amiri" w:cs="Amiri"/>
          <w:color w:val="111111"/>
          <w:sz w:val="28"/>
          <w:sz w:val="28"/>
          <w:szCs w:val="28"/>
          <w:rtl w:val="true"/>
          <w:lang w:bidi="ar-SA"/>
        </w:rPr>
        <w:t>و عمّار</w:t>
      </w:r>
      <w:r>
        <w:rPr>
          <w:rStyle w:val="FootnoteAnchor"/>
          <w:rtl w:val="true"/>
        </w:rPr>
        <w:footnoteReference w:id="2478"/>
      </w:r>
      <w:r>
        <w:rPr>
          <w:rFonts w:ascii="Amiri" w:hAnsi="Amiri" w:eastAsia="Amiri" w:cs="Amiri"/>
          <w:color w:val="111111"/>
          <w:sz w:val="28"/>
          <w:sz w:val="28"/>
          <w:szCs w:val="28"/>
          <w:rtl w:val="true"/>
          <w:lang w:bidi="ar-SA"/>
        </w:rPr>
        <w:t>و عبد الرحمن العرزمي</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هبة اللّه صلّى على أبيه آدم و كبّر خمسا، و أنّها سنّة جارية في ولده الى يوم القيامة</w:t>
      </w:r>
      <w:r>
        <w:rPr>
          <w:rFonts w:eastAsia="Amiri" w:cs="Amiri" w:ascii="Amiri" w:hAnsi="Amiri"/>
          <w:color w:val="111111"/>
          <w:sz w:val="28"/>
          <w:szCs w:val="28"/>
          <w:rtl w:val="true"/>
          <w:lang w:bidi="ar-SA"/>
        </w:rPr>
        <w:t>»</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هشام بن سالم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على قوم خمسا، و على قوم أربعا، فإذا كبّر على رجل أربعا 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بالنفاق</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روى إسماعيل بن همام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إسماعيل بن سعد الأشعري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المؤمن فخمس تكبيرات، و أما المنافق فأربع</w:t>
      </w:r>
      <w:r>
        <w:rPr>
          <w:rFonts w:eastAsia="Amiri" w:cs="Amiri" w:ascii="Amiri" w:hAnsi="Amiri"/>
          <w:color w:val="111111"/>
          <w:sz w:val="28"/>
          <w:szCs w:val="28"/>
          <w:rtl w:val="true"/>
          <w:lang w:bidi="ar-SA"/>
        </w:rPr>
        <w:t>»</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جمع حسن بين ما رواه العامّة لو كانوا يعقلون، و كذا ما روي من شواذ الأخبار من طريقنا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بعمرو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و سبعا، و خمسا، و ستّا، و أربعا</w:t>
      </w:r>
      <w:r>
        <w:rPr>
          <w:rFonts w:eastAsia="Amiri" w:cs="Amiri" w:ascii="Amiri" w:hAnsi="Amiri"/>
          <w:color w:val="111111"/>
          <w:sz w:val="28"/>
          <w:szCs w:val="28"/>
          <w:rtl w:val="true"/>
          <w:lang w:bidi="ar-SA"/>
        </w:rPr>
        <w:t>»</w:t>
      </w:r>
      <w:r>
        <w:rPr>
          <w:rStyle w:val="FootnoteAnchor"/>
          <w:rtl w:val="true"/>
        </w:rPr>
        <w:footnoteReference w:id="2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على الخمس منفيّة بالإجماع</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عقبة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التكبير على الجنائز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الى أهل الميت ما شاءوا 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يكبّرون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إليهم</w:t>
      </w:r>
      <w:r>
        <w:rPr>
          <w:rFonts w:eastAsia="Amiri" w:cs="Amiri" w:ascii="Amiri" w:hAnsi="Amiri"/>
          <w:color w:val="111111"/>
          <w:sz w:val="28"/>
          <w:szCs w:val="28"/>
          <w:rtl w:val="true"/>
          <w:lang w:bidi="ar-SA"/>
        </w:rPr>
        <w:t>»</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ان هذين الخبرين ظاهران في التقيّة،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يريد بالأربع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الأذكار بين التكبيرات، فإنّها أربع كما روى أبو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التكبير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سئل عن الصلاة على الجنازة،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خمس تكبيرات بينهنّ أربع صلوات</w:t>
      </w:r>
      <w:r>
        <w:rPr>
          <w:rFonts w:eastAsia="Amiri" w:cs="Amiri" w:ascii="Amiri" w:hAnsi="Amiri"/>
          <w:color w:val="111111"/>
          <w:sz w:val="28"/>
          <w:szCs w:val="28"/>
          <w:rtl w:val="true"/>
          <w:lang w:bidi="ar-SA"/>
        </w:rPr>
        <w:t>»</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هو ظاهر في التقيّة خبر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على ابن ابنه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202" w:name="pg15253_219944"/>
    </w:p>
    <w:p>
      <w:pPr>
        <w:pStyle w:val="BookText"/>
        <w:rPr/>
      </w:pPr>
      <w:bookmarkEnd w:id="1202"/>
      <w:r>
        <w:rPr>
          <w:rFonts w:ascii="Amiri" w:hAnsi="Amiri" w:eastAsia="Amiri" w:cs="Amiri"/>
          <w:color w:val="111111"/>
          <w:sz w:val="28"/>
          <w:sz w:val="28"/>
          <w:szCs w:val="28"/>
          <w:rtl w:val="true"/>
          <w:lang w:bidi="ar-SA"/>
        </w:rPr>
        <w:t>أربعا،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صلّيت عليه من أجل أهل المدينة، كراهية أن يقولوا لا يصلّون على أطفالهم</w:t>
      </w:r>
      <w:r>
        <w:rPr>
          <w:rFonts w:eastAsia="Amiri" w:cs="Amiri" w:ascii="Amiri" w:hAnsi="Amiri"/>
          <w:color w:val="111111"/>
          <w:sz w:val="28"/>
          <w:szCs w:val="28"/>
          <w:rtl w:val="true"/>
          <w:lang w:bidi="ar-SA"/>
        </w:rPr>
        <w:t>»</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3" w:name="__RefHeading___Toc4192565_2142443653"/>
      <w:bookmarkStart w:id="1204" w:name="_Toc488"/>
      <w:bookmarkEnd w:id="1203"/>
      <w:r>
        <w:rPr>
          <w:rtl w:val="true"/>
        </w:rPr>
        <w:t>الخامسة</w:t>
      </w:r>
      <w:r>
        <w:rPr>
          <w:rtl w:val="true"/>
        </w:rPr>
        <w:t xml:space="preserve">: </w:t>
      </w:r>
      <w:r>
        <w:rPr>
          <w:rtl w:val="true"/>
        </w:rPr>
        <w:t>الأقرب وجوب الأذكار الأربعة،</w:t>
      </w:r>
      <w:bookmarkEnd w:id="1204"/>
    </w:p>
    <w:p>
      <w:pPr>
        <w:pStyle w:val="BookText"/>
        <w:rPr/>
      </w:pPr>
      <w:r>
        <w:rPr>
          <w:rFonts w:ascii="Amiri" w:hAnsi="Amiri" w:eastAsia="Amiri" w:cs="Amiri"/>
          <w:color w:val="111111"/>
          <w:sz w:val="28"/>
          <w:sz w:val="28"/>
          <w:szCs w:val="28"/>
          <w:rtl w:val="true"/>
          <w:lang w:bidi="ar-SA"/>
        </w:rPr>
        <w:t>لخبر أبي بصير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أم سلمة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على ميت كبّر و تشهد، ثم كبّر فصلّى على الأنبياء و دعا، ثم كبّر و دعا للمؤمنين، ثم كبّر الرابعة و دعا للميت، ثم كبّر 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نهاه اللّه عن الصلاة على المنافقين، كبّر و تشهد، ثم كبّر فصلى على النبيين، ثم كبّر و دعا للمؤمنين ثم كبّر الرابعة و انصرف و لم يدع للميت</w:t>
      </w:r>
      <w:r>
        <w:rPr>
          <w:rFonts w:eastAsia="Amiri" w:cs="Amiri" w:ascii="Amiri" w:hAnsi="Amiri"/>
          <w:color w:val="111111"/>
          <w:sz w:val="28"/>
          <w:szCs w:val="28"/>
          <w:rtl w:val="true"/>
          <w:lang w:bidi="ar-SA"/>
        </w:rPr>
        <w:t>»</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إسماعيل بن همام،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و مجّده بعد الاولى، و دعا في الثانية للنبي، و في الثالثة للمؤمنين، و في الرابعة للميت</w:t>
      </w:r>
      <w:r>
        <w:rPr>
          <w:rFonts w:eastAsia="Amiri" w:cs="Amiri" w:ascii="Amiri" w:hAnsi="Amiri"/>
          <w:color w:val="111111"/>
          <w:sz w:val="28"/>
          <w:szCs w:val="28"/>
          <w:rtl w:val="true"/>
          <w:lang w:bidi="ar-SA"/>
        </w:rPr>
        <w:t>»</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يونس بن يعقوب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تكبير و تسبيح و تمجيد</w:t>
      </w:r>
      <w:r>
        <w:rPr>
          <w:rStyle w:val="FootnoteAnchor"/>
          <w:rtl w:val="true"/>
        </w:rPr>
        <w:footnoteReference w:id="2491"/>
      </w:r>
      <w:r>
        <w:rPr>
          <w:rFonts w:ascii="Amiri" w:hAnsi="Amiri" w:eastAsia="Amiri" w:cs="Amiri"/>
          <w:color w:val="111111"/>
          <w:sz w:val="28"/>
          <w:sz w:val="28"/>
          <w:szCs w:val="28"/>
          <w:rtl w:val="true"/>
          <w:lang w:bidi="ar-SA"/>
        </w:rPr>
        <w:t>و تهليل</w:t>
      </w:r>
      <w:r>
        <w:rPr>
          <w:rFonts w:eastAsia="Amiri" w:cs="Amiri" w:ascii="Amiri" w:hAnsi="Amiri"/>
          <w:color w:val="111111"/>
          <w:sz w:val="28"/>
          <w:szCs w:val="28"/>
          <w:rtl w:val="true"/>
          <w:lang w:bidi="ar-SA"/>
        </w:rPr>
        <w:t>»</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يونس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على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التكبيرة الأولى استفتاح الصلاة، و الثانية الشهادتان، و الثالثة الصلاة على النبي و أهل بيته و الثناء على اللّه، و الرابعة له</w:t>
      </w:r>
      <w:r>
        <w:rPr>
          <w:rFonts w:eastAsia="Amiri" w:cs="Amiri" w:ascii="Amiri" w:hAnsi="Amiri"/>
          <w:color w:val="111111"/>
          <w:sz w:val="28"/>
          <w:szCs w:val="28"/>
          <w:rtl w:val="true"/>
          <w:lang w:bidi="ar-SA"/>
        </w:rPr>
        <w:t>»</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على الميت؟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تكبيرات </w:t>
      </w:r>
      <w:bookmarkStart w:id="1205" w:name="pg15253_219945"/>
    </w:p>
    <w:p>
      <w:pPr>
        <w:pStyle w:val="BookText"/>
        <w:rPr/>
      </w:pPr>
      <w:bookmarkEnd w:id="1205"/>
      <w:r>
        <w:rPr>
          <w:rFonts w:ascii="Amiri" w:hAnsi="Amiri" w:eastAsia="Amiri" w:cs="Amiri"/>
          <w:color w:val="111111"/>
          <w:sz w:val="28"/>
          <w:sz w:val="28"/>
          <w:szCs w:val="28"/>
          <w:rtl w:val="true"/>
          <w:lang w:bidi="ar-SA"/>
        </w:rPr>
        <w:t>يقول إذا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Style w:val="FootnoteAnchor"/>
          <w:rtl w:val="true"/>
        </w:rPr>
        <w:footnoteReference w:id="2494"/>
      </w:r>
      <w:r>
        <w:rPr>
          <w:rFonts w:ascii="Amiri" w:hAnsi="Amiri" w:eastAsia="Amiri" w:cs="Amiri"/>
          <w:color w:val="111111"/>
          <w:sz w:val="28"/>
          <w:sz w:val="28"/>
          <w:szCs w:val="28"/>
          <w:rtl w:val="true"/>
          <w:lang w:bidi="ar-SA"/>
        </w:rPr>
        <w:t xml:space="preserve">، و عن أبي ولاّد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الأصحاب بأجمعهم يذكرون ذلك في كيفيّة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كابني بابويه</w:t>
      </w:r>
      <w:r>
        <w:rPr>
          <w:rStyle w:val="FootnoteAnchor"/>
          <w:rtl w:val="true"/>
        </w:rPr>
        <w:footnoteReference w:id="2496"/>
      </w:r>
      <w:r>
        <w:rPr>
          <w:rFonts w:ascii="Amiri" w:hAnsi="Amiri" w:eastAsia="Amiri" w:cs="Amiri"/>
          <w:color w:val="111111"/>
          <w:sz w:val="28"/>
          <w:sz w:val="28"/>
          <w:szCs w:val="28"/>
          <w:rtl w:val="true"/>
          <w:lang w:bidi="ar-SA"/>
        </w:rPr>
        <w:t>و الجعفي، و الشيخين</w:t>
      </w:r>
      <w:r>
        <w:rPr>
          <w:rStyle w:val="FootnoteAnchor"/>
          <w:rtl w:val="true"/>
        </w:rPr>
        <w:footnoteReference w:id="2497"/>
      </w:r>
      <w:r>
        <w:rPr>
          <w:rFonts w:ascii="IRNazanin" w:hAnsi="IRNazanin" w:eastAsia="IRNazanin"/>
          <w:color w:val="111111"/>
          <w:sz w:val="28"/>
          <w:sz w:val="28"/>
          <w:szCs w:val="28"/>
          <w:rtl w:val="true"/>
          <w:lang w:bidi="fa-IR"/>
        </w:rPr>
        <w:t>و أتباعهما</w:t>
      </w:r>
      <w:r>
        <w:rPr>
          <w:rStyle w:val="FootnoteAnchor"/>
          <w:rtl w:val="true"/>
        </w:rPr>
        <w:footnoteReference w:id="2498"/>
      </w:r>
      <w:r>
        <w:rPr>
          <w:rFonts w:ascii="Amiri" w:hAnsi="Amiri" w:eastAsia="Amiri" w:cs="Amiri"/>
          <w:color w:val="111111"/>
          <w:sz w:val="28"/>
          <w:sz w:val="28"/>
          <w:szCs w:val="28"/>
          <w:rtl w:val="true"/>
          <w:lang w:bidi="ar-SA"/>
        </w:rPr>
        <w:t>و ابن إدريس</w:t>
      </w:r>
      <w:r>
        <w:rPr>
          <w:rStyle w:val="FootnoteAnchor"/>
          <w:rtl w:val="true"/>
        </w:rPr>
        <w:footnoteReference w:id="2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يصرّح أحد منهم بندب الأذكار، و المذكور في بيان الواجب ظاهره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زرارة و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الصلاة على الميت قراءة، و لا دعاء موقّت، إلاّ أن تدعو بما بدا لك، و أحقّ الأموات أن يدعى له أن يبدأ بالصلاة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الدعاء بين التكبيرات شيء موقّت لا يجوز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نوقت لفظا بعينه، بل نوجب مدلول ما اشتركت فيه الروايات بأية عبارة كانت، و لأنّ الغاية من الصلاة الدعاء للميت فيجب تحصيلا لها، فيجب الباقي إذ لا قائل بالفرق</w:t>
      </w:r>
      <w:r>
        <w:rPr>
          <w:rFonts w:eastAsia="Amiri" w:cs="Amiri" w:ascii="Amiri" w:hAnsi="Amiri"/>
          <w:color w:val="111111"/>
          <w:sz w:val="28"/>
          <w:szCs w:val="28"/>
          <w:rtl w:val="true"/>
          <w:lang w:bidi="ar-SA"/>
        </w:rPr>
        <w:t>.</w:t>
      </w:r>
    </w:p>
    <w:p>
      <w:pPr>
        <w:pStyle w:val="Heading6"/>
        <w:numPr>
          <w:ilvl w:val="5"/>
          <w:numId w:val="1"/>
        </w:numPr>
        <w:rPr/>
      </w:pPr>
      <w:bookmarkStart w:id="1206" w:name="__RefHeading___Toc4192567_2142443653"/>
      <w:bookmarkStart w:id="1207" w:name="_Toc489"/>
      <w:bookmarkEnd w:id="1206"/>
      <w:r>
        <w:rPr>
          <w:rtl w:val="true"/>
        </w:rPr>
        <w:t>السادسة</w:t>
      </w:r>
      <w:r>
        <w:rPr>
          <w:rtl w:val="true"/>
        </w:rPr>
        <w:t>:</w:t>
      </w:r>
      <w:bookmarkEnd w:id="1207"/>
    </w:p>
    <w:p>
      <w:pPr>
        <w:pStyle w:val="BookText"/>
        <w:rPr/>
      </w:pPr>
      <w:r>
        <w:rPr>
          <w:rFonts w:ascii="Amiri" w:hAnsi="Amiri" w:eastAsia="Amiri" w:cs="Amiri"/>
          <w:color w:val="111111"/>
          <w:sz w:val="28"/>
          <w:sz w:val="28"/>
          <w:szCs w:val="28"/>
          <w:rtl w:val="true"/>
          <w:lang w:bidi="ar-SA"/>
        </w:rPr>
        <w:t xml:space="preserve">روى أبو ولاّد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إذا كبّرت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هذا المسجّى قدامنا عبدك و ابن عبدك، و قد قبضت روحه إليك، و قد احتاج الى رحمتك و أنت غني عن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انا لا نعلم من ظاهره إلاّ خيرا، </w:t>
      </w:r>
    </w:p>
    <w:p>
      <w:pPr>
        <w:pStyle w:val="BookText"/>
        <w:rPr/>
      </w:pPr>
      <w:r>
        <w:rPr>
          <w:rFonts w:ascii="Amiri" w:hAnsi="Amiri" w:eastAsia="Amiri" w:cs="Amiri"/>
          <w:color w:val="111111"/>
          <w:sz w:val="28"/>
          <w:sz w:val="28"/>
          <w:szCs w:val="28"/>
          <w:rtl w:val="true"/>
          <w:lang w:bidi="ar-SA"/>
        </w:rPr>
        <w:t>و أنت أعلم بسريرته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محسنا فضاعف إحسانه، و ان كان مسيئا فتجاوز عن إساءته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تكبّر الثانية و تفعل ذلك في كل تكبيرة</w:t>
      </w:r>
      <w:r>
        <w:rPr>
          <w:rFonts w:eastAsia="Amiri" w:cs="Amiri" w:ascii="Amiri" w:hAnsi="Amiri"/>
          <w:color w:val="111111"/>
          <w:sz w:val="28"/>
          <w:szCs w:val="28"/>
          <w:rtl w:val="true"/>
          <w:lang w:bidi="ar-SA"/>
        </w:rPr>
        <w:t>»</w:t>
      </w:r>
      <w:r>
        <w:rPr>
          <w:rStyle w:val="FootnoteAnchor"/>
          <w:rtl w:val="true"/>
        </w:rPr>
        <w:footnoteReference w:id="2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سماعة يقول إذا 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 اشهد ان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على أئمة الهدى، و اغفر لنا و لإخواننا الذين سبقونا بالايمان، و لا تجعل في قلوبنا غلا للذين آمنوا، ربنا انك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لأحيائنا و أمواتنا من المؤمنين و المؤمنات، و ألّف بين قلوبنا على قلوب خيارنا، و اهدنا لما اختلف فيه من الحق بإذنك انك تهدي من تشاء الى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قطع عليك التكبيرة الثانية فلا يضرّك،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عبدك و ابن عبدك و ابن أمتك، و أنت أعلم به منا</w:t>
      </w:r>
      <w:r>
        <w:rPr>
          <w:rStyle w:val="FootnoteAnchor"/>
          <w:rtl w:val="true"/>
        </w:rPr>
        <w:footnoteReference w:id="2503"/>
      </w:r>
      <w:r>
        <w:rPr>
          <w:rFonts w:ascii="Amiri" w:hAnsi="Amiri" w:eastAsia="Amiri" w:cs="Amiri"/>
          <w:color w:val="111111"/>
          <w:sz w:val="28"/>
          <w:sz w:val="28"/>
          <w:szCs w:val="28"/>
          <w:rtl w:val="true"/>
          <w:lang w:bidi="ar-SA"/>
        </w:rPr>
        <w:t>، افتقر إليك و استغنيت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تجاوز عن سيئاته، و زد في حسناته، و اغفر له و ارحمه، و نوّر</w:t>
      </w:r>
      <w:r>
        <w:rPr>
          <w:rStyle w:val="FootnoteAnchor"/>
          <w:rtl w:val="true"/>
        </w:rPr>
        <w:footnoteReference w:id="2504"/>
      </w:r>
      <w:r>
        <w:rPr>
          <w:rFonts w:ascii="Amiri" w:hAnsi="Amiri" w:eastAsia="Amiri" w:cs="Amiri"/>
          <w:color w:val="111111"/>
          <w:sz w:val="28"/>
          <w:sz w:val="28"/>
          <w:szCs w:val="28"/>
          <w:rtl w:val="true"/>
          <w:lang w:bidi="ar-SA"/>
        </w:rPr>
        <w:t>في قبره، و لقّنه حجّته، و الحقه بنبيّه، و لا تحرمنا أجره، و لا تفتنا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هذا حتى تفرغ من الخمس تكبيرات</w:t>
      </w:r>
      <w:r>
        <w:rPr>
          <w:rFonts w:eastAsia="Amiri" w:cs="Amiri" w:ascii="Amiri" w:hAnsi="Amiri"/>
          <w:color w:val="111111"/>
          <w:sz w:val="28"/>
          <w:szCs w:val="28"/>
          <w:rtl w:val="true"/>
          <w:lang w:bidi="ar-SA"/>
        </w:rPr>
        <w:t>»</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صدّر في الكافي، ثم أسند عن الحلبي و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يكبّر و يصلّي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الدعاء للميت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افسح له في قبره، و اجعله من رفقاء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يكبّر الثانية،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زاكيا فزكّه، و ان كان خاطئا فاغفر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يكبّر الثالثة،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تحرمنا أجره، و لا تفتنّا بعده، ثم يكبّر الرابعة، و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اكتبه عندك في علّيين، و اخلف له على عقبه في الغابرين، و اجعله من رفقاء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و الصلاة و الدعاء للميت،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اسلك بنا و به سبيل الهدى، و اهدنا و إياه إلى</w:t>
      </w:r>
      <w:r>
        <w:rPr>
          <w:rStyle w:val="FootnoteAnchor"/>
          <w:rtl w:val="true"/>
        </w:rPr>
        <w:footnoteReference w:id="2507"/>
      </w:r>
      <w:r>
        <w:rPr>
          <w:rFonts w:ascii="Amiri" w:hAnsi="Amiri" w:eastAsia="Amiri" w:cs="Amiri"/>
          <w:color w:val="111111"/>
          <w:sz w:val="28"/>
          <w:sz w:val="28"/>
          <w:szCs w:val="28"/>
          <w:rtl w:val="true"/>
          <w:lang w:bidi="ar-SA"/>
        </w:rPr>
        <w:t>صراطك المستقيم</w:t>
      </w:r>
      <w:r>
        <w:rPr>
          <w:rFonts w:eastAsia="Amiri" w:cs="Amiri" w:ascii="Amiri" w:hAnsi="Amiri"/>
          <w:color w:val="111111"/>
          <w:sz w:val="28"/>
          <w:szCs w:val="28"/>
          <w:rtl w:val="true"/>
          <w:lang w:bidi="ar-SA"/>
        </w:rPr>
        <w:t>»</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يكبّر،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بارك على محمد و آل محمد، كما صليت و باركت على إبراهيم و آل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على أئمة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على إمام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عبدك فلان و أنت أعلم به، اللّهم ألحقه بنبيّه، و افسح له في قبره، و نوّر له فيه، و صعّد روحه، و لقّنه حجته، و اجعل ما عندك خيرا له، و أرجعه إلى خير مما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عندك نحتسبه فلا تحرمنا أجره، و لا تفتنّا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عفوك عفوك</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تقول هذا في الثانية و الثالثة و الرابعة، فإذا كبّرت الخامسة،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على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للمؤمنين و المؤمنات، و ألّف بين قلوبهم، و توفّني 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 لإخواننا الذين سبقونا بالايمان، و لا تجعل في قلوبنا غلا للذين آمنوا ربنا انك رءوف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عفوك عفوك</w:t>
      </w:r>
      <w:r>
        <w:rPr>
          <w:rFonts w:eastAsia="Amiri" w:cs="Amiri" w:ascii="Amiri" w:hAnsi="Amiri"/>
          <w:color w:val="111111"/>
          <w:sz w:val="28"/>
          <w:szCs w:val="28"/>
          <w:rtl w:val="true"/>
          <w:lang w:bidi="ar-SA"/>
        </w:rPr>
        <w:t>»</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الروايات مشتركة في تكرار الدعاء له بين التكبيرات، و في أكثرها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208" w:name="pg15253_219948"/>
    </w:p>
    <w:p>
      <w:pPr>
        <w:pStyle w:val="BookText"/>
        <w:rPr/>
      </w:pPr>
      <w:bookmarkEnd w:id="1208"/>
      <w:r>
        <w:rPr>
          <w:rFonts w:ascii="Amiri" w:hAnsi="Amiri" w:eastAsia="Amiri" w:cs="Amiri"/>
          <w:color w:val="111111"/>
          <w:sz w:val="28"/>
          <w:sz w:val="28"/>
          <w:szCs w:val="28"/>
          <w:rtl w:val="true"/>
          <w:lang w:bidi="ar-SA"/>
        </w:rPr>
        <w:t>تكرار جميع الأذكار، و انفردت الأخيرة بالدعاء بعد الخامسة و نحن لا نمنع جوازه، فإنّ الدعاء حسن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الأذكار على ما مرّ، و نقل فيه الشيخ الإجماع</w:t>
      </w:r>
      <w:r>
        <w:rPr>
          <w:rStyle w:val="FootnoteAnchor"/>
          <w:rtl w:val="true"/>
        </w:rPr>
        <w:footnoteReference w:id="2511"/>
      </w:r>
      <w:r>
        <w:rPr>
          <w:rFonts w:ascii="Amiri" w:hAnsi="Amiri" w:eastAsia="Amiri" w:cs="Amiri"/>
          <w:color w:val="111111"/>
          <w:sz w:val="28"/>
          <w:sz w:val="28"/>
          <w:szCs w:val="28"/>
          <w:rtl w:val="true"/>
          <w:lang w:bidi="ar-SA"/>
        </w:rPr>
        <w:t>، و لا ريب أنّه كلام الجماعة، إلاّ ابن أبي عقيل و الجعفي، فإنّهما أوردا الأذكار الأربعة عقيب كلّ تكبيرة و ان تخالفا في الألفاظ</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جائز</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 ذلك على الواجب، و زيادة غير منافية مع ورود الروايات بها، و ان كان العمل بالمشهور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ينبغي مراعاة هذه الألفاظ تيمّنا بما ورد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أوردناها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ليقل أيضا ما ذكره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بالحقّ بشيرا و نذيرا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الدّعاء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عندك في أعلى عليّين، و اخلف على أهله في الغابرين، و ارحمه برحمتك يا أرحم الراحمين</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ذكره المفيد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التشهّد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إلها واحدا أحدا، فردا صمدا، حيّا قيّوما، لم يتّخذ صاحبة و لا ولدا، لا إله إلاّ اللّه الواحد القهّار، ربّنا و ربّ آبائنا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الدّعاء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 المؤمنات، و المسلمين و المسلمات، الأحياء منهم و الأموات، و أدخل على موتاهم رأفتك و رحمتك، و على أحيائهم بركات سماواتك و أرضك،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عفوك عفوك</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9" w:name="__RefHeading___Toc4192569_2142443653"/>
      <w:bookmarkStart w:id="1210" w:name="_Toc490"/>
      <w:bookmarkEnd w:id="1209"/>
      <w:r>
        <w:rPr>
          <w:rtl w:val="true"/>
        </w:rPr>
        <w:t>السابعة</w:t>
      </w:r>
      <w:r>
        <w:rPr>
          <w:rtl w:val="true"/>
        </w:rPr>
        <w:t xml:space="preserve">: </w:t>
      </w:r>
      <w:r>
        <w:rPr>
          <w:rtl w:val="true"/>
        </w:rPr>
        <w:t>هذا الدّعاء للمؤمنين،</w:t>
      </w:r>
      <w:bookmarkEnd w:id="1210"/>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يعرف </w:t>
      </w:r>
    </w:p>
    <w:p>
      <w:pPr>
        <w:pStyle w:val="BookText"/>
        <w:rPr/>
      </w:pPr>
      <w:r>
        <w:rPr>
          <w:rFonts w:ascii="Amiri" w:hAnsi="Amiri" w:eastAsia="Amiri" w:cs="Amiri"/>
          <w:color w:val="111111"/>
          <w:sz w:val="28"/>
          <w:sz w:val="28"/>
          <w:szCs w:val="28"/>
          <w:rtl w:val="true"/>
          <w:lang w:bidi="ar-SA"/>
        </w:rPr>
        <w:t>الحق، و لا يعاند فيه، و لا يوالي أحدا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بالولاء، و يتوقّف عن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فليقل ما رواه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منافقا</w:t>
      </w:r>
      <w:r>
        <w:rPr>
          <w:rStyle w:val="FootnoteAnchor"/>
          <w:rtl w:val="true"/>
        </w:rPr>
        <w:footnoteReference w:id="2516"/>
      </w:r>
      <w:r>
        <w:rPr>
          <w:rFonts w:ascii="Amiri" w:hAnsi="Amiri" w:eastAsia="Amiri" w:cs="Amiri"/>
          <w:color w:val="111111"/>
          <w:sz w:val="28"/>
          <w:sz w:val="28"/>
          <w:szCs w:val="28"/>
          <w:rtl w:val="true"/>
          <w:lang w:bidi="ar-SA"/>
        </w:rPr>
        <w:t>مستضعفا فكبّر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للذين تابوا و اتّبعوا سبيلك، و قهم عذاب الجحيم</w:t>
      </w:r>
      <w:r>
        <w:rPr>
          <w:rFonts w:eastAsia="Amiri" w:cs="Amiri" w:ascii="Amiri" w:hAnsi="Amiri"/>
          <w:color w:val="111111"/>
          <w:sz w:val="28"/>
          <w:szCs w:val="28"/>
          <w:rtl w:val="true"/>
          <w:lang w:bidi="ar-SA"/>
        </w:rPr>
        <w:t>»</w:t>
      </w:r>
      <w:r>
        <w:rPr>
          <w:rStyle w:val="FootnoteAnchor"/>
          <w:rtl w:val="true"/>
        </w:rPr>
        <w:footnoteReference w:id="2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الجعفي إلى آخر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الآيتين</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المستضعف منك بسبيل، فاستغفر له على وجه الشفاعة، لا على وجه الولاية</w:t>
      </w:r>
      <w:r>
        <w:rPr>
          <w:rStyle w:val="FootnoteAnchor"/>
          <w:rtl w:val="true"/>
        </w:rPr>
        <w:footnoteReference w:id="2519"/>
      </w:r>
      <w:r>
        <w:rPr>
          <w:rFonts w:ascii="Amiri" w:hAnsi="Amiri" w:eastAsia="Amiri" w:cs="Amiri"/>
          <w:color w:val="111111"/>
          <w:sz w:val="28"/>
          <w:sz w:val="28"/>
          <w:szCs w:val="28"/>
          <w:rtl w:val="true"/>
          <w:lang w:bidi="ar-SA"/>
        </w:rPr>
        <w:t xml:space="preserve">، لرواية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مرسل ابن فضال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الترحّم على جهة الولاية و الشفاعة</w:t>
      </w:r>
      <w:r>
        <w:rPr>
          <w:rFonts w:eastAsia="Amiri" w:cs="Amiri" w:ascii="Amiri" w:hAnsi="Amiri"/>
          <w:color w:val="111111"/>
          <w:sz w:val="28"/>
          <w:szCs w:val="28"/>
          <w:rtl w:val="true"/>
          <w:lang w:bidi="ar-SA"/>
        </w:rPr>
        <w:t>»</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كان مجهولا، قال ما رواه ثابت أبو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جنازة لقوم من جيرته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انك خلقت هذه النفوس، و أنت تميتها، و أنت تحييها، و أنت أعلم بسرائرها و علانيتها منّا، و مستقرّها و مستودعها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هذا عبدك و لا أعلم منه شرّا و أنت أعلم به، و قد جئناك شافعين له بعد موته، فإن كان مستوجبا فشفّعنا فيه، و احشره مع من كان يتولاّه</w:t>
      </w:r>
      <w:r>
        <w:rPr>
          <w:rFonts w:eastAsia="Amiri" w:cs="Amiri" w:ascii="Amiri" w:hAnsi="Amiri"/>
          <w:color w:val="111111"/>
          <w:sz w:val="28"/>
          <w:szCs w:val="28"/>
          <w:rtl w:val="true"/>
          <w:lang w:bidi="ar-SA"/>
        </w:rPr>
        <w:t>»</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w:t>
      </w:r>
      <w:r>
        <w:rPr>
          <w:rStyle w:val="FootnoteAnchor"/>
          <w:rtl w:val="true"/>
        </w:rPr>
        <w:footnoteReference w:id="2523"/>
      </w:r>
      <w:r>
        <w:rPr>
          <w:rFonts w:ascii="Amiri" w:hAnsi="Amiri" w:eastAsia="Amiri" w:cs="Amiri"/>
          <w:color w:val="111111"/>
          <w:sz w:val="28"/>
          <w:sz w:val="28"/>
          <w:szCs w:val="28"/>
          <w:rtl w:val="true"/>
          <w:lang w:bidi="ar-SA"/>
        </w:rPr>
        <w:t>أنت أحييتها، و أنتس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أمتّها، اللّهم ولّها ما تولّت و احشرها مع من أحبت</w:t>
      </w:r>
      <w:r>
        <w:rPr>
          <w:rFonts w:eastAsia="Amiri" w:cs="Amiri" w:ascii="Amiri" w:hAnsi="Amiri"/>
          <w:color w:val="111111"/>
          <w:sz w:val="28"/>
          <w:szCs w:val="28"/>
          <w:rtl w:val="true"/>
          <w:lang w:bidi="ar-SA"/>
        </w:rPr>
        <w:t>»</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إسماعيل بن عبد الخالق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الجنازة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خلقت هذه النفس، و أنت أمتّها، تعلم سرّها و علانيتها، أتيناك شافعين فيها فشفّعنا، ولّها ما تولّت، و احشرها مع من أحبّت</w:t>
      </w:r>
      <w:r>
        <w:rPr>
          <w:rFonts w:eastAsia="Amiri" w:cs="Amiri" w:ascii="Amiri" w:hAnsi="Amiri"/>
          <w:color w:val="111111"/>
          <w:sz w:val="28"/>
          <w:szCs w:val="28"/>
          <w:rtl w:val="true"/>
          <w:lang w:bidi="ar-SA"/>
        </w:rPr>
        <w:t>»</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يحبّ الخير و أهله فاغفر له، و ارحمه، و تجاوز عنه</w:t>
      </w:r>
      <w:r>
        <w:rPr>
          <w:rFonts w:eastAsia="Amiri" w:cs="Amiri" w:ascii="Amiri" w:hAnsi="Amiri"/>
          <w:color w:val="111111"/>
          <w:sz w:val="28"/>
          <w:szCs w:val="28"/>
          <w:rtl w:val="true"/>
          <w:lang w:bidi="ar-SA"/>
        </w:rPr>
        <w:t>»</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كان طفلا، فليقل ما رواه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لأبويه و لنا سلفا و فرطا و أجرا</w:t>
      </w:r>
      <w:r>
        <w:rPr>
          <w:rFonts w:eastAsia="Amiri" w:cs="Amiri" w:ascii="Amiri" w:hAnsi="Amiri"/>
          <w:color w:val="111111"/>
          <w:sz w:val="28"/>
          <w:szCs w:val="28"/>
          <w:rtl w:val="true"/>
          <w:lang w:bidi="ar-SA"/>
        </w:rPr>
        <w:t>»</w:t>
      </w:r>
      <w:r>
        <w:rPr>
          <w:rStyle w:val="FootnoteAnchor"/>
          <w:rtl w:val="true"/>
        </w:rPr>
        <w:footnoteReference w:id="2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الأجر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الطفل كما خلقته قادرا و قبضته طاهرا، فاجعله لأبويه نورا، و ارزقنا أجره، و لا تفتنّا بعده</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اللّه أن يجعله مصلحا لحال أبيه، شافعا فيه</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كان ناصبا، فليقل ما رواه عامر بن السمط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منافقا مات فخرج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 من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عن يميني فما تسمعني أقول فقل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 كبّر عليه وليّه، 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اللّهم العن عبدك ألف لعنة مؤتلفة غير مختلفة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أخز عبدك في عبادك و بلادك، و أصله حرّ نارك، و أذقه أشدّ عذابك، فإنّه كان يتولّى أعداءك، و يعادي أولياءك، و يبغض أهل بيت نبيّك</w:t>
      </w:r>
      <w:r>
        <w:rPr>
          <w:rFonts w:eastAsia="Amiri" w:cs="Amiri" w:ascii="Amiri" w:hAnsi="Amiri"/>
          <w:color w:val="111111"/>
          <w:sz w:val="28"/>
          <w:szCs w:val="28"/>
          <w:rtl w:val="true"/>
          <w:lang w:bidi="ar-SA"/>
        </w:rPr>
        <w:t>»</w:t>
      </w:r>
      <w:r>
        <w:rPr>
          <w:rStyle w:val="FootnoteAnchor"/>
          <w:rtl w:val="true"/>
        </w:rPr>
        <w:footnoteReference w:id="2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رواية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صفوان الجمّال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القضيّة بعينها، و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 فلانا لا نعلم إلاّ أنّه عدو لك و لرسولك، فاحش قبره نارا، و احش جوفه نارا، و عجّله الى النار، فإنّه كان يتولى أعداءك، و يعادي أولياءك، و يبغض أهل بيت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ضيّق عليه قبره</w:t>
      </w:r>
      <w:r>
        <w:rPr>
          <w:rFonts w:eastAsia="Amiri" w:cs="Amiri" w:ascii="Amiri" w:hAnsi="Amiri"/>
          <w:color w:val="111111"/>
          <w:sz w:val="28"/>
          <w:szCs w:val="28"/>
          <w:rtl w:val="true"/>
          <w:lang w:bidi="ar-SA"/>
        </w:rPr>
        <w:t>»</w:t>
      </w:r>
      <w:r>
        <w:rPr>
          <w:rStyle w:val="FootnoteAnchor"/>
          <w:rtl w:val="true"/>
        </w:rPr>
        <w:footnoteReference w:id="2532"/>
      </w:r>
      <w:r>
        <w:rPr>
          <w:rFonts w:ascii="Amiri" w:hAnsi="Amiri" w:eastAsia="Amiri" w:cs="Amiri"/>
          <w:color w:val="111111"/>
          <w:sz w:val="28"/>
          <w:sz w:val="28"/>
          <w:szCs w:val="28"/>
          <w:rtl w:val="true"/>
          <w:lang w:bidi="ar-SA"/>
        </w:rPr>
        <w:t xml:space="preserve">، و ذكر ابن أبي عقيل انّ ذلك المنافق سعيد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رفع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ترفعه و لا تزكّه</w:t>
      </w:r>
      <w:r>
        <w:rPr>
          <w:rFonts w:eastAsia="Amiri" w:cs="Amiri" w:ascii="Amiri" w:hAnsi="Amiri"/>
          <w:color w:val="111111"/>
          <w:sz w:val="28"/>
          <w:szCs w:val="28"/>
          <w:rtl w:val="true"/>
          <w:lang w:bidi="ar-SA"/>
        </w:rPr>
        <w:t>»</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جاحدا للحقّ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جوفه نارا، و قبره نارا، و سلّط عليه الحيّات و العقارب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أبي لامرأة سوء من بني أميّة، و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الشيطان له قرينا</w:t>
      </w:r>
      <w:r>
        <w:rPr>
          <w:rFonts w:eastAsia="Amiri" w:cs="Amiri" w:ascii="Amiri" w:hAnsi="Amiri"/>
          <w:color w:val="111111"/>
          <w:sz w:val="28"/>
          <w:szCs w:val="28"/>
          <w:rtl w:val="true"/>
          <w:lang w:bidi="ar-SA"/>
        </w:rPr>
        <w:t>»</w:t>
      </w:r>
      <w:r>
        <w:rPr>
          <w:rStyle w:val="FootnoteAnchor"/>
          <w:rtl w:val="true"/>
        </w:rPr>
        <w:footnoteReference w:id="2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محمد بن مسلم لأيّ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تعضضها الحيّات، و تلسعها العقارب، و الشيطان يقارنها في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تجد ألم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شديدا</w:t>
      </w:r>
      <w:r>
        <w:rPr>
          <w:rFonts w:eastAsia="Amiri" w:cs="Amiri" w:ascii="Amiri" w:hAnsi="Amiri"/>
          <w:color w:val="111111"/>
          <w:sz w:val="28"/>
          <w:szCs w:val="28"/>
          <w:rtl w:val="true"/>
          <w:lang w:bidi="ar-SA"/>
        </w:rPr>
        <w:t>»</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 عبد اللّه بن أبي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احش جوفه نارا، و املأ قبره نارا، و أصله نارا</w:t>
      </w:r>
      <w:r>
        <w:rPr>
          <w:rFonts w:eastAsia="Amiri" w:cs="Amiri" w:ascii="Amiri" w:hAnsi="Amiri"/>
          <w:color w:val="111111"/>
          <w:sz w:val="28"/>
          <w:szCs w:val="28"/>
          <w:rtl w:val="true"/>
          <w:lang w:bidi="ar-SA"/>
        </w:rPr>
        <w:t>»</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الدعاء على هذا القسم غير واجب، لأنّ التكبير عليه أربع و بها يخرج من الصلاة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الدّعاء للمرأة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أمتك بنت أمتك، ثمّ تلحقها علامة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211" w:name="pg15253_219952"/>
    </w:p>
    <w:p>
      <w:pPr>
        <w:pStyle w:val="BookText"/>
        <w:rPr/>
      </w:pPr>
      <w:bookmarkEnd w:id="1211"/>
      <w:r>
        <w:rPr>
          <w:rFonts w:ascii="Amiri" w:hAnsi="Amiri" w:eastAsia="Amiri" w:cs="Amiri"/>
          <w:color w:val="111111"/>
          <w:sz w:val="28"/>
          <w:sz w:val="28"/>
          <w:szCs w:val="28"/>
          <w:rtl w:val="true"/>
          <w:lang w:bidi="ar-SA"/>
        </w:rPr>
        <w:t>التأنيث إلى آخر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في صلاة الميت، ففي الصّحاح رواية عوف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له، و ارحمه، و عافه و اعف عنه، و أكرم نزله، و وسّع مدخله، و اغسله بالماء و الثلج و البرد، و نقّه من الخطايا كما نقّيت الثوب الأبيض من الدنس، و أبدله دارا خيرا من داره، و أهلا خيرا من أهله، و زوجا خيرا من زوجه، و أدخله الجنة و قه فتنة القبر، و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تمنيت أن أكون ذلك الميت</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لحيّنا و ميّتنا، و شاهدنا و غائبنا، و صغيرنا و كبيرنا، و ذكرنا و أنثانا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أحييته منّا فأحيه على الإسلام، و من توفيته منّا فتوفّه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تحرمنا أجره، و لا تفتنّا بعده</w:t>
      </w:r>
      <w:r>
        <w:rPr>
          <w:rFonts w:eastAsia="Amiri" w:cs="Amiri" w:ascii="Amiri" w:hAnsi="Amiri"/>
          <w:color w:val="111111"/>
          <w:sz w:val="28"/>
          <w:szCs w:val="28"/>
          <w:rtl w:val="true"/>
          <w:lang w:bidi="ar-SA"/>
        </w:rPr>
        <w:t>»</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الحسان رواية واثلة بن الأسقع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 فلان بن فلان في ذمّتك و حبل جوارك، فقه من فتنة القبر و عذاب النار، و أنت أهل الوفاء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و ارحمه، إنّك أنت الغفور الرحيم</w:t>
      </w:r>
      <w:r>
        <w:rPr>
          <w:rFonts w:eastAsia="Amiri" w:cs="Amiri" w:ascii="Amiri" w:hAnsi="Amiri"/>
          <w:color w:val="111111"/>
          <w:sz w:val="28"/>
          <w:szCs w:val="28"/>
          <w:rtl w:val="true"/>
          <w:lang w:bidi="ar-SA"/>
        </w:rPr>
        <w:t>»</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2" w:name="__RefHeading___Toc4192571_2142443653"/>
      <w:bookmarkStart w:id="1213" w:name="_Toc491"/>
      <w:bookmarkEnd w:id="1212"/>
      <w:r>
        <w:rPr>
          <w:rtl w:val="true"/>
        </w:rPr>
        <w:t>الثامنة</w:t>
      </w:r>
      <w:r>
        <w:rPr>
          <w:rtl w:val="true"/>
        </w:rPr>
        <w:t xml:space="preserve">: </w:t>
      </w:r>
      <w:r>
        <w:rPr>
          <w:rtl w:val="true"/>
        </w:rPr>
        <w:t>لا تجب فيها الطهارة إجماعا منّا،</w:t>
      </w:r>
      <w:bookmarkEnd w:id="1213"/>
    </w:p>
    <w:p>
      <w:pPr>
        <w:pStyle w:val="BookText"/>
        <w:rPr/>
      </w:pPr>
      <w:r>
        <w:rPr>
          <w:rFonts w:ascii="Amiri" w:hAnsi="Amiri" w:eastAsia="Amiri" w:cs="Amiri"/>
          <w:color w:val="111111"/>
          <w:sz w:val="28"/>
          <w:sz w:val="28"/>
          <w:szCs w:val="28"/>
          <w:rtl w:val="true"/>
          <w:lang w:bidi="ar-SA"/>
        </w:rPr>
        <w:t>فتجوز للجنب و الحائض و المحدث، لأنّ الغرض الدّعاء و هي غير واجبة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نبّه خبر يونس بن يعقوب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سأله عن فعلها على غير وضوء،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 و تسبيح، و تمجيد، و تهليل، كما تكبّر و تسبّح في بيتك على غير وضوء</w:t>
      </w:r>
      <w:r>
        <w:rPr>
          <w:rFonts w:eastAsia="Amiri" w:cs="Amiri" w:ascii="Amiri" w:hAnsi="Amiri"/>
          <w:color w:val="111111"/>
          <w:sz w:val="28"/>
          <w:szCs w:val="28"/>
          <w:rtl w:val="true"/>
          <w:lang w:bidi="ar-SA"/>
        </w:rPr>
        <w:t>»</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عبد الرحمن بن أبي عبد اللّه، و محمد بن مسلم، و من أخبر عبد اللّه بن </w:t>
      </w:r>
      <w:bookmarkStart w:id="1214" w:name="pg15253_219953"/>
    </w:p>
    <w:p>
      <w:pPr>
        <w:pStyle w:val="BookText"/>
        <w:rPr/>
      </w:pPr>
      <w:bookmarkEnd w:id="1214"/>
      <w:r>
        <w:rPr>
          <w:rFonts w:ascii="Amiri" w:hAnsi="Amiri" w:eastAsia="Amiri" w:cs="Amiri"/>
          <w:color w:val="111111"/>
          <w:sz w:val="28"/>
          <w:sz w:val="28"/>
          <w:szCs w:val="28"/>
          <w:rtl w:val="true"/>
          <w:lang w:bidi="ar-SA"/>
        </w:rPr>
        <w:t xml:space="preserve">المغيرة، جميعا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صلاة الحائض على الجنازة</w:t>
      </w:r>
      <w:r>
        <w:rPr>
          <w:rStyle w:val="FootnoteAnchor"/>
          <w:rtl w:val="true"/>
        </w:rPr>
        <w:footnoteReference w:id="2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مرسل حريز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الحائض،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ركوع فيها و لا سجود،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يتيمّم و يصلّي عليها</w:t>
      </w:r>
      <w:r>
        <w:rPr>
          <w:rFonts w:eastAsia="Amiri" w:cs="Amiri" w:ascii="Amiri" w:hAnsi="Amiri"/>
          <w:color w:val="111111"/>
          <w:sz w:val="28"/>
          <w:szCs w:val="28"/>
          <w:rtl w:val="true"/>
          <w:lang w:bidi="ar-SA"/>
        </w:rPr>
        <w:t>»</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سماعة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 الحائض إذا حضرت الجنازة</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يستحبّ، لرواية عبد الحميد بن سعد،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على طهر أحبّ إليّ</w:t>
      </w:r>
      <w:r>
        <w:rPr>
          <w:rFonts w:eastAsia="Amiri" w:cs="Amiri" w:ascii="Amiri" w:hAnsi="Amiri"/>
          <w:color w:val="111111"/>
          <w:sz w:val="28"/>
          <w:szCs w:val="28"/>
          <w:rtl w:val="true"/>
          <w:lang w:bidi="ar-SA"/>
        </w:rPr>
        <w:t>»</w:t>
      </w:r>
      <w:r>
        <w:rPr>
          <w:rStyle w:val="FootnoteAnchor"/>
          <w:rtl w:val="true"/>
        </w:rPr>
        <w:footnoteReference w:id="2544"/>
      </w:r>
      <w:r>
        <w:rPr>
          <w:rFonts w:ascii="Amiri" w:hAnsi="Amiri" w:eastAsia="Amiri" w:cs="Amiri"/>
          <w:color w:val="111111"/>
          <w:sz w:val="28"/>
          <w:sz w:val="28"/>
          <w:szCs w:val="28"/>
          <w:rtl w:val="true"/>
          <w:lang w:bidi="ar-SA"/>
        </w:rPr>
        <w:t>و خصوصا للإمام، حتّى أنّ ابن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بالتيمّم إلاّ للإمام ان علم ان خلفه متوضّئا، و لا بأس بالصّلاة للمأموم عليها بغير طهارة</w:t>
      </w:r>
      <w:r>
        <w:rPr>
          <w:rStyle w:val="FootnoteAnchor"/>
          <w:rtl w:val="true"/>
        </w:rPr>
        <w:footnoteReference w:id="2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نظره الى إطلاق الخبر بكراهة ائتمام المتوضئ بالمتيمّم،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الصلاة الحقيقية</w:t>
      </w:r>
      <w:r>
        <w:rPr>
          <w:rFonts w:eastAsia="Amiri" w:cs="Amiri" w:ascii="Amiri" w:hAnsi="Amiri"/>
          <w:color w:val="111111"/>
          <w:sz w:val="28"/>
          <w:szCs w:val="28"/>
          <w:rtl w:val="true"/>
          <w:lang w:bidi="ar-SA"/>
        </w:rPr>
        <w:t>.</w:t>
      </w:r>
    </w:p>
    <w:p>
      <w:pPr>
        <w:pStyle w:val="Heading6"/>
        <w:numPr>
          <w:ilvl w:val="5"/>
          <w:numId w:val="1"/>
        </w:numPr>
        <w:rPr/>
      </w:pPr>
      <w:bookmarkStart w:id="1215" w:name="__RefHeading___Toc4192573_2142443653"/>
      <w:bookmarkStart w:id="1216" w:name="_Toc492"/>
      <w:bookmarkEnd w:id="1215"/>
      <w:r>
        <w:rPr>
          <w:rtl w:val="true"/>
        </w:rPr>
        <w:t>التاسعة</w:t>
      </w:r>
      <w:r>
        <w:rPr>
          <w:rtl w:val="true"/>
        </w:rPr>
        <w:t xml:space="preserve">: </w:t>
      </w:r>
      <w:r>
        <w:rPr>
          <w:rtl w:val="true"/>
        </w:rPr>
        <w:t>لا تجب فيها القراءة باتفاقنا،</w:t>
      </w:r>
      <w:bookmarkEnd w:id="1216"/>
    </w:p>
    <w:p>
      <w:pPr>
        <w:pStyle w:val="BookText"/>
        <w:rPr/>
      </w:pPr>
      <w:r>
        <w:rPr>
          <w:rFonts w:ascii="Amiri" w:hAnsi="Amiri" w:eastAsia="Amiri" w:cs="Amiri"/>
          <w:color w:val="111111"/>
          <w:sz w:val="28"/>
          <w:sz w:val="28"/>
          <w:szCs w:val="28"/>
          <w:rtl w:val="true"/>
          <w:lang w:bidi="ar-SA"/>
        </w:rPr>
        <w:t>لرواية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يوقّت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الجنازة قولا و لا قراءة، اختر من طيّب القول ما شئت</w:t>
      </w:r>
      <w:r>
        <w:rPr>
          <w:rStyle w:val="FootnoteAnchor"/>
          <w:rtl w:val="true"/>
        </w:rPr>
        <w:footnoteReference w:id="2546"/>
      </w:r>
      <w:r>
        <w:rPr>
          <w:rFonts w:ascii="Amiri" w:hAnsi="Amiri" w:eastAsia="Amiri" w:cs="Amiri"/>
          <w:color w:val="111111"/>
          <w:sz w:val="28"/>
          <w:sz w:val="28"/>
          <w:szCs w:val="28"/>
          <w:rtl w:val="true"/>
          <w:lang w:bidi="ar-SA"/>
        </w:rPr>
        <w:t>و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إسماعيل الجعفي،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الصّلاة على الميت قراءة</w:t>
      </w:r>
      <w:r>
        <w:rPr>
          <w:rFonts w:eastAsia="Amiri" w:cs="Amiri" w:ascii="Amiri" w:hAnsi="Amiri"/>
          <w:color w:val="111111"/>
          <w:sz w:val="28"/>
          <w:szCs w:val="28"/>
          <w:rtl w:val="true"/>
          <w:lang w:bidi="ar-SA"/>
        </w:rPr>
        <w:t>»</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الأحاديث لم تذكر القراءة إلاّ في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سويد،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تقرأ في الأولى بأمّ الكتاب، و في الثانية تصلّي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1217" w:name="pg15253_219954"/>
    </w:p>
    <w:p>
      <w:pPr>
        <w:pStyle w:val="BookText"/>
        <w:rPr/>
      </w:pPr>
      <w:bookmarkEnd w:id="1217"/>
      <w:r>
        <w:rPr>
          <w:rFonts w:ascii="Amiri" w:hAnsi="Amiri" w:eastAsia="Amiri" w:cs="Amiri"/>
          <w:color w:val="111111"/>
          <w:sz w:val="28"/>
          <w:sz w:val="28"/>
          <w:szCs w:val="28"/>
          <w:rtl w:val="true"/>
          <w:lang w:bidi="ar-SA"/>
        </w:rPr>
        <w:t>و تدعو في الثالثة للمؤمنين، و تدعو في الرابعة لميتك</w:t>
      </w:r>
      <w:r>
        <w:rPr>
          <w:rFonts w:eastAsia="Amiri" w:cs="Amiri" w:ascii="Amiri" w:hAnsi="Amiri"/>
          <w:color w:val="111111"/>
          <w:sz w:val="28"/>
          <w:szCs w:val="28"/>
          <w:rtl w:val="true"/>
          <w:lang w:bidi="ar-SA"/>
        </w:rPr>
        <w:t>»</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فيه أنّ الراوي شاك في كونه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كما يكون شاكّا يجوز ان يكون قد وهم في القراءة، و لأنّه رواه بطريق آخر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اضطراب النقل دليل الضعف، و لو صحّ حمل على التقيّة</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ميمون القدّاح،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صلّى على ميت يقرأ بفاتحة الكتاب، و يصلّي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w:t>
      </w:r>
      <w:r>
        <w:rPr>
          <w:rStyle w:val="FootnoteAnchor"/>
          <w:rtl w:val="true"/>
        </w:rPr>
        <w:footnoteReference w:id="2550"/>
      </w:r>
      <w:r>
        <w:rPr>
          <w:rFonts w:ascii="Amiri" w:hAnsi="Amiri" w:eastAsia="Amiri" w:cs="Amiri"/>
          <w:color w:val="111111"/>
          <w:sz w:val="28"/>
          <w:sz w:val="28"/>
          <w:szCs w:val="28"/>
          <w:rtl w:val="true"/>
          <w:lang w:bidi="ar-SA"/>
        </w:rPr>
        <w:t>و حمله الشيخ أيضا على التقيّة</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القراءة</w:t>
      </w:r>
      <w:r>
        <w:rPr>
          <w:rStyle w:val="FootnoteAnchor"/>
          <w:rtl w:val="true"/>
        </w:rPr>
        <w:footnoteReference w:id="2552"/>
      </w:r>
      <w:r>
        <w:rPr>
          <w:rFonts w:ascii="Amiri" w:hAnsi="Amiri" w:eastAsia="Amiri" w:cs="Amiri"/>
          <w:color w:val="111111"/>
          <w:sz w:val="28"/>
          <w:sz w:val="28"/>
          <w:szCs w:val="28"/>
          <w:rtl w:val="true"/>
          <w:lang w:bidi="ar-SA"/>
        </w:rPr>
        <w:t>و كأنّه نظر الى أنّه تكلّف ما لم يثبت شرعه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بعدم الكراهية، لأنّ القرآن في نفسه حسن ما لم يثبت النهي عنه، و الأخبار خالية عن النهي و غايتها النفي، و كذا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الشيخ نقل الإجماع بعد ذلك</w:t>
      </w:r>
      <w:r>
        <w:rPr>
          <w:rStyle w:val="FootnoteAnchor"/>
          <w:rtl w:val="true"/>
        </w:rPr>
        <w:footnoteReference w:id="2553"/>
      </w:r>
      <w:r>
        <w:rPr>
          <w:rFonts w:ascii="Amiri" w:hAnsi="Amiri" w:eastAsia="Amiri" w:cs="Amiri"/>
          <w:color w:val="111111"/>
          <w:sz w:val="28"/>
          <w:sz w:val="28"/>
          <w:szCs w:val="28"/>
          <w:rtl w:val="true"/>
          <w:lang w:bidi="ar-SA"/>
        </w:rPr>
        <w:t>و قد يفهم منه الإجماع على الكراهية، و نحن فلم نر أحدا ذكر الكراهية فضلا عن الإجماع عليها</w:t>
      </w:r>
      <w:r>
        <w:rPr>
          <w:rFonts w:eastAsia="Amiri" w:cs="Amiri" w:ascii="Amiri" w:hAnsi="Amiri"/>
          <w:color w:val="111111"/>
          <w:sz w:val="28"/>
          <w:szCs w:val="28"/>
          <w:rtl w:val="true"/>
          <w:lang w:bidi="ar-SA"/>
        </w:rPr>
        <w:t>.</w:t>
      </w:r>
    </w:p>
    <w:p>
      <w:pPr>
        <w:pStyle w:val="Heading6"/>
        <w:numPr>
          <w:ilvl w:val="5"/>
          <w:numId w:val="1"/>
        </w:numPr>
        <w:rPr/>
      </w:pPr>
      <w:bookmarkStart w:id="1218" w:name="__RefHeading___Toc4192575_2142443653"/>
      <w:bookmarkStart w:id="1219" w:name="_Toc493"/>
      <w:bookmarkEnd w:id="1218"/>
      <w:r>
        <w:rPr>
          <w:rtl w:val="true"/>
        </w:rPr>
        <w:t>العاشرة</w:t>
      </w:r>
      <w:r>
        <w:rPr>
          <w:rtl w:val="true"/>
        </w:rPr>
        <w:t xml:space="preserve">: </w:t>
      </w:r>
      <w:r>
        <w:rPr>
          <w:rtl w:val="true"/>
        </w:rPr>
        <w:t>أجمع الأصحاب على سقوط التسليم فيها،</w:t>
      </w:r>
      <w:bookmarkEnd w:id="1219"/>
    </w:p>
    <w:p>
      <w:pPr>
        <w:pStyle w:val="BookText"/>
        <w:rPr/>
      </w:pPr>
      <w:r>
        <w:rPr>
          <w:rFonts w:ascii="Amiri" w:hAnsi="Amiri" w:eastAsia="Amiri" w:cs="Amiri"/>
          <w:color w:val="111111"/>
          <w:sz w:val="28"/>
          <w:sz w:val="28"/>
          <w:szCs w:val="28"/>
          <w:rtl w:val="true"/>
          <w:lang w:bidi="ar-SA"/>
        </w:rPr>
        <w:t>و ظاهرهم عدم مشروعيته فضلا عن استحبابه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تسليم، و احتجّ عليه بإجماع الفرقة، و نقل عن </w:t>
      </w:r>
    </w:p>
    <w:p>
      <w:pPr>
        <w:pStyle w:val="BookText"/>
        <w:rPr/>
      </w:pPr>
      <w:r>
        <w:rPr>
          <w:rFonts w:ascii="Amiri" w:hAnsi="Amiri" w:eastAsia="Amiri" w:cs="Amiri"/>
          <w:color w:val="111111"/>
          <w:sz w:val="28"/>
          <w:sz w:val="28"/>
          <w:szCs w:val="28"/>
          <w:rtl w:val="true"/>
          <w:lang w:bidi="ar-SA"/>
        </w:rPr>
        <w:t>العامة التسليم على اختلافهم في كونه فرضا أو سنّة</w:t>
      </w:r>
      <w:r>
        <w:rPr>
          <w:rStyle w:val="FootnoteAnchor"/>
          <w:rtl w:val="true"/>
        </w:rPr>
        <w:footnoteReference w:id="2554"/>
      </w:r>
      <w:r>
        <w:rPr>
          <w:rFonts w:ascii="Amiri" w:hAnsi="Amiri" w:eastAsia="Amiri" w:cs="Amiri"/>
          <w:color w:val="111111"/>
          <w:sz w:val="28"/>
          <w:sz w:val="28"/>
          <w:szCs w:val="28"/>
          <w:rtl w:val="true"/>
          <w:lang w:bidi="ar-SA"/>
        </w:rPr>
        <w:t>و هو يفهم كونه عنده غير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استحبّ التسليم فيها، فإن سلّم الإمام فواحدة عن يمينه</w:t>
      </w:r>
      <w:r>
        <w:rPr>
          <w:rStyle w:val="FootnoteAnchor"/>
          <w:rtl w:val="true"/>
        </w:rPr>
        <w:footnoteReference w:id="2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شرعيته للإمام و عدم استحبابه لغيره، أو على جوازه للإمام من غير استحباب 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المرتضى بعد الإجماع بأنّ مبناها على التخفيف، و لهذا حذف منها الركوع و السجود، فغير منكر أن يحذف التسليم</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 لأنّ التسليم في الصّلاة التي فيها الركوع و السجود، و لذلك</w:t>
      </w:r>
      <w:r>
        <w:rPr>
          <w:rStyle w:val="FootnoteAnchor"/>
          <w:rtl w:val="true"/>
        </w:rPr>
        <w:footnoteReference w:id="2557"/>
      </w:r>
      <w:r>
        <w:rPr>
          <w:rFonts w:ascii="Amiri" w:hAnsi="Amiri" w:eastAsia="Amiri" w:cs="Amiri"/>
          <w:color w:val="111111"/>
          <w:sz w:val="28"/>
          <w:sz w:val="28"/>
          <w:szCs w:val="28"/>
          <w:rtl w:val="true"/>
          <w:lang w:bidi="ar-SA"/>
        </w:rPr>
        <w:t>لا تسليم في صلاة الخوف التي ليس فيها ركوع و لا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عدمه في الجملة إطباق الأصحاب على تركه علما و عملا، و خبر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الصّلاة على الميت تسليم</w:t>
      </w:r>
      <w:r>
        <w:rPr>
          <w:rFonts w:eastAsia="Amiri" w:cs="Amiri" w:ascii="Amiri" w:hAnsi="Amiri"/>
          <w:color w:val="111111"/>
          <w:sz w:val="28"/>
          <w:szCs w:val="28"/>
          <w:rtl w:val="true"/>
          <w:lang w:bidi="ar-SA"/>
        </w:rPr>
        <w:t>»</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زرارة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الصّلاة على الميت تسليم</w:t>
      </w:r>
      <w:r>
        <w:rPr>
          <w:rFonts w:eastAsia="Amiri" w:cs="Amiri" w:ascii="Amiri" w:hAnsi="Amiri"/>
          <w:color w:val="111111"/>
          <w:sz w:val="28"/>
          <w:szCs w:val="28"/>
          <w:rtl w:val="true"/>
          <w:lang w:bidi="ar-SA"/>
        </w:rPr>
        <w:t>»</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إسماعيل بن سعد الأشعري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سلام فيها</w:t>
      </w:r>
      <w:r>
        <w:rPr>
          <w:rFonts w:eastAsia="Amiri" w:cs="Amiri" w:ascii="Amiri" w:hAnsi="Amiri"/>
          <w:color w:val="111111"/>
          <w:sz w:val="28"/>
          <w:szCs w:val="28"/>
          <w:rtl w:val="true"/>
          <w:lang w:bidi="ar-SA"/>
        </w:rPr>
        <w:t>»</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كبّر و انصرف</w:t>
      </w:r>
      <w:r>
        <w:rPr>
          <w:rFonts w:eastAsia="Amiri" w:cs="Amiri" w:ascii="Amiri" w:hAnsi="Amiri"/>
          <w:color w:val="111111"/>
          <w:sz w:val="28"/>
          <w:szCs w:val="28"/>
          <w:rtl w:val="true"/>
          <w:lang w:bidi="ar-SA"/>
        </w:rPr>
        <w:t>»</w:t>
      </w:r>
      <w:r>
        <w:rPr>
          <w:rStyle w:val="FootnoteAnchor"/>
          <w:rtl w:val="true"/>
        </w:rPr>
        <w:footnoteReference w:id="2561"/>
      </w:r>
      <w:r>
        <w:rPr>
          <w:rFonts w:ascii="Amiri" w:hAnsi="Amiri" w:eastAsia="Amiri" w:cs="Amiri"/>
          <w:color w:val="111111"/>
          <w:sz w:val="28"/>
          <w:sz w:val="28"/>
          <w:szCs w:val="28"/>
          <w:rtl w:val="true"/>
          <w:lang w:bidi="ar-SA"/>
        </w:rPr>
        <w:t>و لم تذكر التسليم، و كذا في أكثر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220" w:name="pg15253_219956"/>
    </w:p>
    <w:p>
      <w:pPr>
        <w:pStyle w:val="BookText"/>
        <w:rPr/>
      </w:pPr>
      <w:bookmarkEnd w:id="1220"/>
      <w:r>
        <w:rPr>
          <w:rFonts w:ascii="Amiri" w:hAnsi="Amiri" w:eastAsia="Amiri" w:cs="Amiri"/>
          <w:color w:val="111111"/>
          <w:sz w:val="28"/>
          <w:sz w:val="28"/>
          <w:szCs w:val="28"/>
          <w:rtl w:val="true"/>
          <w:lang w:bidi="ar-SA"/>
        </w:rPr>
        <w:t>و قد أورد في التهذيب التسليم في أربعة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مضمر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سلّمت عن يمينك</w:t>
      </w:r>
      <w:r>
        <w:rPr>
          <w:rFonts w:eastAsia="Amiri" w:cs="Amiri" w:ascii="Amiri" w:hAnsi="Amiri"/>
          <w:color w:val="111111"/>
          <w:sz w:val="28"/>
          <w:szCs w:val="28"/>
          <w:rtl w:val="true"/>
          <w:lang w:bidi="ar-SA"/>
        </w:rPr>
        <w:t>»</w:t>
      </w:r>
      <w:r>
        <w:rPr>
          <w:rStyle w:val="FootnoteAnchor"/>
          <w:rtl w:val="true"/>
        </w:rPr>
        <w:footnoteReference w:id="2562"/>
      </w:r>
      <w:r>
        <w:rPr>
          <w:rFonts w:ascii="Amiri" w:hAnsi="Amiri" w:eastAsia="Amiri" w:cs="Amiri"/>
          <w:color w:val="111111"/>
          <w:sz w:val="28"/>
          <w:sz w:val="28"/>
          <w:szCs w:val="28"/>
          <w:rtl w:val="true"/>
          <w:lang w:bidi="ar-SA"/>
        </w:rPr>
        <w:t>، و هو يعطي التسليم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الحسين بن أحمد المنقري، عن يونس،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الخامسة يسلّم، و يقف مقدار ما بين التكبيرتين، و لا يبرح حتى يحمل السرير من بين يديه</w:t>
      </w:r>
      <w:r>
        <w:rPr>
          <w:rFonts w:eastAsia="Amiri" w:cs="Amiri" w:ascii="Amiri" w:hAnsi="Amiri"/>
          <w:color w:val="111111"/>
          <w:sz w:val="28"/>
          <w:szCs w:val="28"/>
          <w:rtl w:val="true"/>
          <w:lang w:bidi="ar-SA"/>
        </w:rPr>
        <w:t>»</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ميت صلّي عليه، و لمّا سلّم الإمام فإذا الميت مقلوب</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هذان يدلان على تسليم الإمام، و الثاني منهما حكاية فعل الإمام إلاّ أنّه لم يذكر إنكار المعصوم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على الميت،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عفوك عفوك، و تسلّم</w:t>
      </w:r>
      <w:r>
        <w:rPr>
          <w:rFonts w:eastAsia="Amiri" w:cs="Amiri" w:ascii="Amiri" w:hAnsi="Amiri"/>
          <w:color w:val="111111"/>
          <w:sz w:val="28"/>
          <w:szCs w:val="28"/>
          <w:rtl w:val="true"/>
          <w:lang w:bidi="ar-SA"/>
        </w:rPr>
        <w:t>»</w:t>
      </w:r>
      <w:r>
        <w:rPr>
          <w:rStyle w:val="FootnoteAnchor"/>
          <w:rtl w:val="true"/>
        </w:rPr>
        <w:footnoteReference w:id="2565"/>
      </w:r>
      <w:r>
        <w:rPr>
          <w:rFonts w:ascii="Amiri" w:hAnsi="Amiri" w:eastAsia="Amiri" w:cs="Amiri"/>
          <w:color w:val="111111"/>
          <w:sz w:val="28"/>
          <w:sz w:val="28"/>
          <w:szCs w:val="28"/>
          <w:rtl w:val="true"/>
          <w:lang w:bidi="ar-SA"/>
        </w:rPr>
        <w:t>و هذا كالأول في إطلاق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بأسرها ضعيفة الاسناد، معارضة للمشهور، محمولة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شرعيّة التسليم استحبابا أو جوازا، فالكلام فيه كالقراءة إذ الإجماع المعلوم إنّما هو على عدم وجوبه، و مع التقيّة لا ريب فيه</w:t>
      </w:r>
      <w:r>
        <w:rPr>
          <w:rFonts w:eastAsia="Amiri" w:cs="Amiri" w:ascii="Amiri" w:hAnsi="Amiri"/>
          <w:color w:val="111111"/>
          <w:sz w:val="28"/>
          <w:szCs w:val="28"/>
          <w:rtl w:val="true"/>
          <w:lang w:bidi="ar-SA"/>
        </w:rPr>
        <w:t>.</w:t>
      </w:r>
    </w:p>
    <w:p>
      <w:pPr>
        <w:pStyle w:val="Heading6"/>
        <w:numPr>
          <w:ilvl w:val="5"/>
          <w:numId w:val="1"/>
        </w:numPr>
        <w:rPr/>
      </w:pPr>
      <w:bookmarkStart w:id="1221" w:name="__RefHeading___Toc4192577_2142443653"/>
      <w:bookmarkStart w:id="1222" w:name="_Toc494"/>
      <w:bookmarkEnd w:id="1221"/>
      <w:r>
        <w:rPr>
          <w:rtl w:val="true"/>
        </w:rPr>
        <w:t>الحادية عشرة</w:t>
      </w:r>
      <w:r>
        <w:rPr>
          <w:rtl w:val="true"/>
        </w:rPr>
        <w:t xml:space="preserve">: </w:t>
      </w:r>
      <w:r>
        <w:rPr>
          <w:rtl w:val="true"/>
        </w:rPr>
        <w:t>يجب فيها استقبال المصلّي،</w:t>
      </w:r>
      <w:bookmarkEnd w:id="1222"/>
    </w:p>
    <w:p>
      <w:pPr>
        <w:pStyle w:val="BookText"/>
        <w:rPr/>
      </w:pPr>
      <w:r>
        <w:rPr>
          <w:rFonts w:ascii="IRNazanin" w:hAnsi="IRNazanin" w:eastAsia="IRNazanin"/>
          <w:color w:val="111111"/>
          <w:sz w:val="28"/>
          <w:sz w:val="28"/>
          <w:szCs w:val="28"/>
          <w:rtl w:val="true"/>
          <w:lang w:bidi="fa-IR"/>
        </w:rPr>
        <w:t>إلحاقا لها بسائر الصلوات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وجوب إزالة الخبث عنه و عن ثوبه نظر، من الأصل و أنّها دعاء، و أخفّية الخبث بالنسبة إلى الحدث، و من ثمّ صحّت الصلاة مع الخبث لا مع بقاء حكم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إطلاق التسمية بالصلاة التي يشترط فيها ذلك، و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في هذا على نصّ و لا 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يجب الاستقبال بالميت، بأن يوضع رأسه عن يمين المصلّي مستلقيا و رجلاه الى يسار المصلّي، 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اضطجع على يمينه لكان بإزاء القبلة</w:t>
      </w:r>
      <w:r>
        <w:rPr>
          <w:rStyle w:val="FootnoteAnchor"/>
          <w:rtl w:val="true"/>
        </w:rPr>
        <w:footnoteReference w:id="2566"/>
      </w:r>
      <w:r>
        <w:rPr>
          <w:rFonts w:ascii="Amiri" w:hAnsi="Amiri" w:eastAsia="Amiri" w:cs="Amiri"/>
          <w:color w:val="111111"/>
          <w:sz w:val="28"/>
          <w:sz w:val="28"/>
          <w:szCs w:val="28"/>
          <w:rtl w:val="true"/>
          <w:lang w:bidi="ar-SA"/>
        </w:rPr>
        <w:t xml:space="preserve">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لدلالة 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ميت صلّي عليه، فلمّا سلّم الإمام فإذا الميت مقلوب رجلاه الى موضع رأسه،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يسوى، و تعاد الصلاة عليه و إن كان قد حمل ما لم يدفن، فان كان قد دفن فقد مضت الصّلاة عليه، لا يصلّى عليه و هو مدفون</w:t>
      </w:r>
      <w:r>
        <w:rPr>
          <w:rFonts w:eastAsia="Amiri" w:cs="Amiri" w:ascii="Amiri" w:hAnsi="Amiri"/>
          <w:color w:val="111111"/>
          <w:sz w:val="28"/>
          <w:szCs w:val="28"/>
          <w:rtl w:val="true"/>
          <w:lang w:bidi="ar-SA"/>
        </w:rPr>
        <w:t>»</w:t>
      </w:r>
      <w:r>
        <w:rPr>
          <w:rStyle w:val="FootnoteAnchor"/>
          <w:rtl w:val="true"/>
        </w:rPr>
        <w:footnoteReference w:id="2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الأصحاب عاملون بهذه الأحكام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يكون إمام المصلّي بغير تباعد فاحش، و لا يجوز التباعد بمائتي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خلف المصلّي لم يصحّ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الحمل على الغائب خطأ على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يجب الاستقبال مع الإمكان، فيسقط لو تعذّر من المصلّي أو الجنازة، كالمصلوب الذي يتعذّر إنزاله، كما روى أبو هاشم الجعفري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وجه المصلوب إلى القبلة فقم على منكبه الأيمن، فإن كان قفاه إلى القبلة فقم على منكبه الأيسر فإنّ بين المشرق و المغرب قبلة، و إن كان منكبه الأيسر إلى القبلة فقم على منكبه الأيمن، فإن كان منكبه الأيمن إلى القبلة فقم على منكبه الأيسر، و كيف كان منحرفا فلا تزايلنّ مناكبه، و ليكن وجهك الى ما بين المشرق و المغرب، و لا تستقبله و لا تستدبره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جدّي صلّى على عمه</w:t>
      </w:r>
      <w:r>
        <w:rPr>
          <w:rFonts w:eastAsia="Amiri" w:cs="Amiri" w:ascii="Amiri" w:hAnsi="Amiri"/>
          <w:color w:val="111111"/>
          <w:sz w:val="28"/>
          <w:szCs w:val="28"/>
          <w:rtl w:val="true"/>
          <w:lang w:bidi="ar-SA"/>
        </w:rPr>
        <w:t>»</w:t>
      </w:r>
      <w:r>
        <w:rPr>
          <w:rStyle w:val="FootnoteAnchor"/>
          <w:rtl w:val="true"/>
        </w:rPr>
        <w:footnoteReference w:id="2568"/>
      </w:r>
      <w:r>
        <w:rPr>
          <w:rFonts w:ascii="Amiri" w:hAnsi="Amiri" w:eastAsia="Amiri" w:cs="Amiri"/>
          <w:color w:val="111111"/>
          <w:sz w:val="28"/>
          <w:sz w:val="28"/>
          <w:szCs w:val="28"/>
          <w:rtl w:val="true"/>
          <w:lang w:bidi="ar-SA"/>
        </w:rPr>
        <w:t xml:space="preserve">، يعني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زيدا رضي اللّه عنه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و ان كانت غريبة نادرة كما قال الصدوق</w:t>
      </w:r>
      <w:r>
        <w:rPr>
          <w:rStyle w:val="FootnoteAnchor"/>
          <w:rtl w:val="true"/>
        </w:rPr>
        <w:footnoteReference w:id="2569"/>
      </w:r>
      <w:r>
        <w:rPr>
          <w:rFonts w:ascii="Amiri" w:hAnsi="Amiri" w:eastAsia="Amiri" w:cs="Amiri"/>
          <w:color w:val="111111"/>
          <w:sz w:val="28"/>
          <w:sz w:val="28"/>
          <w:szCs w:val="28"/>
          <w:rtl w:val="true"/>
          <w:lang w:bidi="ar-SA"/>
        </w:rPr>
        <w:t>و أكثر الأصحاب 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223" w:name="pg15253_219958"/>
    </w:p>
    <w:p>
      <w:pPr>
        <w:pStyle w:val="BookText"/>
        <w:rPr/>
      </w:pPr>
      <w:bookmarkEnd w:id="1223"/>
      <w:r>
        <w:rPr>
          <w:rFonts w:ascii="Amiri" w:hAnsi="Amiri" w:eastAsia="Amiri" w:cs="Amiri"/>
          <w:color w:val="111111"/>
          <w:sz w:val="28"/>
          <w:sz w:val="28"/>
          <w:szCs w:val="28"/>
          <w:rtl w:val="true"/>
          <w:lang w:bidi="ar-SA"/>
        </w:rPr>
        <w:t>يذكروا مضمونها في كتبهم، إلاّ أنّه ليس لها معارض و لا 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أبو الصلاح و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على المصلوب، و لا يستقبل وجهه الإمام في التوجّه</w:t>
      </w:r>
      <w:r>
        <w:rPr>
          <w:rStyle w:val="FootnoteAnchor"/>
          <w:rtl w:val="true"/>
        </w:rPr>
        <w:footnoteReference w:id="2570"/>
      </w:r>
      <w:r>
        <w:rPr>
          <w:rFonts w:ascii="Amiri" w:hAnsi="Amiri" w:eastAsia="Amiri" w:cs="Amiri"/>
          <w:color w:val="111111"/>
          <w:sz w:val="28"/>
          <w:sz w:val="28"/>
          <w:szCs w:val="28"/>
          <w:rtl w:val="true"/>
          <w:lang w:bidi="ar-SA"/>
        </w:rPr>
        <w:t>فكأنّهما عاملان بها، و كذا صاحب الجامع الشيخ نجيب الدين يحيى بن سعيد</w:t>
      </w:r>
      <w:r>
        <w:rPr>
          <w:rStyle w:val="FootnoteAnchor"/>
          <w:rtl w:val="true"/>
        </w:rPr>
        <w:footnoteReference w:id="2571"/>
      </w:r>
      <w:r>
        <w:rPr>
          <w:rFonts w:ascii="Amiri" w:hAnsi="Amiri" w:eastAsia="Amiri" w:cs="Amiri"/>
          <w:color w:val="111111"/>
          <w:sz w:val="28"/>
          <w:sz w:val="28"/>
          <w:szCs w:val="28"/>
          <w:rtl w:val="true"/>
          <w:lang w:bidi="ar-SA"/>
        </w:rPr>
        <w:t>و الفاضل في المختلف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عمل بها فلا بأس</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إدريس نقل عن بعض الأصحاب إن صلّي عليه و هو على خشبته استقبل وجهه وجه المصلّي، و يكون هو مستدبر القبلة، ثمّ حكم بأنّ الأظهر إنزاله بعد الثلاثة، و الصلاة عليه</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النقل لم نظفر به، و إنزاله قد يتعذّر كما في قصة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6"/>
        <w:numPr>
          <w:ilvl w:val="5"/>
          <w:numId w:val="1"/>
        </w:numPr>
        <w:rPr/>
      </w:pPr>
      <w:bookmarkStart w:id="1224" w:name="__RefHeading___Toc4192579_2142443653"/>
      <w:bookmarkStart w:id="1225" w:name="_Toc495"/>
      <w:bookmarkEnd w:id="1224"/>
      <w:r>
        <w:rPr>
          <w:rtl w:val="true"/>
        </w:rPr>
        <w:t>الثانية عشرة</w:t>
      </w:r>
      <w:r>
        <w:rPr>
          <w:rtl w:val="true"/>
        </w:rPr>
        <w:t xml:space="preserve">: </w:t>
      </w:r>
      <w:r>
        <w:rPr>
          <w:rtl w:val="true"/>
        </w:rPr>
        <w:t>الأجود ترك ما يترك في ذات الركوع،</w:t>
      </w:r>
      <w:bookmarkEnd w:id="1225"/>
    </w:p>
    <w:p>
      <w:pPr>
        <w:pStyle w:val="BookText"/>
        <w:rPr/>
      </w:pPr>
      <w:r>
        <w:rPr>
          <w:rFonts w:ascii="Amiri" w:hAnsi="Amiri" w:eastAsia="Amiri" w:cs="Amiri"/>
          <w:color w:val="111111"/>
          <w:sz w:val="28"/>
          <w:sz w:val="28"/>
          <w:szCs w:val="28"/>
          <w:rtl w:val="true"/>
          <w:lang w:bidi="ar-SA"/>
        </w:rPr>
        <w:t>و الإبطال بما تبطل به، خلا ما يتعلّق بالحدث و الخبث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الشاك في عدد تكبيراتها يبني على الأقل، لأنّه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فعله ثمّ ذكر سبقه،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بناء على أنّ التكبير ذكر حسن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البطلان، لأنّه ركن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زيادة الدّعوات فلا تضرّ قطعا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صلّى قاعدا ناسيا، 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أيضا، لركنيّة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قعد في بعضها ناسيا إن أتى بالتكبير فيه</w:t>
      </w:r>
      <w:r>
        <w:rPr>
          <w:rFonts w:eastAsia="Amiri" w:cs="Amiri" w:ascii="Amiri" w:hAnsi="Amiri"/>
          <w:color w:val="111111"/>
          <w:sz w:val="28"/>
          <w:szCs w:val="28"/>
          <w:rtl w:val="true"/>
          <w:lang w:bidi="ar-SA"/>
        </w:rPr>
        <w:t xml:space="preserve">. </w:t>
      </w:r>
      <w:bookmarkStart w:id="1226" w:name="pg15253_219959"/>
    </w:p>
    <w:p>
      <w:pPr>
        <w:pStyle w:val="Heading6"/>
        <w:numPr>
          <w:ilvl w:val="5"/>
          <w:numId w:val="1"/>
        </w:numPr>
        <w:rPr/>
      </w:pPr>
      <w:bookmarkStart w:id="1227" w:name="__RefHeading___Toc4192581_2142443653"/>
      <w:bookmarkStart w:id="1228" w:name="_Toc496"/>
      <w:bookmarkEnd w:id="1226"/>
      <w:bookmarkEnd w:id="1227"/>
      <w:r>
        <w:rPr>
          <w:rtl w:val="true"/>
        </w:rPr>
        <w:t>المطلب الثاني</w:t>
      </w:r>
      <w:r>
        <w:rPr>
          <w:rtl w:val="true"/>
        </w:rPr>
        <w:t xml:space="preserve">: </w:t>
      </w:r>
      <w:r>
        <w:rPr>
          <w:rtl w:val="true"/>
        </w:rPr>
        <w:t>في سننها</w:t>
      </w:r>
      <w:r>
        <w:rPr>
          <w:rtl w:val="true"/>
        </w:rPr>
        <w:t>.</w:t>
      </w:r>
      <w:bookmarkEnd w:id="1228"/>
    </w:p>
    <w:p>
      <w:pPr>
        <w:pStyle w:val="Heading6"/>
        <w:numPr>
          <w:ilvl w:val="5"/>
          <w:numId w:val="1"/>
        </w:numPr>
        <w:rPr/>
      </w:pPr>
      <w:bookmarkStart w:id="1229" w:name="__RefHeading___Toc4192583_2142443653"/>
      <w:bookmarkStart w:id="1230" w:name="_Toc497"/>
      <w:bookmarkEnd w:id="1229"/>
      <w:r>
        <w:rPr>
          <w:rtl w:val="true"/>
        </w:rPr>
        <w:t>اشارة</w:t>
      </w:r>
      <w:bookmarkEnd w:id="1230"/>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1231" w:name="__RefHeading___Toc4192585_2142443653"/>
      <w:bookmarkStart w:id="1232" w:name="_Toc498"/>
      <w:bookmarkEnd w:id="1231"/>
      <w:r>
        <w:rPr>
          <w:rtl w:val="true"/>
        </w:rPr>
        <w:t>الأول</w:t>
      </w:r>
      <w:r>
        <w:rPr>
          <w:rtl w:val="true"/>
        </w:rPr>
        <w:t xml:space="preserve">: </w:t>
      </w:r>
      <w:r>
        <w:rPr>
          <w:rtl w:val="true"/>
        </w:rPr>
        <w:t>يستحبّ كثرة المصلّين،</w:t>
      </w:r>
      <w:bookmarkEnd w:id="1232"/>
    </w:p>
    <w:p>
      <w:pPr>
        <w:pStyle w:val="BookText"/>
        <w:rPr/>
      </w:pPr>
      <w:r>
        <w:rPr>
          <w:rFonts w:ascii="Amiri" w:hAnsi="Amiri" w:eastAsia="Amiri" w:cs="Amiri"/>
          <w:color w:val="111111"/>
          <w:sz w:val="28"/>
          <w:sz w:val="28"/>
          <w:szCs w:val="28"/>
          <w:rtl w:val="true"/>
          <w:lang w:bidi="ar-SA"/>
        </w:rPr>
        <w:t>لرجاء مجاب الدعوة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الأربعين بلاغ، ففي الصحاح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يموت، فيقوم على جنازته أربعون رجلا، لا يشركون باللّه شيئا، إلاّ شفّعهم اللّه فيه</w:t>
      </w:r>
      <w:r>
        <w:rPr>
          <w:rFonts w:eastAsia="Amiri" w:cs="Amiri" w:ascii="Amiri" w:hAnsi="Amiri"/>
          <w:color w:val="111111"/>
          <w:sz w:val="28"/>
          <w:szCs w:val="28"/>
          <w:rtl w:val="true"/>
          <w:lang w:bidi="ar-SA"/>
        </w:rPr>
        <w:t>»</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روينا عن عمر بن يزيد،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فحضر جنازته أربعون رجلا من المؤمنين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 إلاّ خيرا، و أنت أعلم به منّا،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أجزت شهادتكم، و غفرت له ما علمت ممّا لا تعلمون</w:t>
      </w:r>
      <w:r>
        <w:rPr>
          <w:rFonts w:eastAsia="Amiri" w:cs="Amiri" w:ascii="Amiri" w:hAnsi="Amiri"/>
          <w:color w:val="111111"/>
          <w:sz w:val="28"/>
          <w:szCs w:val="28"/>
          <w:rtl w:val="true"/>
          <w:lang w:bidi="ar-SA"/>
        </w:rPr>
        <w:t>»</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المائة أبلغ، لما في الصحاح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ميت، يصلّي عليه امة من المسلمين يبلغون مائة كلّهم يشفعون له، إلاّ شفّعوا فيه</w:t>
      </w:r>
      <w:r>
        <w:rPr>
          <w:rFonts w:eastAsia="Amiri" w:cs="Amiri" w:ascii="Amiri" w:hAnsi="Amiri"/>
          <w:color w:val="111111"/>
          <w:sz w:val="28"/>
          <w:szCs w:val="28"/>
          <w:rtl w:val="true"/>
          <w:lang w:bidi="ar-SA"/>
        </w:rPr>
        <w:t>»</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أقلّ الفضل اثنان، لما في الصحاح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شهد له أربعة بخير أدخله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نسأله عن الواحد</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مرّوا بجنازة فأثنوا عليها خيرا،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مرّوا بأخرى فأثنوا عليها شرّا،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أثنيتم عليه خيرا فوجبت له الجنّة، و هذا أثنيتم عليه شرّا فوجبت له النار، المؤمنون </w:t>
      </w:r>
    </w:p>
    <w:p>
      <w:pPr>
        <w:pStyle w:val="BookText"/>
        <w:rPr/>
      </w:pPr>
      <w:r>
        <w:rPr>
          <w:rFonts w:ascii="Amiri" w:hAnsi="Amiri" w:eastAsia="Amiri" w:cs="Amiri"/>
          <w:color w:val="111111"/>
          <w:sz w:val="28"/>
          <w:sz w:val="28"/>
          <w:szCs w:val="28"/>
          <w:rtl w:val="true"/>
          <w:lang w:bidi="ar-SA"/>
        </w:rPr>
        <w:t>شهداء اللّه في الأرض</w:t>
      </w:r>
      <w:r>
        <w:rPr>
          <w:rFonts w:eastAsia="Amiri" w:cs="Amiri" w:ascii="Amiri" w:hAnsi="Amiri"/>
          <w:color w:val="111111"/>
          <w:sz w:val="28"/>
          <w:szCs w:val="28"/>
          <w:rtl w:val="true"/>
          <w:lang w:bidi="ar-SA"/>
        </w:rPr>
        <w:t>»</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ليكونوا ثلاثة صفوف، لما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عليه ثلاثة صفوف فقد أوجب</w:t>
      </w:r>
      <w:r>
        <w:rPr>
          <w:rFonts w:eastAsia="Amiri" w:cs="Amiri" w:ascii="Amiri" w:hAnsi="Amiri"/>
          <w:color w:val="111111"/>
          <w:sz w:val="28"/>
          <w:szCs w:val="28"/>
          <w:rtl w:val="true"/>
          <w:lang w:bidi="ar-SA"/>
        </w:rPr>
        <w:t>»</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عامي، و لكنّ فضائل الأعمال ربّما تثبت بالخبر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تسوية الصفّ‌</w:t>
      </w:r>
      <w:r>
        <w:rPr>
          <w:rStyle w:val="FootnoteAnchor"/>
          <w:rtl w:val="true"/>
        </w:rPr>
        <w:footnoteReference w:id="2580"/>
      </w:r>
      <w:r>
        <w:rPr>
          <w:rFonts w:ascii="Amiri" w:hAnsi="Amiri" w:eastAsia="Amiri" w:cs="Amiri"/>
          <w:color w:val="111111"/>
          <w:sz w:val="28"/>
          <w:sz w:val="28"/>
          <w:szCs w:val="28"/>
          <w:rtl w:val="true"/>
          <w:lang w:bidi="ar-SA"/>
        </w:rPr>
        <w:t>كالمكتوبة، لما يأتي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استحباب التسوية هنا</w:t>
      </w:r>
      <w:r>
        <w:rPr>
          <w:rStyle w:val="FootnoteAnchor"/>
          <w:rtl w:val="true"/>
        </w:rPr>
        <w:footnoteReference w:id="2581"/>
      </w:r>
      <w:r>
        <w:rPr>
          <w:rFonts w:ascii="IRNazanin" w:hAnsi="IRNazanin" w:eastAsia="IRNazanin"/>
          <w:color w:val="111111"/>
          <w:sz w:val="28"/>
          <w:sz w:val="28"/>
          <w:szCs w:val="28"/>
          <w:rtl w:val="true"/>
          <w:lang w:bidi="fa-IR"/>
        </w:rPr>
        <w:t>مخالف للإجماع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وقوف الواحد خلفه و ان كان رجلا، لخبر اليسع بن عبد اللّه القمّي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خلفه، و لا يقوم بجنبه</w:t>
      </w:r>
      <w:r>
        <w:rPr>
          <w:rFonts w:eastAsia="Amiri" w:cs="Amiri" w:ascii="Amiri" w:hAnsi="Amiri"/>
          <w:color w:val="111111"/>
          <w:sz w:val="28"/>
          <w:szCs w:val="28"/>
          <w:rtl w:val="true"/>
          <w:lang w:bidi="ar-SA"/>
        </w:rPr>
        <w:t>»</w:t>
      </w:r>
      <w:r>
        <w:rPr>
          <w:rStyle w:val="FootnoteAnchor"/>
          <w:rtl w:val="true"/>
        </w:rPr>
        <w:footnoteReference w:id="2582"/>
      </w:r>
      <w:r>
        <w:rPr>
          <w:rFonts w:ascii="Amiri" w:hAnsi="Amiri" w:eastAsia="Amiri" w:cs="Amiri"/>
          <w:color w:val="111111"/>
          <w:sz w:val="28"/>
          <w:sz w:val="28"/>
          <w:szCs w:val="28"/>
          <w:rtl w:val="true"/>
          <w:lang w:bidi="ar-SA"/>
        </w:rPr>
        <w:t>و الظاهر أنّ المرأتين تقفان صفّا، لظاهر الخبر في صلاتهنّ على الجنازة</w:t>
      </w:r>
      <w:r>
        <w:rPr>
          <w:rStyle w:val="FootnoteAnchor"/>
          <w:rtl w:val="true"/>
        </w:rPr>
        <w:footnoteReference w:id="2583"/>
      </w:r>
      <w:r>
        <w:rPr>
          <w:rFonts w:ascii="Amiri" w:hAnsi="Amiri" w:eastAsia="Amiri" w:cs="Amiri"/>
          <w:color w:val="111111"/>
          <w:sz w:val="28"/>
          <w:sz w:val="28"/>
          <w:szCs w:val="28"/>
          <w:rtl w:val="true"/>
          <w:lang w:bidi="ar-SA"/>
        </w:rPr>
        <w:t>، و لأنّه أنسب بالستر، و كذلك العاريان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أفضل الصفوف المؤخر، لخبر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الصفوف في الصلاة المقدّم، و في الجنائز المؤخّر لأنّه سترة للنساء</w:t>
      </w:r>
      <w:r>
        <w:rPr>
          <w:rFonts w:eastAsia="Amiri" w:cs="Amiri" w:ascii="Amiri" w:hAnsi="Amiri"/>
          <w:color w:val="111111"/>
          <w:sz w:val="28"/>
          <w:szCs w:val="28"/>
          <w:rtl w:val="true"/>
          <w:lang w:bidi="ar-SA"/>
        </w:rPr>
        <w:t>»</w:t>
      </w:r>
      <w:r>
        <w:rPr>
          <w:rStyle w:val="FootnoteAnchor"/>
          <w:rtl w:val="true"/>
        </w:rPr>
        <w:footnoteReference w:id="2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الصدوق سبب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ترغيب النساء في التأخّر منعا لهنّ عن الاختلاط بالرجال في الصلاة، كما كنّ يصلّين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233" w:name="pg15253_219961"/>
    </w:p>
    <w:p>
      <w:pPr>
        <w:pStyle w:val="BookText"/>
        <w:rPr/>
      </w:pPr>
      <w:bookmarkEnd w:id="1233"/>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يتقدّمن، و إن كان الحكم بالأفضليّة عاما لهنّ و للرجال</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4" w:name="__RefHeading___Toc4192587_2142443653"/>
      <w:bookmarkStart w:id="1235" w:name="_Toc499"/>
      <w:bookmarkEnd w:id="1234"/>
      <w:r>
        <w:rPr>
          <w:rtl w:val="true"/>
        </w:rPr>
        <w:t>الثانية</w:t>
      </w:r>
      <w:r>
        <w:rPr>
          <w:rtl w:val="true"/>
        </w:rPr>
        <w:t xml:space="preserve">: </w:t>
      </w:r>
      <w:r>
        <w:rPr>
          <w:rtl w:val="true"/>
        </w:rPr>
        <w:t>يستحبّ نزع الحذاء، لا الخف،</w:t>
      </w:r>
      <w:bookmarkEnd w:id="1235"/>
    </w:p>
    <w:p>
      <w:pPr>
        <w:pStyle w:val="BookText"/>
        <w:rPr/>
      </w:pPr>
      <w:r>
        <w:rPr>
          <w:rFonts w:ascii="Amiri" w:hAnsi="Amiri" w:eastAsia="Amiri" w:cs="Amiri"/>
          <w:color w:val="111111"/>
          <w:sz w:val="28"/>
          <w:sz w:val="28"/>
          <w:szCs w:val="28"/>
          <w:rtl w:val="true"/>
          <w:lang w:bidi="ar-SA"/>
        </w:rPr>
        <w:t xml:space="preserve">لخبر سيف بن عميرة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على الجنازة بحذاء، و لا بأس بالخف</w:t>
      </w:r>
      <w:r>
        <w:rPr>
          <w:rFonts w:eastAsia="Amiri" w:cs="Amiri" w:ascii="Amiri" w:hAnsi="Amiri"/>
          <w:color w:val="111111"/>
          <w:sz w:val="28"/>
          <w:szCs w:val="28"/>
          <w:rtl w:val="true"/>
          <w:lang w:bidi="ar-SA"/>
        </w:rPr>
        <w:t>»</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لا يجوز للرجل أن يصلّي على جنازة بنعل حذو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محمد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تجوز صلاة الفريضة به، و لا تجوز صلاة الجنازة؟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النهي عن ذلك إلاّ من رواية محمد بن موسى الهمداني، و كان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في ذلك، إلاّ انّي لا أعرف عن غيره رخصة، و أعرف النهي و ان كان عن غير ثقة، و لا يردّ الخبر بغير خبر معارض</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الكليني عن عدّة، عن سهل بن زياد، عن إسماعيل بن مهران، عن سيف بن عميرة، ما قلناه</w:t>
      </w:r>
      <w:r>
        <w:rPr>
          <w:rStyle w:val="FootnoteAnchor"/>
          <w:rtl w:val="true"/>
        </w:rPr>
        <w:footnoteReference w:id="2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طريق غير طريق الهمداني، إلاّ أن يفرّق بين الحذاء و نعل الحذو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في المعتبر على استحباب الحفاء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عبارة ابن البراج</w:t>
      </w:r>
      <w:r>
        <w:rPr>
          <w:rStyle w:val="FootnoteAnchor"/>
          <w:rtl w:val="true"/>
        </w:rPr>
        <w:footnoteReference w:id="2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روي عن بعض الصّحابة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اغبرّت قدماه في سبيل اللّه حرّمهما اللّه على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لأنّه موضع اتّعاظ فناسب التذلّل بالحفاء</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الحفاء يعطي استحباب نزع الخف، و الشيخ و ابن الجنيد و يحيى بن سعيد استثنوه</w:t>
      </w:r>
      <w:r>
        <w:rPr>
          <w:rStyle w:val="FootnoteAnchor"/>
          <w:rtl w:val="true"/>
        </w:rPr>
        <w:footnoteReference w:id="2591"/>
      </w:r>
      <w:r>
        <w:rPr>
          <w:rFonts w:ascii="IRNazanin" w:hAnsi="IRNazanin" w:eastAsia="IRNazanin"/>
          <w:color w:val="111111"/>
          <w:sz w:val="28"/>
          <w:sz w:val="28"/>
          <w:szCs w:val="28"/>
          <w:rtl w:val="true"/>
          <w:lang w:bidi="fa-IR"/>
        </w:rPr>
        <w:t>، و الخبر ناطق به</w:t>
      </w:r>
      <w:r>
        <w:rPr>
          <w:rFonts w:eastAsia="IRNazanin" w:cs="IRNazanin"/>
          <w:color w:val="111111"/>
          <w:sz w:val="28"/>
          <w:szCs w:val="28"/>
          <w:rtl w:val="true"/>
          <w:lang w:bidi="fa-IR"/>
        </w:rPr>
        <w:t xml:space="preserve">. </w:t>
      </w:r>
      <w:bookmarkStart w:id="1236" w:name="pg15253_219962"/>
    </w:p>
    <w:p>
      <w:pPr>
        <w:pStyle w:val="BookText"/>
        <w:rPr/>
      </w:pPr>
      <w:bookmarkEnd w:id="1236"/>
      <w:r>
        <w:rPr>
          <w:rFonts w:ascii="Amiri" w:hAnsi="Amiri" w:eastAsia="Amiri" w:cs="Amiri"/>
          <w:color w:val="111111"/>
          <w:sz w:val="28"/>
          <w:sz w:val="28"/>
          <w:szCs w:val="28"/>
          <w:rtl w:val="true"/>
          <w:lang w:bidi="ar-SA"/>
        </w:rPr>
        <w:t>و في التذكرة اختار عدم نزع الخف، و احتج بحجة المعتبر</w:t>
      </w:r>
      <w:r>
        <w:rPr>
          <w:rStyle w:val="FootnoteAnchor"/>
          <w:rtl w:val="true"/>
        </w:rPr>
        <w:footnoteReference w:id="2592"/>
      </w:r>
      <w:r>
        <w:rPr>
          <w:rFonts w:ascii="Amiri" w:hAnsi="Amiri" w:eastAsia="Amiri" w:cs="Amiri"/>
          <w:color w:val="111111"/>
          <w:sz w:val="28"/>
          <w:sz w:val="28"/>
          <w:szCs w:val="28"/>
          <w:rtl w:val="true"/>
          <w:lang w:bidi="ar-SA"/>
        </w:rPr>
        <w:t>و هو تام لو ذكر الدليل المخرج للخف عن مدلول الحديث</w:t>
      </w:r>
      <w:r>
        <w:rPr>
          <w:rFonts w:eastAsia="Amiri" w:cs="Amiri" w:ascii="Amiri" w:hAnsi="Amiri"/>
          <w:color w:val="111111"/>
          <w:sz w:val="28"/>
          <w:szCs w:val="28"/>
          <w:rtl w:val="true"/>
          <w:lang w:bidi="ar-SA"/>
        </w:rPr>
        <w:t>.</w:t>
      </w:r>
    </w:p>
    <w:p>
      <w:pPr>
        <w:pStyle w:val="Heading6"/>
        <w:numPr>
          <w:ilvl w:val="5"/>
          <w:numId w:val="1"/>
        </w:numPr>
        <w:rPr/>
      </w:pPr>
      <w:bookmarkStart w:id="1237" w:name="__RefHeading___Toc4192589_2142443653"/>
      <w:bookmarkStart w:id="1238" w:name="_Toc500"/>
      <w:bookmarkEnd w:id="1237"/>
      <w:r>
        <w:rPr>
          <w:rtl w:val="true"/>
        </w:rPr>
        <w:t>الثالثة</w:t>
      </w:r>
      <w:r>
        <w:rPr>
          <w:rtl w:val="true"/>
        </w:rPr>
        <w:t xml:space="preserve">: </w:t>
      </w:r>
      <w:r>
        <w:rPr>
          <w:rtl w:val="true"/>
        </w:rPr>
        <w:t>ينبغي ان يكون بين الإمام و الميت شيء يسير،</w:t>
      </w:r>
      <w:bookmarkEnd w:id="1238"/>
    </w:p>
    <w:p>
      <w:pPr>
        <w:pStyle w:val="BookText"/>
        <w:rPr/>
      </w:pPr>
      <w:r>
        <w:rPr>
          <w:rFonts w:ascii="Amiri" w:hAnsi="Amiri" w:eastAsia="Amiri" w:cs="Amiri"/>
          <w:color w:val="111111"/>
          <w:sz w:val="28"/>
          <w:sz w:val="28"/>
          <w:szCs w:val="28"/>
          <w:rtl w:val="true"/>
          <w:lang w:bidi="ar-SA"/>
        </w:rPr>
        <w:t>قاله الشيخ</w:t>
      </w:r>
      <w:r>
        <w:rPr>
          <w:rStyle w:val="FootnoteAnchor"/>
          <w:rtl w:val="true"/>
        </w:rPr>
        <w:footnoteReference w:id="2593"/>
      </w:r>
      <w:r>
        <w:rPr>
          <w:rFonts w:ascii="Amiri" w:hAnsi="Amiri" w:eastAsia="Amiri" w:cs="Amiri"/>
          <w:color w:val="111111"/>
          <w:sz w:val="28"/>
          <w:sz w:val="28"/>
          <w:szCs w:val="28"/>
          <w:rtl w:val="true"/>
          <w:lang w:bidi="ar-SA"/>
        </w:rPr>
        <w:t>و الجماعة</w:t>
      </w:r>
      <w:r>
        <w:rPr>
          <w:rStyle w:val="FootnoteAnchor"/>
          <w:rtl w:val="true"/>
        </w:rPr>
        <w:footnoteReference w:id="2594"/>
      </w:r>
      <w:r>
        <w:rPr>
          <w:rFonts w:ascii="Amiri" w:hAnsi="Amiri" w:eastAsia="Amiri" w:cs="Amiri"/>
          <w:color w:val="111111"/>
          <w:sz w:val="28"/>
          <w:sz w:val="28"/>
          <w:szCs w:val="28"/>
          <w:rtl w:val="true"/>
          <w:lang w:bidi="ar-SA"/>
        </w:rPr>
        <w:t>و كأنّه للتحرّز عن التباعد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إيقاعها في المواضع المعتادة، قاله الأصحاب</w:t>
      </w:r>
      <w:r>
        <w:rPr>
          <w:rStyle w:val="FootnoteAnchor"/>
          <w:rtl w:val="true"/>
        </w:rPr>
        <w:footnoteReference w:id="2595"/>
      </w:r>
      <w:r>
        <w:rPr>
          <w:rFonts w:ascii="Amiri" w:hAnsi="Amiri" w:eastAsia="Amiri" w:cs="Amiri"/>
          <w:color w:val="111111"/>
          <w:sz w:val="28"/>
          <w:sz w:val="28"/>
          <w:szCs w:val="28"/>
          <w:rtl w:val="true"/>
          <w:lang w:bidi="ar-SA"/>
        </w:rPr>
        <w:t>أمّا للتبرّك بها لكثرة من صلّى فيها، و أمّا لان السامع بموته يقصدها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إيقاعها في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التلطيخ، و لرواية أبي بكر بن عيسى العلوي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منعه من الصلاة على جنازة في المسجد،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الجنائز لا يصلّى عليها في المسجد</w:t>
      </w:r>
      <w:r>
        <w:rPr>
          <w:rFonts w:eastAsia="Amiri" w:cs="Amiri" w:ascii="Amiri" w:hAnsi="Amiri"/>
          <w:color w:val="111111"/>
          <w:sz w:val="28"/>
          <w:szCs w:val="28"/>
          <w:rtl w:val="true"/>
          <w:lang w:bidi="ar-SA"/>
        </w:rPr>
        <w:t>»</w:t>
      </w:r>
      <w:r>
        <w:rPr>
          <w:rStyle w:val="FootnoteAnchor"/>
          <w:rtl w:val="true"/>
        </w:rPr>
        <w:footnoteReference w:id="2596"/>
      </w:r>
      <w:r>
        <w:rPr>
          <w:rFonts w:ascii="Amiri" w:hAnsi="Amiri" w:eastAsia="Amiri" w:cs="Amiri"/>
          <w:color w:val="111111"/>
          <w:sz w:val="28"/>
          <w:sz w:val="28"/>
          <w:szCs w:val="28"/>
          <w:rtl w:val="true"/>
          <w:lang w:bidi="ar-SA"/>
        </w:rPr>
        <w:t xml:space="preserve">فيحمل على الكراهة، جمعا بينه و بين خبر الفضل بن عبد الملك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هل يصلّى على الميت في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597"/>
      </w:r>
      <w:r>
        <w:rPr>
          <w:rFonts w:ascii="Amiri" w:hAnsi="Amiri" w:eastAsia="Amiri" w:cs="Amiri"/>
          <w:color w:val="111111"/>
          <w:sz w:val="28"/>
          <w:sz w:val="28"/>
          <w:szCs w:val="28"/>
          <w:rtl w:val="true"/>
          <w:lang w:bidi="ar-SA"/>
        </w:rPr>
        <w:t xml:space="preserve">و مثله خبر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مسجد مكة استثناه الشيخ في الخلاف من الكراهية، و احتجّ بالإجماع عقيب ذكر الكراهية و الاستثناء</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لكونها مسجدا بأسرها، كما في حق المعتكف و صلاة العيد</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في الجوامع</w:t>
      </w:r>
      <w:r>
        <w:rPr>
          <w:rStyle w:val="FootnoteAnchor"/>
          <w:rtl w:val="true"/>
        </w:rPr>
        <w:footnoteReference w:id="2600"/>
      </w:r>
      <w:r>
        <w:rPr>
          <w:rFonts w:ascii="Amiri" w:hAnsi="Amiri" w:eastAsia="Amiri" w:cs="Amiri"/>
          <w:color w:val="111111"/>
          <w:sz w:val="28"/>
          <w:sz w:val="28"/>
          <w:szCs w:val="28"/>
          <w:rtl w:val="true"/>
          <w:lang w:bidi="ar-SA"/>
        </w:rPr>
        <w:t xml:space="preserve">و حيث يجتمع الناس على الجنازة </w:t>
      </w:r>
      <w:bookmarkStart w:id="1239" w:name="pg15253_219963"/>
    </w:p>
    <w:p>
      <w:pPr>
        <w:pStyle w:val="BookText"/>
        <w:rPr/>
      </w:pPr>
      <w:bookmarkEnd w:id="1239"/>
      <w:r>
        <w:rPr>
          <w:rFonts w:ascii="IRNazanin" w:hAnsi="IRNazanin" w:eastAsia="IRNazanin"/>
          <w:color w:val="111111"/>
          <w:sz w:val="28"/>
          <w:sz w:val="28"/>
          <w:szCs w:val="28"/>
          <w:rtl w:val="true"/>
          <w:lang w:bidi="fa-IR"/>
        </w:rPr>
        <w:t>دون المساجد الصغار</w:t>
      </w:r>
      <w:r>
        <w:rPr>
          <w:rFonts w:eastAsia="IRNazanin" w:cs="IRNazanin"/>
          <w:color w:val="111111"/>
          <w:sz w:val="28"/>
          <w:szCs w:val="28"/>
          <w:rtl w:val="true"/>
          <w:lang w:bidi="fa-IR"/>
        </w:rPr>
        <w:t>.</w:t>
      </w:r>
    </w:p>
    <w:p>
      <w:pPr>
        <w:pStyle w:val="Heading6"/>
        <w:numPr>
          <w:ilvl w:val="5"/>
          <w:numId w:val="1"/>
        </w:numPr>
        <w:rPr/>
      </w:pPr>
      <w:bookmarkStart w:id="1240" w:name="__RefHeading___Toc4192591_2142443653"/>
      <w:bookmarkStart w:id="1241" w:name="_Toc501"/>
      <w:bookmarkEnd w:id="1240"/>
      <w:r>
        <w:rPr>
          <w:rtl w:val="true"/>
        </w:rPr>
        <w:t>الرابعة</w:t>
      </w:r>
      <w:r>
        <w:rPr>
          <w:rtl w:val="true"/>
        </w:rPr>
        <w:t xml:space="preserve">: </w:t>
      </w:r>
      <w:r>
        <w:rPr>
          <w:rtl w:val="true"/>
        </w:rPr>
        <w:t>لا كراهة في فعلها في الأوقات الخمسة في أشهر الأخبار،</w:t>
      </w:r>
      <w:bookmarkEnd w:id="1241"/>
    </w:p>
    <w:p>
      <w:pPr>
        <w:pStyle w:val="BookText"/>
        <w:rPr/>
      </w:pPr>
      <w:r>
        <w:rPr>
          <w:rFonts w:ascii="Amiri" w:hAnsi="Amiri" w:eastAsia="Amiri" w:cs="Amiri"/>
          <w:color w:val="111111"/>
          <w:sz w:val="28"/>
          <w:sz w:val="28"/>
          <w:szCs w:val="28"/>
          <w:rtl w:val="true"/>
          <w:lang w:bidi="ar-SA"/>
        </w:rPr>
        <w:t xml:space="preserve">لأنّها دعاء مجرّد، و واجبة، و ذات سبب، و لخبر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على الجنازة في كلّ ساعة، انّها ليست صلاة ركوع و لا سجود، و إنّما تكره عند طلوع الشمس و غروبها، التي فيها الركوع و السجود</w:t>
      </w:r>
      <w:r>
        <w:rPr>
          <w:rFonts w:eastAsia="Amiri" w:cs="Amiri" w:ascii="Amiri" w:hAnsi="Amiri"/>
          <w:color w:val="111111"/>
          <w:sz w:val="28"/>
          <w:szCs w:val="28"/>
          <w:rtl w:val="true"/>
          <w:lang w:bidi="ar-SA"/>
        </w:rPr>
        <w:t>»</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عبيد اللّه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على الجنازة حين تغيب الشمس و حين تطلع، انّما هو استغفار</w:t>
      </w:r>
      <w:r>
        <w:rPr>
          <w:rFonts w:eastAsia="Amiri" w:cs="Amiri" w:ascii="Amiri" w:hAnsi="Amiri"/>
          <w:color w:val="111111"/>
          <w:sz w:val="28"/>
          <w:szCs w:val="28"/>
          <w:rtl w:val="true"/>
          <w:lang w:bidi="ar-SA"/>
        </w:rPr>
        <w:t>»</w:t>
      </w:r>
      <w:r>
        <w:rPr>
          <w:rStyle w:val="FootnoteAnchor"/>
          <w:rtl w:val="true"/>
        </w:rPr>
        <w:footnoteReference w:id="2602"/>
      </w:r>
      <w:r>
        <w:rPr>
          <w:rFonts w:ascii="Amiri" w:hAnsi="Amiri" w:eastAsia="Amiri" w:cs="Amiri"/>
          <w:color w:val="111111"/>
          <w:sz w:val="28"/>
          <w:sz w:val="28"/>
          <w:szCs w:val="28"/>
          <w:rtl w:val="true"/>
          <w:lang w:bidi="ar-SA"/>
        </w:rPr>
        <w:t xml:space="preserve">و يقرب منه خبر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03"/>
      </w:r>
      <w:r>
        <w:rPr>
          <w:rFonts w:ascii="Amiri" w:hAnsi="Amiri" w:eastAsia="Amiri" w:cs="Amiri"/>
          <w:color w:val="111111"/>
          <w:sz w:val="28"/>
          <w:sz w:val="28"/>
          <w:szCs w:val="28"/>
          <w:rtl w:val="true"/>
          <w:lang w:bidi="ar-SA"/>
        </w:rPr>
        <w:t>و هذه و إن لم يصرّح فيها بالخمس فالتعليل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هل يمنع شيء من هذه الساعات عن صلاة الجنازة،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عبد الرحمن بن أبي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بكراهيتها حين تصفرّ الشمس و حين تطلع</w:t>
      </w:r>
      <w:r>
        <w:rPr>
          <w:rStyle w:val="FootnoteAnchor"/>
          <w:rtl w:val="true"/>
        </w:rPr>
        <w:footnoteReference w:id="2605"/>
      </w:r>
      <w:r>
        <w:rPr>
          <w:rFonts w:ascii="Amiri" w:hAnsi="Amiri" w:eastAsia="Amiri" w:cs="Amiri"/>
          <w:color w:val="111111"/>
          <w:sz w:val="28"/>
          <w:sz w:val="28"/>
          <w:szCs w:val="28"/>
          <w:rtl w:val="true"/>
          <w:lang w:bidi="ar-SA"/>
        </w:rPr>
        <w:t>لا يعارض المشهور، و الشيخ حمله على التقيّة</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اتفقت في وقت حاضرة،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ما لم يخف على الميت أو يخف فوت الحاضرة، جمعا بين رواية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في الصلاة على الجنازة في وقت مكتوبة،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الميت، إلاّ أن تخاف فوت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رواية هارون بن حمزة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وقت مكتوبة، فابدأ بها قبل الصلاة على الميت، إلاّ أن يكون مبطونا أو نفساء أو نحو ذلك</w:t>
      </w:r>
      <w:r>
        <w:rPr>
          <w:rFonts w:eastAsia="Amiri" w:cs="Amiri" w:ascii="Amiri" w:hAnsi="Amiri"/>
          <w:color w:val="111111"/>
          <w:sz w:val="28"/>
          <w:szCs w:val="28"/>
          <w:rtl w:val="true"/>
          <w:lang w:bidi="ar-SA"/>
        </w:rPr>
        <w:t>»</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رواية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في وقت صلاة، إذا وجبت الشمس فصلّ المغرب، ثمّ صلّ على الجنائز</w:t>
      </w:r>
      <w:r>
        <w:rPr>
          <w:rFonts w:eastAsia="Amiri" w:cs="Amiri" w:ascii="Amiri" w:hAnsi="Amiri"/>
          <w:color w:val="111111"/>
          <w:sz w:val="28"/>
          <w:szCs w:val="28"/>
          <w:rtl w:val="true"/>
          <w:lang w:bidi="ar-SA"/>
        </w:rPr>
        <w:t>»</w:t>
      </w:r>
      <w:r>
        <w:rPr>
          <w:rStyle w:val="FootnoteAnchor"/>
          <w:rtl w:val="true"/>
        </w:rPr>
        <w:footnoteReference w:id="2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تعارضتا في التقديم انتفت الأولوية، و هو معنى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استحباب تقديم المكتوبة ما لم يخف على الميت، لأفضليّتها، و عموم أحاديث أفضليّة أول الوقت كما يأتي ان شاء اللّه، و خبر جابر ضعيف السند، مع انّ الشيخ و ابن البراج و ابن إدريس على ما قلناه</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242" w:name="pg15253_219965"/>
    </w:p>
    <w:p>
      <w:pPr>
        <w:pStyle w:val="BookText"/>
        <w:rPr/>
      </w:pPr>
      <w:bookmarkEnd w:id="1242"/>
      <w:r>
        <w:rPr>
          <w:rFonts w:ascii="Amiri" w:hAnsi="Amiri" w:eastAsia="Amiri" w:cs="Amiri"/>
          <w:color w:val="111111"/>
          <w:sz w:val="28"/>
          <w:sz w:val="28"/>
          <w:szCs w:val="28"/>
          <w:rtl w:val="true"/>
          <w:lang w:bidi="ar-SA"/>
        </w:rPr>
        <w:t>الصلاة على القبر، إلاّ أنّه يشكل بأنّ زمان فعل الحاضرة يخاف فيه على الميت قبل الدفن، فيجب تعجيل دفنه خوفا من الحادث و لا يتمّ إلاّ بالصلاة، على أنّه يمكن هنا تأخّر الصلاة عليه عن الدفن إذا خيف بسببها، فتبقى في الحقيقة المعارضة بين المكتوبة و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يعلم حكم تضيّقهما معا، و ما لو جامعت صلاة واجبة غير المكتوبة</w:t>
      </w:r>
      <w:r>
        <w:rPr>
          <w:rFonts w:eastAsia="Amiri" w:cs="Amiri" w:ascii="Amiri" w:hAnsi="Amiri"/>
          <w:color w:val="111111"/>
          <w:sz w:val="28"/>
          <w:szCs w:val="28"/>
          <w:rtl w:val="true"/>
          <w:lang w:bidi="ar-SA"/>
        </w:rPr>
        <w:t>.</w:t>
      </w:r>
    </w:p>
    <w:p>
      <w:pPr>
        <w:pStyle w:val="Heading6"/>
        <w:numPr>
          <w:ilvl w:val="5"/>
          <w:numId w:val="1"/>
        </w:numPr>
        <w:rPr/>
      </w:pPr>
      <w:bookmarkStart w:id="1243" w:name="__RefHeading___Toc4192593_2142443653"/>
      <w:bookmarkStart w:id="1244" w:name="_Toc502"/>
      <w:bookmarkEnd w:id="1243"/>
      <w:r>
        <w:rPr>
          <w:rtl w:val="true"/>
        </w:rPr>
        <w:t>الخامسة</w:t>
      </w:r>
      <w:r>
        <w:rPr>
          <w:rtl w:val="true"/>
        </w:rPr>
        <w:t xml:space="preserve">: </w:t>
      </w:r>
      <w:r>
        <w:rPr>
          <w:rtl w:val="true"/>
        </w:rPr>
        <w:t>الأفضل وقوف الإمام عند وسط الرجل و صدر المرأة،</w:t>
      </w:r>
      <w:bookmarkEnd w:id="1244"/>
    </w:p>
    <w:p>
      <w:pPr>
        <w:pStyle w:val="BookText"/>
        <w:rPr/>
      </w:pPr>
      <w:r>
        <w:rPr>
          <w:rFonts w:ascii="Amiri" w:hAnsi="Amiri" w:eastAsia="Amiri" w:cs="Amiri"/>
          <w:color w:val="111111"/>
          <w:sz w:val="28"/>
          <w:sz w:val="28"/>
          <w:szCs w:val="28"/>
          <w:rtl w:val="true"/>
          <w:lang w:bidi="ar-SA"/>
        </w:rPr>
        <w:t xml:space="preserve">لمرسل عبد اللّه بن المغيرة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امرأة فلا يقوم وسطها، و يكون ممّا يلي صدرها، و إذا صلّى على الرجل فليقم في وسطه</w:t>
      </w:r>
      <w:r>
        <w:rPr>
          <w:rFonts w:eastAsia="Amiri" w:cs="Amiri" w:ascii="Amiri" w:hAnsi="Amiri"/>
          <w:color w:val="111111"/>
          <w:sz w:val="28"/>
          <w:szCs w:val="28"/>
          <w:rtl w:val="true"/>
          <w:lang w:bidi="ar-SA"/>
        </w:rPr>
        <w:t>»</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موسى بن بكر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على المرأة فقم عند رأسها، و إذا صلّيت على رجل فقم عند صدره</w:t>
      </w:r>
      <w:r>
        <w:rPr>
          <w:rFonts w:eastAsia="Amiri" w:cs="Amiri" w:ascii="Amiri" w:hAnsi="Amiri"/>
          <w:color w:val="111111"/>
          <w:sz w:val="28"/>
          <w:szCs w:val="28"/>
          <w:rtl w:val="true"/>
          <w:lang w:bidi="ar-SA"/>
        </w:rPr>
        <w:t>»</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لأنّ الشيء يعبّر عنه بما يجاوره</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عمرو بن شمر 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من الرجل بحيال السرّة، و من النساء دون ذلك من قبل الصّدر</w:t>
      </w:r>
      <w:r>
        <w:rPr>
          <w:rFonts w:eastAsia="Amiri" w:cs="Amiri" w:ascii="Amiri" w:hAnsi="Amiri"/>
          <w:color w:val="111111"/>
          <w:sz w:val="28"/>
          <w:szCs w:val="28"/>
          <w:rtl w:val="true"/>
          <w:lang w:bidi="ar-SA"/>
        </w:rPr>
        <w:t>»</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عند رأس الرجل و صدر المرأة</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الاستبصار عمل على خبر موسى بن بكر</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 xml:space="preserve">. </w:t>
      </w:r>
      <w:bookmarkStart w:id="1245" w:name="pg15253_219966"/>
    </w:p>
    <w:p>
      <w:pPr>
        <w:pStyle w:val="Heading6"/>
        <w:numPr>
          <w:ilvl w:val="5"/>
          <w:numId w:val="1"/>
        </w:numPr>
        <w:rPr/>
      </w:pPr>
      <w:bookmarkStart w:id="1246" w:name="__RefHeading___Toc4192595_2142443653"/>
      <w:bookmarkStart w:id="1247" w:name="_Toc503"/>
      <w:bookmarkEnd w:id="1245"/>
      <w:bookmarkEnd w:id="1246"/>
      <w:r>
        <w:rPr>
          <w:rtl w:val="true"/>
        </w:rPr>
        <w:t>السادسة</w:t>
      </w:r>
      <w:r>
        <w:rPr>
          <w:rtl w:val="true"/>
        </w:rPr>
        <w:t xml:space="preserve">: </w:t>
      </w:r>
      <w:r>
        <w:rPr>
          <w:rtl w:val="true"/>
        </w:rPr>
        <w:t>لو تعدّدوا أجزأت الصلاة الواحدة،</w:t>
      </w:r>
      <w:bookmarkEnd w:id="1247"/>
    </w:p>
    <w:p>
      <w:pPr>
        <w:pStyle w:val="BookText"/>
        <w:rPr/>
      </w:pPr>
      <w:r>
        <w:rPr>
          <w:rFonts w:ascii="Amiri" w:hAnsi="Amiri" w:eastAsia="Amiri" w:cs="Amiri"/>
          <w:color w:val="111111"/>
          <w:sz w:val="28"/>
          <w:sz w:val="28"/>
          <w:szCs w:val="28"/>
          <w:rtl w:val="true"/>
          <w:lang w:bidi="ar-SA"/>
        </w:rPr>
        <w:t>و عليه دلّت رواية عمار</w:t>
      </w:r>
      <w:r>
        <w:rPr>
          <w:rStyle w:val="FootnoteAnchor"/>
          <w:rtl w:val="true"/>
        </w:rPr>
        <w:footnoteReference w:id="2616"/>
      </w:r>
      <w:r>
        <w:rPr>
          <w:rFonts w:ascii="Amiri" w:hAnsi="Amiri" w:eastAsia="Amiri" w:cs="Amiri"/>
          <w:color w:val="111111"/>
          <w:sz w:val="28"/>
          <w:sz w:val="28"/>
          <w:szCs w:val="28"/>
          <w:rtl w:val="true"/>
          <w:lang w:bidi="ar-SA"/>
        </w:rPr>
        <w:t xml:space="preserve">و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مسلم عن أحدهما</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مضمرة سماعة</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التفريق أفضل و لو على كلّ طائفة، لما فيه من تكرار ذكر اللّه، و تخصيص الدعاء الذي هو أبلغ من التعميم، إلاّ أن يخاف حدوث أمر بالميت فالصلاة الواحدة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فيستحبّ إذا اجتمع الرجل و المرأة محاذاة صدرها لوسطه، ليقف الإمام موقف الفضيلة، و أن يلي الرجل الإمام، ثم الصبي لست، ثم العبد، ثم الخنثى، ثم المرأة، ثم الطفل لدون ست، ثم الطفلة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ابن الجنيد الخصيّ‌</w:t>
      </w:r>
      <w:r>
        <w:rPr>
          <w:rStyle w:val="FootnoteAnchor"/>
          <w:rtl w:val="true"/>
        </w:rPr>
        <w:footnoteReference w:id="2620"/>
      </w:r>
      <w:r>
        <w:rPr>
          <w:rFonts w:ascii="Amiri" w:hAnsi="Amiri" w:eastAsia="Amiri" w:cs="Amiri"/>
          <w:color w:val="111111"/>
          <w:sz w:val="28"/>
          <w:sz w:val="28"/>
          <w:szCs w:val="28"/>
          <w:rtl w:val="true"/>
          <w:lang w:bidi="ar-SA"/>
        </w:rPr>
        <w:t>بين الرجل و الخنثى</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في الخلاف الإجماع على تقديم الصبيّ الذي تجب عليه الصلاة الى الإمام على المرأة، لأنّ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صلّيا على أم كلثوم أختهما و ابنها زيد، و هو مقدّم عليها، رواه عمار بن ياسر</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ابن بكير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توضع النساء ممّا يلي </w:t>
      </w:r>
    </w:p>
    <w:p>
      <w:pPr>
        <w:pStyle w:val="BookText"/>
        <w:rPr/>
      </w:pPr>
      <w:r>
        <w:rPr>
          <w:rFonts w:ascii="Amiri" w:hAnsi="Amiri" w:eastAsia="Amiri" w:cs="Amiri"/>
          <w:color w:val="111111"/>
          <w:sz w:val="28"/>
          <w:sz w:val="28"/>
          <w:szCs w:val="28"/>
          <w:rtl w:val="true"/>
          <w:lang w:bidi="ar-SA"/>
        </w:rPr>
        <w:t>القبلة، و الصبيان دونهم، و الرجال دون ذلك</w:t>
      </w:r>
      <w:r>
        <w:rPr>
          <w:rFonts w:eastAsia="Amiri" w:cs="Amiri" w:ascii="Amiri" w:hAnsi="Amiri"/>
          <w:color w:val="111111"/>
          <w:sz w:val="28"/>
          <w:szCs w:val="28"/>
          <w:rtl w:val="true"/>
          <w:lang w:bidi="ar-SA"/>
        </w:rPr>
        <w:t>»</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هذان الخبران ليس فيهما تعيين سن الصبيّ بل الإطلاق، و كذا أطلق الصدوقان تقديم الصبيّ الى الإمام</w:t>
      </w:r>
      <w:r>
        <w:rPr>
          <w:rStyle w:val="FootnoteAnchor"/>
          <w:rtl w:val="true"/>
        </w:rPr>
        <w:footnoteReference w:id="2624"/>
      </w:r>
      <w:r>
        <w:rPr>
          <w:rFonts w:ascii="Amiri" w:hAnsi="Amiri" w:eastAsia="Amiri" w:cs="Amiri"/>
          <w:color w:val="111111"/>
          <w:sz w:val="28"/>
          <w:sz w:val="28"/>
          <w:szCs w:val="28"/>
          <w:rtl w:val="true"/>
          <w:lang w:bidi="ar-SA"/>
        </w:rPr>
        <w:t>و ما قيّدنا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الخلاف و المبسوط</w:t>
      </w:r>
      <w:r>
        <w:rPr>
          <w:rStyle w:val="FootnoteAnchor"/>
          <w:rtl w:val="true"/>
        </w:rPr>
        <w:footnoteReference w:id="2625"/>
      </w:r>
      <w:r>
        <w:rPr>
          <w:rFonts w:ascii="Amiri" w:hAnsi="Amiri" w:eastAsia="Amiri" w:cs="Amiri"/>
          <w:color w:val="111111"/>
          <w:sz w:val="28"/>
          <w:sz w:val="28"/>
          <w:szCs w:val="28"/>
          <w:rtl w:val="true"/>
          <w:lang w:bidi="ar-SA"/>
        </w:rPr>
        <w:t>لأنّ مراعاة الواجب أولى من الندب، و الصلاة على من دون السّت 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تقديم الصبيّ إلى القبلة على المرأة</w:t>
      </w:r>
      <w:r>
        <w:rPr>
          <w:rStyle w:val="FootnoteAnchor"/>
          <w:rtl w:val="true"/>
        </w:rPr>
        <w:footnoteReference w:id="2626"/>
      </w:r>
      <w:r>
        <w:rPr>
          <w:rFonts w:ascii="Amiri" w:hAnsi="Amiri" w:eastAsia="Amiri" w:cs="Amiri"/>
          <w:color w:val="111111"/>
          <w:sz w:val="28"/>
          <w:sz w:val="28"/>
          <w:szCs w:val="28"/>
          <w:rtl w:val="true"/>
          <w:lang w:bidi="ar-SA"/>
        </w:rPr>
        <w:t>، و خبر طلحة الآتي قد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انّ الرجل يلي الإمام، إلاّ من الحسن البصري و ابن المسيّب</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و قد كان في الجنازة الحسنان، و ابن عباس، و أبو سعيد، و ابن عمر، و أبو قتادة، و أبو هريرة،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السّنة</w:t>
      </w:r>
      <w:r>
        <w:rPr>
          <w:rStyle w:val="FootnoteAnchor"/>
          <w:rtl w:val="true"/>
        </w:rPr>
        <w:footnoteReference w:id="2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تقديم الرجل الى الإمام، زرارة و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29"/>
      </w:r>
      <w:r>
        <w:rPr>
          <w:rFonts w:ascii="Amiri" w:hAnsi="Amiri" w:eastAsia="Amiri" w:cs="Amiri"/>
          <w:color w:val="111111"/>
          <w:sz w:val="28"/>
          <w:sz w:val="28"/>
          <w:szCs w:val="28"/>
          <w:rtl w:val="true"/>
          <w:lang w:bidi="ar-SA"/>
        </w:rPr>
        <w:t xml:space="preserve">، و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أبان بن عثمان، عن عبد الرحمن بن أبي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تقدم الرجال</w:t>
      </w:r>
      <w:r>
        <w:rPr>
          <w:rFonts w:eastAsia="Amiri" w:cs="Amiri" w:ascii="Amiri" w:hAnsi="Amiri"/>
          <w:color w:val="111111"/>
          <w:sz w:val="28"/>
          <w:szCs w:val="28"/>
          <w:rtl w:val="true"/>
          <w:lang w:bidi="ar-SA"/>
        </w:rPr>
        <w:t>»</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طلحة بن زيد،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المرأة و أخّر الرجل، و قدّم العبد و أخّر الحر، و قدّم الصغير و أخّر الكبير</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التقديم إلى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248" w:name="pg15253_219968"/>
    </w:p>
    <w:p>
      <w:pPr>
        <w:pStyle w:val="BookText"/>
        <w:rPr/>
      </w:pPr>
      <w:bookmarkEnd w:id="1248"/>
      <w:r>
        <w:rPr>
          <w:rFonts w:ascii="Amiri" w:hAnsi="Amiri" w:eastAsia="Amiri" w:cs="Amiri"/>
          <w:color w:val="111111"/>
          <w:sz w:val="28"/>
          <w:sz w:val="28"/>
          <w:szCs w:val="28"/>
          <w:rtl w:val="true"/>
          <w:lang w:bidi="ar-SA"/>
        </w:rPr>
        <w:t xml:space="preserve">و إنّما جعلناه مستحبّا جمعا بين ما سبق، و بين صحيح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يقدّم الرجل و تؤخّر المرأة، و يؤخّر الرجل و تقدّم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الصلاة على الميت</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عبيد اللّه الحلبي، سألته عن الرجل و المرأة كيف يصلّى عليهما؟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الرجل بين يدي المرأة ممّا يلي القبلة، و يكون رأس المرأة عند وركيه</w:t>
      </w:r>
      <w:r>
        <w:rPr>
          <w:rFonts w:eastAsia="Amiri" w:cs="Amiri" w:ascii="Amiri" w:hAnsi="Amiri"/>
          <w:color w:val="111111"/>
          <w:sz w:val="28"/>
          <w:szCs w:val="28"/>
          <w:rtl w:val="true"/>
          <w:lang w:bidi="ar-SA"/>
        </w:rPr>
        <w:t>»</w:t>
      </w:r>
      <w:r>
        <w:rPr>
          <w:rStyle w:val="FootnoteAnchor"/>
          <w:rtl w:val="true"/>
        </w:rPr>
        <w:footnoteReference w:id="2634"/>
      </w:r>
      <w:r>
        <w:rPr>
          <w:rFonts w:ascii="Amiri" w:hAnsi="Amiri" w:eastAsia="Amiri" w:cs="Amiri"/>
          <w:color w:val="111111"/>
          <w:sz w:val="28"/>
          <w:sz w:val="28"/>
          <w:szCs w:val="28"/>
          <w:rtl w:val="true"/>
          <w:lang w:bidi="ar-SA"/>
        </w:rPr>
        <w:t>، و الظاهر أنّه الإمام، و هو دليل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خبر طلحة إنّ الأسنّ مقدّم الى الإمام، لدلالة الصغر و الكبر عليه، و هو الذي فهمه يحيى بن سعيد رحمه اللّه</w:t>
      </w:r>
      <w:r>
        <w:rPr>
          <w:rStyle w:val="FootnoteAnchor"/>
          <w:rtl w:val="true"/>
        </w:rPr>
        <w:footnoteReference w:id="2635"/>
      </w:r>
      <w:r>
        <w:rPr>
          <w:rFonts w:ascii="Amiri" w:hAnsi="Amiri" w:eastAsia="Amiri" w:cs="Amiri"/>
          <w:color w:val="111111"/>
          <w:sz w:val="28"/>
          <w:sz w:val="28"/>
          <w:szCs w:val="28"/>
          <w:rtl w:val="true"/>
          <w:lang w:bidi="ar-SA"/>
        </w:rPr>
        <w:t>، فعلى هذا، متى اجتمع حرّان، أو عبدان أو حرتان، أو أمتان، أو صبيان، قدّمنا أسنّهما الى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يراد بالصغر دون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الحرّة مقدّمة على الأمة، لفحوى الحرّ 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الحرّة و العبد، فتعارض فيه فحوى الرجل و المرأة و الحرّ و العبد، لكنّ الأشهر تغليب جانب الذكورية، فيقدّم العبد الى الإمام</w:t>
      </w:r>
      <w:r>
        <w:rPr>
          <w:rFonts w:eastAsia="Amiri" w:cs="Amiri" w:ascii="Amiri" w:hAnsi="Amiri"/>
          <w:color w:val="111111"/>
          <w:sz w:val="28"/>
          <w:szCs w:val="28"/>
          <w:rtl w:val="true"/>
          <w:lang w:bidi="ar-SA"/>
        </w:rPr>
        <w:t>.</w:t>
      </w:r>
    </w:p>
    <w:p>
      <w:pPr>
        <w:pStyle w:val="Heading6"/>
        <w:numPr>
          <w:ilvl w:val="5"/>
          <w:numId w:val="1"/>
        </w:numPr>
        <w:rPr/>
      </w:pPr>
      <w:bookmarkStart w:id="1249" w:name="__RefHeading___Toc4192597_2142443653"/>
      <w:bookmarkStart w:id="1250" w:name="_Toc504"/>
      <w:bookmarkEnd w:id="1249"/>
      <w:r>
        <w:rPr>
          <w:rtl w:val="true"/>
        </w:rPr>
        <w:t>السابعة</w:t>
      </w:r>
      <w:r>
        <w:rPr>
          <w:rtl w:val="true"/>
        </w:rPr>
        <w:t xml:space="preserve">: </w:t>
      </w:r>
      <w:r>
        <w:rPr>
          <w:rtl w:val="true"/>
        </w:rPr>
        <w:t>لو اجتمع الرجال صفّوا مدرّجا،</w:t>
      </w:r>
      <w:bookmarkEnd w:id="125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يجعل رأس الثاني إلى ألية الأول و هكذا، ثم يقوم الإمام في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معهم نساء جعل رأس المرأة الأولى الى ألية الرجل الأخير، ثم الثانية إلى الأولى و هكذا، ثم يقوم وسط الرجال و يصلّي عليهم 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كلّه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 xml:space="preserve">. </w:t>
      </w:r>
      <w:bookmarkStart w:id="1251" w:name="pg15253_219969"/>
    </w:p>
    <w:p>
      <w:pPr>
        <w:pStyle w:val="BookText"/>
        <w:rPr/>
      </w:pPr>
      <w:bookmarkEnd w:id="1251"/>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الأفضل الى الإمام، كما يقدّم أفضل المأمومين إلى الصفّ الأول، و لأنّه نوع تعظيم فالأفضل أولى به، مع حكمه قبل ذلك بالتدريج</w:t>
      </w:r>
      <w:r>
        <w:rPr>
          <w:rStyle w:val="FootnoteAnchor"/>
          <w:rtl w:val="true"/>
        </w:rPr>
        <w:footnoteReference w:id="2637"/>
      </w:r>
      <w:r>
        <w:rPr>
          <w:rFonts w:ascii="IRNazanin" w:hAnsi="IRNazanin" w:eastAsia="IRNazanin"/>
          <w:color w:val="111111"/>
          <w:sz w:val="28"/>
          <w:sz w:val="28"/>
          <w:szCs w:val="28"/>
          <w:rtl w:val="true"/>
          <w:lang w:bidi="fa-IR"/>
        </w:rPr>
        <w:t>، و هو مدفوع بإطلاق النصّ و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التدريج إذا كان المجتمعون صنفا واحدا بين صفّ الرّجال و النساء، و الأحرار و العبيد، و الإماء و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يجعلهم صفّين كتراصّ البناء، لئلاّ يلزم الانحراف عن القبلة، و إن كان ظاهر الرواية أنّه صفّ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الجمع بين من يجب عليه و من يستحب و إن اختلفا في الوجه، لإطلاق الأخبار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يمكن الاكتفاء بنيّة الوجوب، لزيادة الندب تأكيدا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ينوي الوجهان معا بالتوزيع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التذكرة</w:t>
      </w:r>
      <w:r>
        <w:rPr>
          <w:rStyle w:val="FootnoteAnchor"/>
          <w:rtl w:val="true"/>
        </w:rPr>
        <w:footnoteReference w:id="2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التنافي، لاختلاف الاعتبارين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فعل واحد من مكلف واحد، فكيف يقع على وجهين؟</w:t>
      </w:r>
      <w:r>
        <w:rPr>
          <w:rFonts w:eastAsia="Amiri" w:cs="Amiri" w:ascii="Amiri" w:hAnsi="Amiri"/>
          <w:color w:val="111111"/>
          <w:sz w:val="28"/>
          <w:szCs w:val="28"/>
          <w:rtl w:val="true"/>
          <w:lang w:bidi="ar-SA"/>
        </w:rPr>
        <w:t>!.</w:t>
      </w:r>
    </w:p>
    <w:p>
      <w:pPr>
        <w:pStyle w:val="Heading6"/>
        <w:numPr>
          <w:ilvl w:val="5"/>
          <w:numId w:val="1"/>
        </w:numPr>
        <w:rPr/>
      </w:pPr>
      <w:bookmarkStart w:id="1252" w:name="__RefHeading___Toc4192599_2142443653"/>
      <w:bookmarkStart w:id="1253" w:name="_Toc505"/>
      <w:bookmarkEnd w:id="1252"/>
      <w:r>
        <w:rPr>
          <w:rtl w:val="true"/>
        </w:rPr>
        <w:t>الثامنة</w:t>
      </w:r>
      <w:r>
        <w:rPr>
          <w:rtl w:val="true"/>
        </w:rPr>
        <w:t xml:space="preserve">: </w:t>
      </w:r>
      <w:r>
        <w:rPr>
          <w:rtl w:val="true"/>
        </w:rPr>
        <w:t>الإجماع على استحباب رفع اليدين في التكبير الأول</w:t>
      </w:r>
      <w:r>
        <w:rPr>
          <w:rtl w:val="true"/>
        </w:rPr>
        <w:t>.</w:t>
      </w:r>
      <w:bookmarkEnd w:id="1253"/>
    </w:p>
    <w:p>
      <w:pPr>
        <w:pStyle w:val="BookText"/>
        <w:rPr/>
      </w:pPr>
      <w:r>
        <w:rPr>
          <w:rFonts w:ascii="Amiri" w:hAnsi="Amiri" w:eastAsia="Amiri" w:cs="Amiri"/>
          <w:color w:val="111111"/>
          <w:sz w:val="28"/>
          <w:sz w:val="28"/>
          <w:szCs w:val="28"/>
          <w:rtl w:val="true"/>
          <w:lang w:bidi="ar-SA"/>
        </w:rPr>
        <w:t xml:space="preserve">و هل يستحبّ في الباقي؟ الأكثر على نفيه، و هو مروي من 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غياث بن إبراهيم، و إسماعيل بن إسحاق،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يديه في أول التكبير، ثم لا يعود حتى ينصرف</w:t>
      </w:r>
      <w:r>
        <w:rPr>
          <w:rFonts w:eastAsia="Amiri" w:cs="Amiri" w:ascii="Amiri" w:hAnsi="Amiri"/>
          <w:color w:val="111111"/>
          <w:sz w:val="28"/>
          <w:szCs w:val="28"/>
          <w:rtl w:val="true"/>
          <w:lang w:bidi="ar-SA"/>
        </w:rPr>
        <w:t>»</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كتابي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المعتبر</w:t>
      </w:r>
      <w:r>
        <w:rPr>
          <w:rStyle w:val="FootnoteAnchor"/>
          <w:rtl w:val="true"/>
        </w:rPr>
        <w:footnoteReference w:id="2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استحبابه في الكلّ‌</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 xml:space="preserve">. </w:t>
      </w:r>
      <w:bookmarkStart w:id="1254" w:name="pg15253_219970"/>
    </w:p>
    <w:p>
      <w:pPr>
        <w:pStyle w:val="BookText"/>
        <w:rPr/>
      </w:pPr>
      <w:bookmarkEnd w:id="1254"/>
      <w:r>
        <w:rPr>
          <w:rFonts w:ascii="Amiri" w:hAnsi="Amiri" w:eastAsia="Amiri" w:cs="Amiri"/>
          <w:color w:val="111111"/>
          <w:sz w:val="28"/>
          <w:sz w:val="28"/>
          <w:szCs w:val="28"/>
          <w:rtl w:val="true"/>
          <w:lang w:bidi="ar-SA"/>
        </w:rPr>
        <w:t>و قد رواه عبد الرحمن العرزمي</w:t>
      </w:r>
      <w:r>
        <w:rPr>
          <w:rStyle w:val="FootnoteAnchor"/>
          <w:rtl w:val="true"/>
        </w:rPr>
        <w:footnoteReference w:id="2642"/>
      </w:r>
      <w:r>
        <w:rPr>
          <w:rFonts w:ascii="IRNazanin" w:hAnsi="IRNazanin" w:eastAsia="IRNazanin"/>
          <w:color w:val="111111"/>
          <w:sz w:val="28"/>
          <w:sz w:val="28"/>
          <w:szCs w:val="28"/>
          <w:rtl w:val="true"/>
          <w:lang w:bidi="fa-IR"/>
        </w:rPr>
        <w:t>و عبد اللّه بن خالد</w:t>
      </w:r>
      <w:r>
        <w:rPr>
          <w:rStyle w:val="FootnoteAnchor"/>
          <w:rtl w:val="true"/>
        </w:rPr>
        <w:footnoteReference w:id="2643"/>
      </w:r>
      <w:r>
        <w:rPr>
          <w:rFonts w:ascii="Amiri" w:hAnsi="Amiri" w:eastAsia="Amiri" w:cs="Amiri"/>
          <w:color w:val="111111"/>
          <w:sz w:val="28"/>
          <w:sz w:val="28"/>
          <w:szCs w:val="28"/>
          <w:rtl w:val="true"/>
          <w:lang w:bidi="ar-SA"/>
        </w:rPr>
        <w:t xml:space="preserve">من فعل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يونس عن أمر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يرفعون في الاولى لا غير،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يدك في كلّ تكبيرة</w:t>
      </w:r>
      <w:r>
        <w:rPr>
          <w:rFonts w:eastAsia="Amiri" w:cs="Amiri" w:ascii="Amiri" w:hAnsi="Amiri"/>
          <w:color w:val="111111"/>
          <w:sz w:val="28"/>
          <w:szCs w:val="28"/>
          <w:rtl w:val="true"/>
          <w:lang w:bidi="ar-SA"/>
        </w:rPr>
        <w:t>»</w:t>
      </w:r>
      <w:r>
        <w:rPr>
          <w:rStyle w:val="FootnoteAnchor"/>
          <w:rtl w:val="true"/>
        </w:rPr>
        <w:footnoteReference w:id="2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الطرق و إن ضعف بعضها، إلاّ أنّها مشهورة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الزيادة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رفع اليدين مراد للّه في أول التكبير، و هو دليل الرجحان، فيشرع في الباقي تحصيلا للأرجحية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فعل مستحب، فجاز أن يفعل مرّة و يخلّ به اخرى، فلذلك اختلفت الروايات</w:t>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النقيصة تدلّ على نفي الزائد صريحا، فهما متعارضتان في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مرغوب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لا بأس به لو لا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حملت رواية عدم الرفع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الشيخ</w:t>
      </w:r>
      <w:r>
        <w:rPr>
          <w:rStyle w:val="FootnoteAnchor"/>
          <w:rtl w:val="true"/>
        </w:rPr>
        <w:footnoteReference w:id="2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لأنّ بعض العامة يرى ذلك</w:t>
      </w:r>
      <w:r>
        <w:rPr>
          <w:rStyle w:val="FootnoteAnchor"/>
          <w:rtl w:val="true"/>
        </w:rPr>
        <w:footnoteReference w:id="2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الخروج عن جمهور الأصحاب بخبر الواحد فيه ما فيه</w:t>
      </w:r>
      <w:r>
        <w:rPr>
          <w:rFonts w:eastAsia="Amiri" w:cs="Amiri" w:ascii="Amiri" w:hAnsi="Amiri"/>
          <w:color w:val="111111"/>
          <w:sz w:val="28"/>
          <w:szCs w:val="28"/>
          <w:rtl w:val="true"/>
          <w:lang w:bidi="ar-SA"/>
        </w:rPr>
        <w:t>.</w:t>
      </w:r>
    </w:p>
    <w:p>
      <w:pPr>
        <w:pStyle w:val="Heading6"/>
        <w:numPr>
          <w:ilvl w:val="5"/>
          <w:numId w:val="1"/>
        </w:numPr>
        <w:rPr/>
      </w:pPr>
      <w:bookmarkStart w:id="1255" w:name="__RefHeading___Toc4192601_2142443653"/>
      <w:bookmarkStart w:id="1256" w:name="_Toc506"/>
      <w:bookmarkEnd w:id="1255"/>
      <w:r>
        <w:rPr>
          <w:rtl w:val="true"/>
        </w:rPr>
        <w:t>التاسعة</w:t>
      </w:r>
      <w:r>
        <w:rPr>
          <w:rtl w:val="true"/>
        </w:rPr>
        <w:t xml:space="preserve">: </w:t>
      </w:r>
      <w:r>
        <w:rPr>
          <w:rtl w:val="true"/>
        </w:rPr>
        <w:t>لا يستحبّ دعاء الاستفتاح عندنا،</w:t>
      </w:r>
      <w:bookmarkEnd w:id="1256"/>
    </w:p>
    <w:p>
      <w:pPr>
        <w:pStyle w:val="BookText"/>
        <w:rPr/>
      </w:pPr>
      <w:r>
        <w:rPr>
          <w:rFonts w:ascii="Amiri" w:hAnsi="Amiri" w:eastAsia="Amiri" w:cs="Amiri"/>
          <w:color w:val="111111"/>
          <w:sz w:val="28"/>
          <w:sz w:val="28"/>
          <w:szCs w:val="28"/>
          <w:rtl w:val="true"/>
          <w:lang w:bidi="ar-SA"/>
        </w:rPr>
        <w:t>و لا التعوذّ، و لا تكبيرات ستّ قبلها، لبنائها على التخفيف، و لما مرّ من صفتها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الجهر بالتكبير للإمام ليعلم من خلفه، و لأنّ كثيرا من الرواة حكى عدد التكبير من فعل النبي و الأئمة، و هو لا يحصل غالبا إلاّ بسماعه فيتأسّى بهم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الفاضلان باستحباب السرّ في الدعاء، سواء فعلت ليلا أو نهارا، لأنه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أبعد من الرياء فيكون أقرب الى الإجابة</w:t>
      </w:r>
      <w:r>
        <w:rPr>
          <w:rStyle w:val="FootnoteAnchor"/>
          <w:rtl w:val="true"/>
        </w:rPr>
        <w:footnoteReference w:id="2648"/>
      </w:r>
      <w:r>
        <w:rPr>
          <w:rFonts w:ascii="Amiri" w:hAnsi="Amiri" w:eastAsia="Amiri" w:cs="Amiri"/>
          <w:color w:val="111111"/>
          <w:sz w:val="28"/>
          <w:sz w:val="28"/>
          <w:szCs w:val="28"/>
          <w:rtl w:val="true"/>
          <w:lang w:bidi="ar-SA"/>
        </w:rPr>
        <w:t xml:space="preserve">، و لرواية أبي همام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العبد سرّا دعوة واحدة تعدل سبعين دعوة علانية</w:t>
      </w:r>
      <w:r>
        <w:rPr>
          <w:rFonts w:eastAsia="Amiri" w:cs="Amiri" w:ascii="Amiri" w:hAnsi="Amiri"/>
          <w:color w:val="111111"/>
          <w:sz w:val="28"/>
          <w:szCs w:val="28"/>
          <w:rtl w:val="true"/>
          <w:lang w:bidi="ar-SA"/>
        </w:rPr>
        <w:t>»</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7" w:name="pg15253_219973"/>
      <w:bookmarkStart w:id="1258" w:name="pg15253_219973"/>
      <w:bookmarkEnd w:id="1258"/>
    </w:p>
    <w:p>
      <w:pPr>
        <w:pStyle w:val="Heading6"/>
        <w:numPr>
          <w:ilvl w:val="5"/>
          <w:numId w:val="1"/>
        </w:numPr>
        <w:rPr/>
      </w:pPr>
      <w:bookmarkStart w:id="1259" w:name="pg15253_219973"/>
      <w:bookmarkStart w:id="1260" w:name="__RefHeading___Toc4192603_2142443653"/>
      <w:bookmarkStart w:id="1261" w:name="_Toc507"/>
      <w:bookmarkEnd w:id="1259"/>
      <w:bookmarkEnd w:id="1260"/>
      <w:r>
        <w:rPr>
          <w:rtl w:val="true"/>
        </w:rPr>
        <w:t>المطلب الثالث</w:t>
      </w:r>
      <w:r>
        <w:rPr>
          <w:rtl w:val="true"/>
        </w:rPr>
        <w:t xml:space="preserve">: </w:t>
      </w:r>
      <w:r>
        <w:rPr>
          <w:rtl w:val="true"/>
        </w:rPr>
        <w:t>في اللواحق</w:t>
      </w:r>
      <w:bookmarkEnd w:id="1261"/>
    </w:p>
    <w:p>
      <w:pPr>
        <w:pStyle w:val="Heading6"/>
        <w:numPr>
          <w:ilvl w:val="5"/>
          <w:numId w:val="1"/>
        </w:numPr>
        <w:rPr/>
      </w:pPr>
      <w:bookmarkStart w:id="1262" w:name="__RefHeading___Toc4192605_2142443653"/>
      <w:bookmarkStart w:id="1263" w:name="_Toc508"/>
      <w:bookmarkEnd w:id="1262"/>
      <w:r>
        <w:rPr>
          <w:rtl w:val="true"/>
        </w:rPr>
        <w:t>اشارة</w:t>
      </w:r>
      <w:bookmarkEnd w:id="1263"/>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1264" w:name="__RefHeading___Toc4192607_2142443653"/>
      <w:bookmarkStart w:id="1265" w:name="_Toc509"/>
      <w:bookmarkEnd w:id="1264"/>
      <w:r>
        <w:rPr>
          <w:rtl w:val="true"/>
        </w:rPr>
        <w:t>الأولى</w:t>
      </w:r>
      <w:r>
        <w:rPr>
          <w:rtl w:val="true"/>
        </w:rPr>
        <w:t xml:space="preserve">: </w:t>
      </w:r>
      <w:r>
        <w:rPr>
          <w:rtl w:val="true"/>
        </w:rPr>
        <w:t>لا يتحمّل الإمام هنا عن المأموم شيئا من الأذكار،</w:t>
      </w:r>
      <w:bookmarkEnd w:id="1265"/>
    </w:p>
    <w:p>
      <w:pPr>
        <w:pStyle w:val="BookText"/>
        <w:rPr/>
      </w:pPr>
      <w:r>
        <w:rPr>
          <w:rFonts w:ascii="Amiri" w:hAnsi="Amiri" w:eastAsia="Amiri" w:cs="Amiri"/>
          <w:color w:val="111111"/>
          <w:sz w:val="28"/>
          <w:sz w:val="28"/>
          <w:szCs w:val="28"/>
          <w:rtl w:val="true"/>
          <w:lang w:bidi="ar-SA"/>
        </w:rPr>
        <w:t>لأنّ المتحمّل إنّما هو القراءة و لا قراءة هنا، و لأنّ الغرض كثرة الدّاعين</w:t>
      </w:r>
      <w:r>
        <w:rPr>
          <w:rFonts w:eastAsia="Amiri" w:cs="Amiri" w:ascii="Amiri" w:hAnsi="Amiri"/>
          <w:color w:val="111111"/>
          <w:sz w:val="28"/>
          <w:szCs w:val="28"/>
          <w:rtl w:val="true"/>
          <w:lang w:bidi="ar-SA"/>
        </w:rPr>
        <w:t>.</w:t>
      </w:r>
    </w:p>
    <w:p>
      <w:pPr>
        <w:pStyle w:val="Heading6"/>
        <w:numPr>
          <w:ilvl w:val="5"/>
          <w:numId w:val="1"/>
        </w:numPr>
        <w:rPr/>
      </w:pPr>
      <w:bookmarkStart w:id="1266" w:name="__RefHeading___Toc4192609_2142443653"/>
      <w:bookmarkStart w:id="1267" w:name="_Toc510"/>
      <w:bookmarkEnd w:id="1266"/>
      <w:r>
        <w:rPr>
          <w:rtl w:val="true"/>
        </w:rPr>
        <w:t>الثانية</w:t>
      </w:r>
      <w:r>
        <w:rPr>
          <w:rtl w:val="true"/>
        </w:rPr>
        <w:t xml:space="preserve">: </w:t>
      </w:r>
      <w:r>
        <w:rPr>
          <w:rtl w:val="true"/>
        </w:rPr>
        <w:t>يجوز الدخول في أثنائها</w:t>
      </w:r>
      <w:bookmarkEnd w:id="1267"/>
    </w:p>
    <w:p>
      <w:pPr>
        <w:pStyle w:val="BookText"/>
        <w:rPr/>
      </w:pPr>
      <w:r>
        <w:rPr>
          <w:rFonts w:ascii="Amiri" w:hAnsi="Amiri" w:eastAsia="Amiri" w:cs="Amiri"/>
          <w:color w:val="111111"/>
          <w:sz w:val="28"/>
          <w:sz w:val="28"/>
          <w:szCs w:val="28"/>
          <w:rtl w:val="true"/>
          <w:lang w:bidi="ar-SA"/>
        </w:rPr>
        <w:t>و لو كان بين تكبيرتين، لعموم شرعية الائتمام، و نقل الشيخ فيه الإجماع</w:t>
      </w:r>
      <w:r>
        <w:rPr>
          <w:rStyle w:val="FootnoteAnchor"/>
          <w:rtl w:val="true"/>
        </w:rPr>
        <w:footnoteReference w:id="2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ينتظر تكبيرة الإمام، و لا نسلم أنّ التكبيرة تساوي الركعة ليتوقف الدخول عليها، و وجوب قضاء باقيها بعد الفراغ لا يدلّ على مساواة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يأتي بالباقي بعد فراغ الإمام على الأشهر، لعموم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أدركتم فصلّوا، و ما فاتكم فاقضوا</w:t>
      </w:r>
      <w:r>
        <w:rPr>
          <w:rFonts w:eastAsia="Amiri" w:cs="Amiri" w:ascii="Amiri" w:hAnsi="Amiri"/>
          <w:color w:val="111111"/>
          <w:sz w:val="28"/>
          <w:szCs w:val="28"/>
          <w:rtl w:val="true"/>
          <w:lang w:bidi="ar-SA"/>
        </w:rPr>
        <w:t>»</w:t>
      </w:r>
      <w:r>
        <w:rPr>
          <w:rStyle w:val="FootnoteAnchor"/>
          <w:rtl w:val="true"/>
        </w:rPr>
        <w:footnoteReference w:id="2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لرواية العيص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يدرك من الصّلاة على الميت تكبيرة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ما بقي</w:t>
      </w:r>
      <w:r>
        <w:rPr>
          <w:rFonts w:eastAsia="Amiri" w:cs="Amiri" w:ascii="Amiri" w:hAnsi="Amiri"/>
          <w:color w:val="111111"/>
          <w:sz w:val="28"/>
          <w:szCs w:val="28"/>
          <w:rtl w:val="true"/>
          <w:lang w:bidi="ar-SA"/>
        </w:rPr>
        <w:t>»</w:t>
      </w:r>
      <w:r>
        <w:rPr>
          <w:rStyle w:val="FootnoteAnchor"/>
          <w:rtl w:val="true"/>
        </w:rPr>
        <w:footnoteReference w:id="2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لرواية زيد الشحام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فاته تكبيرة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ما فاته</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ما سبق من تكبير الجنائز</w:t>
      </w:r>
      <w:r>
        <w:rPr>
          <w:rFonts w:eastAsia="Amiri" w:cs="Amiri" w:ascii="Amiri" w:hAnsi="Amiri"/>
          <w:color w:val="111111"/>
          <w:sz w:val="28"/>
          <w:szCs w:val="28"/>
          <w:rtl w:val="true"/>
          <w:lang w:bidi="ar-SA"/>
        </w:rPr>
        <w:t>»</w:t>
      </w:r>
      <w:r>
        <w:rPr>
          <w:rStyle w:val="FootnoteAnchor"/>
          <w:rtl w:val="true"/>
        </w:rPr>
        <w:footnoteReference w:id="2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الشيخ على القضاء الخاص، و هو القضاء مشفوعا بالدعاء لا القضاء المتتابع</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 xml:space="preserve">. </w:t>
      </w:r>
      <w:bookmarkStart w:id="1268" w:name="pg15253_219974"/>
    </w:p>
    <w:p>
      <w:pPr>
        <w:pStyle w:val="BookText"/>
        <w:rPr/>
      </w:pPr>
      <w:bookmarkEnd w:id="126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نفي وجوب الدعاء لحصوله من السابقين و لأنّه موضع ضرورة، لا نفي جوازه لدلالة ما يأتي عليه، بل يمكن وجوبه مع الاختيار، لعموم أدلة الوجوب، و عموم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فاتكم فاقضوا</w:t>
      </w:r>
      <w:r>
        <w:rPr>
          <w:rFonts w:eastAsia="Amiri" w:cs="Amiri" w:ascii="Amiri" w:hAnsi="Amiri"/>
          <w:color w:val="111111"/>
          <w:sz w:val="28"/>
          <w:szCs w:val="28"/>
          <w:rtl w:val="true"/>
          <w:lang w:bidi="ar-SA"/>
        </w:rPr>
        <w:t>»</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فحينئذ تحمل رواية إسحاق على غير المتمكّن من الدعاء بتعجيل رفعها، و عليه يحمل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فليقض ما بقي متتابعا</w:t>
      </w:r>
      <w:r>
        <w:rPr>
          <w:rFonts w:eastAsia="Amiri" w:cs="Amiri" w:ascii="Amiri" w:hAnsi="Amiri"/>
          <w:color w:val="111111"/>
          <w:sz w:val="28"/>
          <w:szCs w:val="28"/>
          <w:rtl w:val="true"/>
          <w:lang w:bidi="ar-SA"/>
        </w:rPr>
        <w:t>»</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رفعت أتمّ و هي محمولة، و لو ماشيا الى سمت القبلة، و لو عند القبر، أو عليه بعد الدفن، 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القلانسي عن رجل،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الرجل يدرك مع الإمام في الجنازة تكبيرة أو تكبيرتين،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التكبير و هو يمشي معها، فإذا لم يدرك التكبير كبّر عند القبر، فإن أدركهم و قد دفن كبّر على القبر</w:t>
      </w:r>
      <w:r>
        <w:rPr>
          <w:rFonts w:eastAsia="Amiri" w:cs="Amiri" w:ascii="Amiri" w:hAnsi="Amiri"/>
          <w:color w:val="111111"/>
          <w:sz w:val="28"/>
          <w:szCs w:val="28"/>
          <w:rtl w:val="true"/>
          <w:lang w:bidi="ar-SA"/>
        </w:rPr>
        <w:t>»</w:t>
      </w:r>
      <w:r>
        <w:rPr>
          <w:rStyle w:val="FootnoteAnchor"/>
          <w:rtl w:val="true"/>
        </w:rPr>
        <w:footnoteReference w:id="2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يشعر بالاشتغال بالدّعاء، إذ لو والى لم يبلغ الحال الى الدفن</w:t>
      </w:r>
      <w:r>
        <w:rPr>
          <w:rFonts w:eastAsia="Amiri" w:cs="Amiri" w:ascii="Amiri" w:hAnsi="Amiri"/>
          <w:color w:val="111111"/>
          <w:sz w:val="28"/>
          <w:szCs w:val="28"/>
          <w:rtl w:val="true"/>
          <w:lang w:bidi="ar-SA"/>
        </w:rPr>
        <w:t>.</w:t>
      </w:r>
    </w:p>
    <w:p>
      <w:pPr>
        <w:pStyle w:val="Heading6"/>
        <w:numPr>
          <w:ilvl w:val="5"/>
          <w:numId w:val="1"/>
        </w:numPr>
        <w:rPr/>
      </w:pPr>
      <w:bookmarkStart w:id="1269" w:name="__RefHeading___Toc4192611_2142443653"/>
      <w:bookmarkStart w:id="1270" w:name="_Toc511"/>
      <w:bookmarkEnd w:id="1269"/>
      <w:r>
        <w:rPr>
          <w:rtl w:val="true"/>
        </w:rPr>
        <w:t>الثالثة</w:t>
      </w:r>
      <w:r>
        <w:rPr>
          <w:rtl w:val="true"/>
        </w:rPr>
        <w:t xml:space="preserve">: </w:t>
      </w:r>
      <w:r>
        <w:rPr>
          <w:rtl w:val="true"/>
        </w:rPr>
        <w:t>لو سبق المأموم بتكبيرة فصاعدا متعمّدا أثم و أجزأ</w:t>
      </w:r>
      <w:r>
        <w:rPr>
          <w:rtl w:val="true"/>
        </w:rPr>
        <w:t>.</w:t>
      </w:r>
      <w:bookmarkEnd w:id="1270"/>
    </w:p>
    <w:p>
      <w:pPr>
        <w:pStyle w:val="BookText"/>
        <w:rPr/>
      </w:pPr>
      <w:r>
        <w:rPr>
          <w:rFonts w:ascii="Amiri" w:hAnsi="Amiri" w:eastAsia="Amiri" w:cs="Amiri"/>
          <w:color w:val="111111"/>
          <w:sz w:val="28"/>
          <w:sz w:val="28"/>
          <w:szCs w:val="28"/>
          <w:rtl w:val="true"/>
          <w:lang w:bidi="ar-SA"/>
        </w:rPr>
        <w:t>و لو كان ناسيا أو ظانا، فلا إثم و أعادها معه، ليدرك فضل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إعادة العامد تردّد، من حيث المساواة لليومية في عدم إعادة العامد، و لأنّها أركان</w:t>
      </w:r>
      <w:r>
        <w:rPr>
          <w:rStyle w:val="FootnoteAnchor"/>
          <w:rtl w:val="true"/>
        </w:rPr>
        <w:footnoteReference w:id="2659"/>
      </w:r>
      <w:r>
        <w:rPr>
          <w:rFonts w:ascii="Amiri" w:hAnsi="Amiri" w:eastAsia="Amiri" w:cs="Amiri"/>
          <w:color w:val="111111"/>
          <w:sz w:val="28"/>
          <w:sz w:val="28"/>
          <w:szCs w:val="28"/>
          <w:rtl w:val="true"/>
          <w:lang w:bidi="ar-SA"/>
        </w:rPr>
        <w:t>زيادتها كنقصانها، و من أنّها ذكر للّه تعالى فلا تبطل الصلاة بتكرّره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تخلّف عن الإمام عمدا، حتى سبقه بتكبيرة فصاعدا، فالوجه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تبطل و يأتي بالفائت بعد الفراغ، لأصالة الصحة، و عدم وجوب أصل الاقتداء، و كما لو تعمّد التأخّر بركن في اليومية، و ان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البطلان، لأن الاقتداء في الجنازة أثره في المتابعة في التكبير، و هذا تخلّف 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كان التخلّف سهوا لم يؤثر، لعدم مؤاخذة الساهي</w:t>
      </w:r>
      <w:r>
        <w:rPr>
          <w:rFonts w:eastAsia="Amiri" w:cs="Amiri" w:ascii="Amiri" w:hAnsi="Amiri"/>
          <w:color w:val="111111"/>
          <w:sz w:val="28"/>
          <w:szCs w:val="28"/>
          <w:rtl w:val="true"/>
          <w:lang w:bidi="ar-SA"/>
        </w:rPr>
        <w:t xml:space="preserve">. </w:t>
      </w:r>
      <w:bookmarkStart w:id="1271" w:name="pg15253_219975"/>
    </w:p>
    <w:p>
      <w:pPr>
        <w:pStyle w:val="Heading6"/>
        <w:numPr>
          <w:ilvl w:val="5"/>
          <w:numId w:val="1"/>
        </w:numPr>
        <w:rPr/>
      </w:pPr>
      <w:bookmarkStart w:id="1272" w:name="__RefHeading___Toc4192613_2142443653"/>
      <w:bookmarkStart w:id="1273" w:name="_Toc512"/>
      <w:bookmarkEnd w:id="1271"/>
      <w:bookmarkEnd w:id="1272"/>
      <w:r>
        <w:rPr>
          <w:rtl w:val="true"/>
        </w:rPr>
        <w:t>الرابعة</w:t>
      </w:r>
      <w:r>
        <w:rPr>
          <w:rtl w:val="true"/>
        </w:rPr>
        <w:t xml:space="preserve">: </w:t>
      </w:r>
      <w:r>
        <w:rPr>
          <w:rtl w:val="true"/>
        </w:rPr>
        <w:t>لو حضرت جنازة أخرى في أثناء الصلاة،</w:t>
      </w:r>
      <w:bookmarkEnd w:id="1273"/>
    </w:p>
    <w:p>
      <w:pPr>
        <w:pStyle w:val="BookText"/>
        <w:rPr/>
      </w:pPr>
      <w:r>
        <w:rPr>
          <w:rFonts w:ascii="Amiri" w:hAnsi="Amiri" w:eastAsia="Amiri" w:cs="Amiri"/>
          <w:color w:val="111111"/>
          <w:sz w:val="28"/>
          <w:sz w:val="28"/>
          <w:szCs w:val="28"/>
          <w:rtl w:val="true"/>
          <w:lang w:bidi="ar-SA"/>
        </w:rPr>
        <w:t>قال الصدوقان 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في الإتمام على الأولى ثم يستأنف أخرى على الثانية، و في إبطال الاولى و استئناف الصلاة عليهما</w:t>
      </w:r>
      <w:r>
        <w:rPr>
          <w:rStyle w:val="FootnoteAnchor"/>
          <w:rtl w:val="true"/>
        </w:rPr>
        <w:footnoteReference w:id="2660"/>
      </w:r>
      <w:r>
        <w:rPr>
          <w:rFonts w:ascii="Amiri" w:hAnsi="Amiri" w:eastAsia="Amiri" w:cs="Amiri"/>
          <w:color w:val="111111"/>
          <w:sz w:val="28"/>
          <w:sz w:val="28"/>
          <w:szCs w:val="28"/>
          <w:rtl w:val="true"/>
          <w:lang w:bidi="ar-SA"/>
        </w:rPr>
        <w:t xml:space="preserve">لأنّ في كلّ من الطريقين تحصيل الصلاة، و لرواية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 كبّروا على جنازة تكبيرة أو تكبيرتين و وضعت معها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شاءوا تركوا الأولى حتى يفرغوا من التكبير على الأخيرة، و إن شاءوا رفعوا الاولى و أتمّوا التكبير على الأخيرة، كلّ ذلك لا بأس به</w:t>
      </w:r>
      <w:r>
        <w:rPr>
          <w:rFonts w:eastAsia="Amiri" w:cs="Amiri" w:ascii="Amiri" w:hAnsi="Amiri"/>
          <w:color w:val="111111"/>
          <w:sz w:val="28"/>
          <w:szCs w:val="28"/>
          <w:rtl w:val="true"/>
          <w:lang w:bidi="ar-SA"/>
        </w:rPr>
        <w:t>»</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قاصرة عن إفادة المدّعى، إذ ظاهرها انّ ما بقي من تكبير الاولى محسوب للجنازتين، فإذا فرغ من تكبير الاولى تخيّروا بين تركها بحالها حتى يكملوا التكبير على الأخيرة، و بين رفعها من مكانها و الإتمام على الأخيرة، و ليس في هذا دلالة على إبطال الصلاة على الاولى بوجه، هذا مع تحريم قطع العبادة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خيف على الجنائز قطعت الصلاة ثم استأنف عليها، لأنّه قطع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مضمون الرواية يشكل بعدم تناول النيّة أولا للثانية، فكيف يصرف باقي التكبير إليها مع توقّف العمل على النّية؟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إحداث نيّة من الآن لتشريك باقي التكبير على الجنازتين، و هو يتم إذا قلنا أنّ محل النيّة الثانية لم يفت ما بقي التكبير، لأنّ الواجب خمس تكبيرات على الجنازة بأذكارها المخصوصة، و قد حصل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إن قلنا بجمع الأذكار مع كلّ تكبيرة فلا بحث، و إلاّ فالأولى الجمع بين وظيفة التكبير بالنسبة إلى الجنازتين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الجنيد يجوّز للإمام جمعهما الى ان يتم على الثانية خمسا، و إن شاء أن يومئ إلى أهل الأولى ليأخذوها و يتمّ على الثانية خمسا، و هو أشدّ طباقا للرواية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تأوّل الشيخ رواية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bookmarkStart w:id="1274" w:name="pg15253_219976"/>
    </w:p>
    <w:p>
      <w:pPr>
        <w:pStyle w:val="BookText"/>
        <w:rPr/>
      </w:pPr>
      <w:bookmarkEnd w:id="12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إحدى عشرة و سبعا و ستا</w:t>
      </w:r>
      <w:r>
        <w:rPr>
          <w:rFonts w:eastAsia="Amiri" w:cs="Amiri" w:ascii="Amiri" w:hAnsi="Amiri"/>
          <w:color w:val="111111"/>
          <w:sz w:val="28"/>
          <w:szCs w:val="28"/>
          <w:rtl w:val="true"/>
          <w:lang w:bidi="ar-SA"/>
        </w:rPr>
        <w:t>»</w:t>
      </w:r>
      <w:r>
        <w:rPr>
          <w:rStyle w:val="FootnoteAnchor"/>
          <w:rtl w:val="true"/>
        </w:rPr>
        <w:footnoteReference w:id="2662"/>
      </w:r>
      <w:r>
        <w:rPr>
          <w:rFonts w:ascii="Amiri" w:hAnsi="Amiri" w:eastAsia="Amiri" w:cs="Amiri"/>
          <w:color w:val="111111"/>
          <w:sz w:val="28"/>
          <w:sz w:val="28"/>
          <w:szCs w:val="28"/>
          <w:rtl w:val="true"/>
          <w:lang w:bidi="ar-SA"/>
        </w:rPr>
        <w:t>بالحمل على حضور جنازة ثانية، فيبتدئ من حين انتهى خمسا، و هكذا</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5" w:name="__RefHeading___Toc4192615_2142443653"/>
      <w:bookmarkStart w:id="1276" w:name="_Toc513"/>
      <w:bookmarkEnd w:id="1275"/>
      <w:r>
        <w:rPr>
          <w:rtl w:val="true"/>
        </w:rPr>
        <w:t>الخامسة</w:t>
      </w:r>
      <w:r>
        <w:rPr>
          <w:rtl w:val="true"/>
        </w:rPr>
        <w:t xml:space="preserve">: </w:t>
      </w:r>
      <w:r>
        <w:rPr>
          <w:rtl w:val="true"/>
        </w:rPr>
        <w:t>يستحبّ ملازمة الإمام مكانه</w:t>
      </w:r>
      <w:bookmarkEnd w:id="1276"/>
    </w:p>
    <w:p>
      <w:pPr>
        <w:pStyle w:val="BookText"/>
        <w:rPr/>
      </w:pPr>
      <w:r>
        <w:rPr>
          <w:rFonts w:ascii="Amiri" w:hAnsi="Amiri" w:eastAsia="Amiri" w:cs="Amiri"/>
          <w:color w:val="111111"/>
          <w:sz w:val="28"/>
          <w:sz w:val="28"/>
          <w:szCs w:val="28"/>
          <w:rtl w:val="true"/>
          <w:lang w:bidi="ar-SA"/>
        </w:rPr>
        <w:t>حتى ترفع الجنازة على أيدي الرجال، قاله الأصحاب</w:t>
      </w:r>
      <w:r>
        <w:rPr>
          <w:rStyle w:val="FootnoteAnchor"/>
          <w:rtl w:val="true"/>
        </w:rPr>
        <w:footnoteReference w:id="2664"/>
      </w:r>
      <w:r>
        <w:rPr>
          <w:rFonts w:ascii="Amiri" w:hAnsi="Amiri" w:eastAsia="Amiri" w:cs="Amiri"/>
          <w:color w:val="111111"/>
          <w:sz w:val="28"/>
          <w:sz w:val="28"/>
          <w:szCs w:val="28"/>
          <w:rtl w:val="true"/>
          <w:lang w:bidi="ar-SA"/>
        </w:rPr>
        <w:t xml:space="preserve">و هو مروي بطريق حفص بن غياث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صلّى على جنازة، لم يبرح من مصلاّه حتى يراها على أيدي الرّجال</w:t>
      </w:r>
      <w:r>
        <w:rPr>
          <w:rFonts w:eastAsia="Amiri" w:cs="Amiri" w:ascii="Amiri" w:hAnsi="Amiri"/>
          <w:color w:val="111111"/>
          <w:sz w:val="28"/>
          <w:szCs w:val="28"/>
          <w:rtl w:val="true"/>
          <w:lang w:bidi="ar-SA"/>
        </w:rPr>
        <w:t>»</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مخصوص بالإمام فغيره لا يستحبّ له ذلك، كما قاله ابن الجنيد</w:t>
      </w:r>
      <w:r>
        <w:rPr>
          <w:rFonts w:eastAsia="Amiri" w:cs="Amiri" w:ascii="Amiri" w:hAnsi="Amiri"/>
          <w:color w:val="111111"/>
          <w:sz w:val="28"/>
          <w:szCs w:val="28"/>
          <w:rtl w:val="true"/>
          <w:lang w:bidi="ar-SA"/>
        </w:rPr>
        <w:t>.</w:t>
      </w:r>
    </w:p>
    <w:p>
      <w:pPr>
        <w:pStyle w:val="Heading6"/>
        <w:numPr>
          <w:ilvl w:val="5"/>
          <w:numId w:val="1"/>
        </w:numPr>
        <w:rPr/>
      </w:pPr>
      <w:bookmarkStart w:id="1277" w:name="__RefHeading___Toc4192617_2142443653"/>
      <w:bookmarkStart w:id="1278" w:name="_Toc514"/>
      <w:bookmarkEnd w:id="1277"/>
      <w:r>
        <w:rPr>
          <w:rtl w:val="true"/>
        </w:rPr>
        <w:t>السادسة</w:t>
      </w:r>
      <w:r>
        <w:rPr>
          <w:rtl w:val="true"/>
        </w:rPr>
        <w:t xml:space="preserve">: </w:t>
      </w:r>
      <w:r>
        <w:rPr>
          <w:rtl w:val="true"/>
        </w:rPr>
        <w:t xml:space="preserve">تضمّن خبر أم سلمة الصلاة على الأنبياء من فعل النبي </w:t>
      </w:r>
      <w:r>
        <w:rPr>
          <w:rtl w:val="true"/>
        </w:rPr>
        <w:t>(</w:t>
      </w:r>
      <w:r>
        <w:rPr>
          <w:rtl w:val="true"/>
        </w:rPr>
        <w:t>صلّى اللّه عليه و آله</w:t>
      </w:r>
      <w:r>
        <w:rPr>
          <w:rtl w:val="true"/>
        </w:rPr>
        <w:t>)</w:t>
      </w:r>
      <w:bookmarkEnd w:id="1278"/>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خبر أم سلمة الصلاة على الأنبياء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666"/>
      </w:r>
    </w:p>
    <w:p>
      <w:pPr>
        <w:pStyle w:val="BookText"/>
        <w:rPr/>
      </w:pPr>
      <w:r>
        <w:rPr>
          <w:rFonts w:ascii="Amiri" w:hAnsi="Amiri" w:eastAsia="Amiri" w:cs="Amiri"/>
          <w:color w:val="111111"/>
          <w:sz w:val="28"/>
          <w:sz w:val="28"/>
          <w:szCs w:val="28"/>
          <w:rtl w:val="true"/>
          <w:lang w:bidi="ar-SA"/>
        </w:rPr>
        <w:t>فيحمل على الاستحباب، للأصل الدالّ على عدم الوجوب، و خلو أكثر الأخبار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تجب الصلاة على آل محمد إذا صلّي عليه كما تضمنته الأخبار</w:t>
      </w:r>
      <w:r>
        <w:rPr>
          <w:rFonts w:eastAsia="Amiri" w:cs="Amiri" w:ascii="Amiri" w:hAnsi="Amiri"/>
          <w:color w:val="111111"/>
          <w:sz w:val="28"/>
          <w:szCs w:val="28"/>
          <w:rtl w:val="true"/>
          <w:lang w:bidi="ar-SA"/>
        </w:rPr>
        <w:t>.</w:t>
      </w:r>
    </w:p>
    <w:p>
      <w:pPr>
        <w:pStyle w:val="Heading6"/>
        <w:numPr>
          <w:ilvl w:val="5"/>
          <w:numId w:val="1"/>
        </w:numPr>
        <w:rPr/>
      </w:pPr>
      <w:bookmarkStart w:id="1279" w:name="__RefHeading___Toc4192619_2142443653"/>
      <w:bookmarkStart w:id="1280" w:name="_Toc515"/>
      <w:bookmarkEnd w:id="1279"/>
      <w:r>
        <w:rPr>
          <w:rtl w:val="true"/>
        </w:rPr>
        <w:t>السابعة</w:t>
      </w:r>
      <w:r>
        <w:rPr>
          <w:rtl w:val="true"/>
        </w:rPr>
        <w:t xml:space="preserve">: </w:t>
      </w:r>
      <w:r>
        <w:rPr>
          <w:rtl w:val="true"/>
        </w:rPr>
        <w:t>تجوز الصلاة على الميت ليلا و دفنه فيه،</w:t>
      </w:r>
      <w:bookmarkEnd w:id="1280"/>
    </w:p>
    <w:p>
      <w:pPr>
        <w:pStyle w:val="BookText"/>
        <w:rPr/>
      </w:pPr>
      <w:r>
        <w:rPr>
          <w:rFonts w:ascii="Amiri" w:hAnsi="Amiri" w:eastAsia="Amiri" w:cs="Amiri"/>
          <w:color w:val="111111"/>
          <w:sz w:val="28"/>
          <w:sz w:val="28"/>
          <w:szCs w:val="28"/>
          <w:rtl w:val="true"/>
          <w:lang w:bidi="ar-SA"/>
        </w:rPr>
        <w:t xml:space="preserve">لعموم الأخبار الدالّة على تعجيله، و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ألفين رجلا منكم مات له ميت ليلا فانتظر به الصبح، و لا رجلا مات له ميت نهارا فانتظر به الليل</w:t>
      </w:r>
      <w:r>
        <w:rPr>
          <w:rFonts w:eastAsia="Amiri" w:cs="Amiri" w:ascii="Amiri" w:hAnsi="Amiri"/>
          <w:color w:val="111111"/>
          <w:sz w:val="28"/>
          <w:szCs w:val="28"/>
          <w:rtl w:val="true"/>
          <w:lang w:bidi="ar-SA"/>
        </w:rPr>
        <w:t>»</w:t>
      </w:r>
      <w:r>
        <w:rPr>
          <w:rStyle w:val="FootnoteAnchor"/>
          <w:rtl w:val="true"/>
        </w:rPr>
        <w:footnoteReference w:id="2667"/>
      </w:r>
      <w:r>
        <w:rPr>
          <w:rFonts w:ascii="Amiri" w:hAnsi="Amiri" w:eastAsia="Amiri" w:cs="Amiri"/>
          <w:color w:val="111111"/>
          <w:sz w:val="28"/>
          <w:sz w:val="28"/>
          <w:szCs w:val="28"/>
          <w:rtl w:val="true"/>
          <w:lang w:bidi="ar-SA"/>
        </w:rPr>
        <w:t>و هذا يدلّ على مساواة الليل للنّهار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أفضل، إلاّ أن يخاف على الميت</w:t>
      </w:r>
      <w:r>
        <w:rPr>
          <w:rStyle w:val="FootnoteAnchor"/>
          <w:rtl w:val="true"/>
        </w:rPr>
        <w:footnoteReference w:id="2668"/>
      </w:r>
      <w:r>
        <w:rPr>
          <w:rFonts w:ascii="Amiri" w:hAnsi="Amiri" w:eastAsia="Amiri" w:cs="Amiri"/>
          <w:color w:val="111111"/>
          <w:sz w:val="28"/>
          <w:sz w:val="28"/>
          <w:szCs w:val="28"/>
          <w:rtl w:val="true"/>
          <w:lang w:bidi="ar-SA"/>
        </w:rPr>
        <w:t>و لعلّه ليكثر اجتماع الناس عليه</w:t>
      </w:r>
      <w:r>
        <w:rPr>
          <w:rFonts w:eastAsia="Amiri" w:cs="Amiri" w:ascii="Amiri" w:hAnsi="Amiri"/>
          <w:color w:val="111111"/>
          <w:sz w:val="28"/>
          <w:szCs w:val="28"/>
          <w:rtl w:val="true"/>
          <w:lang w:bidi="ar-SA"/>
        </w:rPr>
        <w:t xml:space="preserve">. </w:t>
      </w:r>
      <w:bookmarkStart w:id="1281" w:name="pg15253_219977"/>
    </w:p>
    <w:p>
      <w:pPr>
        <w:pStyle w:val="Heading6"/>
        <w:numPr>
          <w:ilvl w:val="5"/>
          <w:numId w:val="1"/>
        </w:numPr>
        <w:rPr/>
      </w:pPr>
      <w:bookmarkStart w:id="1282" w:name="__RefHeading___Toc4192621_2142443653"/>
      <w:bookmarkStart w:id="1283" w:name="_Toc516"/>
      <w:bookmarkEnd w:id="1281"/>
      <w:bookmarkEnd w:id="1282"/>
      <w:r>
        <w:rPr>
          <w:rtl w:val="true"/>
        </w:rPr>
        <w:t>الثامنة</w:t>
      </w:r>
      <w:r>
        <w:rPr>
          <w:rtl w:val="true"/>
        </w:rPr>
        <w:t xml:space="preserve">: </w:t>
      </w:r>
      <w:r>
        <w:rPr>
          <w:rtl w:val="true"/>
        </w:rPr>
        <w:t>لو زاد في التكبير متعمّدا لم تبطل،</w:t>
      </w:r>
      <w:bookmarkEnd w:id="1283"/>
    </w:p>
    <w:p>
      <w:pPr>
        <w:pStyle w:val="BookText"/>
        <w:rPr/>
      </w:pPr>
      <w:r>
        <w:rPr>
          <w:rFonts w:ascii="Amiri" w:hAnsi="Amiri" w:eastAsia="Amiri" w:cs="Amiri"/>
          <w:color w:val="111111"/>
          <w:sz w:val="28"/>
          <w:sz w:val="28"/>
          <w:szCs w:val="28"/>
          <w:rtl w:val="true"/>
          <w:lang w:bidi="ar-SA"/>
        </w:rPr>
        <w:t>لأنّه خرج بالخامسة من الصلاة فكانت زيادة خارجة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باستحباب التسليم فكذلك، لأنّه لا يعدّ جزء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اعتقد شرعيته فهو آثم،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زاد في الأثناء معتقدا شرعيّته أثم أيضا، 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البطلان، لما سبق في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زاد الإمام على المقدّر لم يتابعه المأموم بل ينصرف، لأنّه غير معتدّ به في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الإمام الأكبر هو المكبّر فالواجب اتّباعه، زاد على الخمس أو نقص</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أراد به المعصوم، و التأسّي به واجب، أمّا في النقيصة فلعلّ الميت من أهلها، و أمّا في الزيادة فكما مرّ من فعل النبي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لدليل جلي من دلائل عدّة، و شاهد بارز من شواهد كثيرة، على سموّ فكر علماء الشيعة و نقاء سريرتهم و عدم إبائهم من تلقّي شتّى العلوم و المعارف عن طريق علماء سائر المذاهب، مجرّدين أذهانهم بذلك عن كلّ حقد و تعصّب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لم يمنعهم علوّ مرتبتهم و جلالة مقامهم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باعتراف أكابر هذه المذاهب و فضلائها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 بذلك</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الجواهر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لعليّ بن محمّد الجبعي العاملي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شمس الدين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الإمام الشهيد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خطبة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مقتطفات من كلام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لاحظ نهج البلاغة، الخطبة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وَ ما جَعَلَ عَلَيْكُمْ فِي اَلدِّينِ مِنْ حَرَجٍ،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المرتضى في جوابات المسائل الرسية الأولى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زهرة الحلبي في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الراد علينا الراد على اللّه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 قطعة منه في الكافي أيضا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إشارة إلى القول بكفاية اتفاق المشايخ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و الصدوق و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إخراج رواية الرجل في وثاقته و الاعتماد على خبره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 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943:2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عدّة نسخ من الذكرى معوّل على صحتها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الموثق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الموثق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المسائل التبانيات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واحد لا مع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السيد المرتضى في جوابات المسائل التبانيات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صوف أو خز كان يؤتزر به، مرحّل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الموشّى عليه صورة رحال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مادتي مرط، رحل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الصحابة، المعجم الصغير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فجلله بكساء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663:5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3787</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و أنظره في متن تحفة الاحوذي بشرح جامع الترمذي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كما في المتن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و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ابن عساكر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 و رواه أيضا الطبراني في المعجم الكبير كما في مجمع الزوائد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و رواه البزار و الطبراني في الثلاثة كما في مجمع الزوائد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 و ابن المغازلي في مناقب الامام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الخوارزمي في مقتل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367:4</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663:5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عن ميناء بن أبي ميناء مولى عبد الرحمن بن عوف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الكافي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روته العامّة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متفق عليه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المحقق الحلي في المعتبر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365:6</w:t>
      </w:r>
      <w:r>
        <w:rPr>
          <w:rFonts w:ascii="IRNazanin" w:hAnsi="IRNazanin" w:eastAsia="IRNazanin"/>
          <w:b w:val="false"/>
          <w:b w:val="false"/>
          <w:bCs w:val="false"/>
          <w:i w:val="false"/>
          <w:i w:val="false"/>
          <w:iCs w:val="false"/>
          <w:color w:val="333333"/>
          <w:sz w:val="20"/>
          <w:sz w:val="20"/>
          <w:szCs w:val="20"/>
          <w:rtl w:val="true"/>
        </w:rPr>
        <w:t xml:space="preserve">، سنن الدارمي في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قابلها الريح في دنها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عجزه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صلّى اللّه عليه و آله، و في التهذيب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عن النبي صلّى اللّه عليه و آله، و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الصعيد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النجاشي في رجاله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المعتبر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 ذكر خلاف الصدوق في ماء الورد و دليله و إبطاله،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الوضوء بماء النبيذ، ثم ذكر خلاف أبي حنيفة فيه، ثم أخذ في الاستدلال عليه، و قال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اتفق الناس جميعا انه لا يجوز الوضوء بغيره من المائعات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محمد حسن النجفي في جواهر الكلام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مرجع الضمير انما هو النبيذ، لكنه في الذكرى نقل عنه هذه العبارة بإبدال ضمير غيره بماء الورد، و مثله في المدارك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لعلهما عثرا على غير ما عثرنا عليه، أو يكون فهما منه ذلك لكونه في معرض الرد على أبي حنيفة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الأول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الثاني سيأتي في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في المصنف لعبد الرزاق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في سنن ابن ماجة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حكاه عن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سعيد في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باختصار في الألفاظ</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5590</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الفقيه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تقدم 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دار بني ساعدة بالمدينة و بئرها معروفة، فيها أفتى النبي صلّى اللّه عليه و آله بان الماء طهور ما لم يتغير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معجم البلدان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المعتبر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بصريح في ذلك،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المحقق في المعتبر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المحقق في المعتبر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العذرة و الروث لأنه رجع من حالته الأولى بعد أن كان طعاما أو علفا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رجع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للاقتصار على</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الأسود المتغير،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حمأ</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الروايتان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ظاهر الصدوق في الفقيه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قرية قرب المدينة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تنسب إليها القلال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القلال الهجرية،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إلى غيرها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عن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المصنف قطعة من الحديث في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الألفاظ وردت في الروايات التالية على التوالي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اشترطه ابن إدريس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باختصار في الألفاظ</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كردويه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باختصار في الألفاظ</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أبو حنيفة، لاحظ اللباب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المبخرة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يشم منها الرائحة الكريهة كالجيفة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بخر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للإمام للكاظم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رواه الصدوق في الفقيه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التشابه، و المثبت من س</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تمعّط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تساقط من داء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معط</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باختصار في الألفاظ</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باختصار في الألفاظ</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المصنف لابن أبي شيبة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يده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الكافي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نظيف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حكاه عن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 يتخذ للخمر و الخل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ركي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مسند أبي يعلى الموصلي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الجمل و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حيث أفتى بنجاسة دم غير ذي النفس</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حيث قال بعدم نجاسة دم غير ذي النفس</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باختصار في الألفاظ</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باختصار في ألفاظه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 حكاه عن ابن أبي عقيل 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نلاحظه في الوسيلة، و لعله في كتابه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الواسطة،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النجاسة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نهاية الإحكام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صريح بالنجاسة، و ما أثبته المصنف عن العلامة أنظره في تذكرة الفقهاء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الثلاث الاسكركة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عليها و لعله انفرد بروايتها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تلخيص الحبير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طيبة، و يترجم الاسمان في كتب التراجم على ان الأول حجام النبي صلّى اللّه عليه و آله و الثاني صاحب منحته، و لعل المراد في الحديث الأول، بقرينة الحجامة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الكنى و الأسماء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أصل الحديث و رواته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861:2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العرنيين حي من بجيلة من قحطان،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معجم قبائل العرب </w:t>
      </w:r>
      <w:r>
        <w:rPr>
          <w:rFonts w:eastAsia="IRNazanin" w:cs="IRNazanin"/>
          <w:b w:val="false"/>
          <w:bCs w:val="false"/>
          <w:i w:val="false"/>
          <w:iCs w:val="false"/>
          <w:color w:val="333333"/>
          <w:sz w:val="20"/>
          <w:szCs w:val="20"/>
        </w:rPr>
        <w:t>776:2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يخرج من بطن الجدي أصفر، يعصر في صوفة مبتلة في اللبن فيغلظ كالجبن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نفح</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الكافي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معرفة السنن و الآثار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في 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 البنت، و الرواية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على الندب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406:3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تحرم الصلاة فيه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لاحظناه في تذكرة الفقهاء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حكى كلام الشهيد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موثقة عمار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هي في التهذيب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الشاذكونة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غلاظ مضرّبة تعمل باليمن،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حصير صغير يتخذ للافتراش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شذك</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الأحمر الذي يصبغ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مغر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بأطراف الأصابع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القلع بالظفر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قرص</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البحراني في الحدائق الناضرة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وقفت عليه مما يتعلق بهذا المقام روايات ثلاث، و هي لا تعرض في شيء منها لما ذكروه من الدق و التغميز و التقليب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الشيخ محمد حسن في جواهر الكلام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فيما وصل إلينا من الروايات على شيء من ذلك</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يحك بطرف حجر أو عود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حتت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راجع الحدائق الناضرة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المحقق في المعتبر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و 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بدون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المتعارف من 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 بالصدوقين انحصر اعتبار الجفاف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عمار في التهذيب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مفتاح الكرامة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نقل إجماع الشيخ عن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أشار إلى ما في الخلاف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مع الغسلات الثلاث يحصل الإجماع على طهارته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انما استدل على ذلك بالخبر و الاحتياط و لم يستدل بالإجماع</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الإناء المطلي بطين اخضر لازق يمنع خروج شيء منه أو نفوذ شيء إليه،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غضر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حكاه عن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و 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عمار تقدمت في الهامش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رواية علي بن جعفر في التهذيب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الأخير من الحصر و البواري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لعلامة التثنية، و الحصر و البواري مقحمة إذ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تحت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الأخيرين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الجزر و نحر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جزر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الدلو العظيم، لا يقال لها ذنوب الا و فيها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ذنب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450:1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الموارد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816:277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حمار ميت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في تاريخه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مسند أحمد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باختصار في الألفاظ</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باختلاف في ألفاظ الحديث</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466:1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466:1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التفاحش</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باختصار في الألفاظ</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عن محمد بن مسلم عن أحدهما عليهما السلام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لتساويهما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حكاه عن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كالراوندي، كما في المعتبر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في الفقيه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قوله في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268:6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صفر و خزف يشرب منه و يتوضأ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تور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قبيعة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مقبضه من فضة أو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قبع</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عرفجة بن أسعد بن كريب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صحبة و معدود في أهل البصرة، أصيب أنفه يوم الكلاب في الجاهلية، فاتخذ أنفا من ورق فأنتن، فأمره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في ترجمته بأن يتخذ أنفا 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نعل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في أسفل جفنه من حديدة أو 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نعل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قائم السيف و قائمته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قوم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باختصار في الألفاظ</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الشيء الذي يجعل فيه 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جمر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 مركّب من مسك و عنبر و كافور و دهن البان و عود، و ظرف 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غلا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موّهت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طليته بفضة أو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موه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163:8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الشيخ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برواية هذه اللفظة، إذ الذي عثرنا عليه في المصادر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السرة و الفخذ و الركبة في المسجد من العورة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أو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للرجل أن يكشف ثيابه عن فخذه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الخصال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حديث الأربعمائة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ترديد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من الحديث</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يطيب الريح</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كريهة توجد من الإنسان إذا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سهك</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يخلط بالوسمة يختضب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كتم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العظلم يختضب به، و العظلم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يصبغ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مادتي وسم، عظلم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يقع في العضو فيأتكل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 أكل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ضنا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مزاج من أمزجة البدن، و هي إحدى الطبائع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و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مرر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يتطيب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323:75:1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الونى</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1226:2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عن الصادق عليه السلام في قصة شيب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المتقي الهندي الرواية في كنز العمال </w:t>
      </w:r>
      <w:r>
        <w:rPr>
          <w:rFonts w:eastAsia="IRNazanin" w:cs="IRNazanin"/>
          <w:b w:val="false"/>
          <w:bCs w:val="false"/>
          <w:i w:val="false"/>
          <w:iCs w:val="false"/>
          <w:color w:val="333333"/>
          <w:sz w:val="20"/>
          <w:szCs w:val="20"/>
        </w:rPr>
        <w:t>603:16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الصدوق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بإسناده عن رسول اللّه صلّى اللّه عليه و آله، و اخرج المتقي الهندي في كنز العمال </w:t>
      </w:r>
      <w:r>
        <w:rPr>
          <w:rFonts w:eastAsia="IRNazanin" w:cs="IRNazanin"/>
          <w:b w:val="false"/>
          <w:bCs w:val="false"/>
          <w:i w:val="false"/>
          <w:iCs w:val="false"/>
          <w:color w:val="333333"/>
          <w:sz w:val="20"/>
          <w:szCs w:val="20"/>
        </w:rPr>
        <w:t>604:16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رواية تتضمن الجملتين، أي الواشمة و النامصة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الثلاث، و لا يخفى أن ما ذكره من الوجه للحرمة، و انه لا حرمة من الاذن، يتناسب مع الواصلة و المستوصلة و ليس مع النامصة و المنتمصة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بعد نقل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النامصة التي تنتف الشعر من الوجه، و المنتمصة التي يفعل بها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الواصلة التي تصل شعر المرأة بشعر امرأة غيرها، و المستوصلة التي يفعل ذلك بها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صفرة تعلو الأسنان،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495:6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4017</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و 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و الرازي في العلل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كما في تلخيص الحبير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جواهر الكلام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حكى الحكم عن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ان المستند في أصل الحكم الإجماعات المنقولة، مع نسبته له في الذكرى الى الرواية، و لعل أشار الى ما رواه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يكفي أحدكم ثلاثة أحجار إذا لم يتجاوز المحل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مسند أحمد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438:5</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الخبر علتان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المحقق في المعتبر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نلاحظه فيما مر، و هو في التهذيب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الجنب أو على غير وضوء لا يكون معه ماء، و هو يصيب ثلجا و صعيدا، أيها أفضل؟ أ يتيمم أم يمسح بالثلج وجهه؟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الثلج إذا بلّ رأسه و جسده أفضل، فإن لم يقدر على أن يغتسل به فليتيمم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للضرورة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تمامه في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باختصار في الألفاظ</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 في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المغيرة 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باختصار في الألفاظ</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السن الكبرى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مفقود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بإتيانها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و تقدمت في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حكاه عن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1079:4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نريد،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مزيل، 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التأمل الصحيح هو المتثبت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المسجدين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 س</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الشيخ في التهذيب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سماعة في التهذيب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باختصار في الألفاظ</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288:4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عن محمد بن إسماعيل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الأسكتان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 الفرج، و هما قذّتاه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اسك</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عن البرقي رفعه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المتقدم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المحقق في المعتبر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عن عبيد بن زرارة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قد استفيد الإجماع على المسألة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و نسب الى الشيخ ذلك أغلب من تعرض للمسألة،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الجمل و القعود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باختصار في الألفاظ</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رومية،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أبي الصلاح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نقل الرواية بالمعنى انظر التهذيب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الخبران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المشيخة للحسن بن محبوب</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باختصار في ألفاظ الحديث</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منه ما أثبتناه بين المعقوفين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59.137:1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على التوالي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قضية حمنة و أم حبيبة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ابن سنان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معاوية بن عمار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لصدق</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الأول في التهذيب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 الخبر الثاني في التهذيب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و لا حظ الهامش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 في الجميع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تستظهر بيومين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للمفيد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كذا يتضح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شرح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و الحديث فيه برقم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المرغمتان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سجدتا السهو، سميتا بذلك لكون فعلهما يرغم أنف الشيطان و يذله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509154:5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نسخة من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البزنطي</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الحسن بن محبوب</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أبي عبيدة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يقرءان من القرآن ما شاءا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باختلاف في الألفاظ</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10952</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1093:2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و في الجميع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تحبسك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تجيئك</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باختصار في الألفاظ</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كانت تأمر بذلك المؤمنات</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زرارة في الكافي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معروفة يهذى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برسم</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تحتهن</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أعلى عليين</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806:2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4494</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بالمضمون</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ما في الجامع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عن الحلبي حديثا في معناه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698:1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باختصار في الألفاظ</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اللمس</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باختصار في الألفاظ</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و في الكافي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أخرجها المحقق في المعتبر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البزنطي</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في الحادثة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تلخيص الحبير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حكاه عن علي 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بإضافة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دفن</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1030:2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قرب المدينة، بينها و بين الجحفة مسافة، و بها قبر آمنة بنت وهب أم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المرتضى و 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المحقق في المعتبر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حنظلة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6986</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xml:space="preserve">، و لاحظ المصنف لابن أبي شيبة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و في الجميع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ينزع</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الفرو</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روي عن النبي صلّى اللّه عليه و آله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 xml:space="preserve">، ترتيب مسند الشافعي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صحيفة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يغسل</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الشارع</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بالتطهر</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و في الجميع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ترفق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يتفق</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باليدين و الدبر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الكافي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مضمرا</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صعبت</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الأشنان، و الأشنان معروف تغسل به الأيدي،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اشن</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فاصنع كما صنعت أول مرة، اغسله بثلاث غسلات بماء الكافور</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الثلاث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المصدر و هو الصحيح</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باختصار في الألفاظ</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الذريرة في الغسلة الثانية</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القميص</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1656:3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عبد اللّه بن المغيرة</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يستحب</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السابق</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ذلك من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المحقق في المعتبر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و العلامة في نهاية الإحكام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سبرة مؤذن بني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من المصدر</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و ما أثبتناه من ط، و المصادر</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الكافي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متفاحش</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تغسيل النبي صلّى اللّه عليه و آله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أوجه</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الكافي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 و العلامة في تذكرة الفقهاء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قوله المتقدم في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ثوب</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المحقق في المعتبر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 و العلامة في نهاية الإحكام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نحوه في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الكبير</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محمد بن سهل المتقدمة في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704:1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المهذب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عشر درهما و ثلث، و لعل المصنف نقل عن غيره</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ط،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الكفن</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الشيخين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للنابغة الذبياني، راجع ديوانه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الحديث في الكافي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اطرح طرفيها على صدره</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باختصار في الألفاظ</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2392:6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و منهما ما أثبتناه بين المعقوفين</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مصادر أبناء العامة المتوفرة لدينا، و نقله السيد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من طرق معروفة أن سفيان الثوري سأل يحيى بن عبادة الملكي عن التخضير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خضروا صاحبكم</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الميت</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و حكاه عن والده 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706:1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الشيخ في المبسوط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887:305:1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لم يذكر الغسل</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أنس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1673:4</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527:2</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باختصار في الألفاظ</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تبع</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باللّه و صلى اللّه</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سجع الحمام في حكم الامام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التمثيل و المحاضرة للثعالبي، 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6267</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482:1</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و بسند آخر في الكافي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بسرير</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التمييز</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المبسوط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406:4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المصنف لابن شيبة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4056</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3167:202:3</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باختصار في الألفاظ</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فيستحب</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 الطوسي في التهذيب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محمد بن سعيد عن عزوان عن السكوني، و في الاستبصار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محمد بن سعيد بن غزوان عن السكوني، و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110:16</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320:10</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البزنطي</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الام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تقدمت في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المحلى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مثالا</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قدّرنا</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في مسند أحمد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سواد، و 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يمكنوا</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قوله في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1070382:3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تاريخ دمشق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خروج الفضلات، أي الكنيف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الموضعين من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حرج</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الدليل الثاني للمسألة الثالثة</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بصفات</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النبوي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1810:5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البزار و البيهقي في المعرفة و غيرهم</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و في الكافي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اليسع بن عبد اللّه القمي</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مذهب بعض العامة، راجع شرح صحيح مسلم للنووي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اشترطه بعض الشافعية،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1079:4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659:2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سريج،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شرح النووي و لعله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شرح النووي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القارئ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باختصار في ألفاظ الحديث</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xml:space="preserve">، و رواية أبي بصير فيهما برقم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تحميد</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التهذيب، و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الحلبي عن زرارة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 هذا كله في التكبيرة الأولى، ثم تكبر الثانية و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عبدك فلان ألحقه بنبيه محمد صلّى اللّه عليه و آله، و افسح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هذا في الثانية</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واقفا</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الآيتان في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الثلاث،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560:2</w:t>
      </w:r>
      <w:r>
        <w:rPr>
          <w:rFonts w:ascii="IRNazanin" w:hAnsi="IRNazanin" w:eastAsia="IRNazanin"/>
          <w:b w:val="false"/>
          <w:b w:val="false"/>
          <w:bCs w:val="false"/>
          <w:i w:val="false"/>
          <w:i w:val="false"/>
          <w:iCs w:val="false"/>
          <w:color w:val="333333"/>
          <w:sz w:val="20"/>
          <w:sz w:val="20"/>
          <w:szCs w:val="20"/>
          <w:rtl w:val="true"/>
        </w:rPr>
        <w:t xml:space="preserve">، و نحوه في المصنف لابن أبي شيبة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برقم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4398</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3070</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النبي صلّى اللّه عليه و آله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و نحوه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الصفوف</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باختصار في الألفاظ</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يلاحظ في المقنع، و في الفقيه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ضعف محمد بن موسى الهمداني فقط</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النبي صلّى اللّه عليه و آله في صحيح البخاري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سنن النسائي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جابر في التهذيب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هارون في التهذيب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الصبي</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6337</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عن عمار مولى الحرث بن نوفل</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 لم يورد اسم الحسنان عليهما السلام</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في التهذيب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أشار إليه البحراني في الحدائق الناضرة </w:t>
      </w:r>
      <w:r>
        <w:rPr>
          <w:rFonts w:eastAsia="IRNazanin" w:cs="IRNazanin"/>
          <w:b w:val="false"/>
          <w:bCs w:val="false"/>
          <w:i w:val="false"/>
          <w:iCs w:val="false"/>
          <w:color w:val="333333"/>
          <w:sz w:val="20"/>
          <w:szCs w:val="20"/>
        </w:rPr>
        <w:t>439:10</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1850</w:t>
      </w:r>
      <w:r>
        <w:rPr>
          <w:rFonts w:ascii="IRNazanin" w:hAnsi="IRNazanin" w:eastAsia="IRNazanin"/>
          <w:b w:val="false"/>
          <w:b w:val="false"/>
          <w:bCs w:val="false"/>
          <w:i w:val="false"/>
          <w:i w:val="false"/>
          <w:iCs w:val="false"/>
          <w:color w:val="333333"/>
          <w:sz w:val="20"/>
          <w:sz w:val="20"/>
          <w:szCs w:val="20"/>
          <w:rtl w:val="true"/>
        </w:rPr>
        <w:t>،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خالد</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كالثوري و أصحاب الرأي، راجع المجموع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اذكار</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3.jpeg"/><Relationship Id="rId41" Type="http://schemas.openxmlformats.org/officeDocument/2006/relationships/image" Target="media/image3.jpeg"/><Relationship Id="rId42" Type="http://schemas.openxmlformats.org/officeDocument/2006/relationships/footer" Target="footer35.xml"/><Relationship Id="rId43" Type="http://schemas.openxmlformats.org/officeDocument/2006/relationships/image" Target="media/image4.jpeg"/><Relationship Id="rId44" Type="http://schemas.openxmlformats.org/officeDocument/2006/relationships/image" Target="media/image4.jpeg"/><Relationship Id="rId45" Type="http://schemas.openxmlformats.org/officeDocument/2006/relationships/footer" Target="footer36.xml"/><Relationship Id="rId46" Type="http://schemas.openxmlformats.org/officeDocument/2006/relationships/image" Target="media/image5.jpeg"/><Relationship Id="rId47" Type="http://schemas.openxmlformats.org/officeDocument/2006/relationships/image" Target="media/image5.jpeg"/><Relationship Id="rId48" Type="http://schemas.openxmlformats.org/officeDocument/2006/relationships/footer" Target="footer37.xml"/><Relationship Id="rId49" Type="http://schemas.openxmlformats.org/officeDocument/2006/relationships/image" Target="media/image6.jpeg"/><Relationship Id="rId50" Type="http://schemas.openxmlformats.org/officeDocument/2006/relationships/image" Target="media/image6.jpeg"/><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image" Target="media/image2.jpeg"/><Relationship Id="rId480" Type="http://schemas.openxmlformats.org/officeDocument/2006/relationships/image" Target="media/image2.jpeg"/><Relationship Id="rId481" Type="http://schemas.openxmlformats.org/officeDocument/2006/relationships/footer" Target="footer466.xml"/><Relationship Id="rId482" Type="http://schemas.openxmlformats.org/officeDocument/2006/relationships/footnotes" Target="footnotes.xml"/><Relationship Id="rId483" Type="http://schemas.openxmlformats.org/officeDocument/2006/relationships/numbering" Target="numbering.xml"/><Relationship Id="rId484" Type="http://schemas.openxmlformats.org/officeDocument/2006/relationships/fontTable" Target="fontTable.xml"/><Relationship Id="rId485" Type="http://schemas.openxmlformats.org/officeDocument/2006/relationships/settings" Target="settings.xml"/><Relationship Id="rId4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479</Pages>
  <Words>22701</Words>
  <Characters>92840</Characters>
  <CharactersWithSpaces>114673</CharactersWithSpaces>
  <Paragraphs>987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2026-08-24T22:18:55Z</dcterms:created>
  <dc:creator>ghaemiyeh.com</dc:creator>
  <dc:description/>
  <dc:language>en-US</dc:language>
  <cp:lastModifiedBy/>
  <dcterms:modified xsi:type="dcterms:W3CDTF">2026-08-25T01:49:18Z</dcterms:modified>
  <cp:revision>1</cp:revision>
  <dc:subject/>
  <dc:title>ذکری الشیعه فی احکام الشریعه جلد 1</dc:title>
</cp:coreProperties>
</file>

<file path=docProps/custom.xml><?xml version="1.0" encoding="utf-8"?>
<Properties xmlns="http://schemas.openxmlformats.org/officeDocument/2006/custom-properties" xmlns:vt="http://schemas.openxmlformats.org/officeDocument/2006/docPropsVTypes"/>
</file>