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6</w:t>
      </w:r>
      <w:r>
        <w:rPr>
          <w:rtl w:val="true"/>
        </w:rPr>
        <w:t xml:space="preserve"> </w:t>
      </w:r>
      <w:r>
        <w:rPr>
          <w:rtl w:val="true"/>
        </w:rPr>
        <w:t xml:space="preserve">التعادل و الترجیح و الاجتهاد والتقلید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5149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995151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95153_2142443653">
            <w:r>
              <w:rPr>
                <w:webHidden/>
                <w:rStyle w:val="IndexLink"/>
                <w:rtl w:val="true"/>
              </w:rPr>
              <w:t>مقدّمة التحقيق</w:t>
            </w:r>
            <w:r>
              <w:rPr>
                <w:rStyle w:val="IndexLink"/>
                <w:rtl w:val="true"/>
              </w:rPr>
              <w:tab/>
            </w:r>
            <w:r>
              <w:rPr>
                <w:rStyle w:val="IndexLink"/>
              </w:rPr>
              <w:t>10</w:t>
            </w:r>
          </w:hyperlink>
        </w:p>
        <w:p>
          <w:pPr>
            <w:pStyle w:val="Contents3"/>
            <w:tabs>
              <w:tab w:val="clear" w:pos="8459"/>
              <w:tab w:val="right" w:pos="9026" w:leader="dot"/>
            </w:tabs>
            <w:rPr/>
          </w:pPr>
          <w:hyperlink w:anchor="__RefHeading___Toc995155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995157_2142443653">
            <w:r>
              <w:rPr>
                <w:webHidden/>
                <w:rStyle w:val="IndexLink"/>
                <w:rtl w:val="true"/>
              </w:rPr>
              <w:t xml:space="preserve">رسالة </w:t>
            </w:r>
            <w:r>
              <w:rPr>
                <w:rStyle w:val="IndexLink"/>
                <w:rtl w:val="true"/>
              </w:rPr>
              <w:t>«</w:t>
            </w:r>
            <w:r>
              <w:rPr>
                <w:rStyle w:val="IndexLink"/>
                <w:rtl w:val="true"/>
              </w:rPr>
              <w:t>التعادل والترجيح</w:t>
            </w:r>
            <w:r>
              <w:rPr>
                <w:rStyle w:val="IndexLink"/>
                <w:rtl w:val="true"/>
              </w:rPr>
              <w:t>»</w:t>
              <w:tab/>
            </w:r>
            <w:r>
              <w:rPr>
                <w:rStyle w:val="IndexLink"/>
              </w:rPr>
              <w:t>10</w:t>
            </w:r>
          </w:hyperlink>
        </w:p>
        <w:p>
          <w:pPr>
            <w:pStyle w:val="Contents3"/>
            <w:tabs>
              <w:tab w:val="clear" w:pos="8459"/>
              <w:tab w:val="right" w:pos="9026" w:leader="dot"/>
            </w:tabs>
            <w:rPr/>
          </w:pPr>
          <w:hyperlink w:anchor="__RefHeading___Toc995159_2142443653">
            <w:r>
              <w:rPr>
                <w:webHidden/>
                <w:rStyle w:val="IndexLink"/>
                <w:rtl w:val="true"/>
              </w:rPr>
              <w:t xml:space="preserve">رسالة </w:t>
            </w:r>
            <w:r>
              <w:rPr>
                <w:rStyle w:val="IndexLink"/>
                <w:rtl w:val="true"/>
              </w:rPr>
              <w:t>«</w:t>
            </w:r>
            <w:r>
              <w:rPr>
                <w:rStyle w:val="IndexLink"/>
                <w:rtl w:val="true"/>
              </w:rPr>
              <w:t>الاجتهاد والتقليد</w:t>
            </w:r>
            <w:r>
              <w:rPr>
                <w:rStyle w:val="IndexLink"/>
                <w:rtl w:val="true"/>
              </w:rPr>
              <w:t>»</w:t>
              <w:tab/>
            </w:r>
            <w:r>
              <w:rPr>
                <w:rStyle w:val="IndexLink"/>
              </w:rPr>
              <w:t>12</w:t>
            </w:r>
          </w:hyperlink>
        </w:p>
        <w:p>
          <w:pPr>
            <w:pStyle w:val="Contents3"/>
            <w:tabs>
              <w:tab w:val="clear" w:pos="8459"/>
              <w:tab w:val="right" w:pos="9026" w:leader="dot"/>
            </w:tabs>
            <w:rPr/>
          </w:pPr>
          <w:hyperlink w:anchor="__RefHeading___Toc995161_2142443653">
            <w:r>
              <w:rPr>
                <w:webHidden/>
                <w:rStyle w:val="IndexLink"/>
                <w:rtl w:val="true"/>
              </w:rPr>
              <w:t>منهجنا في التحقيق</w:t>
            </w:r>
            <w:r>
              <w:rPr>
                <w:rStyle w:val="IndexLink"/>
                <w:rtl w:val="true"/>
              </w:rPr>
              <w:tab/>
            </w:r>
            <w:r>
              <w:rPr>
                <w:rStyle w:val="IndexLink"/>
              </w:rPr>
              <w:t>13</w:t>
            </w:r>
          </w:hyperlink>
        </w:p>
        <w:p>
          <w:pPr>
            <w:pStyle w:val="Contents2"/>
            <w:tabs>
              <w:tab w:val="clear" w:pos="8743"/>
              <w:tab w:val="right" w:pos="9026" w:leader="dot"/>
            </w:tabs>
            <w:rPr/>
          </w:pPr>
          <w:hyperlink w:anchor="__RefHeading___Toc995163_2142443653">
            <w:r>
              <w:rPr>
                <w:webHidden/>
                <w:rStyle w:val="IndexLink"/>
                <w:rtl w:val="true"/>
              </w:rPr>
              <w:t>التعادل والترجیح</w:t>
            </w:r>
            <w:r>
              <w:rPr>
                <w:rStyle w:val="IndexLink"/>
                <w:rtl w:val="true"/>
              </w:rPr>
              <w:tab/>
            </w:r>
            <w:r>
              <w:rPr>
                <w:rStyle w:val="IndexLink"/>
              </w:rPr>
              <w:t>16</w:t>
            </w:r>
          </w:hyperlink>
        </w:p>
        <w:p>
          <w:pPr>
            <w:pStyle w:val="Contents3"/>
            <w:tabs>
              <w:tab w:val="clear" w:pos="8459"/>
              <w:tab w:val="right" w:pos="9026" w:leader="dot"/>
            </w:tabs>
            <w:rPr/>
          </w:pPr>
          <w:hyperlink w:anchor="__RefHeading___Toc995165_2142443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995167_2142443653">
            <w:r>
              <w:rPr>
                <w:webHidden/>
                <w:rStyle w:val="IndexLink"/>
                <w:rtl w:val="true"/>
              </w:rPr>
              <w:t>مبحث التعارض واختلاف الأدلّة</w:t>
            </w:r>
            <w:r>
              <w:rPr>
                <w:rStyle w:val="IndexLink"/>
                <w:rtl w:val="true"/>
              </w:rPr>
              <w:tab/>
            </w:r>
            <w:r>
              <w:rPr>
                <w:rStyle w:val="IndexLink"/>
              </w:rPr>
              <w:t>22</w:t>
            </w:r>
          </w:hyperlink>
        </w:p>
        <w:p>
          <w:pPr>
            <w:pStyle w:val="Contents4"/>
            <w:tabs>
              <w:tab w:val="clear" w:pos="8176"/>
              <w:tab w:val="right" w:pos="9026" w:leader="dot"/>
            </w:tabs>
            <w:rPr/>
          </w:pPr>
          <w:hyperlink w:anchor="__RefHeading___Toc995169_214244365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995171_2142443653">
            <w:r>
              <w:rPr>
                <w:webHidden/>
                <w:rStyle w:val="IndexLink"/>
                <w:rtl w:val="true"/>
              </w:rPr>
              <w:t>الأمر الأوّل</w:t>
            </w:r>
            <w:r>
              <w:rPr>
                <w:rStyle w:val="IndexLink"/>
                <w:rtl w:val="true"/>
              </w:rPr>
              <w:t xml:space="preserve">: </w:t>
            </w:r>
            <w:r>
              <w:rPr>
                <w:rStyle w:val="IndexLink"/>
                <w:rtl w:val="true"/>
              </w:rPr>
              <w:t>في تنقيح موضوع البحث</w:t>
            </w:r>
            <w:r>
              <w:rPr>
                <w:rStyle w:val="IndexLink"/>
                <w:rtl w:val="true"/>
              </w:rPr>
              <w:tab/>
            </w:r>
            <w:r>
              <w:rPr>
                <w:rStyle w:val="IndexLink"/>
              </w:rPr>
              <w:t>24</w:t>
            </w:r>
          </w:hyperlink>
        </w:p>
        <w:p>
          <w:pPr>
            <w:pStyle w:val="Contents5"/>
            <w:tabs>
              <w:tab w:val="clear" w:pos="7892"/>
              <w:tab w:val="right" w:pos="9026" w:leader="dot"/>
            </w:tabs>
            <w:rPr/>
          </w:pPr>
          <w:hyperlink w:anchor="__RefHeading___Toc995173_2142443653">
            <w:r>
              <w:rPr>
                <w:webHidden/>
                <w:rStyle w:val="IndexLink"/>
                <w:rtl w:val="true"/>
              </w:rPr>
              <w:t>اختصاص الكلام في هذا الباب بتعارض الأخبار</w:t>
            </w:r>
            <w:r>
              <w:rPr>
                <w:rStyle w:val="IndexLink"/>
                <w:rtl w:val="true"/>
              </w:rPr>
              <w:tab/>
            </w:r>
            <w:r>
              <w:rPr>
                <w:rStyle w:val="IndexLink"/>
              </w:rPr>
              <w:t>24</w:t>
            </w:r>
          </w:hyperlink>
        </w:p>
        <w:p>
          <w:pPr>
            <w:pStyle w:val="Contents5"/>
            <w:tabs>
              <w:tab w:val="clear" w:pos="7892"/>
              <w:tab w:val="right" w:pos="9026" w:leader="dot"/>
            </w:tabs>
            <w:rPr/>
          </w:pPr>
          <w:hyperlink w:anchor="__RefHeading___Toc995175_2142443653">
            <w:r>
              <w:rPr>
                <w:webHidden/>
                <w:rStyle w:val="IndexLink"/>
                <w:rtl w:val="true"/>
              </w:rPr>
              <w:t>لزوم فرض التعارض في محيط التشريع</w:t>
            </w:r>
            <w:r>
              <w:rPr>
                <w:rStyle w:val="IndexLink"/>
                <w:rtl w:val="true"/>
              </w:rPr>
              <w:tab/>
            </w:r>
            <w:r>
              <w:rPr>
                <w:rStyle w:val="IndexLink"/>
              </w:rPr>
              <w:t>26</w:t>
            </w:r>
          </w:hyperlink>
        </w:p>
        <w:p>
          <w:pPr>
            <w:pStyle w:val="Contents5"/>
            <w:tabs>
              <w:tab w:val="clear" w:pos="7892"/>
              <w:tab w:val="right" w:pos="9026" w:leader="dot"/>
            </w:tabs>
            <w:rPr/>
          </w:pPr>
          <w:hyperlink w:anchor="__RefHeading___Toc995177_2142443653">
            <w:r>
              <w:rPr>
                <w:webHidden/>
                <w:rStyle w:val="IndexLink"/>
                <w:rtl w:val="true"/>
              </w:rPr>
              <w:t>سرّ عدم التعارض بين العامّ والخاصّ</w:t>
            </w:r>
            <w:r>
              <w:rPr>
                <w:rStyle w:val="IndexLink"/>
                <w:rtl w:val="true"/>
              </w:rPr>
              <w:tab/>
            </w:r>
            <w:r>
              <w:rPr>
                <w:rStyle w:val="IndexLink"/>
              </w:rPr>
              <w:t>28</w:t>
            </w:r>
          </w:hyperlink>
        </w:p>
        <w:p>
          <w:pPr>
            <w:pStyle w:val="Contents5"/>
            <w:tabs>
              <w:tab w:val="clear" w:pos="7892"/>
              <w:tab w:val="right" w:pos="9026" w:leader="dot"/>
            </w:tabs>
            <w:rPr/>
          </w:pPr>
          <w:hyperlink w:anchor="__RefHeading___Toc995179_2142443653">
            <w:r>
              <w:rPr>
                <w:webHidden/>
                <w:rStyle w:val="IndexLink"/>
                <w:rtl w:val="true"/>
              </w:rPr>
              <w:t>كلام المحقّقين في وجه تقديم الخاصّ على العامّ</w:t>
            </w:r>
            <w:r>
              <w:rPr>
                <w:rStyle w:val="IndexLink"/>
                <w:rtl w:val="true"/>
              </w:rPr>
              <w:tab/>
            </w:r>
            <w:r>
              <w:rPr>
                <w:rStyle w:val="IndexLink"/>
              </w:rPr>
              <w:t>29</w:t>
            </w:r>
          </w:hyperlink>
        </w:p>
        <w:p>
          <w:pPr>
            <w:pStyle w:val="Contents6"/>
            <w:tabs>
              <w:tab w:val="clear" w:pos="7609"/>
              <w:tab w:val="right" w:pos="9026" w:leader="dot"/>
            </w:tabs>
            <w:rPr/>
          </w:pPr>
          <w:hyperlink w:anchor="__RefHeading___Toc995181_2142443653">
            <w:r>
              <w:rPr>
                <w:webHidden/>
                <w:rStyle w:val="IndexLink"/>
                <w:rtl w:val="true"/>
              </w:rPr>
              <w:t>كلام الشيخ الأنصاري في المقام</w:t>
            </w:r>
            <w:r>
              <w:rPr>
                <w:rStyle w:val="IndexLink"/>
                <w:rtl w:val="true"/>
              </w:rPr>
              <w:tab/>
            </w:r>
            <w:r>
              <w:rPr>
                <w:rStyle w:val="IndexLink"/>
              </w:rPr>
              <w:t>29</w:t>
            </w:r>
          </w:hyperlink>
        </w:p>
        <w:p>
          <w:pPr>
            <w:pStyle w:val="Contents6"/>
            <w:tabs>
              <w:tab w:val="clear" w:pos="7609"/>
              <w:tab w:val="right" w:pos="9026" w:leader="dot"/>
            </w:tabs>
            <w:rPr/>
          </w:pPr>
          <w:hyperlink w:anchor="__RefHeading___Toc995183_2142443653">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995185_2142443653">
            <w:r>
              <w:rPr>
                <w:webHidden/>
                <w:rStyle w:val="IndexLink"/>
                <w:rtl w:val="true"/>
              </w:rPr>
              <w:t>الإشكال على الشيخ الأعظم قدّس سرّه</w:t>
            </w:r>
            <w:r>
              <w:rPr>
                <w:rStyle w:val="IndexLink"/>
                <w:rtl w:val="true"/>
              </w:rPr>
              <w:tab/>
            </w:r>
            <w:r>
              <w:rPr>
                <w:rStyle w:val="IndexLink"/>
              </w:rPr>
              <w:t>30</w:t>
            </w:r>
          </w:hyperlink>
        </w:p>
        <w:p>
          <w:pPr>
            <w:pStyle w:val="Contents6"/>
            <w:tabs>
              <w:tab w:val="clear" w:pos="7609"/>
              <w:tab w:val="right" w:pos="9026" w:leader="dot"/>
            </w:tabs>
            <w:rPr/>
          </w:pPr>
          <w:hyperlink w:anchor="__RefHeading___Toc995187_2142443653">
            <w:r>
              <w:rPr>
                <w:webHidden/>
                <w:rStyle w:val="IndexLink"/>
                <w:rtl w:val="true"/>
              </w:rPr>
              <w:t>كلام مع بعض أعاظم العصر قدّس سرّه</w:t>
            </w:r>
            <w:r>
              <w:rPr>
                <w:rStyle w:val="IndexLink"/>
                <w:rtl w:val="true"/>
              </w:rPr>
              <w:tab/>
            </w:r>
            <w:r>
              <w:rPr>
                <w:rStyle w:val="IndexLink"/>
              </w:rPr>
              <w:t>32</w:t>
            </w:r>
          </w:hyperlink>
        </w:p>
        <w:p>
          <w:pPr>
            <w:pStyle w:val="Contents6"/>
            <w:tabs>
              <w:tab w:val="clear" w:pos="7609"/>
              <w:tab w:val="right" w:pos="9026" w:leader="dot"/>
            </w:tabs>
            <w:rPr/>
          </w:pPr>
          <w:hyperlink w:anchor="__RefHeading___Toc995189_2142443653">
            <w:r>
              <w:rPr>
                <w:webHidden/>
                <w:rStyle w:val="IndexLink"/>
                <w:rtl w:val="true"/>
              </w:rPr>
              <w:t>كلام مع شيخنا العلاّمة أعلى اللّه مقامه</w:t>
            </w:r>
            <w:r>
              <w:rPr>
                <w:rStyle w:val="IndexLink"/>
                <w:rtl w:val="true"/>
              </w:rPr>
              <w:tab/>
            </w:r>
            <w:r>
              <w:rPr>
                <w:rStyle w:val="IndexLink"/>
              </w:rPr>
              <w:t>34</w:t>
            </w:r>
          </w:hyperlink>
        </w:p>
        <w:p>
          <w:pPr>
            <w:pStyle w:val="Contents6"/>
            <w:tabs>
              <w:tab w:val="clear" w:pos="7609"/>
              <w:tab w:val="right" w:pos="9026" w:leader="dot"/>
            </w:tabs>
            <w:rPr/>
          </w:pPr>
          <w:hyperlink w:anchor="__RefHeading___Toc995191_2142443653">
            <w:r>
              <w:rPr>
                <w:webHidden/>
                <w:rStyle w:val="IndexLink"/>
                <w:rtl w:val="true"/>
              </w:rPr>
              <w:t>كلام مع المحقّق الخراساني قدّس سرّه</w:t>
            </w:r>
            <w:r>
              <w:rPr>
                <w:rStyle w:val="IndexLink"/>
                <w:rtl w:val="true"/>
              </w:rPr>
              <w:tab/>
            </w:r>
            <w:r>
              <w:rPr>
                <w:rStyle w:val="IndexLink"/>
              </w:rPr>
              <w:t>35</w:t>
            </w:r>
          </w:hyperlink>
        </w:p>
        <w:p>
          <w:pPr>
            <w:pStyle w:val="Contents6"/>
            <w:tabs>
              <w:tab w:val="clear" w:pos="7609"/>
              <w:tab w:val="right" w:pos="9026" w:leader="dot"/>
            </w:tabs>
            <w:rPr/>
          </w:pPr>
          <w:hyperlink w:anchor="__RefHeading___Toc995193_2142443653">
            <w:r>
              <w:rPr>
                <w:webHidden/>
                <w:rStyle w:val="IndexLink"/>
                <w:rtl w:val="true"/>
              </w:rPr>
              <w:t>بيان أصالتي الحقيقة والجدّ</w:t>
            </w:r>
            <w:r>
              <w:rPr>
                <w:rStyle w:val="IndexLink"/>
                <w:rtl w:val="true"/>
              </w:rPr>
              <w:tab/>
            </w:r>
            <w:r>
              <w:rPr>
                <w:rStyle w:val="IndexLink"/>
              </w:rPr>
              <w:t>36</w:t>
            </w:r>
          </w:hyperlink>
        </w:p>
        <w:p>
          <w:pPr>
            <w:pStyle w:val="Contents4"/>
            <w:tabs>
              <w:tab w:val="clear" w:pos="8176"/>
              <w:tab w:val="right" w:pos="9026" w:leader="dot"/>
            </w:tabs>
            <w:rPr/>
          </w:pPr>
          <w:hyperlink w:anchor="__RefHeading___Toc995195_2142443653">
            <w:r>
              <w:rPr>
                <w:webHidden/>
                <w:rStyle w:val="IndexLink"/>
                <w:rtl w:val="true"/>
              </w:rPr>
              <w:t>الأمر الثاني</w:t>
            </w:r>
            <w:r>
              <w:rPr>
                <w:rStyle w:val="IndexLink"/>
                <w:rtl w:val="true"/>
              </w:rPr>
              <w:t xml:space="preserve">: </w:t>
            </w:r>
            <w:r>
              <w:rPr>
                <w:rStyle w:val="IndexLink"/>
                <w:rtl w:val="true"/>
              </w:rPr>
              <w:t>في عدم شمول أخبار العلاج لموارد الجمع العرفي</w:t>
            </w:r>
            <w:r>
              <w:rPr>
                <w:rStyle w:val="IndexLink"/>
                <w:rtl w:val="true"/>
              </w:rPr>
              <w:tab/>
            </w:r>
            <w:r>
              <w:rPr>
                <w:rStyle w:val="IndexLink"/>
              </w:rPr>
              <w:t>40</w:t>
            </w:r>
          </w:hyperlink>
        </w:p>
        <w:p>
          <w:pPr>
            <w:pStyle w:val="Contents5"/>
            <w:tabs>
              <w:tab w:val="clear" w:pos="7892"/>
              <w:tab w:val="right" w:pos="9026" w:leader="dot"/>
            </w:tabs>
            <w:rPr/>
          </w:pPr>
          <w:hyperlink w:anchor="__RefHeading___Toc995197_2142443653">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995199_2142443653">
            <w:r>
              <w:rPr>
                <w:webHidden/>
                <w:rStyle w:val="IndexLink"/>
                <w:rtl w:val="true"/>
              </w:rPr>
              <w:t>دعوى المحقّقين الخراساني والحائري شمول أخبار العلاج للمقام</w:t>
            </w:r>
            <w:r>
              <w:rPr>
                <w:rStyle w:val="IndexLink"/>
                <w:rtl w:val="true"/>
              </w:rPr>
              <w:tab/>
            </w:r>
            <w:r>
              <w:rPr>
                <w:rStyle w:val="IndexLink"/>
              </w:rPr>
              <w:t>41</w:t>
            </w:r>
          </w:hyperlink>
        </w:p>
        <w:p>
          <w:pPr>
            <w:pStyle w:val="Contents5"/>
            <w:tabs>
              <w:tab w:val="clear" w:pos="7892"/>
              <w:tab w:val="right" w:pos="9026" w:leader="dot"/>
            </w:tabs>
            <w:rPr/>
          </w:pPr>
          <w:hyperlink w:anchor="__RefHeading___Toc995201_2142443653">
            <w:r>
              <w:rPr>
                <w:webHidden/>
                <w:rStyle w:val="IndexLink"/>
                <w:rtl w:val="true"/>
              </w:rPr>
              <w:t>الإيراد على المحقّق الخراساني رحمه الله علیه</w:t>
            </w:r>
            <w:r>
              <w:rPr>
                <w:rStyle w:val="IndexLink"/>
                <w:rtl w:val="true"/>
              </w:rPr>
              <w:tab/>
            </w:r>
            <w:r>
              <w:rPr>
                <w:rStyle w:val="IndexLink"/>
              </w:rPr>
              <w:t>43</w:t>
            </w:r>
          </w:hyperlink>
        </w:p>
        <w:p>
          <w:pPr>
            <w:pStyle w:val="Contents5"/>
            <w:tabs>
              <w:tab w:val="clear" w:pos="7892"/>
              <w:tab w:val="right" w:pos="9026" w:leader="dot"/>
            </w:tabs>
            <w:rPr/>
          </w:pPr>
          <w:hyperlink w:anchor="__RefHeading___Toc995203_2142443653">
            <w:r>
              <w:rPr>
                <w:webHidden/>
                <w:rStyle w:val="IndexLink"/>
                <w:rtl w:val="true"/>
              </w:rPr>
              <w:t>كلام مع شيخنا الاُستاذ رحمه الله علیه</w:t>
            </w:r>
            <w:r>
              <w:rPr>
                <w:rStyle w:val="IndexLink"/>
                <w:rtl w:val="true"/>
              </w:rPr>
              <w:tab/>
            </w:r>
            <w:r>
              <w:rPr>
                <w:rStyle w:val="IndexLink"/>
              </w:rPr>
              <w:t>44</w:t>
            </w:r>
          </w:hyperlink>
        </w:p>
        <w:p>
          <w:pPr>
            <w:pStyle w:val="Contents4"/>
            <w:tabs>
              <w:tab w:val="clear" w:pos="8176"/>
              <w:tab w:val="right" w:pos="9026" w:leader="dot"/>
            </w:tabs>
            <w:rPr/>
          </w:pPr>
          <w:hyperlink w:anchor="__RefHeading___Toc995205_2142443653">
            <w:r>
              <w:rPr>
                <w:webHidden/>
                <w:rStyle w:val="IndexLink"/>
                <w:rtl w:val="true"/>
              </w:rPr>
              <w:t>الأمر الثالث</w:t>
            </w:r>
            <w:r>
              <w:rPr>
                <w:rStyle w:val="IndexLink"/>
                <w:rtl w:val="true"/>
              </w:rPr>
              <w:t xml:space="preserve">: </w:t>
            </w:r>
            <w:r>
              <w:rPr>
                <w:rStyle w:val="IndexLink"/>
                <w:rtl w:val="true"/>
              </w:rPr>
              <w:t>في قاعدة الجمع مهما أمكن ، أولى من الطرح</w:t>
            </w:r>
            <w:r>
              <w:rPr>
                <w:rStyle w:val="IndexLink"/>
                <w:rtl w:val="true"/>
              </w:rPr>
              <w:tab/>
            </w:r>
            <w:r>
              <w:rPr>
                <w:rStyle w:val="IndexLink"/>
              </w:rPr>
              <w:t>46</w:t>
            </w:r>
          </w:hyperlink>
        </w:p>
        <w:p>
          <w:pPr>
            <w:pStyle w:val="Contents4"/>
            <w:tabs>
              <w:tab w:val="clear" w:pos="8176"/>
              <w:tab w:val="right" w:pos="9026" w:leader="dot"/>
            </w:tabs>
            <w:rPr/>
          </w:pPr>
          <w:hyperlink w:anchor="__RefHeading___Toc995207_2142443653">
            <w:r>
              <w:rPr>
                <w:webHidden/>
                <w:rStyle w:val="IndexLink"/>
                <w:rtl w:val="true"/>
              </w:rPr>
              <w:t>الأمر الرابع</w:t>
            </w:r>
            <w:r>
              <w:rPr>
                <w:rStyle w:val="IndexLink"/>
                <w:rtl w:val="true"/>
              </w:rPr>
              <w:t xml:space="preserve">: </w:t>
            </w:r>
            <w:r>
              <w:rPr>
                <w:rStyle w:val="IndexLink"/>
                <w:rtl w:val="true"/>
              </w:rPr>
              <w:t>في كلام الشيخ في موضوع الترجيح بحسب الدلالة</w:t>
            </w:r>
            <w:r>
              <w:rPr>
                <w:rStyle w:val="IndexLink"/>
                <w:rtl w:val="true"/>
              </w:rPr>
              <w:tab/>
            </w:r>
            <w:r>
              <w:rPr>
                <w:rStyle w:val="IndexLink"/>
              </w:rPr>
              <w:t>48</w:t>
            </w:r>
          </w:hyperlink>
        </w:p>
        <w:p>
          <w:pPr>
            <w:pStyle w:val="Contents4"/>
            <w:tabs>
              <w:tab w:val="clear" w:pos="8176"/>
              <w:tab w:val="right" w:pos="9026" w:leader="dot"/>
            </w:tabs>
            <w:rPr/>
          </w:pPr>
          <w:hyperlink w:anchor="__RefHeading___Toc995209_2142443653">
            <w:r>
              <w:rPr>
                <w:webHidden/>
                <w:rStyle w:val="IndexLink"/>
                <w:rtl w:val="true"/>
              </w:rPr>
              <w:t>الأمر الخامس</w:t>
            </w:r>
            <w:r>
              <w:rPr>
                <w:rStyle w:val="IndexLink"/>
                <w:rtl w:val="true"/>
              </w:rPr>
              <w:t xml:space="preserve">: </w:t>
            </w:r>
            <w:r>
              <w:rPr>
                <w:rStyle w:val="IndexLink"/>
                <w:rtl w:val="true"/>
              </w:rPr>
              <w:t>في الموارد الخارجة عن أخبار العلاج</w:t>
            </w:r>
            <w:r>
              <w:rPr>
                <w:rStyle w:val="IndexLink"/>
                <w:rtl w:val="true"/>
              </w:rPr>
              <w:tab/>
            </w:r>
            <w:r>
              <w:rPr>
                <w:rStyle w:val="IndexLink"/>
              </w:rPr>
              <w:t>51</w:t>
            </w:r>
          </w:hyperlink>
        </w:p>
        <w:p>
          <w:pPr>
            <w:pStyle w:val="Contents5"/>
            <w:tabs>
              <w:tab w:val="clear" w:pos="7892"/>
              <w:tab w:val="right" w:pos="9026" w:leader="dot"/>
            </w:tabs>
            <w:rPr/>
          </w:pPr>
          <w:hyperlink w:anchor="__RefHeading___Toc995211_2142443653">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995213_2142443653">
            <w:r>
              <w:rPr>
                <w:webHidden/>
                <w:rStyle w:val="IndexLink"/>
                <w:rtl w:val="true"/>
              </w:rPr>
              <w:t>المبحث الأوّل</w:t>
            </w:r>
            <w:r>
              <w:rPr>
                <w:rStyle w:val="IndexLink"/>
                <w:rtl w:val="true"/>
              </w:rPr>
              <w:t xml:space="preserve">: </w:t>
            </w:r>
            <w:r>
              <w:rPr>
                <w:rStyle w:val="IndexLink"/>
                <w:rtl w:val="true"/>
              </w:rPr>
              <w:t>فيما يمكن أن يقال أو قيل بأ نّهما من قبيل النصّ والظاهر</w:t>
            </w:r>
            <w:r>
              <w:rPr>
                <w:rStyle w:val="IndexLink"/>
                <w:rtl w:val="true"/>
              </w:rPr>
              <w:tab/>
            </w:r>
            <w:r>
              <w:rPr>
                <w:rStyle w:val="IndexLink"/>
              </w:rPr>
              <w:t>52</w:t>
            </w:r>
          </w:hyperlink>
        </w:p>
        <w:p>
          <w:pPr>
            <w:pStyle w:val="Contents6"/>
            <w:tabs>
              <w:tab w:val="clear" w:pos="7609"/>
              <w:tab w:val="right" w:pos="9026" w:leader="dot"/>
            </w:tabs>
            <w:rPr/>
          </w:pPr>
          <w:hyperlink w:anchor="__RefHeading___Toc995215_2142443653">
            <w:r>
              <w:rPr>
                <w:webHidden/>
                <w:rStyle w:val="IndexLink"/>
                <w:rtl w:val="true"/>
              </w:rPr>
              <w:t>وجود قدر المتيقّن في مقام التخاطب</w:t>
            </w:r>
            <w:r>
              <w:rPr>
                <w:rStyle w:val="IndexLink"/>
                <w:rtl w:val="true"/>
              </w:rPr>
              <w:tab/>
            </w:r>
            <w:r>
              <w:rPr>
                <w:rStyle w:val="IndexLink"/>
              </w:rPr>
              <w:t>52</w:t>
            </w:r>
          </w:hyperlink>
        </w:p>
        <w:p>
          <w:pPr>
            <w:pStyle w:val="Contents6"/>
            <w:tabs>
              <w:tab w:val="clear" w:pos="7609"/>
              <w:tab w:val="right" w:pos="9026" w:leader="dot"/>
            </w:tabs>
            <w:rPr/>
          </w:pPr>
          <w:hyperlink w:anchor="__RefHeading___Toc995217_2142443653">
            <w:r>
              <w:rPr>
                <w:webHidden/>
                <w:rStyle w:val="IndexLink"/>
                <w:rtl w:val="true"/>
              </w:rPr>
              <w:t>لزوم استهجان التخصيص</w:t>
            </w:r>
            <w:r>
              <w:rPr>
                <w:rStyle w:val="IndexLink"/>
                <w:rtl w:val="true"/>
              </w:rPr>
              <w:tab/>
            </w:r>
            <w:r>
              <w:rPr>
                <w:rStyle w:val="IndexLink"/>
              </w:rPr>
              <w:t>54</w:t>
            </w:r>
          </w:hyperlink>
        </w:p>
        <w:p>
          <w:pPr>
            <w:pStyle w:val="Contents6"/>
            <w:tabs>
              <w:tab w:val="clear" w:pos="7609"/>
              <w:tab w:val="right" w:pos="9026" w:leader="dot"/>
            </w:tabs>
            <w:rPr/>
          </w:pPr>
          <w:hyperlink w:anchor="__RefHeading___Toc995219_2142443653">
            <w:r>
              <w:rPr>
                <w:webHidden/>
                <w:rStyle w:val="IndexLink"/>
                <w:rtl w:val="true"/>
              </w:rPr>
              <w:t>لزوم إخراج المورد</w:t>
            </w:r>
            <w:r>
              <w:rPr>
                <w:rStyle w:val="IndexLink"/>
                <w:rtl w:val="true"/>
              </w:rPr>
              <w:tab/>
            </w:r>
            <w:r>
              <w:rPr>
                <w:rStyle w:val="IndexLink"/>
              </w:rPr>
              <w:t>54</w:t>
            </w:r>
          </w:hyperlink>
        </w:p>
        <w:p>
          <w:pPr>
            <w:pStyle w:val="Contents6"/>
            <w:tabs>
              <w:tab w:val="clear" w:pos="7609"/>
              <w:tab w:val="right" w:pos="9026" w:leader="dot"/>
            </w:tabs>
            <w:rPr/>
          </w:pPr>
          <w:hyperlink w:anchor="__RefHeading___Toc995221_2142443653">
            <w:r>
              <w:rPr>
                <w:webHidden/>
                <w:rStyle w:val="IndexLink"/>
                <w:rtl w:val="true"/>
              </w:rPr>
              <w:t>ورود أحد الدليلين مورد التحديدات</w:t>
            </w:r>
            <w:r>
              <w:rPr>
                <w:rStyle w:val="IndexLink"/>
                <w:rtl w:val="true"/>
              </w:rPr>
              <w:tab/>
            </w:r>
            <w:r>
              <w:rPr>
                <w:rStyle w:val="IndexLink"/>
              </w:rPr>
              <w:t>55</w:t>
            </w:r>
          </w:hyperlink>
        </w:p>
        <w:p>
          <w:pPr>
            <w:pStyle w:val="Contents5"/>
            <w:tabs>
              <w:tab w:val="clear" w:pos="7892"/>
              <w:tab w:val="right" w:pos="9026" w:leader="dot"/>
            </w:tabs>
            <w:rPr/>
          </w:pPr>
          <w:hyperlink w:anchor="__RefHeading___Toc995223_2142443653">
            <w:r>
              <w:rPr>
                <w:webHidden/>
                <w:rStyle w:val="IndexLink"/>
                <w:rtl w:val="true"/>
              </w:rPr>
              <w:t xml:space="preserve">المبحث الثاني </w:t>
            </w:r>
            <w:r>
              <w:rPr>
                <w:rStyle w:val="IndexLink"/>
                <w:rtl w:val="true"/>
              </w:rPr>
              <w:t xml:space="preserve">: </w:t>
            </w:r>
            <w:r>
              <w:rPr>
                <w:rStyle w:val="IndexLink"/>
                <w:rtl w:val="true"/>
              </w:rPr>
              <w:t>فيما عدّ من المرجّحات النوعية الدلالية</w:t>
            </w:r>
            <w:r>
              <w:rPr>
                <w:rStyle w:val="IndexLink"/>
                <w:rtl w:val="true"/>
              </w:rPr>
              <w:tab/>
            </w:r>
            <w:r>
              <w:rPr>
                <w:rStyle w:val="IndexLink"/>
              </w:rPr>
              <w:t>56</w:t>
            </w:r>
          </w:hyperlink>
        </w:p>
        <w:p>
          <w:pPr>
            <w:pStyle w:val="Contents6"/>
            <w:tabs>
              <w:tab w:val="clear" w:pos="7609"/>
              <w:tab w:val="right" w:pos="9026" w:leader="dot"/>
            </w:tabs>
            <w:rPr/>
          </w:pPr>
          <w:hyperlink w:anchor="__RefHeading___Toc995225_2142443653">
            <w:r>
              <w:rPr>
                <w:webHidden/>
                <w:rStyle w:val="IndexLink"/>
                <w:rtl w:val="true"/>
              </w:rPr>
              <w:t xml:space="preserve">وهي موارد </w:t>
            </w:r>
            <w:r>
              <w:rPr>
                <w:rStyle w:val="IndexLink"/>
                <w:rtl w:val="true"/>
              </w:rPr>
              <w:t>:</w:t>
              <w:tab/>
            </w:r>
            <w:r>
              <w:rPr>
                <w:rStyle w:val="IndexLink"/>
              </w:rPr>
              <w:t>56</w:t>
            </w:r>
          </w:hyperlink>
        </w:p>
        <w:p>
          <w:pPr>
            <w:pStyle w:val="Contents6"/>
            <w:tabs>
              <w:tab w:val="clear" w:pos="7609"/>
              <w:tab w:val="right" w:pos="9026" w:leader="dot"/>
            </w:tabs>
            <w:rPr/>
          </w:pPr>
          <w:hyperlink w:anchor="__RefHeading___Toc995227_2142443653">
            <w:r>
              <w:rPr>
                <w:webHidden/>
                <w:rStyle w:val="IndexLink"/>
                <w:rtl w:val="true"/>
              </w:rPr>
              <w:t>تعارض العموم والإطلاق</w:t>
            </w:r>
            <w:r>
              <w:rPr>
                <w:rStyle w:val="IndexLink"/>
                <w:rtl w:val="true"/>
              </w:rPr>
              <w:tab/>
            </w:r>
            <w:r>
              <w:rPr>
                <w:rStyle w:val="IndexLink"/>
              </w:rPr>
              <w:t>56</w:t>
            </w:r>
          </w:hyperlink>
        </w:p>
        <w:p>
          <w:pPr>
            <w:pStyle w:val="Contents6"/>
            <w:tabs>
              <w:tab w:val="clear" w:pos="7609"/>
              <w:tab w:val="right" w:pos="9026" w:leader="dot"/>
            </w:tabs>
            <w:rPr/>
          </w:pPr>
          <w:hyperlink w:anchor="__RefHeading___Toc995229_2142443653">
            <w:r>
              <w:rPr>
                <w:webHidden/>
                <w:rStyle w:val="IndexLink"/>
                <w:rtl w:val="true"/>
              </w:rPr>
              <w:t>وجه تقدّم العامّ على المطلق</w:t>
            </w:r>
            <w:r>
              <w:rPr>
                <w:rStyle w:val="IndexLink"/>
                <w:rtl w:val="true"/>
              </w:rPr>
              <w:tab/>
            </w:r>
            <w:r>
              <w:rPr>
                <w:rStyle w:val="IndexLink"/>
              </w:rPr>
              <w:t>58</w:t>
            </w:r>
          </w:hyperlink>
        </w:p>
        <w:p>
          <w:pPr>
            <w:pStyle w:val="Contents6"/>
            <w:tabs>
              <w:tab w:val="clear" w:pos="7609"/>
              <w:tab w:val="right" w:pos="9026" w:leader="dot"/>
            </w:tabs>
            <w:rPr/>
          </w:pPr>
          <w:hyperlink w:anchor="__RefHeading___Toc995231_2142443653">
            <w:r>
              <w:rPr>
                <w:webHidden/>
                <w:rStyle w:val="IndexLink"/>
                <w:rtl w:val="true"/>
              </w:rPr>
              <w:t>دوران الأمر بين النسخ والتخصيص</w:t>
            </w:r>
            <w:r>
              <w:rPr>
                <w:rStyle w:val="IndexLink"/>
                <w:rtl w:val="true"/>
              </w:rPr>
              <w:tab/>
            </w:r>
            <w:r>
              <w:rPr>
                <w:rStyle w:val="IndexLink"/>
              </w:rPr>
              <w:t>61</w:t>
            </w:r>
          </w:hyperlink>
        </w:p>
        <w:p>
          <w:pPr>
            <w:pStyle w:val="Contents6"/>
            <w:tabs>
              <w:tab w:val="clear" w:pos="7609"/>
              <w:tab w:val="right" w:pos="9026" w:leader="dot"/>
            </w:tabs>
            <w:rPr/>
          </w:pPr>
          <w:hyperlink w:anchor="__RefHeading___Toc995233_2142443653">
            <w:r>
              <w:rPr>
                <w:webHidden/>
                <w:rStyle w:val="IndexLink"/>
                <w:rtl w:val="true"/>
              </w:rPr>
              <w:t>الإشارة إلى حال المخصّصات في المقام</w:t>
            </w:r>
            <w:r>
              <w:rPr>
                <w:rStyle w:val="IndexLink"/>
                <w:rtl w:val="true"/>
              </w:rPr>
              <w:tab/>
            </w:r>
            <w:r>
              <w:rPr>
                <w:rStyle w:val="IndexLink"/>
              </w:rPr>
              <w:t>61</w:t>
            </w:r>
          </w:hyperlink>
        </w:p>
        <w:p>
          <w:pPr>
            <w:pStyle w:val="Contents6"/>
            <w:tabs>
              <w:tab w:val="clear" w:pos="7609"/>
              <w:tab w:val="right" w:pos="9026" w:leader="dot"/>
            </w:tabs>
            <w:rPr/>
          </w:pPr>
          <w:hyperlink w:anchor="__RefHeading___Toc995235_2142443653">
            <w:r>
              <w:rPr>
                <w:webHidden/>
                <w:rStyle w:val="IndexLink"/>
                <w:rtl w:val="true"/>
              </w:rPr>
              <w:t>علل الاختلاف بين العامّة والخاصّة وتأخير بيان المخصّصات</w:t>
            </w:r>
            <w:r>
              <w:rPr>
                <w:rStyle w:val="IndexLink"/>
                <w:rtl w:val="true"/>
              </w:rPr>
              <w:tab/>
            </w:r>
            <w:r>
              <w:rPr>
                <w:rStyle w:val="IndexLink"/>
              </w:rPr>
              <w:t>63</w:t>
            </w:r>
          </w:hyperlink>
        </w:p>
        <w:p>
          <w:pPr>
            <w:pStyle w:val="Contents6"/>
            <w:tabs>
              <w:tab w:val="clear" w:pos="7609"/>
              <w:tab w:val="right" w:pos="9026" w:leader="dot"/>
            </w:tabs>
            <w:rPr/>
          </w:pPr>
          <w:hyperlink w:anchor="__RefHeading___Toc995237_2142443653">
            <w:r>
              <w:rPr>
                <w:webHidden/>
                <w:rStyle w:val="IndexLink"/>
                <w:rtl w:val="true"/>
              </w:rPr>
              <w:t>في وجوه ورود العامّ والخاصّ والدوران بين النسخ والتخصيص</w:t>
            </w:r>
            <w:r>
              <w:rPr>
                <w:rStyle w:val="IndexLink"/>
                <w:rtl w:val="true"/>
              </w:rPr>
              <w:tab/>
            </w:r>
            <w:r>
              <w:rPr>
                <w:rStyle w:val="IndexLink"/>
              </w:rPr>
              <w:t>65</w:t>
            </w:r>
          </w:hyperlink>
        </w:p>
        <w:p>
          <w:pPr>
            <w:pStyle w:val="Contents6"/>
            <w:tabs>
              <w:tab w:val="clear" w:pos="7609"/>
              <w:tab w:val="right" w:pos="9026" w:leader="dot"/>
            </w:tabs>
            <w:rPr/>
          </w:pPr>
          <w:hyperlink w:anchor="__RefHeading___Toc995239_2142443653">
            <w:r>
              <w:rPr>
                <w:webHidden/>
                <w:rStyle w:val="IndexLink"/>
                <w:rtl w:val="true"/>
              </w:rPr>
              <w:t>في الدوران بين التقييد وحمل الأمر على الاستحباب</w:t>
            </w:r>
            <w:r>
              <w:rPr>
                <w:rStyle w:val="IndexLink"/>
                <w:rtl w:val="true"/>
              </w:rPr>
              <w:tab/>
            </w:r>
            <w:r>
              <w:rPr>
                <w:rStyle w:val="IndexLink"/>
              </w:rPr>
              <w:t>71</w:t>
            </w:r>
          </w:hyperlink>
        </w:p>
        <w:p>
          <w:pPr>
            <w:pStyle w:val="Contents5"/>
            <w:tabs>
              <w:tab w:val="clear" w:pos="7892"/>
              <w:tab w:val="right" w:pos="9026" w:leader="dot"/>
            </w:tabs>
            <w:rPr/>
          </w:pPr>
          <w:hyperlink w:anchor="__RefHeading___Toc995241_2142443653">
            <w:r>
              <w:rPr>
                <w:webHidden/>
                <w:rStyle w:val="IndexLink"/>
                <w:rtl w:val="true"/>
              </w:rPr>
              <w:t>المبحث الثالث</w:t>
            </w:r>
            <w:r>
              <w:rPr>
                <w:rStyle w:val="IndexLink"/>
                <w:rtl w:val="true"/>
              </w:rPr>
              <w:t xml:space="preserve">: </w:t>
            </w:r>
            <w:r>
              <w:rPr>
                <w:rStyle w:val="IndexLink"/>
                <w:rtl w:val="true"/>
              </w:rPr>
              <w:t>فيما إذا كان التعارض بين أكثر من دليلين</w:t>
            </w:r>
            <w:r>
              <w:rPr>
                <w:rStyle w:val="IndexLink"/>
                <w:rtl w:val="true"/>
              </w:rPr>
              <w:tab/>
            </w:r>
            <w:r>
              <w:rPr>
                <w:rStyle w:val="IndexLink"/>
              </w:rPr>
              <w:t>73</w:t>
            </w:r>
          </w:hyperlink>
        </w:p>
        <w:p>
          <w:pPr>
            <w:pStyle w:val="Contents6"/>
            <w:tabs>
              <w:tab w:val="clear" w:pos="7609"/>
              <w:tab w:val="right" w:pos="9026" w:leader="dot"/>
            </w:tabs>
            <w:rPr/>
          </w:pPr>
          <w:hyperlink w:anchor="__RefHeading___Toc995243_2142443653">
            <w:r>
              <w:rPr>
                <w:webHidden/>
                <w:rStyle w:val="IndexLink"/>
                <w:rtl w:val="true"/>
              </w:rPr>
              <w:t xml:space="preserve">وهي كثيرة نذكر مهمّاتها </w:t>
            </w:r>
            <w:r>
              <w:rPr>
                <w:rStyle w:val="IndexLink"/>
                <w:rtl w:val="true"/>
              </w:rPr>
              <w:t>:</w:t>
              <w:tab/>
            </w:r>
            <w:r>
              <w:rPr>
                <w:rStyle w:val="IndexLink"/>
              </w:rPr>
              <w:t>73</w:t>
            </w:r>
          </w:hyperlink>
        </w:p>
        <w:p>
          <w:pPr>
            <w:pStyle w:val="Contents6"/>
            <w:tabs>
              <w:tab w:val="clear" w:pos="7609"/>
              <w:tab w:val="right" w:pos="9026" w:leader="dot"/>
            </w:tabs>
            <w:rPr/>
          </w:pPr>
          <w:hyperlink w:anchor="__RefHeading___Toc995245_2142443653">
            <w:r>
              <w:rPr>
                <w:webHidden/>
                <w:rStyle w:val="IndexLink"/>
                <w:rtl w:val="true"/>
              </w:rPr>
              <w:t>إذا ورد عامّ وخاصّان بينهما التباين</w:t>
            </w:r>
            <w:r>
              <w:rPr>
                <w:rStyle w:val="IndexLink"/>
                <w:rtl w:val="true"/>
              </w:rPr>
              <w:tab/>
            </w:r>
            <w:r>
              <w:rPr>
                <w:rStyle w:val="IndexLink"/>
              </w:rPr>
              <w:t>73</w:t>
            </w:r>
          </w:hyperlink>
        </w:p>
        <w:p>
          <w:pPr>
            <w:pStyle w:val="Contents6"/>
            <w:tabs>
              <w:tab w:val="clear" w:pos="7609"/>
              <w:tab w:val="right" w:pos="9026" w:leader="dot"/>
            </w:tabs>
            <w:rPr/>
          </w:pPr>
          <w:hyperlink w:anchor="__RefHeading___Toc995247_2142443653">
            <w:r>
              <w:rPr>
                <w:webHidden/>
                <w:rStyle w:val="IndexLink"/>
                <w:rtl w:val="true"/>
              </w:rPr>
              <w:t>إذا ورد عامّ وخاصّان بينهما عموم مطلق</w:t>
            </w:r>
            <w:r>
              <w:rPr>
                <w:rStyle w:val="IndexLink"/>
                <w:rtl w:val="true"/>
              </w:rPr>
              <w:tab/>
            </w:r>
            <w:r>
              <w:rPr>
                <w:rStyle w:val="IndexLink"/>
              </w:rPr>
              <w:t>75</w:t>
            </w:r>
          </w:hyperlink>
        </w:p>
        <w:p>
          <w:pPr>
            <w:pStyle w:val="Contents6"/>
            <w:tabs>
              <w:tab w:val="clear" w:pos="7609"/>
              <w:tab w:val="right" w:pos="9026" w:leader="dot"/>
            </w:tabs>
            <w:rPr/>
          </w:pPr>
          <w:hyperlink w:anchor="__RefHeading___Toc995249_2142443653">
            <w:r>
              <w:rPr>
                <w:webHidden/>
                <w:rStyle w:val="IndexLink"/>
                <w:rtl w:val="true"/>
              </w:rPr>
              <w:t>إذا ورد عامّ وخاصّان بينهما عموم من وجه</w:t>
            </w:r>
            <w:r>
              <w:rPr>
                <w:rStyle w:val="IndexLink"/>
                <w:rtl w:val="true"/>
              </w:rPr>
              <w:tab/>
            </w:r>
            <w:r>
              <w:rPr>
                <w:rStyle w:val="IndexLink"/>
              </w:rPr>
              <w:t>77</w:t>
            </w:r>
          </w:hyperlink>
        </w:p>
        <w:p>
          <w:pPr>
            <w:pStyle w:val="Contents6"/>
            <w:tabs>
              <w:tab w:val="clear" w:pos="7609"/>
              <w:tab w:val="right" w:pos="9026" w:leader="dot"/>
            </w:tabs>
            <w:rPr/>
          </w:pPr>
          <w:hyperlink w:anchor="__RefHeading___Toc995251_2142443653">
            <w:r>
              <w:rPr>
                <w:webHidden/>
                <w:rStyle w:val="IndexLink"/>
                <w:rtl w:val="true"/>
              </w:rPr>
              <w:t>إذا ورد عامّان من وجه وخاصّ</w:t>
            </w:r>
            <w:r>
              <w:rPr>
                <w:rStyle w:val="IndexLink"/>
                <w:rtl w:val="true"/>
              </w:rPr>
              <w:tab/>
            </w:r>
            <w:r>
              <w:rPr>
                <w:rStyle w:val="IndexLink"/>
              </w:rPr>
              <w:t>78</w:t>
            </w:r>
          </w:hyperlink>
        </w:p>
        <w:p>
          <w:pPr>
            <w:pStyle w:val="Contents6"/>
            <w:tabs>
              <w:tab w:val="clear" w:pos="7609"/>
              <w:tab w:val="right" w:pos="9026" w:leader="dot"/>
            </w:tabs>
            <w:rPr/>
          </w:pPr>
          <w:hyperlink w:anchor="__RefHeading___Toc995253_2142443653">
            <w:r>
              <w:rPr>
                <w:webHidden/>
                <w:rStyle w:val="IndexLink"/>
                <w:rtl w:val="true"/>
              </w:rPr>
              <w:t>إذا ورد عامّان متباينان وخاصّ</w:t>
            </w:r>
            <w:r>
              <w:rPr>
                <w:rStyle w:val="IndexLink"/>
                <w:rtl w:val="true"/>
              </w:rPr>
              <w:tab/>
            </w:r>
            <w:r>
              <w:rPr>
                <w:rStyle w:val="IndexLink"/>
              </w:rPr>
              <w:t>78</w:t>
            </w:r>
          </w:hyperlink>
        </w:p>
        <w:p>
          <w:pPr>
            <w:pStyle w:val="Contents6"/>
            <w:tabs>
              <w:tab w:val="clear" w:pos="7609"/>
              <w:tab w:val="right" w:pos="9026" w:leader="dot"/>
            </w:tabs>
            <w:rPr/>
          </w:pPr>
          <w:hyperlink w:anchor="__RefHeading___Toc995255_2142443653">
            <w:r>
              <w:rPr>
                <w:webHidden/>
                <w:rStyle w:val="IndexLink"/>
                <w:rtl w:val="true"/>
              </w:rPr>
              <w:t>فصل</w:t>
            </w:r>
            <w:r>
              <w:rPr>
                <w:rStyle w:val="IndexLink"/>
                <w:rtl w:val="true"/>
              </w:rPr>
              <w:tab/>
            </w:r>
            <w:r>
              <w:rPr>
                <w:rStyle w:val="IndexLink"/>
              </w:rPr>
              <w:t>80</w:t>
            </w:r>
          </w:hyperlink>
        </w:p>
        <w:p>
          <w:pPr>
            <w:pStyle w:val="Contents6"/>
            <w:tabs>
              <w:tab w:val="clear" w:pos="7609"/>
              <w:tab w:val="right" w:pos="9026" w:leader="dot"/>
            </w:tabs>
            <w:rPr/>
          </w:pPr>
          <w:hyperlink w:anchor="__RefHeading___Toc995257_2142443653">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995259_2142443653">
            <w:r>
              <w:rPr>
                <w:webHidden/>
                <w:rStyle w:val="IndexLink"/>
                <w:rtl w:val="true"/>
              </w:rPr>
              <w:t>هل المرجّحات الصدورية جارية في العامّين من وجه ؟</w:t>
            </w:r>
            <w:r>
              <w:rPr>
                <w:rStyle w:val="IndexLink"/>
                <w:rtl w:val="true"/>
              </w:rPr>
              <w:tab/>
            </w:r>
            <w:r>
              <w:rPr>
                <w:rStyle w:val="IndexLink"/>
              </w:rPr>
              <w:t>83</w:t>
            </w:r>
          </w:hyperlink>
        </w:p>
        <w:p>
          <w:pPr>
            <w:pStyle w:val="Contents3"/>
            <w:tabs>
              <w:tab w:val="clear" w:pos="8459"/>
              <w:tab w:val="right" w:pos="9026" w:leader="dot"/>
            </w:tabs>
            <w:rPr/>
          </w:pPr>
          <w:hyperlink w:anchor="__RefHeading___Toc995261_2142443653">
            <w:r>
              <w:rPr>
                <w:webHidden/>
                <w:rStyle w:val="IndexLink"/>
                <w:rtl w:val="true"/>
              </w:rPr>
              <w:t>المقصد الأوّل</w:t>
            </w:r>
            <w:r>
              <w:rPr>
                <w:rStyle w:val="IndexLink"/>
                <w:rtl w:val="true"/>
              </w:rPr>
              <w:t xml:space="preserve">: </w:t>
            </w:r>
            <w:r>
              <w:rPr>
                <w:rStyle w:val="IndexLink"/>
                <w:rtl w:val="true"/>
              </w:rPr>
              <w:t>في المتكافئين</w:t>
            </w:r>
            <w:r>
              <w:rPr>
                <w:rStyle w:val="IndexLink"/>
                <w:rtl w:val="true"/>
              </w:rPr>
              <w:tab/>
            </w:r>
            <w:r>
              <w:rPr>
                <w:rStyle w:val="IndexLink"/>
              </w:rPr>
              <w:t>86</w:t>
            </w:r>
          </w:hyperlink>
        </w:p>
        <w:p>
          <w:pPr>
            <w:pStyle w:val="Contents4"/>
            <w:tabs>
              <w:tab w:val="clear" w:pos="8176"/>
              <w:tab w:val="right" w:pos="9026" w:leader="dot"/>
            </w:tabs>
            <w:rPr/>
          </w:pPr>
          <w:hyperlink w:anchor="__RefHeading___Toc995263_2142443653">
            <w:r>
              <w:rPr>
                <w:webHidden/>
                <w:rStyle w:val="IndexLink"/>
                <w:rtl w:val="true"/>
              </w:rPr>
              <w:t xml:space="preserve">وفيه بحثان </w:t>
            </w:r>
            <w:r>
              <w:rPr>
                <w:rStyle w:val="IndexLink"/>
                <w:rtl w:val="true"/>
              </w:rPr>
              <w:t>:</w:t>
              <w:tab/>
            </w:r>
            <w:r>
              <w:rPr>
                <w:rStyle w:val="IndexLink"/>
              </w:rPr>
              <w:t>86</w:t>
            </w:r>
          </w:hyperlink>
        </w:p>
        <w:p>
          <w:pPr>
            <w:pStyle w:val="Contents5"/>
            <w:tabs>
              <w:tab w:val="clear" w:pos="7892"/>
              <w:tab w:val="right" w:pos="9026" w:leader="dot"/>
            </w:tabs>
            <w:rPr/>
          </w:pPr>
          <w:hyperlink w:anchor="__RefHeading___Toc995265_2142443653">
            <w:r>
              <w:rPr>
                <w:webHidden/>
                <w:rStyle w:val="IndexLink"/>
                <w:rtl w:val="true"/>
              </w:rPr>
              <w:t>البحث الأوّل</w:t>
            </w:r>
            <w:r>
              <w:rPr>
                <w:rStyle w:val="IndexLink"/>
                <w:rtl w:val="true"/>
              </w:rPr>
              <w:t xml:space="preserve">: </w:t>
            </w:r>
            <w:r>
              <w:rPr>
                <w:rStyle w:val="IndexLink"/>
                <w:rtl w:val="true"/>
              </w:rPr>
              <w:t>في مقتضى الأصل في المتكافئين مع قطع النظر عن الأخبار</w:t>
            </w:r>
            <w:r>
              <w:rPr>
                <w:rStyle w:val="IndexLink"/>
                <w:rtl w:val="true"/>
              </w:rPr>
              <w:tab/>
            </w:r>
            <w:r>
              <w:rPr>
                <w:rStyle w:val="IndexLink"/>
              </w:rPr>
              <w:t>86</w:t>
            </w:r>
          </w:hyperlink>
        </w:p>
        <w:p>
          <w:pPr>
            <w:pStyle w:val="Contents6"/>
            <w:tabs>
              <w:tab w:val="clear" w:pos="7609"/>
              <w:tab w:val="right" w:pos="9026" w:leader="dot"/>
            </w:tabs>
            <w:rPr/>
          </w:pPr>
          <w:hyperlink w:anchor="__RefHeading___Toc995267_2142443653">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995269_2142443653">
            <w:r>
              <w:rPr>
                <w:webHidden/>
                <w:rStyle w:val="IndexLink"/>
                <w:rtl w:val="true"/>
              </w:rPr>
              <w:t>مقتضى الأصل على الطريقية</w:t>
            </w:r>
            <w:r>
              <w:rPr>
                <w:rStyle w:val="IndexLink"/>
                <w:rtl w:val="true"/>
              </w:rPr>
              <w:tab/>
            </w:r>
            <w:r>
              <w:rPr>
                <w:rStyle w:val="IndexLink"/>
              </w:rPr>
              <w:t>88</w:t>
            </w:r>
          </w:hyperlink>
        </w:p>
        <w:p>
          <w:pPr>
            <w:pStyle w:val="Contents6"/>
            <w:tabs>
              <w:tab w:val="clear" w:pos="7609"/>
              <w:tab w:val="right" w:pos="9026" w:leader="dot"/>
            </w:tabs>
            <w:rPr/>
          </w:pPr>
          <w:hyperlink w:anchor="__RefHeading___Toc995271_2142443653">
            <w:r>
              <w:rPr>
                <w:webHidden/>
                <w:rStyle w:val="IndexLink"/>
                <w:rtl w:val="true"/>
              </w:rPr>
              <w:t>مقتضى الأصل على السببية</w:t>
            </w:r>
            <w:r>
              <w:rPr>
                <w:rStyle w:val="IndexLink"/>
                <w:rtl w:val="true"/>
              </w:rPr>
              <w:tab/>
            </w:r>
            <w:r>
              <w:rPr>
                <w:rStyle w:val="IndexLink"/>
              </w:rPr>
              <w:t>92</w:t>
            </w:r>
          </w:hyperlink>
        </w:p>
        <w:p>
          <w:pPr>
            <w:pStyle w:val="Contents5"/>
            <w:tabs>
              <w:tab w:val="clear" w:pos="7892"/>
              <w:tab w:val="right" w:pos="9026" w:leader="dot"/>
            </w:tabs>
            <w:rPr/>
          </w:pPr>
          <w:hyperlink w:anchor="__RefHeading___Toc995273_2142443653">
            <w:r>
              <w:rPr>
                <w:webHidden/>
                <w:rStyle w:val="IndexLink"/>
                <w:rtl w:val="true"/>
              </w:rPr>
              <w:t>البحث الثاني</w:t>
            </w:r>
            <w:r>
              <w:rPr>
                <w:rStyle w:val="IndexLink"/>
                <w:rtl w:val="true"/>
              </w:rPr>
              <w:t xml:space="preserve">: </w:t>
            </w:r>
            <w:r>
              <w:rPr>
                <w:rStyle w:val="IndexLink"/>
                <w:rtl w:val="true"/>
              </w:rPr>
              <w:t>في حال المتكافئين بمقتضى الأخبار الواردة في المقام</w:t>
            </w:r>
            <w:r>
              <w:rPr>
                <w:rStyle w:val="IndexLink"/>
                <w:rtl w:val="true"/>
              </w:rPr>
              <w:tab/>
            </w:r>
            <w:r>
              <w:rPr>
                <w:rStyle w:val="IndexLink"/>
              </w:rPr>
              <w:t>96</w:t>
            </w:r>
          </w:hyperlink>
        </w:p>
        <w:p>
          <w:pPr>
            <w:pStyle w:val="Contents6"/>
            <w:tabs>
              <w:tab w:val="clear" w:pos="7609"/>
              <w:tab w:val="right" w:pos="9026" w:leader="dot"/>
            </w:tabs>
            <w:rPr/>
          </w:pPr>
          <w:hyperlink w:anchor="__RefHeading___Toc995275_2142443653">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995277_2142443653">
            <w:r>
              <w:rPr>
                <w:webHidden/>
                <w:rStyle w:val="IndexLink"/>
                <w:rtl w:val="true"/>
              </w:rPr>
              <w:t>نقل أخبار التخيير</w:t>
            </w:r>
            <w:r>
              <w:rPr>
                <w:rStyle w:val="IndexLink"/>
                <w:rtl w:val="true"/>
              </w:rPr>
              <w:tab/>
            </w:r>
            <w:r>
              <w:rPr>
                <w:rStyle w:val="IndexLink"/>
              </w:rPr>
              <w:t>96</w:t>
            </w:r>
          </w:hyperlink>
        </w:p>
        <w:p>
          <w:pPr>
            <w:pStyle w:val="Contents6"/>
            <w:tabs>
              <w:tab w:val="clear" w:pos="7609"/>
              <w:tab w:val="right" w:pos="9026" w:leader="dot"/>
            </w:tabs>
            <w:rPr/>
          </w:pPr>
          <w:hyperlink w:anchor="__RefHeading___Toc995279_2142443653">
            <w:r>
              <w:rPr>
                <w:webHidden/>
                <w:rStyle w:val="IndexLink"/>
                <w:rtl w:val="true"/>
              </w:rPr>
              <w:t>مفاد أخبار التخيير</w:t>
            </w:r>
            <w:r>
              <w:rPr>
                <w:rStyle w:val="IndexLink"/>
                <w:rtl w:val="true"/>
              </w:rPr>
              <w:tab/>
            </w:r>
            <w:r>
              <w:rPr>
                <w:rStyle w:val="IndexLink"/>
              </w:rPr>
              <w:t>101</w:t>
            </w:r>
          </w:hyperlink>
        </w:p>
        <w:p>
          <w:pPr>
            <w:pStyle w:val="Contents6"/>
            <w:tabs>
              <w:tab w:val="clear" w:pos="7609"/>
              <w:tab w:val="right" w:pos="9026" w:leader="dot"/>
            </w:tabs>
            <w:rPr/>
          </w:pPr>
          <w:hyperlink w:anchor="__RefHeading___Toc995281_2142443653">
            <w:r>
              <w:rPr>
                <w:webHidden/>
                <w:rStyle w:val="IndexLink"/>
                <w:rtl w:val="true"/>
              </w:rPr>
              <w:t>نقل أخبار التوقّف</w:t>
            </w:r>
            <w:r>
              <w:rPr>
                <w:rStyle w:val="IndexLink"/>
                <w:rtl w:val="true"/>
              </w:rPr>
              <w:tab/>
            </w:r>
            <w:r>
              <w:rPr>
                <w:rStyle w:val="IndexLink"/>
              </w:rPr>
              <w:t>103</w:t>
            </w:r>
          </w:hyperlink>
        </w:p>
        <w:p>
          <w:pPr>
            <w:pStyle w:val="Contents6"/>
            <w:tabs>
              <w:tab w:val="clear" w:pos="7609"/>
              <w:tab w:val="right" w:pos="9026" w:leader="dot"/>
            </w:tabs>
            <w:rPr/>
          </w:pPr>
          <w:hyperlink w:anchor="__RefHeading___Toc995283_2142443653">
            <w:r>
              <w:rPr>
                <w:webHidden/>
                <w:rStyle w:val="IndexLink"/>
                <w:rtl w:val="true"/>
              </w:rPr>
              <w:t>أنظار المحقّقين في الجمع بين أخبار التخيير والتوقّف</w:t>
            </w:r>
            <w:r>
              <w:rPr>
                <w:rStyle w:val="IndexLink"/>
                <w:rtl w:val="true"/>
              </w:rPr>
              <w:tab/>
            </w:r>
            <w:r>
              <w:rPr>
                <w:rStyle w:val="IndexLink"/>
              </w:rPr>
              <w:t>106</w:t>
            </w:r>
          </w:hyperlink>
        </w:p>
        <w:p>
          <w:pPr>
            <w:pStyle w:val="Contents6"/>
            <w:tabs>
              <w:tab w:val="clear" w:pos="7609"/>
              <w:tab w:val="right" w:pos="9026" w:leader="dot"/>
            </w:tabs>
            <w:rPr/>
          </w:pPr>
          <w:hyperlink w:anchor="__RefHeading___Toc995285_2142443653">
            <w:r>
              <w:rPr>
                <w:webHidden/>
                <w:rStyle w:val="IndexLink"/>
                <w:rtl w:val="true"/>
              </w:rPr>
              <w:t xml:space="preserve">بقي التنبيه على اُمور </w:t>
            </w:r>
            <w:r>
              <w:rPr>
                <w:rStyle w:val="IndexLink"/>
                <w:rtl w:val="true"/>
              </w:rPr>
              <w:t>:</w:t>
              <w:tab/>
            </w:r>
            <w:r>
              <w:rPr>
                <w:rStyle w:val="IndexLink"/>
              </w:rPr>
              <w:t>113</w:t>
            </w:r>
          </w:hyperlink>
        </w:p>
        <w:p>
          <w:pPr>
            <w:pStyle w:val="Contents6"/>
            <w:tabs>
              <w:tab w:val="clear" w:pos="7609"/>
              <w:tab w:val="right" w:pos="9026" w:leader="dot"/>
            </w:tabs>
            <w:rPr/>
          </w:pPr>
          <w:hyperlink w:anchor="__RefHeading___Toc995287_2142443653">
            <w:r>
              <w:rPr>
                <w:webHidden/>
                <w:rStyle w:val="IndexLink"/>
                <w:rtl w:val="true"/>
              </w:rPr>
              <w:t>الأمر الأوّل</w:t>
            </w:r>
            <w:r>
              <w:rPr>
                <w:rStyle w:val="IndexLink"/>
                <w:rtl w:val="true"/>
              </w:rPr>
              <w:t xml:space="preserve">: </w:t>
            </w:r>
            <w:r>
              <w:rPr>
                <w:rStyle w:val="IndexLink"/>
                <w:rtl w:val="true"/>
              </w:rPr>
              <w:t>في معنى التخيير في المسألة الاُصولية</w:t>
            </w:r>
            <w:r>
              <w:rPr>
                <w:rStyle w:val="IndexLink"/>
                <w:rtl w:val="true"/>
              </w:rPr>
              <w:tab/>
            </w:r>
            <w:r>
              <w:rPr>
                <w:rStyle w:val="IndexLink"/>
              </w:rPr>
              <w:t>113</w:t>
            </w:r>
          </w:hyperlink>
        </w:p>
        <w:p>
          <w:pPr>
            <w:pStyle w:val="Contents6"/>
            <w:tabs>
              <w:tab w:val="clear" w:pos="7609"/>
              <w:tab w:val="right" w:pos="9026" w:leader="dot"/>
            </w:tabs>
            <w:rPr/>
          </w:pPr>
          <w:hyperlink w:anchor="__RefHeading___Toc995289_2142443653">
            <w:r>
              <w:rPr>
                <w:webHidden/>
                <w:rStyle w:val="IndexLink"/>
                <w:rtl w:val="true"/>
              </w:rPr>
              <w:t>الأمر الثاني في حكم تخيير القاضي والمفتي في عمله وعمل مقلّديه</w:t>
            </w:r>
            <w:r>
              <w:rPr>
                <w:rStyle w:val="IndexLink"/>
                <w:rtl w:val="true"/>
              </w:rPr>
              <w:tab/>
            </w:r>
            <w:r>
              <w:rPr>
                <w:rStyle w:val="IndexLink"/>
              </w:rPr>
              <w:t>117</w:t>
            </w:r>
          </w:hyperlink>
        </w:p>
        <w:p>
          <w:pPr>
            <w:pStyle w:val="Contents6"/>
            <w:tabs>
              <w:tab w:val="clear" w:pos="7609"/>
              <w:tab w:val="right" w:pos="9026" w:leader="dot"/>
            </w:tabs>
            <w:rPr/>
          </w:pPr>
          <w:hyperlink w:anchor="__RefHeading___Toc995291_2142443653">
            <w:r>
              <w:rPr>
                <w:webHidden/>
                <w:rStyle w:val="IndexLink"/>
                <w:rtl w:val="true"/>
              </w:rPr>
              <w:t>الأمر الثالث</w:t>
            </w:r>
            <w:r>
              <w:rPr>
                <w:rStyle w:val="IndexLink"/>
                <w:rtl w:val="true"/>
              </w:rPr>
              <w:t xml:space="preserve">: </w:t>
            </w:r>
            <w:r>
              <w:rPr>
                <w:rStyle w:val="IndexLink"/>
                <w:rtl w:val="true"/>
              </w:rPr>
              <w:t>في أنّ التخيير بدوي أو استمراري</w:t>
            </w:r>
            <w:r>
              <w:rPr>
                <w:rStyle w:val="IndexLink"/>
                <w:rtl w:val="true"/>
              </w:rPr>
              <w:tab/>
            </w:r>
            <w:r>
              <w:rPr>
                <w:rStyle w:val="IndexLink"/>
              </w:rPr>
              <w:t>120</w:t>
            </w:r>
          </w:hyperlink>
        </w:p>
        <w:p>
          <w:pPr>
            <w:pStyle w:val="Contents6"/>
            <w:tabs>
              <w:tab w:val="clear" w:pos="7609"/>
              <w:tab w:val="right" w:pos="9026" w:leader="dot"/>
            </w:tabs>
            <w:rPr/>
          </w:pPr>
          <w:hyperlink w:anchor="__RefHeading___Toc995293_2142443653">
            <w:r>
              <w:rPr>
                <w:webHidden/>
                <w:rStyle w:val="IndexLink"/>
                <w:rtl w:val="true"/>
              </w:rPr>
              <w:t>في التمسّك بأدلّة التخيير على كونه استمرارياً</w:t>
            </w:r>
            <w:r>
              <w:rPr>
                <w:rStyle w:val="IndexLink"/>
                <w:rtl w:val="true"/>
              </w:rPr>
              <w:tab/>
            </w:r>
            <w:r>
              <w:rPr>
                <w:rStyle w:val="IndexLink"/>
              </w:rPr>
              <w:t>120</w:t>
            </w:r>
          </w:hyperlink>
        </w:p>
        <w:p>
          <w:pPr>
            <w:pStyle w:val="Contents6"/>
            <w:tabs>
              <w:tab w:val="clear" w:pos="7609"/>
              <w:tab w:val="right" w:pos="9026" w:leader="dot"/>
            </w:tabs>
            <w:rPr/>
          </w:pPr>
          <w:hyperlink w:anchor="__RefHeading___Toc995295_2142443653">
            <w:r>
              <w:rPr>
                <w:webHidden/>
                <w:rStyle w:val="IndexLink"/>
                <w:rtl w:val="true"/>
              </w:rPr>
              <w:t>في التمسّك بالاستصحاب على كون التخيير استمرارياً</w:t>
            </w:r>
            <w:r>
              <w:rPr>
                <w:rStyle w:val="IndexLink"/>
                <w:rtl w:val="true"/>
              </w:rPr>
              <w:tab/>
            </w:r>
            <w:r>
              <w:rPr>
                <w:rStyle w:val="IndexLink"/>
              </w:rPr>
              <w:t>122</w:t>
            </w:r>
          </w:hyperlink>
        </w:p>
        <w:p>
          <w:pPr>
            <w:pStyle w:val="Contents6"/>
            <w:tabs>
              <w:tab w:val="clear" w:pos="7609"/>
              <w:tab w:val="right" w:pos="9026" w:leader="dot"/>
            </w:tabs>
            <w:rPr/>
          </w:pPr>
          <w:hyperlink w:anchor="__RefHeading___Toc995297_2142443653">
            <w:r>
              <w:rPr>
                <w:webHidden/>
                <w:rStyle w:val="IndexLink"/>
                <w:rtl w:val="true"/>
              </w:rPr>
              <w:t>الأمر الرابع</w:t>
            </w:r>
            <w:r>
              <w:rPr>
                <w:rStyle w:val="IndexLink"/>
                <w:rtl w:val="true"/>
              </w:rPr>
              <w:t xml:space="preserve">: </w:t>
            </w:r>
            <w:r>
              <w:rPr>
                <w:rStyle w:val="IndexLink"/>
                <w:rtl w:val="true"/>
              </w:rPr>
              <w:t>في شمول أخبار التخيير لجميع صور الخبرين المختلفين</w:t>
            </w:r>
            <w:r>
              <w:rPr>
                <w:rStyle w:val="IndexLink"/>
                <w:rtl w:val="true"/>
              </w:rPr>
              <w:tab/>
            </w:r>
            <w:r>
              <w:rPr>
                <w:rStyle w:val="IndexLink"/>
              </w:rPr>
              <w:t>125</w:t>
            </w:r>
          </w:hyperlink>
        </w:p>
        <w:p>
          <w:pPr>
            <w:pStyle w:val="Contents3"/>
            <w:tabs>
              <w:tab w:val="clear" w:pos="8459"/>
              <w:tab w:val="right" w:pos="9026" w:leader="dot"/>
            </w:tabs>
            <w:rPr/>
          </w:pPr>
          <w:hyperlink w:anchor="__RefHeading___Toc995299_2142443653">
            <w:r>
              <w:rPr>
                <w:webHidden/>
                <w:rStyle w:val="IndexLink"/>
                <w:rtl w:val="true"/>
              </w:rPr>
              <w:t>المقصد الثاني</w:t>
            </w:r>
            <w:r>
              <w:rPr>
                <w:rStyle w:val="IndexLink"/>
                <w:rtl w:val="true"/>
              </w:rPr>
              <w:t xml:space="preserve">: </w:t>
            </w:r>
            <w:r>
              <w:rPr>
                <w:rStyle w:val="IndexLink"/>
                <w:rtl w:val="true"/>
              </w:rPr>
              <w:t>فيما إذا كانت لأحد الخبرين مزيّة</w:t>
            </w:r>
            <w:r>
              <w:rPr>
                <w:rStyle w:val="IndexLink"/>
                <w:rtl w:val="true"/>
              </w:rPr>
              <w:tab/>
            </w:r>
            <w:r>
              <w:rPr>
                <w:rStyle w:val="IndexLink"/>
              </w:rPr>
              <w:t>128</w:t>
            </w:r>
          </w:hyperlink>
        </w:p>
        <w:p>
          <w:pPr>
            <w:pStyle w:val="Contents4"/>
            <w:tabs>
              <w:tab w:val="clear" w:pos="8176"/>
              <w:tab w:val="right" w:pos="9026" w:leader="dot"/>
            </w:tabs>
            <w:rPr/>
          </w:pPr>
          <w:hyperlink w:anchor="__RefHeading___Toc995301_2142443653">
            <w:r>
              <w:rPr>
                <w:webHidden/>
                <w:rStyle w:val="IndexLink"/>
                <w:rtl w:val="true"/>
              </w:rPr>
              <w:t xml:space="preserve">ويتمّ البحث فيه في ضمن اُمور </w:t>
            </w:r>
            <w:r>
              <w:rPr>
                <w:rStyle w:val="IndexLink"/>
                <w:rtl w:val="true"/>
              </w:rPr>
              <w:t>:</w:t>
              <w:tab/>
            </w:r>
            <w:r>
              <w:rPr>
                <w:rStyle w:val="IndexLink"/>
              </w:rPr>
              <w:t>128</w:t>
            </w:r>
          </w:hyperlink>
        </w:p>
        <w:p>
          <w:pPr>
            <w:pStyle w:val="Contents5"/>
            <w:tabs>
              <w:tab w:val="clear" w:pos="7892"/>
              <w:tab w:val="right" w:pos="9026" w:leader="dot"/>
            </w:tabs>
            <w:rPr/>
          </w:pPr>
          <w:hyperlink w:anchor="__RefHeading___Toc995303_2142443653">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995305_2142443653">
            <w:r>
              <w:rPr>
                <w:webHidden/>
                <w:rStyle w:val="IndexLink"/>
                <w:rtl w:val="true"/>
              </w:rPr>
              <w:t>الأمر الأوّل</w:t>
            </w:r>
            <w:r>
              <w:rPr>
                <w:rStyle w:val="IndexLink"/>
                <w:rtl w:val="true"/>
              </w:rPr>
              <w:t xml:space="preserve">: </w:t>
            </w:r>
            <w:r>
              <w:rPr>
                <w:rStyle w:val="IndexLink"/>
                <w:rtl w:val="true"/>
              </w:rPr>
              <w:t>في مقتضى الأصل في المقام</w:t>
            </w:r>
            <w:r>
              <w:rPr>
                <w:rStyle w:val="IndexLink"/>
                <w:rtl w:val="true"/>
              </w:rPr>
              <w:tab/>
            </w:r>
            <w:r>
              <w:rPr>
                <w:rStyle w:val="IndexLink"/>
              </w:rPr>
              <w:t>130</w:t>
            </w:r>
          </w:hyperlink>
        </w:p>
        <w:p>
          <w:pPr>
            <w:pStyle w:val="Contents5"/>
            <w:tabs>
              <w:tab w:val="clear" w:pos="7892"/>
              <w:tab w:val="right" w:pos="9026" w:leader="dot"/>
            </w:tabs>
            <w:rPr/>
          </w:pPr>
          <w:hyperlink w:anchor="__RefHeading___Toc995307_2142443653">
            <w:r>
              <w:rPr>
                <w:webHidden/>
                <w:rStyle w:val="IndexLink"/>
                <w:rtl w:val="true"/>
              </w:rPr>
              <w:t>الأمر الثاني</w:t>
            </w:r>
            <w:r>
              <w:rPr>
                <w:rStyle w:val="IndexLink"/>
                <w:rtl w:val="true"/>
              </w:rPr>
              <w:t xml:space="preserve">: </w:t>
            </w:r>
            <w:r>
              <w:rPr>
                <w:rStyle w:val="IndexLink"/>
                <w:rtl w:val="true"/>
              </w:rPr>
              <w:t>في حال أخبار العلاج</w:t>
            </w:r>
            <w:r>
              <w:rPr>
                <w:rStyle w:val="IndexLink"/>
                <w:rtl w:val="true"/>
              </w:rPr>
              <w:tab/>
            </w:r>
            <w:r>
              <w:rPr>
                <w:rStyle w:val="IndexLink"/>
              </w:rPr>
              <w:t>132</w:t>
            </w:r>
          </w:hyperlink>
        </w:p>
        <w:p>
          <w:pPr>
            <w:pStyle w:val="Contents6"/>
            <w:tabs>
              <w:tab w:val="clear" w:pos="7609"/>
              <w:tab w:val="right" w:pos="9026" w:leader="dot"/>
            </w:tabs>
            <w:rPr/>
          </w:pPr>
          <w:hyperlink w:anchor="__RefHeading___Toc995309_2142443653">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995311_2142443653">
            <w:r>
              <w:rPr>
                <w:webHidden/>
                <w:rStyle w:val="IndexLink"/>
                <w:rtl w:val="true"/>
              </w:rPr>
              <w:t>الكلام حول مقبولة عمر بن حنظلة</w:t>
            </w:r>
            <w:r>
              <w:rPr>
                <w:rStyle w:val="IndexLink"/>
                <w:rtl w:val="true"/>
              </w:rPr>
              <w:tab/>
            </w:r>
            <w:r>
              <w:rPr>
                <w:rStyle w:val="IndexLink"/>
              </w:rPr>
              <w:t>135</w:t>
            </w:r>
          </w:hyperlink>
        </w:p>
        <w:p>
          <w:pPr>
            <w:pStyle w:val="Contents6"/>
            <w:tabs>
              <w:tab w:val="clear" w:pos="7609"/>
              <w:tab w:val="right" w:pos="9026" w:leader="dot"/>
            </w:tabs>
            <w:rPr/>
          </w:pPr>
          <w:hyperlink w:anchor="__RefHeading___Toc995313_2142443653">
            <w:r>
              <w:rPr>
                <w:webHidden/>
                <w:rStyle w:val="IndexLink"/>
                <w:rtl w:val="true"/>
              </w:rPr>
              <w:t xml:space="preserve">في معنى </w:t>
            </w:r>
            <w:r>
              <w:rPr>
                <w:rStyle w:val="IndexLink"/>
                <w:rtl w:val="true"/>
              </w:rPr>
              <w:t>«</w:t>
            </w:r>
            <w:r>
              <w:rPr>
                <w:rStyle w:val="IndexLink"/>
                <w:rtl w:val="true"/>
              </w:rPr>
              <w:t>المجمع عليه بين الأصحاب</w:t>
            </w:r>
            <w:r>
              <w:rPr>
                <w:rStyle w:val="IndexLink"/>
                <w:rtl w:val="true"/>
              </w:rPr>
              <w:t>»</w:t>
              <w:tab/>
            </w:r>
            <w:r>
              <w:rPr>
                <w:rStyle w:val="IndexLink"/>
              </w:rPr>
              <w:t>140</w:t>
            </w:r>
          </w:hyperlink>
        </w:p>
        <w:p>
          <w:pPr>
            <w:pStyle w:val="Contents6"/>
            <w:tabs>
              <w:tab w:val="clear" w:pos="7609"/>
              <w:tab w:val="right" w:pos="9026" w:leader="dot"/>
            </w:tabs>
            <w:rPr/>
          </w:pPr>
          <w:hyperlink w:anchor="__RefHeading___Toc995315_2142443653">
            <w:r>
              <w:rPr>
                <w:webHidden/>
                <w:rStyle w:val="IndexLink"/>
                <w:rtl w:val="true"/>
              </w:rPr>
              <w:t>عدم كون الأعدلية وما يتلوها والشهرة من المرجّحات</w:t>
            </w:r>
            <w:r>
              <w:rPr>
                <w:rStyle w:val="IndexLink"/>
                <w:rtl w:val="true"/>
              </w:rPr>
              <w:tab/>
            </w:r>
            <w:r>
              <w:rPr>
                <w:rStyle w:val="IndexLink"/>
              </w:rPr>
              <w:t>142</w:t>
            </w:r>
          </w:hyperlink>
        </w:p>
        <w:p>
          <w:pPr>
            <w:pStyle w:val="Contents6"/>
            <w:tabs>
              <w:tab w:val="clear" w:pos="7609"/>
              <w:tab w:val="right" w:pos="9026" w:leader="dot"/>
            </w:tabs>
            <w:rPr/>
          </w:pPr>
          <w:hyperlink w:anchor="__RefHeading___Toc995317_2142443653">
            <w:r>
              <w:rPr>
                <w:webHidden/>
                <w:rStyle w:val="IndexLink"/>
                <w:rtl w:val="true"/>
              </w:rPr>
              <w:t>انحصار المرجّحات المنصوصة في موافقة الكتاب ومخالفة العامّة</w:t>
            </w:r>
            <w:r>
              <w:rPr>
                <w:rStyle w:val="IndexLink"/>
                <w:rtl w:val="true"/>
              </w:rPr>
              <w:tab/>
            </w:r>
            <w:r>
              <w:rPr>
                <w:rStyle w:val="IndexLink"/>
              </w:rPr>
              <w:t>146</w:t>
            </w:r>
          </w:hyperlink>
        </w:p>
        <w:p>
          <w:pPr>
            <w:pStyle w:val="Contents6"/>
            <w:tabs>
              <w:tab w:val="clear" w:pos="7609"/>
              <w:tab w:val="right" w:pos="9026" w:leader="dot"/>
            </w:tabs>
            <w:rPr/>
          </w:pPr>
          <w:hyperlink w:anchor="__RefHeading___Toc995319_2142443653">
            <w:r>
              <w:rPr>
                <w:webHidden/>
                <w:rStyle w:val="IndexLink"/>
                <w:rtl w:val="true"/>
              </w:rPr>
              <w:t xml:space="preserve">ولا بدّ لاستقصاء البحث فيها من عقد بحثين </w:t>
            </w:r>
            <w:r>
              <w:rPr>
                <w:rStyle w:val="IndexLink"/>
                <w:rtl w:val="true"/>
              </w:rPr>
              <w:t>:</w:t>
              <w:tab/>
            </w:r>
            <w:r>
              <w:rPr>
                <w:rStyle w:val="IndexLink"/>
              </w:rPr>
              <w:t>146</w:t>
            </w:r>
          </w:hyperlink>
        </w:p>
        <w:p>
          <w:pPr>
            <w:pStyle w:val="Contents6"/>
            <w:tabs>
              <w:tab w:val="clear" w:pos="7609"/>
              <w:tab w:val="right" w:pos="9026" w:leader="dot"/>
            </w:tabs>
            <w:rPr/>
          </w:pPr>
          <w:hyperlink w:anchor="__RefHeading___Toc995321_2142443653">
            <w:r>
              <w:rPr>
                <w:webHidden/>
                <w:rStyle w:val="IndexLink"/>
                <w:rtl w:val="true"/>
              </w:rPr>
              <w:t xml:space="preserve">البحث الأوّل </w:t>
            </w:r>
            <w:r>
              <w:rPr>
                <w:rStyle w:val="IndexLink"/>
                <w:rtl w:val="true"/>
              </w:rPr>
              <w:t xml:space="preserve">: </w:t>
            </w:r>
            <w:r>
              <w:rPr>
                <w:rStyle w:val="IndexLink"/>
                <w:rtl w:val="true"/>
              </w:rPr>
              <w:t>في حال الأخبار الواردة في موافقة الكتاب ومخالفته</w:t>
            </w:r>
            <w:r>
              <w:rPr>
                <w:rStyle w:val="IndexLink"/>
                <w:rtl w:val="true"/>
              </w:rPr>
              <w:tab/>
            </w:r>
            <w:r>
              <w:rPr>
                <w:rStyle w:val="IndexLink"/>
              </w:rPr>
              <w:t>146</w:t>
            </w:r>
          </w:hyperlink>
        </w:p>
        <w:p>
          <w:pPr>
            <w:pStyle w:val="Contents6"/>
            <w:tabs>
              <w:tab w:val="clear" w:pos="7609"/>
              <w:tab w:val="right" w:pos="9026" w:leader="dot"/>
            </w:tabs>
            <w:rPr/>
          </w:pPr>
          <w:hyperlink w:anchor="__RefHeading___Toc995323_2142443653">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995325_2142443653">
            <w:r>
              <w:rPr>
                <w:webHidden/>
                <w:rStyle w:val="IndexLink"/>
                <w:rtl w:val="true"/>
              </w:rPr>
              <w:t>في التوفيق بين الأخبار</w:t>
            </w:r>
            <w:r>
              <w:rPr>
                <w:rStyle w:val="IndexLink"/>
                <w:rtl w:val="true"/>
              </w:rPr>
              <w:tab/>
            </w:r>
            <w:r>
              <w:rPr>
                <w:rStyle w:val="IndexLink"/>
              </w:rPr>
              <w:t>149</w:t>
            </w:r>
          </w:hyperlink>
        </w:p>
        <w:p>
          <w:pPr>
            <w:pStyle w:val="Contents6"/>
            <w:tabs>
              <w:tab w:val="clear" w:pos="7609"/>
              <w:tab w:val="right" w:pos="9026" w:leader="dot"/>
            </w:tabs>
            <w:rPr/>
          </w:pPr>
          <w:hyperlink w:anchor="__RefHeading___Toc995327_2142443653">
            <w:r>
              <w:rPr>
                <w:webHidden/>
                <w:rStyle w:val="IndexLink"/>
                <w:rtl w:val="true"/>
              </w:rPr>
              <w:t>تحقيق المقام</w:t>
            </w:r>
            <w:r>
              <w:rPr>
                <w:rStyle w:val="IndexLink"/>
                <w:rtl w:val="true"/>
              </w:rPr>
              <w:tab/>
            </w:r>
            <w:r>
              <w:rPr>
                <w:rStyle w:val="IndexLink"/>
              </w:rPr>
              <w:t>151</w:t>
            </w:r>
          </w:hyperlink>
        </w:p>
        <w:p>
          <w:pPr>
            <w:pStyle w:val="Contents6"/>
            <w:tabs>
              <w:tab w:val="clear" w:pos="7609"/>
              <w:tab w:val="right" w:pos="9026" w:leader="dot"/>
            </w:tabs>
            <w:rPr/>
          </w:pPr>
          <w:hyperlink w:anchor="__RefHeading___Toc995329_2142443653">
            <w:r>
              <w:rPr>
                <w:webHidden/>
                <w:rStyle w:val="IndexLink"/>
                <w:rtl w:val="true"/>
              </w:rPr>
              <w:t>في مرجّحية موافقة الكتاب والثمرة بين المرجعية والمرجّحية</w:t>
            </w:r>
            <w:r>
              <w:rPr>
                <w:rStyle w:val="IndexLink"/>
                <w:rtl w:val="true"/>
              </w:rPr>
              <w:tab/>
            </w:r>
            <w:r>
              <w:rPr>
                <w:rStyle w:val="IndexLink"/>
              </w:rPr>
              <w:t>153</w:t>
            </w:r>
          </w:hyperlink>
        </w:p>
        <w:p>
          <w:pPr>
            <w:pStyle w:val="Contents6"/>
            <w:tabs>
              <w:tab w:val="clear" w:pos="7609"/>
              <w:tab w:val="right" w:pos="9026" w:leader="dot"/>
            </w:tabs>
            <w:rPr/>
          </w:pPr>
          <w:hyperlink w:anchor="__RefHeading___Toc995331_2142443653">
            <w:r>
              <w:rPr>
                <w:webHidden/>
                <w:rStyle w:val="IndexLink"/>
                <w:rtl w:val="true"/>
              </w:rPr>
              <w:t xml:space="preserve">البحث الثاني </w:t>
            </w:r>
            <w:r>
              <w:rPr>
                <w:rStyle w:val="IndexLink"/>
                <w:rtl w:val="true"/>
              </w:rPr>
              <w:t xml:space="preserve">: </w:t>
            </w:r>
            <w:r>
              <w:rPr>
                <w:rStyle w:val="IndexLink"/>
                <w:rtl w:val="true"/>
              </w:rPr>
              <w:t>في حال الأخبار الواردة في مخالفة العامّة</w:t>
            </w:r>
            <w:r>
              <w:rPr>
                <w:rStyle w:val="IndexLink"/>
                <w:rtl w:val="true"/>
              </w:rPr>
              <w:tab/>
            </w:r>
            <w:r>
              <w:rPr>
                <w:rStyle w:val="IndexLink"/>
              </w:rPr>
              <w:t>154</w:t>
            </w:r>
          </w:hyperlink>
        </w:p>
        <w:p>
          <w:pPr>
            <w:pStyle w:val="Contents6"/>
            <w:tabs>
              <w:tab w:val="clear" w:pos="7609"/>
              <w:tab w:val="right" w:pos="9026" w:leader="dot"/>
            </w:tabs>
            <w:rPr/>
          </w:pPr>
          <w:hyperlink w:anchor="__RefHeading___Toc995333_2142443653">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995335_2142443653">
            <w:r>
              <w:rPr>
                <w:webHidden/>
                <w:rStyle w:val="IndexLink"/>
                <w:rtl w:val="true"/>
              </w:rPr>
              <w:t>في الترتيب بين الترجيح بموافقة الكتاب ومخالفة العامّة</w:t>
            </w:r>
            <w:r>
              <w:rPr>
                <w:rStyle w:val="IndexLink"/>
                <w:rtl w:val="true"/>
              </w:rPr>
              <w:tab/>
            </w:r>
            <w:r>
              <w:rPr>
                <w:rStyle w:val="IndexLink"/>
              </w:rPr>
              <w:t>158</w:t>
            </w:r>
          </w:hyperlink>
        </w:p>
        <w:p>
          <w:pPr>
            <w:pStyle w:val="Contents6"/>
            <w:tabs>
              <w:tab w:val="clear" w:pos="7609"/>
              <w:tab w:val="right" w:pos="9026" w:leader="dot"/>
            </w:tabs>
            <w:rPr/>
          </w:pPr>
          <w:hyperlink w:anchor="__RefHeading___Toc995337_2142443653">
            <w:r>
              <w:rPr>
                <w:webHidden/>
                <w:rStyle w:val="IndexLink"/>
                <w:rtl w:val="true"/>
              </w:rPr>
              <w:t xml:space="preserve">تتميم </w:t>
            </w:r>
            <w:r>
              <w:rPr>
                <w:rStyle w:val="IndexLink"/>
                <w:rtl w:val="true"/>
              </w:rPr>
              <w:t xml:space="preserve">: </w:t>
            </w:r>
            <w:r>
              <w:rPr>
                <w:rStyle w:val="IndexLink"/>
                <w:rtl w:val="true"/>
              </w:rPr>
              <w:t>في عدم الترجيح بالأحدثية</w:t>
            </w:r>
            <w:r>
              <w:rPr>
                <w:rStyle w:val="IndexLink"/>
                <w:rtl w:val="true"/>
              </w:rPr>
              <w:tab/>
            </w:r>
            <w:r>
              <w:rPr>
                <w:rStyle w:val="IndexLink"/>
              </w:rPr>
              <w:t>159</w:t>
            </w:r>
          </w:hyperlink>
        </w:p>
        <w:p>
          <w:pPr>
            <w:pStyle w:val="Contents5"/>
            <w:tabs>
              <w:tab w:val="clear" w:pos="7892"/>
              <w:tab w:val="right" w:pos="9026" w:leader="dot"/>
            </w:tabs>
            <w:rPr/>
          </w:pPr>
          <w:hyperlink w:anchor="__RefHeading___Toc995339_2142443653">
            <w:r>
              <w:rPr>
                <w:webHidden/>
                <w:rStyle w:val="IndexLink"/>
                <w:rtl w:val="true"/>
              </w:rPr>
              <w:t>الأمر الثالث</w:t>
            </w:r>
            <w:r>
              <w:rPr>
                <w:rStyle w:val="IndexLink"/>
                <w:rtl w:val="true"/>
              </w:rPr>
              <w:t xml:space="preserve">: </w:t>
            </w:r>
            <w:r>
              <w:rPr>
                <w:rStyle w:val="IndexLink"/>
                <w:rtl w:val="true"/>
              </w:rPr>
              <w:t>في التعدّي عن المرجّحات المنصوصة</w:t>
            </w:r>
            <w:r>
              <w:rPr>
                <w:rStyle w:val="IndexLink"/>
                <w:rtl w:val="true"/>
              </w:rPr>
              <w:tab/>
            </w:r>
            <w:r>
              <w:rPr>
                <w:rStyle w:val="IndexLink"/>
              </w:rPr>
              <w:t>160</w:t>
            </w:r>
          </w:hyperlink>
        </w:p>
        <w:p>
          <w:pPr>
            <w:pStyle w:val="Contents6"/>
            <w:tabs>
              <w:tab w:val="clear" w:pos="7609"/>
              <w:tab w:val="right" w:pos="9026" w:leader="dot"/>
            </w:tabs>
            <w:rPr/>
          </w:pPr>
          <w:hyperlink w:anchor="__RefHeading___Toc995341_2142443653">
            <w:r>
              <w:rPr>
                <w:webHidden/>
                <w:rStyle w:val="IndexLink"/>
                <w:rtl w:val="true"/>
              </w:rPr>
              <w:t>كلام الشيخ الأعظم في المقام</w:t>
            </w:r>
            <w:r>
              <w:rPr>
                <w:rStyle w:val="IndexLink"/>
                <w:rtl w:val="true"/>
              </w:rPr>
              <w:tab/>
            </w:r>
            <w:r>
              <w:rPr>
                <w:rStyle w:val="IndexLink"/>
              </w:rPr>
              <w:t>160</w:t>
            </w:r>
          </w:hyperlink>
        </w:p>
        <w:p>
          <w:pPr>
            <w:pStyle w:val="Contents6"/>
            <w:tabs>
              <w:tab w:val="clear" w:pos="7609"/>
              <w:tab w:val="right" w:pos="9026" w:leader="dot"/>
            </w:tabs>
            <w:rPr/>
          </w:pPr>
          <w:hyperlink w:anchor="__RefHeading___Toc995343_2142443653">
            <w:r>
              <w:rPr>
                <w:webHidden/>
                <w:rStyle w:val="IndexLink"/>
                <w:rtl w:val="true"/>
              </w:rPr>
              <w:t>الوجوه التي استدلّ بها الشيخ الأعظم على التعدّي من المنصوص</w:t>
            </w:r>
            <w:r>
              <w:rPr>
                <w:rStyle w:val="IndexLink"/>
                <w:rtl w:val="true"/>
              </w:rPr>
              <w:tab/>
            </w:r>
            <w:r>
              <w:rPr>
                <w:rStyle w:val="IndexLink"/>
              </w:rPr>
              <w:t>161</w:t>
            </w:r>
          </w:hyperlink>
        </w:p>
        <w:p>
          <w:pPr>
            <w:pStyle w:val="Contents6"/>
            <w:tabs>
              <w:tab w:val="clear" w:pos="7609"/>
              <w:tab w:val="right" w:pos="9026" w:leader="dot"/>
            </w:tabs>
            <w:rPr/>
          </w:pPr>
          <w:hyperlink w:anchor="__RefHeading___Toc995345_2142443653">
            <w:r>
              <w:rPr>
                <w:webHidden/>
                <w:rStyle w:val="IndexLink"/>
                <w:rtl w:val="true"/>
              </w:rPr>
              <w:t>في تقريب الترجيح بكلّ ذي مزيّة</w:t>
            </w:r>
            <w:r>
              <w:rPr>
                <w:rStyle w:val="IndexLink"/>
                <w:rtl w:val="true"/>
              </w:rPr>
              <w:tab/>
            </w:r>
            <w:r>
              <w:rPr>
                <w:rStyle w:val="IndexLink"/>
              </w:rPr>
              <w:t>168</w:t>
            </w:r>
          </w:hyperlink>
        </w:p>
        <w:p>
          <w:pPr>
            <w:pStyle w:val="Contents5"/>
            <w:tabs>
              <w:tab w:val="clear" w:pos="7892"/>
              <w:tab w:val="right" w:pos="9026" w:leader="dot"/>
            </w:tabs>
            <w:rPr/>
          </w:pPr>
          <w:hyperlink w:anchor="__RefHeading___Toc995347_2142443653">
            <w:r>
              <w:rPr>
                <w:webHidden/>
                <w:rStyle w:val="IndexLink"/>
                <w:rtl w:val="true"/>
              </w:rPr>
              <w:t>الأمر الرابع</w:t>
            </w:r>
            <w:r>
              <w:rPr>
                <w:rStyle w:val="IndexLink"/>
                <w:rtl w:val="true"/>
              </w:rPr>
              <w:t xml:space="preserve">: </w:t>
            </w:r>
            <w:r>
              <w:rPr>
                <w:rStyle w:val="IndexLink"/>
                <w:rtl w:val="true"/>
              </w:rPr>
              <w:t>في إمكان كون كلّ من المرجّحين مرجّحاً للصدور أو لجهته</w:t>
            </w:r>
            <w:r>
              <w:rPr>
                <w:rStyle w:val="IndexLink"/>
                <w:rtl w:val="true"/>
              </w:rPr>
              <w:tab/>
            </w:r>
            <w:r>
              <w:rPr>
                <w:rStyle w:val="IndexLink"/>
              </w:rPr>
              <w:t>171</w:t>
            </w:r>
          </w:hyperlink>
        </w:p>
        <w:p>
          <w:pPr>
            <w:pStyle w:val="Contents2"/>
            <w:tabs>
              <w:tab w:val="clear" w:pos="8743"/>
              <w:tab w:val="right" w:pos="9026" w:leader="dot"/>
            </w:tabs>
            <w:rPr/>
          </w:pPr>
          <w:hyperlink w:anchor="__RefHeading___Toc995349_2142443653">
            <w:r>
              <w:rPr>
                <w:webHidden/>
                <w:rStyle w:val="IndexLink"/>
                <w:rtl w:val="true"/>
              </w:rPr>
              <w:t>الفهارس العامّة</w:t>
            </w:r>
            <w:r>
              <w:rPr>
                <w:rStyle w:val="IndexLink"/>
                <w:rtl w:val="true"/>
              </w:rPr>
              <w:tab/>
            </w:r>
            <w:r>
              <w:rPr>
                <w:rStyle w:val="IndexLink"/>
              </w:rPr>
              <w:t>176</w:t>
            </w:r>
          </w:hyperlink>
        </w:p>
        <w:p>
          <w:pPr>
            <w:pStyle w:val="Contents3"/>
            <w:tabs>
              <w:tab w:val="clear" w:pos="8459"/>
              <w:tab w:val="right" w:pos="9026" w:leader="dot"/>
            </w:tabs>
            <w:rPr/>
          </w:pPr>
          <w:hyperlink w:anchor="__RefHeading___Toc995351_2142443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995353_2142443653">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178</w:t>
            </w:r>
          </w:hyperlink>
        </w:p>
        <w:p>
          <w:pPr>
            <w:pStyle w:val="Contents3"/>
            <w:tabs>
              <w:tab w:val="clear" w:pos="8459"/>
              <w:tab w:val="right" w:pos="9026" w:leader="dot"/>
            </w:tabs>
            <w:rPr/>
          </w:pPr>
          <w:hyperlink w:anchor="__RefHeading___Toc995355_2142443653">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180</w:t>
            </w:r>
          </w:hyperlink>
        </w:p>
        <w:p>
          <w:pPr>
            <w:pStyle w:val="Contents3"/>
            <w:tabs>
              <w:tab w:val="clear" w:pos="8459"/>
              <w:tab w:val="right" w:pos="9026" w:leader="dot"/>
            </w:tabs>
            <w:rPr/>
          </w:pPr>
          <w:hyperlink w:anchor="__RefHeading___Toc995357_2142443653">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995359_2142443653">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188</w:t>
            </w:r>
          </w:hyperlink>
        </w:p>
        <w:p>
          <w:pPr>
            <w:pStyle w:val="Contents3"/>
            <w:tabs>
              <w:tab w:val="clear" w:pos="8459"/>
              <w:tab w:val="right" w:pos="9026" w:leader="dot"/>
            </w:tabs>
            <w:rPr/>
          </w:pPr>
          <w:hyperlink w:anchor="__RefHeading___Toc995361_2142443653">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194</w:t>
            </w:r>
          </w:hyperlink>
        </w:p>
        <w:p>
          <w:pPr>
            <w:pStyle w:val="Contents3"/>
            <w:tabs>
              <w:tab w:val="clear" w:pos="8459"/>
              <w:tab w:val="right" w:pos="9026" w:leader="dot"/>
            </w:tabs>
            <w:rPr/>
          </w:pPr>
          <w:hyperlink w:anchor="__RefHeading___Toc995363_2142443653">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196</w:t>
            </w:r>
          </w:hyperlink>
        </w:p>
        <w:p>
          <w:pPr>
            <w:pStyle w:val="Contents3"/>
            <w:tabs>
              <w:tab w:val="clear" w:pos="8459"/>
              <w:tab w:val="right" w:pos="9026" w:leader="dot"/>
            </w:tabs>
            <w:rPr/>
          </w:pPr>
          <w:hyperlink w:anchor="__RefHeading___Toc995365_2142443653">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204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86_161722"/>
      <w:bookmarkStart w:id="1" w:name="pg15086_161722"/>
      <w:bookmarkEnd w:id="1"/>
    </w:p>
    <w:p>
      <w:pPr>
        <w:pStyle w:val="Heading2"/>
        <w:numPr>
          <w:ilvl w:val="1"/>
          <w:numId w:val="1"/>
        </w:numPr>
        <w:rPr/>
      </w:pPr>
      <w:bookmarkStart w:id="2" w:name="pg15086_161722"/>
      <w:bookmarkStart w:id="3" w:name="__RefHeading___Toc995149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التعادل و الترجیح و الاجتهاد والتقلید المجلد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515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86_161726"/>
      <w:bookmarkStart w:id="8" w:name="pg15086_161726"/>
      <w:bookmarkEnd w:id="8"/>
    </w:p>
    <w:p>
      <w:pPr>
        <w:pStyle w:val="Heading2"/>
        <w:numPr>
          <w:ilvl w:val="1"/>
          <w:numId w:val="1"/>
        </w:numPr>
        <w:rPr/>
      </w:pPr>
      <w:bookmarkStart w:id="9" w:name="pg15086_161726"/>
      <w:bookmarkStart w:id="10" w:name="__RefHeading___Toc995153_2142443653"/>
      <w:bookmarkStart w:id="11" w:name="_Toc3"/>
      <w:bookmarkEnd w:id="9"/>
      <w:bookmarkEnd w:id="10"/>
      <w:r>
        <w:rPr>
          <w:rtl w:val="true"/>
        </w:rPr>
        <w:t>مقدّمة التحقيق</w:t>
      </w:r>
      <w:bookmarkEnd w:id="11"/>
    </w:p>
    <w:p>
      <w:pPr>
        <w:pStyle w:val="Heading3"/>
        <w:numPr>
          <w:ilvl w:val="2"/>
          <w:numId w:val="1"/>
        </w:numPr>
        <w:rPr/>
      </w:pPr>
      <w:bookmarkStart w:id="12" w:name="__RefHeading___Toc995155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 xml:space="preserve">هذا المجلّد من موسوعة الإمام الخميني قدّس سرّه مشتمل على رسالتين في علم اُصول الفقه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التعادل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صنّفهما عند إلقاء درس الخارج في قم المقدّسة بعد بحث الاستصحاب </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995157_2142443653"/>
      <w:bookmarkStart w:id="15" w:name="_Toc5"/>
      <w:bookmarkEnd w:id="14"/>
      <w:r>
        <w:rPr>
          <w:rtl w:val="true"/>
        </w:rPr>
        <w:t xml:space="preserve">رسالة </w:t>
      </w:r>
      <w:r>
        <w:rPr>
          <w:rtl w:val="true"/>
        </w:rPr>
        <w:t>«</w:t>
      </w:r>
      <w:r>
        <w:rPr>
          <w:rtl w:val="true"/>
        </w:rPr>
        <w:t>التعادل والترجيح</w:t>
      </w:r>
      <w:r>
        <w:rPr>
          <w:rtl w:val="true"/>
        </w:rPr>
        <w:t>»</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رسالة التعادل والترجيح فقد تمّ تأليفها في التاسع من شهر جمادى الاُولى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في مدينة قم المقدّسة وإخراجها إلى المبيضّة يوم الثالث والعشرين من شهر رمضان نفس السنة في محلاّت ، وهي حصيلة الدورة الاُولى من تدريس اُصول الفقه وقد أضاف إليها تعليقات في الدورة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طبعت ونشرت لأوّل مرّة في عام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باهتمام آية اللّه الشيخ مجتبى </w:t>
      </w:r>
    </w:p>
    <w:p>
      <w:pPr>
        <w:pStyle w:val="BookText"/>
        <w:rPr/>
      </w:pPr>
      <w:r>
        <w:rPr>
          <w:rFonts w:ascii="Amiri" w:hAnsi="Amiri" w:eastAsia="Amiri" w:cs="Amiri"/>
          <w:color w:val="111111"/>
          <w:sz w:val="28"/>
          <w:sz w:val="28"/>
          <w:szCs w:val="28"/>
          <w:rtl w:val="true"/>
          <w:lang w:bidi="ar-SA"/>
        </w:rPr>
        <w:t xml:space="preserve">الطهراني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قبل مؤسّسة إسماعيليان، ثمّ نشرت ثانية في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مقدّمة وهوامش مفصّلة بإعداد مؤسّسة تنظيم ونشر آثار الإمام الخميني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بحث اختلاف الأدلّة وعدم انسجام بعضها مع بعض هو من أهمّ الأبحاث الاُصولية ؛ حيث إنّ الاجتهاد يدور مداره ومن خلاله يتمكّن الفقيه من الإفتاء حول موضوع معيّن ، مع ما للاجتهاد من منزلة رفيعة عند الشيعة الإمامية ؛ حيث يمنح الفقيه القدرة على الاستنباط من الميراث الحديثي العظيم الواصل بأيدينا من أئمّتنا علیهم السلام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والحجر الأساسي لبناء البحث تبيين أنّه كيف يمكن صدور أحاديث مختلفة ومتعارضة عنهم علیهم السلام وما هو السرّ في صدور عامّ ومطلق في لسان النبيّ صلی الله علیه و آله وسلم أو إمام ووقوع مخصّصه ومقيّده في لسان إمام آخر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بحثه بعد نقد آراء القوم تفصيلاً يرى أنّ السرّ في عدم تعارض العامّ مع الخاصّ هو أنّ كلاًّ من العمومات والأدلّة الخاصّة قد صدرا من المقنّن، وهذا الاُسلوب لا يكشف عن وقوع التخالف وعدم الاعتدال في عرف التقنين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نّك ترى في القوانين العرفية إلقاء الكلّيات في فصل وبيان حدودها ومخصّصاتها في فصل آخر، فمحيط التقنين والتشريع غير محيط الكتب العلمية والمحاورات العرفية المتداولة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النظرية مبنيّة على رأيه حول الخطابات الشرعية وأنّه لا تكون خطابات الشارع بمثابة الخطابات العرفية المتداولة، وإنّما يتعامل الشارع مع المخاطب تعامل المقنّن ، ويتبع القواعد العرفية السائدة والمتداولة بين المقنّنين بما هم مقنّنون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يصرّح الإمام قدّس سرّه بأنّنا إذا أردنا التعرّف على الخبرين </w:t>
      </w:r>
      <w:bookmarkStart w:id="16" w:name="pg15086_161728"/>
    </w:p>
    <w:p>
      <w:pPr>
        <w:pStyle w:val="BookText"/>
        <w:rPr/>
      </w:pPr>
      <w:bookmarkEnd w:id="16"/>
      <w:r>
        <w:rPr>
          <w:rFonts w:ascii="Amiri" w:hAnsi="Amiri" w:eastAsia="Amiri" w:cs="Amiri"/>
          <w:color w:val="111111"/>
          <w:sz w:val="28"/>
          <w:sz w:val="28"/>
          <w:szCs w:val="28"/>
          <w:rtl w:val="true"/>
          <w:lang w:bidi="ar-SA"/>
        </w:rPr>
        <w:t xml:space="preserve">المتعارضين فينبغي لنا لحاظهما في محيط التقنين، ثمّ الحكم عليهما بأنّهما متعارضان أو ليسا بمتعارضين </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995159_2142443653"/>
      <w:bookmarkStart w:id="18" w:name="_Toc6"/>
      <w:bookmarkEnd w:id="17"/>
      <w:r>
        <w:rPr>
          <w:rtl w:val="true"/>
        </w:rPr>
        <w:t xml:space="preserve">رسالة </w:t>
      </w:r>
      <w:r>
        <w:rPr>
          <w:rtl w:val="true"/>
        </w:rPr>
        <w:t>«</w:t>
      </w:r>
      <w:r>
        <w:rPr>
          <w:rtl w:val="true"/>
        </w:rPr>
        <w:t>الاجتهاد والتقليد</w:t>
      </w:r>
      <w:r>
        <w:rPr>
          <w:rtl w:val="true"/>
        </w:rPr>
        <w:t>»</w:t>
      </w:r>
      <w:bookmarkEnd w:id="18"/>
    </w:p>
    <w:p>
      <w:pPr>
        <w:pStyle w:val="BookText"/>
        <w:rPr/>
      </w:pPr>
      <w:r>
        <w:rPr>
          <w:rFonts w:ascii="Amiri" w:hAnsi="Amiri" w:eastAsia="Amiri" w:cs="Amiri"/>
          <w:color w:val="111111"/>
          <w:sz w:val="28"/>
          <w:sz w:val="28"/>
          <w:szCs w:val="28"/>
          <w:rtl w:val="true"/>
          <w:lang w:bidi="ar-SA"/>
        </w:rPr>
        <w:t xml:space="preserve">أمّا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فرغ الإمام قدّس سرّه من تسويدها يوم الجمعة عيد الفطر في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محلاّت عند تدريسه للدورة الاُولى من خارج الاُصول ، وقد ألحق بها في الدورة الثانية فصلين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التخيير بين المجتهدين المتساويين بدوي أو 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الحيّ والميّت في مسألة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هذين الفصلين لم يأخذا محلّهما الطبيعي وإنّما جاءا متأخّرين وعلى شكل ملحق بهذه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والرسالة أيضاً قد طبعت أوّل مرّة في عام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باهتمام آية اللّه الشيخ مجتبى الطهراني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ثانية في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مقدّمة وهوامش تفصيلية بإعداد مؤسّسة تنظيم ونشر آثار الإمام الخميني قدّس سرّه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وليعلم أنّ من اختصاصات الرسالة ما حقّقه مفصّلاً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تداول الاجتهاد في عصر الأئمّة علیهم السلام وإرجاعهم الشيعة إلى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تقديم البحث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شؤون 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والنقطة اللطيفة والملفّتة للنظر أ نّه قدّس سرّه ومنذ ذلك التأريخ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ثلاث عقود من ظفر الثورة الإسلامية المباركة في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للشؤون الثلاثة للفقيه الجامع للشرائط بوضوح وجلاء ، وهذه الشؤون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المرجعية في الفتوى ، والقضاء ، والحكومة وإدارة المجتمع ، فيصرّح قدّس سرّه بأ نّه لمّا كانت ديانة </w:t>
      </w:r>
      <w:bookmarkStart w:id="19" w:name="pg15086_161729"/>
    </w:p>
    <w:p>
      <w:pPr>
        <w:pStyle w:val="BookText"/>
        <w:rPr/>
      </w:pPr>
      <w:bookmarkEnd w:id="19"/>
      <w:r>
        <w:rPr>
          <w:rFonts w:ascii="Amiri" w:hAnsi="Amiri" w:eastAsia="Amiri" w:cs="Amiri"/>
          <w:color w:val="111111"/>
          <w:sz w:val="28"/>
          <w:sz w:val="28"/>
          <w:szCs w:val="28"/>
          <w:rtl w:val="true"/>
          <w:lang w:bidi="ar-SA"/>
        </w:rPr>
        <w:t>الإسلام كفيلة بجميع احتياجات البشر ؛ من اُموره السياسية واجتماعاته المدنية ، إلى حياته الفردية ، كما يتّضح ذلك بالرجوع إلى أحكامه في فنون الاحتياجات ، وشؤون الاجتماع وغيرها، وعليه فإنّ له تكاليف في جميع هذه المجالات لا محالة ، وفي مجال السياسة والقضاء اللذان هما من أهمّ ما تحتاج إليه الاُمّة ليلاً ونهاراً، ولا يمكن إهمال الشارع لهذا الأهر الهامّ؛ وإلاّ كان تشريعه ناقصاً ،</w:t>
      </w:r>
    </w:p>
    <w:p>
      <w:pPr>
        <w:pStyle w:val="BookText"/>
        <w:rPr/>
      </w:pPr>
      <w:r>
        <w:rPr>
          <w:rFonts w:ascii="IRNazanin" w:hAnsi="IRNazanin" w:eastAsia="IRNazanin"/>
          <w:color w:val="111111"/>
          <w:sz w:val="28"/>
          <w:sz w:val="28"/>
          <w:szCs w:val="28"/>
          <w:rtl w:val="true"/>
          <w:lang w:bidi="fa-IR"/>
        </w:rPr>
        <w:t xml:space="preserve">فالضرورة قاضية بأنّ الاُمّة بعد غيبة الإمام علیه السلام في تلك الأزمنة المتطاولة لم تترك سدىً في أمر السياسة والقضاء ، خصوصاً مع تحريم الرجوع إلى سلاطين الجور وقضاتهم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علم عدم إهمال جعل منصب الحكومة والقضاء بين الناس فالقدر المتيقّن هو الفقيه العالم بالقضاء والسياسات الدينية، العادل في الرعية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ويرى قدّس سرّه أنّ هذه الشؤون الثلاث خاصّة بالفقيه والمجتهد المطلق وليس للمجتهد المتجزّئ التصدّي لشيء منها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995161_2142443653"/>
      <w:bookmarkStart w:id="21" w:name="_Toc7"/>
      <w:bookmarkEnd w:id="20"/>
      <w:r>
        <w:rPr>
          <w:rtl w:val="true"/>
        </w:rPr>
        <w:t>منهجنا في التحقيق</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للنسخة التي بخطّ المؤلّف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أنّ المخطوطة الأصلية والتي هي بخطّ المؤلّف قد ضاعت أو تلفت بعد طبعة إسماعيليان، فإنّ المؤسّسة قد اعتمدت على النسخة المطبوعة فجعلتها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تقويم النصّ وترقيمه بعلائم الترقيم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إضافة عدد من العناوين بهدف تسهيل الرجوع للكتاب، ونظراً لكثرتها </w:t>
      </w:r>
    </w:p>
    <w:p>
      <w:pPr>
        <w:pStyle w:val="BookText"/>
        <w:rPr/>
      </w:pPr>
      <w:r>
        <w:rPr>
          <w:rFonts w:ascii="Amiri" w:hAnsi="Amiri" w:eastAsia="Amiri" w:cs="Amiri"/>
          <w:color w:val="111111"/>
          <w:sz w:val="28"/>
          <w:sz w:val="28"/>
          <w:szCs w:val="28"/>
          <w:rtl w:val="true"/>
          <w:lang w:bidi="ar-SA"/>
        </w:rPr>
        <w:t xml:space="preserve">فقد جرّدناها من المعقوفين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الآيات الكريمة، والأحاديث الشريفة ، وقد أسندناها إلى مصادرها الأصلية كالكتب الأربعة وكتب الواسطة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مع تكرّر الحديث فإنّنا اكتفينا بإسناده إلى وسائل الشيعة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الأقوال والآراء المنقولة قدر المستطاع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لم نتمكّن من تحديد صاحب القول الأصلي، أو لم نعثر على القول في كتابه، أو لم يكن المنقول مطابقاً للموجود في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الفهارس الفنّية لكلّ واحد من الرسالتين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هذه المراحل قد وقعت في الطبعة الاُولى لهذه المؤسّسة وفي هذه الطبعة قد صحّحناها وهذّبناها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نتقدّم بالشكر الجزيل والثناء الجميل لجميع الأفاضل الذين ساهموا في هذا المشروع المبارك والذي استمرّ ستّة أعوام لنشر هذه الموسوعة ، ونسأل الباري أن يوفّقهم جميعاً ويثيبهم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 وحسبنا اللّه ونعم الوكيل</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086_161732"/>
      <w:bookmarkStart w:id="23" w:name="pg15086_161732"/>
      <w:bookmarkEnd w:id="23"/>
    </w:p>
    <w:p>
      <w:pPr>
        <w:pStyle w:val="Heading2"/>
        <w:numPr>
          <w:ilvl w:val="1"/>
          <w:numId w:val="1"/>
        </w:numPr>
        <w:rPr/>
      </w:pPr>
      <w:bookmarkStart w:id="24" w:name="pg15086_161732"/>
      <w:bookmarkStart w:id="25" w:name="__RefHeading___Toc995163_2142443653"/>
      <w:bookmarkStart w:id="26" w:name="_Toc8"/>
      <w:bookmarkEnd w:id="24"/>
      <w:bookmarkEnd w:id="25"/>
      <w:r>
        <w:rPr>
          <w:rtl w:val="true"/>
        </w:rPr>
        <w:t>التعادل والترجیح</w:t>
      </w:r>
      <w:bookmarkEnd w:id="2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995165_2142443653"/>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64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8"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الاُولى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64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ما قبل الأخيرة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64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وآله الطاهرين ، ولعنة اللّه على أعدائهم أجمعين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5088_161738"/>
      <w:bookmarkStart w:id="30" w:name="pg15088_161738"/>
      <w:bookmarkEnd w:id="30"/>
    </w:p>
    <w:p>
      <w:pPr>
        <w:pStyle w:val="Heading3"/>
        <w:numPr>
          <w:ilvl w:val="2"/>
          <w:numId w:val="1"/>
        </w:numPr>
        <w:rPr/>
      </w:pPr>
      <w:bookmarkStart w:id="31" w:name="pg15088_161738"/>
      <w:bookmarkStart w:id="32" w:name="__RefHeading___Toc995167_2142443653"/>
      <w:bookmarkStart w:id="33" w:name="_Toc10"/>
      <w:bookmarkEnd w:id="31"/>
      <w:bookmarkEnd w:id="32"/>
      <w:r>
        <w:rPr>
          <w:rtl w:val="true"/>
        </w:rPr>
        <w:t>مبحث التعارض واختلاف الأدلّة</w:t>
      </w:r>
      <w:bookmarkEnd w:id="33"/>
    </w:p>
    <w:p>
      <w:pPr>
        <w:pStyle w:val="Heading4"/>
        <w:numPr>
          <w:ilvl w:val="3"/>
          <w:numId w:val="1"/>
        </w:numPr>
        <w:rPr/>
      </w:pPr>
      <w:bookmarkStart w:id="34" w:name="__RefHeading___Toc995169_2142443653"/>
      <w:bookmarkStart w:id="35" w:name="_Toc11"/>
      <w:bookmarkEnd w:id="34"/>
      <w:r>
        <w:rPr>
          <w:rtl w:val="true"/>
        </w:rPr>
        <w:t>اشارة</w:t>
      </w:r>
      <w:bookmarkEnd w:id="3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الورود في المقصد لا بدّ من ذكر اُمور </w:t>
      </w:r>
      <w:r>
        <w:rPr>
          <w:rFonts w:eastAsia="Amiri" w:cs="Amiri" w:ascii="Amiri" w:hAnsi="Amiri"/>
          <w:color w:val="111111"/>
          <w:sz w:val="28"/>
          <w:szCs w:val="28"/>
          <w:rtl w:val="true"/>
          <w:lang w:bidi="ar-SA"/>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5088_161740"/>
      <w:bookmarkStart w:id="37" w:name="pg15088_161740"/>
      <w:bookmarkEnd w:id="37"/>
    </w:p>
    <w:p>
      <w:pPr>
        <w:pStyle w:val="Heading4"/>
        <w:numPr>
          <w:ilvl w:val="3"/>
          <w:numId w:val="1"/>
        </w:numPr>
        <w:rPr/>
      </w:pPr>
      <w:bookmarkStart w:id="38" w:name="pg15088_161740"/>
      <w:bookmarkStart w:id="39" w:name="__RefHeading___Toc995171_2142443653"/>
      <w:bookmarkStart w:id="40" w:name="_Toc12"/>
      <w:bookmarkEnd w:id="38"/>
      <w:bookmarkEnd w:id="39"/>
      <w:r>
        <w:rPr>
          <w:rtl w:val="true"/>
        </w:rPr>
        <w:t>الأمر الأوّل</w:t>
      </w:r>
      <w:r>
        <w:rPr>
          <w:rtl w:val="true"/>
        </w:rPr>
        <w:t xml:space="preserve">: </w:t>
      </w:r>
      <w:r>
        <w:rPr>
          <w:rtl w:val="true"/>
        </w:rPr>
        <w:t>في تنقيح موضوع البحث</w:t>
      </w:r>
      <w:bookmarkEnd w:id="40"/>
    </w:p>
    <w:p>
      <w:pPr>
        <w:pStyle w:val="Heading5"/>
        <w:numPr>
          <w:ilvl w:val="4"/>
          <w:numId w:val="1"/>
        </w:numPr>
        <w:rPr/>
      </w:pPr>
      <w:bookmarkStart w:id="41" w:name="__RefHeading___Toc995173_2142443653"/>
      <w:bookmarkStart w:id="42" w:name="_Toc13"/>
      <w:bookmarkEnd w:id="41"/>
      <w:r>
        <w:rPr>
          <w:rtl w:val="true"/>
        </w:rPr>
        <w:t>اختصاص الكلام في هذا الباب بتعارض الأخبار</w:t>
      </w:r>
      <w:bookmarkEnd w:id="42"/>
    </w:p>
    <w:p>
      <w:pPr>
        <w:pStyle w:val="BookText"/>
        <w:rPr/>
      </w:pPr>
      <w:r>
        <w:rPr>
          <w:rFonts w:ascii="Amiri" w:hAnsi="Amiri" w:eastAsia="Amiri" w:cs="Amiri"/>
          <w:color w:val="111111"/>
          <w:sz w:val="28"/>
          <w:sz w:val="28"/>
          <w:szCs w:val="28"/>
          <w:rtl w:val="true"/>
          <w:lang w:bidi="ar-SA"/>
        </w:rPr>
        <w:t xml:space="preserve">إنّ مبحث التعارض وإن كان بعنوانه أعمّ من تعارض الأخبار ، لكن لمّا كان البحث عن تعارض غيرها غير معنون في هذا المبحث في هذه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لأهمّية تعارضها ، وندرة غيره ، كتعارض أقوال اللغويين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البحث فيه بتعارض الأخبار ، فلا بدّ من عقد البحث في تعارضها ، وتخصيص الكلام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العلاجية</w:t>
      </w:r>
      <w:r>
        <w:rPr>
          <w:rStyle w:val="FootnoteAnchor"/>
          <w:rtl w:val="true"/>
        </w:rPr>
        <w:footnoteReference w:id="2"/>
      </w:r>
      <w:r>
        <w:rPr>
          <w:rFonts w:ascii="Amiri" w:hAnsi="Amiri" w:eastAsia="Amiri" w:cs="Amiri"/>
          <w:color w:val="111111"/>
          <w:sz w:val="28"/>
          <w:sz w:val="28"/>
          <w:szCs w:val="28"/>
          <w:rtl w:val="true"/>
          <w:lang w:bidi="ar-SA"/>
        </w:rPr>
        <w:t xml:space="preserve">تدور مدار عنوانين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الخبران المتعارضان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مرفوعة زرارة</w:t>
      </w:r>
      <w:r>
        <w:rPr>
          <w:rStyle w:val="FootnoteAnchor"/>
          <w:rtl w:val="true"/>
        </w:rPr>
        <w:footnoteReference w:id="3"/>
      </w:r>
      <w:r>
        <w:rPr>
          <w:rFonts w:ascii="Amiri" w:hAnsi="Amiri" w:eastAsia="Amiri" w:cs="Amiri"/>
          <w:color w:val="111111"/>
          <w:sz w:val="28"/>
          <w:sz w:val="28"/>
          <w:szCs w:val="28"/>
          <w:rtl w:val="true"/>
          <w:lang w:bidi="ar-SA"/>
        </w:rPr>
        <w:t xml:space="preserve">وسيأتي الكلام فيها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الخبران 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الروايات على اختلافها في التعبير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فالكلام في باب التعارض يدور مدارهما ، ومفادهما يرجع إلى أمر واحد عرفاً ولغة ، ولمّا كان الميزان في تشخيص الموضوعات مصداقاً ومفهوماً هو العرف ، فلا بدّ من عرض المفهومين عليه ؛ لتشخيص التعارض واختلاف الأدلّة ، فإذا صدق العنوان فلا بدّ من العلاج بالرجوع إلى أخبار العلاج ، وإلاّ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التعارض والتنافي لدى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الكلامين الصادرين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 فإنّ الكلام قد يصدر من مصنّفي الكتب ومتعارف الناس في محاوراتهم العادية ممّا لم يتعارف فيها إلقاء الكلّيات والمطلقات ، ثمّ بيان المخصّصات والمقيّدات وقرائن المجازات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صادراً من مقنّني القوانين ومشرّعي الشرائع ممّا يتعارف فيها ذلك ، فإنّك ترى في القوانين العرفية إلقاء الكلّيات في فصل ، وبيان حدودها ومخصّصاتها في فصول اُخر ، فمحيط التقنين والتشريع غير محيط الكتب العلمية والمحاورات العرفية المتداولة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فيلسوفاً أو اُصولياً لو ادّعى قاعدة كلّية في فصل ، ثمّ ادّعى خلافها في بعض الموارد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تناقض في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أن ينبّه على انتقاضها في بعض الموارد ، ولكن العرف والعقلاء لا يرون تناقضاً في محيط </w:t>
      </w:r>
      <w:bookmarkStart w:id="43" w:name="pg15088_161742"/>
    </w:p>
    <w:p>
      <w:pPr>
        <w:pStyle w:val="BookText"/>
        <w:rPr/>
      </w:pPr>
      <w:bookmarkEnd w:id="43"/>
      <w:r>
        <w:rPr>
          <w:rFonts w:ascii="Amiri" w:hAnsi="Amiri" w:eastAsia="Amiri" w:cs="Amiri"/>
          <w:color w:val="111111"/>
          <w:sz w:val="28"/>
          <w:sz w:val="28"/>
          <w:szCs w:val="28"/>
          <w:rtl w:val="true"/>
          <w:lang w:bidi="ar-SA"/>
        </w:rPr>
        <w:t xml:space="preserve">التقنين والتشريع بين العامّ والخاصّ ، والمطلق والمقيّد ، مع ضرورية التناقض بين الإيجاب الكلّي والسلب الجزئي ، وكذا العكس ، لكن لمّا شاع وتعارف في وعاء التقنين ومحيط التشريع ذلك ، لا يعدّونه تناقضاً </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995175_2142443653"/>
      <w:bookmarkStart w:id="45" w:name="_Toc14"/>
      <w:bookmarkEnd w:id="44"/>
      <w:r>
        <w:rPr>
          <w:rtl w:val="true"/>
        </w:rPr>
        <w:t>لزوم فرض التعارض في محيط التشريع</w:t>
      </w:r>
      <w:bookmarkEnd w:id="45"/>
    </w:p>
    <w:p>
      <w:pPr>
        <w:pStyle w:val="BookText"/>
        <w:rPr/>
      </w:pPr>
      <w:r>
        <w:rPr>
          <w:rFonts w:ascii="Amiri" w:hAnsi="Amiri" w:eastAsia="Amiri" w:cs="Amiri"/>
          <w:color w:val="111111"/>
          <w:sz w:val="28"/>
          <w:sz w:val="28"/>
          <w:szCs w:val="28"/>
          <w:rtl w:val="true"/>
          <w:lang w:bidi="ar-SA"/>
        </w:rPr>
        <w:t xml:space="preserve">فلا بدّ في تشخيص الخبرين المتعارضين والحديثين المختلفين من فرض الكلام في محيط التشريع والتقنين ، وفي كلام متكلّم صارت عادته إلقاء الكلّيات والاُصول ، وبيان المخصّصات والشرائط والأجزاء والمقيّدات والقرائن منفصلةً ، فهذا القرآن الكريم يقول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مع أنّ فيه العموم والخصوص ، والمطلق والمقيّد ، ولم يستشكل أحد بوقوع الاختلاف فيه من هذه الجهة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تعالى في الكتاب الكريم ، والرسولِ الصادع بالقانون الإلهي ، وأئمّة الهدى مع عدم كونهم مشرّعين ، لمّا جرت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المشاهد في الكتاب والسنّة ؛ لمصالح هم أعلم بها ، ولعلّ منها صيرورة الناس محتاجين إلى العلماء والفقهاء ، وفيه بقاء الدين ، ورواج الشريعة ، وتقوية الإسلام ،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وأن يكون تشخيص الخبرين المتعارضين والمختلفين مع عطف النظر إلى هذه السنّة وتلك العادة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فالتعارض بناءً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تنافي مدلولي دليلين أو أكثر عرفاً في محيط التقنين ؛ ممّا لم يكن للعرف إلى الجمع بينهما طريق عقلائي مقبول ، وصار العرف متحيّراً في العمل ، فالأدلّة الدالّة على الأحكام الواقعية غير معارضة للأدلّة الدالّة على حكم الشكّ ؛ لأنّ للعرف فيها طريقاً إلى الجمع المقبول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يتعارض الحاكم المحكوم ، وقد ذكرنا ضابط الحكومة في البراءة</w:t>
      </w:r>
      <w:r>
        <w:rPr>
          <w:rStyle w:val="FootnoteAnchor"/>
          <w:rtl w:val="true"/>
        </w:rPr>
        <w:footnoteReference w:id="7"/>
      </w:r>
      <w:r>
        <w:rPr>
          <w:rFonts w:ascii="IRNazanin" w:hAnsi="IRNazanin" w:eastAsia="IRNazanin"/>
          <w:color w:val="111111"/>
          <w:sz w:val="28"/>
          <w:sz w:val="28"/>
          <w:szCs w:val="28"/>
          <w:rtl w:val="true"/>
          <w:lang w:bidi="fa-IR"/>
        </w:rPr>
        <w:t>والاستصحاب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تعارض عرفاً بين العامّ والخاصّ ، سواءً كانا قطعيي السند ، أو كان أحدهما قطعياً ، وسواءً كان الخاصّ قطعي الدلالة ، أو ظنّيها ؛ لأنّ العرف لا يرى انسلاكهما في الخبرين المتعارضين والحديثين المختلفين </w:t>
      </w:r>
      <w:r>
        <w:rPr>
          <w:rFonts w:eastAsia="Amiri" w:cs="Amiri" w:ascii="Amiri" w:hAnsi="Amiri"/>
          <w:color w:val="111111"/>
          <w:sz w:val="28"/>
          <w:szCs w:val="28"/>
          <w:rtl w:val="true"/>
          <w:lang w:bidi="ar-SA"/>
        </w:rPr>
        <w:t xml:space="preserve">. </w:t>
      </w:r>
      <w:bookmarkStart w:id="46" w:name="pg15088_161744"/>
    </w:p>
    <w:p>
      <w:pPr>
        <w:pStyle w:val="Heading5"/>
        <w:numPr>
          <w:ilvl w:val="4"/>
          <w:numId w:val="1"/>
        </w:numPr>
        <w:rPr/>
      </w:pPr>
      <w:bookmarkStart w:id="47" w:name="__RefHeading___Toc995177_2142443653"/>
      <w:bookmarkStart w:id="48" w:name="_Toc15"/>
      <w:bookmarkEnd w:id="46"/>
      <w:bookmarkEnd w:id="47"/>
      <w:r>
        <w:rPr>
          <w:rtl w:val="true"/>
        </w:rPr>
        <w:t>سرّ عدم التعارض بين العامّ والخاصّ</w:t>
      </w:r>
      <w:bookmarkEnd w:id="48"/>
    </w:p>
    <w:p>
      <w:pPr>
        <w:pStyle w:val="BookText"/>
        <w:rPr/>
      </w:pPr>
      <w:r>
        <w:rPr>
          <w:rFonts w:ascii="IRNazanin" w:hAnsi="IRNazanin" w:eastAsia="IRNazanin"/>
          <w:color w:val="111111"/>
          <w:sz w:val="28"/>
          <w:sz w:val="28"/>
          <w:szCs w:val="28"/>
          <w:rtl w:val="true"/>
          <w:lang w:bidi="fa-IR"/>
        </w:rPr>
        <w:t xml:space="preserve">والسرّ في تقديم الخاصّ على العامّ ما أشرنا إليه ؛ من أنّ التعارف والتداول في محيط التقنين والأخبار الصادرة عن أئمّة أهل البيت علیهم السلام لمّا كان بيانَ الاُصول والقوانين الكلّية منفصلة عن مخصّصاتها ، لا يرى العرف تعارضاً بينهما ، ويكون الجمع بينهما عرفياً عقلائياً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الجدّ في العامّ صارت ضعيفة في العمومات الصادرة عن المقنّنين ؛ بحيث لا تقاوم أصالة الجدّ في الخاصّ ، فهي تتقدّم عليها ؛ لقوّتها وضعف مقابلتها ، للتعارف المشار إليه ، هذا في الظاهرين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الخاصّ قطعي الدلالة وظنّي السند ، فتقديمه عليه أيضاً لعدم التخالف بينهما في مقام الجمع والدلالة ، ومع عدم تخالفهما لا يكون السند الظنّي معارضاً للظاهر الظنّي حتّى يتشبّث بما أفاده العلاّمة الأنصاري قدّس سرّه ممّا هو بعيد عن الأفهام ، وغير صحيح في نفسه ، كما سنشير إليه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العرف بين الخاصّ والعامّ تعارضاً ؛ لا في الظنّيين ، ولا في الخاصّ القطعي الدلالة والظنّي السند والعامّ ، فإذا لم يكن بينهما تعارض ، فلا ترفع اليد عن السند الظنّي الحجّة ؛ لكونه بلا وجه كما لا يخفى ، هذا كلّه في غير الخاصّ القطعي دلالةً وجهةً وسنداً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فيه ، فالتقدّم يكون بالتخصّص ؛ لأنّ بناء العقلاء على العمل بالاُصول في غير مورد العلم بالخلاف </w:t>
      </w:r>
      <w:r>
        <w:rPr>
          <w:rFonts w:eastAsia="Amiri" w:cs="Amiri" w:ascii="Amiri" w:hAnsi="Amiri"/>
          <w:color w:val="111111"/>
          <w:sz w:val="28"/>
          <w:szCs w:val="28"/>
          <w:rtl w:val="true"/>
          <w:lang w:bidi="ar-SA"/>
        </w:rPr>
        <w:t xml:space="preserve">. </w:t>
      </w:r>
      <w:bookmarkStart w:id="49" w:name="pg15088_161745"/>
    </w:p>
    <w:p>
      <w:pPr>
        <w:pStyle w:val="Heading5"/>
        <w:numPr>
          <w:ilvl w:val="4"/>
          <w:numId w:val="1"/>
        </w:numPr>
        <w:rPr/>
      </w:pPr>
      <w:bookmarkStart w:id="50" w:name="__RefHeading___Toc995179_2142443653"/>
      <w:bookmarkStart w:id="51" w:name="_Toc16"/>
      <w:bookmarkEnd w:id="49"/>
      <w:bookmarkEnd w:id="50"/>
      <w:r>
        <w:rPr>
          <w:rtl w:val="true"/>
        </w:rPr>
        <w:t>كلام المحقّقين في وجه تقديم الخاصّ على العامّ</w:t>
      </w:r>
      <w:bookmarkEnd w:id="51"/>
    </w:p>
    <w:p>
      <w:pPr>
        <w:pStyle w:val="Heading6"/>
        <w:numPr>
          <w:ilvl w:val="5"/>
          <w:numId w:val="1"/>
        </w:numPr>
        <w:rPr/>
      </w:pPr>
      <w:bookmarkStart w:id="52" w:name="__RefHeading___Toc995181_2142443653"/>
      <w:bookmarkStart w:id="53" w:name="_Toc17"/>
      <w:bookmarkEnd w:id="52"/>
      <w:r>
        <w:rPr>
          <w:rtl w:val="true"/>
        </w:rPr>
        <w:t>كلام الشيخ الأنصاري في المقام</w:t>
      </w:r>
      <w:bookmarkEnd w:id="53"/>
    </w:p>
    <w:p>
      <w:pPr>
        <w:pStyle w:val="Heading6"/>
        <w:numPr>
          <w:ilvl w:val="5"/>
          <w:numId w:val="1"/>
        </w:numPr>
        <w:rPr/>
      </w:pPr>
      <w:bookmarkStart w:id="54" w:name="__RefHeading___Toc995183_2142443653"/>
      <w:bookmarkStart w:id="55" w:name="_Toc18"/>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 xml:space="preserve">ثمّ إنّ كلام المحقّقين مختلف في وجه تقديم الخاصّ على العامّ ، فالشيخ الأنصاري رحمه الله علیه فصّل بين الموارد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المخصّص إذا كان علمياً سنداً ودلالة يكون وارداً على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ظنّياً بحسب الدلالة يكون مع العامّ من قبيل تعارض الظاهرين ، فربّما يقدّم العامّ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قطعي الدلالة ظنّي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اعتبار أصالة الظهور إنّما هو من حيث أصالة عدم القرينة ، يكون دليل اعتبار السند حاكماً على أصالة الظهور ، واحتمل الورود وأمر بالتأمّل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اعتبارها من جهة الظنّ النوعي الحاصل من الغلبة أو غيرها ، فالظاهر أنّ النصّ وارد عليه مطلقاً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المحقّق الخراساني في تعليقته إلى الورود مطلقاً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 أعاظم العصر إلى الحكومة في غير القطعي سنداً ودلالة مطلقاً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شيخنا الاُستاذ أعلى اللّه مقامه ، إلى أنّ التعبّد بالسند مقدّم ؛ </w:t>
      </w:r>
      <w:bookmarkStart w:id="56" w:name="pg15088_161746"/>
    </w:p>
    <w:p>
      <w:pPr>
        <w:pStyle w:val="BookText"/>
        <w:rPr/>
      </w:pPr>
      <w:bookmarkEnd w:id="56"/>
      <w:r>
        <w:rPr>
          <w:rFonts w:ascii="Amiri" w:hAnsi="Amiri" w:eastAsia="Amiri" w:cs="Amiri"/>
          <w:color w:val="111111"/>
          <w:sz w:val="28"/>
          <w:sz w:val="28"/>
          <w:szCs w:val="28"/>
          <w:rtl w:val="true"/>
          <w:lang w:bidi="ar-SA"/>
        </w:rPr>
        <w:t>لتقدّمه الرتبي</w:t>
      </w:r>
      <w:r>
        <w:rPr>
          <w:rStyle w:val="FootnoteAnchor"/>
          <w:rtl w:val="true"/>
        </w:rPr>
        <w:footnoteReference w:id="13"/>
      </w:r>
      <w:r>
        <w:rPr>
          <w:rFonts w:ascii="Amiri" w:hAnsi="Amiri" w:eastAsia="Amiri" w:cs="Amiri"/>
          <w:color w:val="111111"/>
          <w:sz w:val="28"/>
          <w:sz w:val="28"/>
          <w:szCs w:val="28"/>
          <w:rtl w:val="true"/>
          <w:lang w:bidi="ar-SA"/>
        </w:rPr>
        <w:t>كما أفاد في الشكّ السببي والمسبّبي من التقدّم الطبعي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 w:name="__RefHeading___Toc995185_2142443653"/>
      <w:bookmarkStart w:id="58" w:name="_Toc19"/>
      <w:bookmarkEnd w:id="57"/>
      <w:r>
        <w:rPr>
          <w:rtl w:val="true"/>
        </w:rPr>
        <w:t>الإشكال على الشيخ الأعظم قدّس سرّه</w:t>
      </w:r>
      <w:bookmarkEnd w:id="58"/>
    </w:p>
    <w:p>
      <w:pPr>
        <w:pStyle w:val="BookText"/>
        <w:rPr/>
      </w:pPr>
      <w:r>
        <w:rPr>
          <w:rFonts w:ascii="Amiri" w:hAnsi="Amiri" w:eastAsia="Amiri" w:cs="Amiri"/>
          <w:color w:val="111111"/>
          <w:sz w:val="28"/>
          <w:sz w:val="28"/>
          <w:szCs w:val="28"/>
          <w:rtl w:val="true"/>
          <w:lang w:bidi="ar-SA"/>
        </w:rPr>
        <w:t xml:space="preserve">والأولى التعرّض لبعض ما أفاده الشيخ الأعظم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قضيّة ورود قطعي السند والدلالة على أصالة الظهور فلا تصحّ ؛ لأنّ الورود عبارة عن إخراج فرد حقيقة عن تحت كلّي بواسطة إعمال التعبّد أو الحكم العقلائي لو فرض تحقّقه ، وأمّا إذا كان حكم العقل أو بناء العقلاء على موضوعين فلا يكون من الورود ، بل يكون من قبيل التخصّص ، وما نحن فيه كذلك ؛ لأنّ بناء العقلاء على العمل بالظواهر إنّما هو في غير مورد العلم بالخلاف ، فمورده خارج تخصّصاً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دليل اعتبار السند على أصالة الظهور ، إذا كان مستندها أصالة عدم القرينة ، ووروده عليها إذا كان المستند الغلبة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هو العكس ؛ لأنّ مستند أصالة الظهور إذا كان أصالة عدم القرينة ، يكون بناء العقلاء معلّقاً على عدم القرينة ، فإذا اُحرزت القرينة ولو بالأصل ، تتحقّق غاية بنائهم ، والخاصّ قرينة ، فتقدّمه يكون بالورود ، لا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المستند هو الغلبة فلا يكون بناؤهم معلّقاً ، بل يكون لأجل نفس الظهور والظنّ النوعي ، فتقدّم ظنّ معتبر آخر عليه لا يكون من الورود قطعاً ، فيمكن أن يكون من باب الحكومة على مبناه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ليس من الحكومة مطلقاً ، أمّا على ما فسّرها</w:t>
      </w:r>
      <w:r>
        <w:rPr>
          <w:rStyle w:val="FootnoteAnchor"/>
          <w:rtl w:val="true"/>
        </w:rPr>
        <w:footnoteReference w:id="15"/>
      </w:r>
      <w:r>
        <w:rPr>
          <w:rFonts w:ascii="Amiri" w:hAnsi="Amiri" w:eastAsia="Amiri" w:cs="Amiri"/>
          <w:color w:val="111111"/>
          <w:sz w:val="28"/>
          <w:sz w:val="28"/>
          <w:szCs w:val="28"/>
          <w:rtl w:val="true"/>
          <w:lang w:bidi="ar-SA"/>
        </w:rPr>
        <w:t xml:space="preserve">فواضح ؛ لأنّ بناء العقلاء على الأخذ بالسند لا يكون مفسّراً للظاهر وشارحاً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التحقيق في باب الحكومة كما عرفت في الاستصحاب</w:t>
      </w:r>
      <w:r>
        <w:rPr>
          <w:rStyle w:val="FootnoteAnchor"/>
          <w:rtl w:val="true"/>
        </w:rPr>
        <w:footnoteReference w:id="16"/>
      </w:r>
      <w:r>
        <w:rPr>
          <w:rFonts w:ascii="Amiri" w:hAnsi="Amiri" w:eastAsia="Amiri" w:cs="Amiri"/>
          <w:color w:val="111111"/>
          <w:sz w:val="28"/>
          <w:sz w:val="28"/>
          <w:szCs w:val="28"/>
          <w:rtl w:val="true"/>
          <w:lang w:bidi="ar-SA"/>
        </w:rPr>
        <w:t xml:space="preserve">، فلأنّ أحد الدليلين لا يتعرّض لما لا يتعرّضه الآخر ، فدليل اعتبار السند إن كان بناء العقلاء مع عدم الردع أو 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البناء كالبناء على العمل بالظواهر ، فلا معنى لحكومة أحدهما على الآخر بوجه وبأيّ تفسير فسّرت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الدليل اللفظي ، فهو وإن كان خلاف المفروض ؛ لأنّ الكلام في الاُصول اللفظية وبناء العقلاء ، لا في الأدلّة اللفظية ، لكن لا حكومة لمثل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وابنه ثقتان ، فما أدّيا إليك عنّي فعنّي يؤدّيان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على أصالة الظهور ، لعدم تعرّضه له ، ولا يرفع موضوعه تعبّداً ، فكما أنّ دليل اعتبار السند يجعل احتمال مخالفته بمنزلة العدم ، كذلك دليل اعتبار الظهور أيضاً ، من غير فرق بينهما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قبيل الأصل ، ودليل اعتبار السند من قبيل الدليل ، فيقدّم عليه</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bookmarkStart w:id="59" w:name="pg15088_161748"/>
    </w:p>
    <w:p>
      <w:pPr>
        <w:pStyle w:val="BookText"/>
        <w:rPr/>
      </w:pPr>
      <w:bookmarkEnd w:id="59"/>
      <w:r>
        <w:rPr>
          <w:rFonts w:ascii="Amiri" w:hAnsi="Amiri" w:eastAsia="Amiri" w:cs="Amiri"/>
          <w:color w:val="111111"/>
          <w:sz w:val="28"/>
          <w:sz w:val="28"/>
          <w:szCs w:val="28"/>
          <w:rtl w:val="true"/>
          <w:lang w:bidi="ar-SA"/>
        </w:rPr>
        <w:t>نعم ، لو قيل بالمفهوم في آية النبأ</w:t>
      </w:r>
      <w:r>
        <w:rPr>
          <w:rStyle w:val="FootnoteAnchor"/>
          <w:rtl w:val="true"/>
        </w:rPr>
        <w:footnoteReference w:id="19"/>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مفهومها عرفاً أنّ خبر العادل بيّن لا يحتاج إلى التبيّن ، لكان لذلك وجه ، لكنّه من قبيل احتمال في احتمال ، وبالجملة لا أرى للحكومة وجهاً </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995187_2142443653"/>
      <w:bookmarkStart w:id="61" w:name="_Toc20"/>
      <w:bookmarkEnd w:id="60"/>
      <w:r>
        <w:rPr>
          <w:rtl w:val="true"/>
        </w:rPr>
        <w:t>كلام مع بعض أعاظم العصر قدّس سرّه</w:t>
      </w:r>
      <w:bookmarkEnd w:id="61"/>
    </w:p>
    <w:p>
      <w:pPr>
        <w:pStyle w:val="BookText"/>
        <w:rPr/>
      </w:pPr>
      <w:r>
        <w:rPr>
          <w:rFonts w:ascii="Amiri" w:hAnsi="Amiri" w:eastAsia="Amiri" w:cs="Amiri"/>
          <w:color w:val="111111"/>
          <w:sz w:val="28"/>
          <w:sz w:val="28"/>
          <w:szCs w:val="28"/>
          <w:rtl w:val="true"/>
          <w:lang w:bidi="ar-SA"/>
        </w:rPr>
        <w:t xml:space="preserve">وأمّا ما أفاده بعض الأعاظم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الخاصّ بمنزلة القرينة على التصرّف في العامّ ، ولا ينبغي الشكّ في حكومة أصالة الظهور في القرينة على أصالة الظهور في ذيها ولو كان ظهور القرينة أضعف منه ، كما يظهر ذلك من قياس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النبل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المفترس ؛ فإنّه لا إشكال في كون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المفترس أقوى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النبل ؛ لأ نّه بالوضع وذلك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لم يتأمّل أحد في حكومة أصالة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ذلك إلاّ لأجل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ونسبة الخاصّ إلى العامّ كنسبة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للتوقّف في تقديم ظهور الخاصّ في التخصيص على ظهور العامّ في العموم</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من دعاويه الغريبة المختصّة به رحمه الله علیه ؛ ضرورة أنّ صيرورة شيء قرينةً على صرف ظهور شيء لا يمكن إلاّ بقوّة الظهور ، أو بما أشرنا إليه آنفاً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وسنشير إليه</w:t>
      </w:r>
      <w:r>
        <w:rPr>
          <w:rStyle w:val="FootnoteAnchor"/>
          <w:rtl w:val="true"/>
        </w:rPr>
        <w:footnoteReference w:id="22"/>
      </w:r>
      <w:r>
        <w:rPr>
          <w:rFonts w:ascii="Amiri" w:hAnsi="Amiri" w:eastAsia="Amiri" w:cs="Amiri"/>
          <w:color w:val="111111"/>
          <w:sz w:val="28"/>
          <w:sz w:val="28"/>
          <w:szCs w:val="28"/>
          <w:rtl w:val="true"/>
          <w:lang w:bidi="ar-SA"/>
        </w:rPr>
        <w:t xml:space="preserve">، أو النظر الحكومتي كما قد يتّفق ، ومثل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قطع النظر عن المثال الذي صارت بواسطة تكرّره في الكتب الأدبية وغيرها والاستشهاد به مراراً قرينية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القرينة لها خصوصية بها تكون حاكمة على ذيها ، ممّا لا ينبغي أن يصغى إليه ؛ لأنّ كون هذه الكلمة قرينة على هذه أو بالعكس أوّل الكلام ، فأيّ ترجيح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بها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ظهوره لولا الأظهرية ، فإذا ألقى المتكلّم كلاماً إلى السامع ، فبأيّ شيء يميّز القرينة عن ذيها ، ويرجّح أحدهما على الآخر لصرفه عن معناه الأصلي الحقيقي إلى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جعل الكلمة الفلانية قرينة على صرف صاحبها ، لم يحتج إلى التشبّث بالظهور والحكومة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أصالة الظهور في القرينة حاكمة على ذيها إلاّ في بعض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 فأيّ دليل على أنّ التخصيص بمنزلة القرينة ، وهل هذا إلاّ دعوى خالية عن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تقديم العرف الخاصّ على العامّ إذا صدر من متكلّم في مجلس واحد ، لا يدلّ على الحكومة ؛ فإنّ تقديمه عليه معلوم ، لكنّ الكلام في وجهه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مع وضوح فساده في الدعويين لا يخلو من دور أو شبهه ، فتدبّر </w:t>
      </w:r>
      <w:r>
        <w:rPr>
          <w:rFonts w:eastAsia="Amiri" w:cs="Amiri" w:ascii="Amiri" w:hAnsi="Amiri"/>
          <w:color w:val="111111"/>
          <w:sz w:val="28"/>
          <w:szCs w:val="28"/>
          <w:rtl w:val="true"/>
          <w:lang w:bidi="ar-SA"/>
        </w:rPr>
        <w:t xml:space="preserve">. </w:t>
      </w:r>
      <w:bookmarkStart w:id="62" w:name="pg15088_161750"/>
    </w:p>
    <w:p>
      <w:pPr>
        <w:pStyle w:val="BookText"/>
        <w:rPr/>
      </w:pPr>
      <w:bookmarkEnd w:id="62"/>
      <w:r>
        <w:rPr>
          <w:rFonts w:ascii="Amiri" w:hAnsi="Amiri" w:eastAsia="Amiri" w:cs="Amiri"/>
          <w:color w:val="111111"/>
          <w:sz w:val="28"/>
          <w:sz w:val="28"/>
          <w:szCs w:val="28"/>
          <w:rtl w:val="true"/>
          <w:lang w:bidi="ar-SA"/>
        </w:rPr>
        <w:t xml:space="preserve">وأمّا ما أفاده الشيخ الأعظم دليلاً على حكومة النصّ الظنّي السند على العامّ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 نّا لم نجد ولا نجد من أنفسنا مورداً يقدّم فيه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الخاصّ وإن فرض كونه أضعف الظنون المعتبرة</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فهو جارٍ بعينه فيما إذا كان الخاصّ ظاهراً كالعامّ ؛ فإنّا لم نجد مورداً يقدّم العامّ على الخاصّ لأظهريته منه ، مع أنّ غالب موارد العام والخاصّ من قبيل الظاهرين ، لا النصّ والظاهر ، مع اعترافه بأنّ تعارض الخاصّ الظاهر مع العامّ من قبيل تعارض الظاهرين</w:t>
      </w:r>
      <w:r>
        <w:rPr>
          <w:rStyle w:val="FootnoteAnchor"/>
          <w:rtl w:val="true"/>
        </w:rPr>
        <w:footnoteReference w:id="24"/>
      </w:r>
      <w:r>
        <w:rPr>
          <w:rFonts w:ascii="Amiri" w:hAnsi="Amiri" w:eastAsia="Amiri" w:cs="Amiri"/>
          <w:color w:val="111111"/>
          <w:sz w:val="28"/>
          <w:sz w:val="28"/>
          <w:szCs w:val="28"/>
          <w:rtl w:val="true"/>
          <w:lang w:bidi="ar-SA"/>
        </w:rPr>
        <w:t xml:space="preserve">، فمن ذلك يعلم أنّ تقديم الخاصّ ليس من باب الحكومة مطلقاً </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995189_2142443653"/>
      <w:bookmarkStart w:id="64" w:name="_Toc21"/>
      <w:bookmarkEnd w:id="63"/>
      <w:r>
        <w:rPr>
          <w:rtl w:val="true"/>
        </w:rPr>
        <w:t>كلام مع شيخنا العلاّمة أعلى اللّه مقامه</w:t>
      </w:r>
      <w:bookmarkEnd w:id="64"/>
    </w:p>
    <w:p>
      <w:pPr>
        <w:pStyle w:val="BookText"/>
        <w:rPr/>
      </w:pPr>
      <w:r>
        <w:rPr>
          <w:rFonts w:ascii="Amiri" w:hAnsi="Amiri" w:eastAsia="Amiri" w:cs="Amiri"/>
          <w:color w:val="111111"/>
          <w:sz w:val="28"/>
          <w:sz w:val="28"/>
          <w:szCs w:val="28"/>
          <w:rtl w:val="true"/>
          <w:lang w:bidi="ar-SA"/>
        </w:rPr>
        <w:t>وأمّا التقدّم الرتبي الذي أفاده شيخنا العلاّمة</w:t>
      </w:r>
      <w:r>
        <w:rPr>
          <w:rStyle w:val="FootnoteAnchor"/>
          <w:rtl w:val="true"/>
        </w:rPr>
        <w:footnoteReference w:id="25"/>
      </w:r>
      <w:r>
        <w:rPr>
          <w:rFonts w:ascii="Amiri" w:hAnsi="Amiri" w:eastAsia="Amiri" w:cs="Amiri"/>
          <w:color w:val="111111"/>
          <w:sz w:val="28"/>
          <w:sz w:val="28"/>
          <w:szCs w:val="28"/>
          <w:rtl w:val="true"/>
          <w:lang w:bidi="ar-SA"/>
        </w:rPr>
        <w:t xml:space="preserve">، والظاهر رجوعه عنه في بحثه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اعتبار السند ، ليس مقدّماً رتبة على دليل اعتبار الظهور ولو في رواية واحدة ، وكذا موضوعهما ؛ لعدم ملاك التقدّم الرتبي في السند ، كما لا يخفى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في الرواية الواحدة ، فهو ممنوع بالنسبة إلى روايتين ، فأيّ وجه للتقدّم الرتبي لدليل اعتبار سند رواية أو نفس سندها على دليل اعتبار ظهور رواية اُخرى أو نفسه ، مع فقدان مناط التقدّم حتّى في الرواية الواحدة ، فضلاً عن روايتين ؟</w:t>
      </w:r>
      <w:r>
        <w:rPr>
          <w:rFonts w:eastAsia="Amiri" w:cs="Amiri" w:ascii="Amiri" w:hAnsi="Amiri"/>
          <w:color w:val="111111"/>
          <w:sz w:val="28"/>
          <w:szCs w:val="28"/>
          <w:rtl w:val="true"/>
          <w:lang w:bidi="ar-SA"/>
        </w:rPr>
        <w:t xml:space="preserve">! </w:t>
      </w:r>
      <w:bookmarkStart w:id="65" w:name="pg15088_161751"/>
    </w:p>
    <w:p>
      <w:pPr>
        <w:pStyle w:val="BookText"/>
        <w:rPr/>
      </w:pPr>
      <w:bookmarkEnd w:id="65"/>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 لكن مجرّد التقدّم الرتبي ، ليس موجباً للتقدّم ، كما ذكرنا في الأصل السببي والمسبّبي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 w:name="__RefHeading___Toc995191_2142443653"/>
      <w:bookmarkStart w:id="67" w:name="_Toc22"/>
      <w:bookmarkEnd w:id="66"/>
      <w:r>
        <w:rPr>
          <w:rtl w:val="true"/>
        </w:rPr>
        <w:t>كلام مع المحقّق الخراساني قدّس سرّه</w:t>
      </w:r>
      <w:bookmarkEnd w:id="67"/>
    </w:p>
    <w:p>
      <w:pPr>
        <w:pStyle w:val="BookText"/>
        <w:rPr/>
      </w:pPr>
      <w:r>
        <w:rPr>
          <w:rFonts w:ascii="Amiri" w:hAnsi="Amiri" w:eastAsia="Amiri" w:cs="Amiri"/>
          <w:color w:val="111111"/>
          <w:sz w:val="28"/>
          <w:sz w:val="28"/>
          <w:szCs w:val="28"/>
          <w:rtl w:val="true"/>
          <w:lang w:bidi="ar-SA"/>
        </w:rPr>
        <w:t xml:space="preserve">وأمّا ما أفاده المحقّق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الوجه هو أظهرية الخاصّ في مفاده من العامّ ، أو كون الخاصّ نصّاً والعامّ ظاهراً</w:t>
      </w:r>
      <w:r>
        <w:rPr>
          <w:rStyle w:val="FootnoteAnchor"/>
          <w:rtl w:val="true"/>
        </w:rPr>
        <w:footnoteReference w:id="27"/>
      </w:r>
      <w:r>
        <w:rPr>
          <w:rFonts w:ascii="Amiri" w:hAnsi="Amiri" w:eastAsia="Amiri" w:cs="Amiri"/>
          <w:color w:val="111111"/>
          <w:sz w:val="28"/>
          <w:sz w:val="28"/>
          <w:szCs w:val="28"/>
          <w:rtl w:val="true"/>
          <w:lang w:bidi="ar-SA"/>
        </w:rPr>
        <w:t xml:space="preserve">، فهو في النصّ كذلك ، لكن كون الخاصّ الظاهر أظهر من العامّ ممنوع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 كلّ عالم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أظهر في مفاده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هيئة الأمر ومادّته في كلّ منهما سواء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منهما بمعنى واحد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منهما مفاده واحد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المتلبّس بالفسق ، كدلالة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المتلبّس بالعلم من غير 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لو بدّل قوله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 كلّ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الأمر ، ويقدّم الخاصّ على العامّ أيضاً ، وليس لهيئة الكلام ظهور آخر حتّى تدّعى أظهرية الخاصّ ، ولو سلّم لا يكون أظهر ،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التصادم بين العامّ والخاصّ ليس في مقام الظهور ، إن كان المراد منه دلالة الألفاظ على معانيها اللغوية أو العرفية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التصادم بينهما في الإرادة الاستعمالية ؛ لأنّ العامّ </w:t>
      </w:r>
      <w:bookmarkStart w:id="68" w:name="pg15088_161752"/>
    </w:p>
    <w:p>
      <w:pPr>
        <w:pStyle w:val="BookText"/>
        <w:rPr/>
      </w:pPr>
      <w:bookmarkEnd w:id="68"/>
      <w:r>
        <w:rPr>
          <w:rFonts w:ascii="Amiri" w:hAnsi="Amiri" w:eastAsia="Amiri" w:cs="Amiri"/>
          <w:color w:val="111111"/>
          <w:sz w:val="28"/>
          <w:sz w:val="28"/>
          <w:szCs w:val="28"/>
          <w:rtl w:val="true"/>
          <w:lang w:bidi="ar-SA"/>
        </w:rPr>
        <w:t>المخصّص ليس بمجاز على ما هو المحقّق عندهم</w:t>
      </w:r>
      <w:r>
        <w:rPr>
          <w:rStyle w:val="FootnoteAnchor"/>
          <w:rtl w:val="true"/>
        </w:rPr>
        <w:footnoteReference w:id="28"/>
      </w:r>
      <w:r>
        <w:rPr>
          <w:rFonts w:ascii="Amiri" w:hAnsi="Amiri" w:eastAsia="Amiri" w:cs="Amiri"/>
          <w:color w:val="111111"/>
          <w:sz w:val="28"/>
          <w:sz w:val="28"/>
          <w:szCs w:val="28"/>
          <w:rtl w:val="true"/>
          <w:lang w:bidi="ar-SA"/>
        </w:rPr>
        <w:t xml:space="preserve">، فلا يكون الخاصّ موجباً لانصراف العامّ عمّا استعمل فيه ليكون قرينة على مجازية العامّ ، بل هو مستعمل بمادّته وهيئته في معناه الحقيقي ، والخاصّ إنّما يوجب الكشف عن الإرادة اللبّية ، فيتصرّف في أصالة الجدّ في العامّ بواسطة الخاصّ ، ولهذا لا ينظر العرف إلى أظهرية الخاصّ من العامّ ، بل نفس أخصّيته منه موجبة للتصرّف فيه ؛ أي الكشف عن الإرادة الجدّية في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كلّ السرّ هو ما أشرنا إليه سابقاً</w:t>
      </w:r>
      <w:r>
        <w:rPr>
          <w:rStyle w:val="FootnoteAnchor"/>
          <w:rtl w:val="true"/>
        </w:rPr>
        <w:footnoteReference w:id="29"/>
      </w:r>
      <w:r>
        <w:rPr>
          <w:rFonts w:ascii="Amiri" w:hAnsi="Amiri" w:eastAsia="Amiri" w:cs="Amiri"/>
          <w:color w:val="111111"/>
          <w:sz w:val="28"/>
          <w:sz w:val="28"/>
          <w:szCs w:val="28"/>
          <w:rtl w:val="true"/>
          <w:lang w:bidi="ar-SA"/>
        </w:rPr>
        <w:t xml:space="preserve">؛ من أنّ تعارف إلقاء العمومات والاُصول ، وذكر المخصّصات منفصلة في بسيط التشريع ومحيط التقنين ، أوجب ذلك ، فصار بواسطة هذا التعارف ارتكازياً للعقلاء والعلماء الباحثين في الأدلّة الفقهية </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995193_2142443653"/>
      <w:bookmarkStart w:id="70" w:name="_Toc23"/>
      <w:bookmarkEnd w:id="69"/>
      <w:r>
        <w:rPr>
          <w:rtl w:val="true"/>
        </w:rPr>
        <w:t>بيان أصالتي الحقيقة والجدّ</w:t>
      </w:r>
      <w:bookmarkEnd w:id="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قد يقع في أنّ المتكلّم هل أراد من اللفظ معناه المجازي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المجازات من قبيل استعمال الألفاظ في غير ما وضعت له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من قبيل استعمالها في معانيها الحقيقية ، وإرادة المعنى المجازي بدعوى كونه مصداقاً للمعنى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 في أنّه </w:t>
      </w:r>
    </w:p>
    <w:p>
      <w:pPr>
        <w:pStyle w:val="BookText"/>
        <w:rPr/>
      </w:pPr>
      <w:r>
        <w:rPr>
          <w:rFonts w:ascii="Amiri" w:hAnsi="Amiri" w:eastAsia="Amiri" w:cs="Amiri"/>
          <w:color w:val="111111"/>
          <w:sz w:val="28"/>
          <w:sz w:val="28"/>
          <w:szCs w:val="28"/>
          <w:rtl w:val="true"/>
          <w:lang w:bidi="ar-SA"/>
        </w:rPr>
        <w:t xml:space="preserve">أراد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الحقيقي ؛ أي كلّ ما يتلبّس بالعلم ، أو الفقهاء خاصّة ؛ إمّا باستعمال اللفظ الموضوع للعامّ في بعض المصاديق لعلاقة ، أو بدعوى كون الفقهاء تمام مصاديق العلماء ، وتنزيل غيرهم منزلة العدم ، كما هو الرأي الفصل في مطلق المجازات</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شكّ في أنّ بناء العقلاء على الحمل على المعنى الحقيقي ، وهذا أصل 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 كون اللفظ مستعملاً في معناه الحقيقي ومراداً به ذلك ، لا الادّعائي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إلقاء العموم إنّما هو لأجل البيان القانوني وإلقاء القاعدة ، ولا يريد إكرام جميعهم جدّاً ، بل يريد إكرام الفقهاء مثلاً ، ويأتي بالمخصّص في كلام مستأنف ، أو يكون كلامه غير مطابق للجدّ ؛ لأجل التقيّة أو أمر آخر ؟</w:t>
      </w:r>
    </w:p>
    <w:p>
      <w:pPr>
        <w:pStyle w:val="BookText"/>
        <w:rPr/>
      </w:pPr>
      <w:r>
        <w:rPr>
          <w:rFonts w:ascii="Amiri" w:hAnsi="Amiri" w:eastAsia="Amiri" w:cs="Amiri"/>
          <w:color w:val="111111"/>
          <w:sz w:val="28"/>
          <w:sz w:val="28"/>
          <w:szCs w:val="28"/>
          <w:rtl w:val="true"/>
          <w:lang w:bidi="ar-SA"/>
        </w:rPr>
        <w:t xml:space="preserve">ولا إشكال أيضاً في أنّ الأصل العقلائي هو الحمل على مطابقة الإرادة الاستعمالية للجدّية ، وهذه هي أصالة الجدّ ، وهذان أصلان لدى العقلاء بكلّ منهما تحرز حيثية من حيثيات كلام المتكلّم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كلماتهم في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الأصل المحرز للمعنى الحقيقي ، أو المحرز للإرادة الجدّية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بأوّلهما شيخنا العلاّمة أعلى اللّه مقامه في باب حجّية الظواهر</w:t>
      </w:r>
      <w:r>
        <w:rPr>
          <w:rStyle w:val="FootnoteAnchor"/>
          <w:rtl w:val="true"/>
        </w:rPr>
        <w:footnoteReference w:id="31"/>
      </w:r>
      <w:r>
        <w:rPr>
          <w:rFonts w:ascii="Amiri" w:hAnsi="Amiri" w:eastAsia="Amiri" w:cs="Amiri"/>
          <w:color w:val="111111"/>
          <w:sz w:val="28"/>
          <w:sz w:val="28"/>
          <w:szCs w:val="28"/>
          <w:rtl w:val="true"/>
          <w:lang w:bidi="ar-SA"/>
        </w:rPr>
        <w:t>ولعلّه ظاهر كلام الشيخ الأنصاري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وصرّح بالثاني بعض أعاظم العصر</w:t>
      </w:r>
      <w:r>
        <w:rPr>
          <w:rStyle w:val="FootnoteAnchor"/>
          <w:rtl w:val="true"/>
        </w:rPr>
        <w:footnoteReference w:id="33"/>
      </w:r>
      <w:r>
        <w:rPr>
          <w:rFonts w:ascii="Amiri" w:hAnsi="Amiri" w:eastAsia="Amiri" w:cs="Amiri"/>
          <w:color w:val="111111"/>
          <w:sz w:val="28"/>
          <w:sz w:val="28"/>
          <w:szCs w:val="28"/>
          <w:rtl w:val="true"/>
          <w:lang w:bidi="ar-SA"/>
        </w:rPr>
        <w:t xml:space="preserve">، بل لعلّ ظاهره رجوع الأصلين إلى أمر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المقام أصلين عقلائيين كلّ منهما لرفع شكّ حاصل في كلام المتكلّم ، فإذا شكّ في مجازيته لا يعتني به العقلاء ، وهذا 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العلم بإرادة المعنى الحقيقي استعمالاً ، إذا شكّ في كون الكلام صدر جدّاً ، أو لأجل تقيّة ، أو إلقاءِ الكلّي القانوني لذكر المخصّصات بعده ، يحمله العقلاء على الجدّ ، وهذا أصل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فأصالة الحقيقة وأصالة الظهور والعموم اصطلاحات مناسبة للأوّل ، وأصالة الجدّ مناسبة للثاني ، وأصالة عدم القرينة تناسبهما ، ولا مشاحّة في الاصطلاح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المعوّل عليه عند العقلاء هو ظهور اللفظ ، وأصالة الظهور أصل عقلائي جامع لأصالة الحقيقة وأصالة العموم بل للظهور المنعقد في الكلام بواسطة قرائن المجاز ، فإذا شكّ في أنّ المتكلّم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الرجل الشجاع الذي هو ظاهر كلامه أو غيره ، يتّبع ظاهر كلامه المنعقد بواسطة القرينة ، ويكون المعوّل عليه أصالة الظهور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القرينة ليست أصلاً معوّلاً عليه في هذا الباب، لا لدى الشكّ في القرينة ، ولا لدى الشكّ في المراد الجدّي ، فما أفاد المحقّق الخراساني في المقام</w:t>
      </w:r>
      <w:r>
        <w:rPr>
          <w:rStyle w:val="FootnoteAnchor"/>
          <w:rtl w:val="true"/>
        </w:rPr>
        <w:footnoteReference w:id="35"/>
      </w:r>
      <w:r>
        <w:rPr>
          <w:rFonts w:ascii="Amiri" w:hAnsi="Amiri" w:eastAsia="Amiri" w:cs="Amiri"/>
          <w:color w:val="111111"/>
          <w:sz w:val="28"/>
          <w:sz w:val="28"/>
          <w:szCs w:val="28"/>
          <w:rtl w:val="true"/>
          <w:lang w:bidi="ar-SA"/>
        </w:rPr>
        <w:t>، مثل ما أفاد بعض أعاظم العصر من التفصيل</w:t>
      </w:r>
      <w:r>
        <w:rPr>
          <w:rStyle w:val="FootnoteAnchor"/>
          <w:rtl w:val="true"/>
        </w:rPr>
        <w:footnoteReference w:id="36"/>
      </w:r>
      <w:r>
        <w:rPr>
          <w:rFonts w:ascii="Amiri" w:hAnsi="Amiri" w:eastAsia="Amiri" w:cs="Amiri"/>
          <w:color w:val="111111"/>
          <w:sz w:val="28"/>
          <w:sz w:val="28"/>
          <w:szCs w:val="28"/>
          <w:rtl w:val="true"/>
          <w:lang w:bidi="ar-SA"/>
        </w:rPr>
        <w:t xml:space="preserve">لا يعتمد عليهما ، فراجع كلامهما وتدبّر </w:t>
      </w:r>
      <w:r>
        <w:rPr>
          <w:rFonts w:eastAsia="Amiri" w:cs="Amiri" w:ascii="Amiri" w:hAnsi="Amiri"/>
          <w:color w:val="111111"/>
          <w:sz w:val="28"/>
          <w:szCs w:val="28"/>
          <w:rtl w:val="true"/>
          <w:lang w:bidi="ar-SA"/>
        </w:rPr>
        <w:t xml:space="preserve">. </w:t>
      </w:r>
      <w:bookmarkStart w:id="71" w:name="pg15088_161756"/>
    </w:p>
    <w:p>
      <w:pPr>
        <w:pStyle w:val="Heading4"/>
        <w:numPr>
          <w:ilvl w:val="3"/>
          <w:numId w:val="1"/>
        </w:numPr>
        <w:rPr/>
      </w:pPr>
      <w:bookmarkStart w:id="72" w:name="__RefHeading___Toc995195_2142443653"/>
      <w:bookmarkStart w:id="73" w:name="_Toc24"/>
      <w:bookmarkEnd w:id="71"/>
      <w:bookmarkEnd w:id="72"/>
      <w:r>
        <w:rPr>
          <w:rtl w:val="true"/>
        </w:rPr>
        <w:t>الأمر الثاني</w:t>
      </w:r>
      <w:r>
        <w:rPr>
          <w:rtl w:val="true"/>
        </w:rPr>
        <w:t xml:space="preserve">: </w:t>
      </w:r>
      <w:r>
        <w:rPr>
          <w:rtl w:val="true"/>
        </w:rPr>
        <w:t>في عدم شمول أخبار العلاج لموارد الجمع العرفي</w:t>
      </w:r>
      <w:bookmarkEnd w:id="73"/>
    </w:p>
    <w:p>
      <w:pPr>
        <w:pStyle w:val="Heading5"/>
        <w:numPr>
          <w:ilvl w:val="4"/>
          <w:numId w:val="1"/>
        </w:numPr>
        <w:rPr/>
      </w:pPr>
      <w:bookmarkStart w:id="74" w:name="__RefHeading___Toc995197_2142443653"/>
      <w:bookmarkStart w:id="75" w:name="_Toc25"/>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قد اتّضح ممّا مرّ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تعارض في نظر العرف بين الأدلّة في موارد التوفيق العرفي بينها ، فلا تعمّها أخبار العلاج ؛ لأنّ المأخوذ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الخبران المتعارضان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الخبران 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لا يشملان ما لا تعارض بينهما عرفاً ؛ ضرورة أنّ محطّ أخبار العلاج هو تعيين التكليف في مقام العمل ، فإذا كان تكليفه معلوماً فلا يشمله إطلاق الأدلّة ، والتعارض البدوي الزائل لا يوجب الشمول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بوجه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الشكوك حيث حملوه على الشكّ المستقرّ ، لا الحادث</w:t>
      </w:r>
      <w:r>
        <w:rPr>
          <w:rStyle w:val="FootnoteAnchor"/>
          <w:rtl w:val="true"/>
        </w:rPr>
        <w:footnoteReference w:id="38"/>
      </w:r>
      <w:r>
        <w:rPr>
          <w:rFonts w:ascii="Amiri" w:hAnsi="Amiri" w:eastAsia="Amiri" w:cs="Amiri"/>
          <w:color w:val="111111"/>
          <w:sz w:val="28"/>
          <w:sz w:val="28"/>
          <w:szCs w:val="28"/>
          <w:rtl w:val="true"/>
          <w:lang w:bidi="ar-SA"/>
        </w:rPr>
        <w:t xml:space="preserve">، بل المقام أولى منه ؛ لأنّ الشكّ الحادث شكّ حقيقة لكنّه لم يستقرّ ، والخبران اللذان بينهما جمع عقلائي ليسا بمتعارضين عرفاً إلاّ صورة ، لا حقيقة </w:t>
      </w:r>
      <w:r>
        <w:rPr>
          <w:rFonts w:eastAsia="Amiri" w:cs="Amiri" w:ascii="Amiri" w:hAnsi="Amiri"/>
          <w:color w:val="111111"/>
          <w:sz w:val="28"/>
          <w:szCs w:val="28"/>
          <w:rtl w:val="true"/>
          <w:lang w:bidi="ar-SA"/>
        </w:rPr>
        <w:t xml:space="preserve">. </w:t>
      </w:r>
      <w:bookmarkStart w:id="76" w:name="pg15088_161757"/>
    </w:p>
    <w:p>
      <w:pPr>
        <w:pStyle w:val="Heading5"/>
        <w:numPr>
          <w:ilvl w:val="4"/>
          <w:numId w:val="1"/>
        </w:numPr>
        <w:rPr/>
      </w:pPr>
      <w:bookmarkStart w:id="77" w:name="__RefHeading___Toc995199_2142443653"/>
      <w:bookmarkStart w:id="78" w:name="_Toc26"/>
      <w:bookmarkEnd w:id="76"/>
      <w:bookmarkEnd w:id="77"/>
      <w:r>
        <w:rPr>
          <w:rtl w:val="true"/>
        </w:rPr>
        <w:t>دعوى المحقّقين الخراساني والحائري شمول أخبار العلاج للمقام</w:t>
      </w:r>
      <w:bookmarkEnd w:id="78"/>
    </w:p>
    <w:p>
      <w:pPr>
        <w:pStyle w:val="BookText"/>
        <w:rPr/>
      </w:pPr>
      <w:r>
        <w:rPr>
          <w:rFonts w:ascii="Amiri" w:hAnsi="Amiri" w:eastAsia="Amiri" w:cs="Amiri"/>
          <w:color w:val="111111"/>
          <w:sz w:val="28"/>
          <w:sz w:val="28"/>
          <w:szCs w:val="28"/>
          <w:rtl w:val="true"/>
          <w:lang w:bidi="ar-SA"/>
        </w:rPr>
        <w:t xml:space="preserve">والعجب من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الخراساني وشيخنا العلاّمة ؛ حيث ذهبا إلى 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مساعدة العرف على التوفيق ، لا توجب اختصاص السؤالات بغير موارد الجمع ؛ لصحّة السؤال بملاحظة التعارض البدوي وإن كان يزول عرفاً ، أو للتحيّر في الحكم الواقعي وإن لم يتحيّر فيه ظاهراً ، أو لاحتمال الردع عن الطريقة العرفية ، وجلّ العناوين المأخوذة في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منها غيرها مجازفة ، غايته كان كذلك خارجاً ، لا بحسب مقام التخاطب حتّى يضرّ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القطعية كاشفة عن دليل مخصّص لأخبار العلاج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العلاج مجملة لا تصلح لردع السيرة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المرتكزات العرفية لا يلزم أن تكون مشروحة مفصّلة عند كلّ أحد ، حتّى يرى السائل عدم احتياجه إلى السؤال عن حكم العامّ والخاصّ المنفصل وأمثاله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وأيّد ما ادّعى برواية الحميري عن الحجّة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الجواب عن ذلك حديثان، أمّا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انتقل من حالة إلى حالة اُخرى فعليه التكبير ، وأمّا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إذا رفع رأسه من السجدة الثانية ، وكبّر ، ثمّ جلس ، ثمّ قام ، فليس </w:t>
      </w:r>
    </w:p>
    <w:p>
      <w:pPr>
        <w:pStyle w:val="BookText"/>
        <w:rPr/>
      </w:pPr>
      <w:r>
        <w:rPr>
          <w:rFonts w:ascii="Amiri" w:hAnsi="Amiri" w:eastAsia="Amiri" w:cs="Amiri"/>
          <w:color w:val="111111"/>
          <w:sz w:val="28"/>
          <w:sz w:val="28"/>
          <w:szCs w:val="28"/>
          <w:rtl w:val="true"/>
          <w:lang w:bidi="ar-SA"/>
        </w:rPr>
        <w:t>عليه في القيام بعد القعود تكبير ، وكذلك التشهّد الأوّل يجري هذا المجرى ، وبأيّهما أخذت من باب التسليم كان صواباً</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الثاني أخصّ من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علي بن مهزيار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لعبداللّه بن محمّد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في رواياتهم عن أبي عبداللّه علیه السلام في ركعتي الفجر في السفر ، فروى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صلّها في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تصلّها إلاّ على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عليك بأيّة عملت</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من قبيل تعارض النصّ والظاهر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السيرة القطعية على التوفيق بين العامّ والخاصّ والمطلق والمقيّد من لدن زمن الأئمّة</w:t>
      </w:r>
      <w:r>
        <w:rPr>
          <w:rStyle w:val="FootnoteAnchor"/>
          <w:rtl w:val="true"/>
        </w:rPr>
        <w:footnoteReference w:id="42"/>
      </w:r>
      <w:r>
        <w:rPr>
          <w:rFonts w:ascii="Amiri" w:hAnsi="Amiri" w:eastAsia="Amiri" w:cs="Amiri"/>
          <w:color w:val="111111"/>
          <w:sz w:val="28"/>
          <w:sz w:val="28"/>
          <w:szCs w:val="28"/>
          <w:rtl w:val="true"/>
          <w:lang w:bidi="ar-SA"/>
        </w:rPr>
        <w:t>يمكن منعها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لما خفيت على مثل شيخ الطائفة ، فلا يظنّ بالسيرة فضلاً عن القطع بعد ذهاب مثله إلى العمل بالمرجّحات في تعارض النصّ والظاهر ، كما يظهر من عبارته المحكيّة</w:t>
      </w:r>
      <w:r>
        <w:rPr>
          <w:rStyle w:val="FootnoteAnchor"/>
          <w:rtl w:val="true"/>
        </w:rPr>
        <w:footnoteReference w:id="43"/>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انتهى</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79" w:name="pg15088_161759"/>
    </w:p>
    <w:p>
      <w:pPr>
        <w:pStyle w:val="Heading5"/>
        <w:numPr>
          <w:ilvl w:val="4"/>
          <w:numId w:val="1"/>
        </w:numPr>
        <w:rPr/>
      </w:pPr>
      <w:bookmarkStart w:id="80" w:name="__RefHeading___Toc995201_2142443653"/>
      <w:bookmarkStart w:id="81" w:name="_Toc27"/>
      <w:bookmarkEnd w:id="79"/>
      <w:bookmarkEnd w:id="80"/>
      <w:r>
        <w:rPr>
          <w:rtl w:val="true"/>
        </w:rPr>
        <w:t>الإيراد على المحقّق الخراساني رحمه الله علیه</w:t>
      </w:r>
      <w:bookmarkEnd w:id="81"/>
    </w:p>
    <w:p>
      <w:pPr>
        <w:pStyle w:val="BookText"/>
        <w:rPr/>
      </w:pPr>
      <w:r>
        <w:rPr>
          <w:rFonts w:ascii="Amiri" w:hAnsi="Amiri" w:eastAsia="Amiri" w:cs="Amiri"/>
          <w:color w:val="111111"/>
          <w:sz w:val="28"/>
          <w:sz w:val="28"/>
          <w:szCs w:val="28"/>
          <w:rtl w:val="true"/>
          <w:lang w:bidi="ar-SA"/>
        </w:rPr>
        <w:t xml:space="preserve">وأنت خبير بما في كلامهما ؛ أمّا ما أفاد المحقّق الخراساني من صحّة السؤال بما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السؤال عن مورد التوفيق العرفي بالخصوص لكان ما ذكر حقّاً ؛ لصحّة السؤال ولو لاحتمال الردع ، لكن لا يوجب مجرّد صحّة السؤال شمول إطلاق الأدلّة ؛ ضرورة أنّ عدم التعارض بين الأدلّة بحسب نظر العرف يوجب صرف السؤال عن مورد التوفيق لو سلّم شمول المفهوم له ابتداءً ، وإلاّ فلنا منع ذلك رأساً ؛ لأنّ التعارض البدوي ليس بتعارض حقيقة ، ومعه كيف يشمله عنوانا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السؤال للتحيّر في الحكم الواقعي ، فهو إنّما يصحّ إذا كان في واقعة خاصّة ، لا في مطلق باب التعارض ؛ ضرورة أ نّه لا ميزان لبيان الحكم الواقعي في تمام موارد التعارض ، هذا إذا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الواقعة التي تعارض فيها الخبران ، كما هو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واقع حكم التعارض فلا يدفع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السؤال عن عنوان المتعارضين أو المختلفين بنحو كلّي ، وهو لا يحمل على غير عنوانه ومتفاهمه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باحتمال كون السائل سأل عن مورد ليس من العنوان خطأً ، أو مسامحة في إطلاق العنوان عليه ، فتدبّر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 حمل كلامه على ذلك ، موجب لرجوعه إلى احتمال الردع ، وهو جعَله مقابلاً له </w:t>
      </w:r>
      <w:r>
        <w:rPr>
          <w:rFonts w:eastAsia="Amiri" w:cs="Amiri" w:ascii="Amiri" w:hAnsi="Amiri"/>
          <w:color w:val="111111"/>
          <w:sz w:val="28"/>
          <w:szCs w:val="28"/>
          <w:rtl w:val="true"/>
          <w:lang w:bidi="ar-SA"/>
        </w:rPr>
        <w:t xml:space="preserve">. </w:t>
      </w:r>
      <w:bookmarkStart w:id="82" w:name="pg15088_161760"/>
    </w:p>
    <w:p>
      <w:pPr>
        <w:pStyle w:val="BookText"/>
        <w:rPr/>
      </w:pPr>
      <w:bookmarkEnd w:id="82"/>
      <w:r>
        <w:rPr>
          <w:rFonts w:ascii="Amiri" w:hAnsi="Amiri" w:eastAsia="Amiri" w:cs="Amiri"/>
          <w:color w:val="111111"/>
          <w:sz w:val="28"/>
          <w:sz w:val="28"/>
          <w:szCs w:val="28"/>
          <w:rtl w:val="true"/>
          <w:lang w:bidi="ar-SA"/>
        </w:rPr>
        <w:t xml:space="preserve">وأمّا احتمال الردع ، فهو وإن كان موجباً لصحّة السؤال ، لكنّه إذا سئل عن مورد خاصّ ، ولا يوجب ذلك شمول إطلاق الأدلّة لمورد التوفيق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فساد دعوى شمول جلّ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بل لو فرض الشمول عنواناً فلا إشكال في انصراف الإطلاق بواسطة ذاك الارتكاز ، فلو أضرّ القدر المتيقّن في مقام التخاطب بالإطلاق ، كان المورد منه بعد الارتكاز العرفي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المتيقّن ليس في مقام التخاطب ، كما ترى </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995203_2142443653"/>
      <w:bookmarkStart w:id="84" w:name="_Toc28"/>
      <w:bookmarkEnd w:id="83"/>
      <w:r>
        <w:rPr>
          <w:rtl w:val="true"/>
        </w:rPr>
        <w:t>كلام مع شيخنا الاُستاذ رحمه الله علیه</w:t>
      </w:r>
      <w:bookmarkEnd w:id="84"/>
    </w:p>
    <w:p>
      <w:pPr>
        <w:pStyle w:val="BookText"/>
        <w:rPr/>
      </w:pPr>
      <w:r>
        <w:rPr>
          <w:rFonts w:ascii="Amiri" w:hAnsi="Amiri" w:eastAsia="Amiri" w:cs="Amiri"/>
          <w:color w:val="111111"/>
          <w:sz w:val="28"/>
          <w:sz w:val="28"/>
          <w:szCs w:val="28"/>
          <w:rtl w:val="true"/>
          <w:lang w:bidi="ar-SA"/>
        </w:rPr>
        <w:t xml:space="preserve">وممّا ذكرنا يظهر النظر في قول شيخنا العلاّمة أعلى اللّه مقامه ؛ فإنّ احتمال عدم كون المرتكزات العرفية مشروحة لدى السائل ، لا يوجب شمول العناوين لغير مصاديقها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سئل عن مورد التوفيق العرفي كان لما ذكر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الروايتان ، فرواية ابن مهزيار لا تدلّ على مدّعاه ؛ لأنّ الظاهر هو السؤال عن حكم الواقعة ، لا عن علاج التعارض ؛ إذ لا معنى لاستفسار علاج التعارض في واقعة خاصّة من العالم بالواقع ، وجوابه أيضاً يكون عن الواقع ، كما هو مقتضى الجمع بين الروايتين أيضاً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 وشهادة متنها بأ نّها ليست من الإمام العالم بحكم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 عنها ، مع احتمال ورود رواية ذكر فيها انتقال كلّ حال تفصيلاً ، لا بهذا العنوان ، فكان التعارض بينهما بالتباين ، وسيأتي مزيد توضيح لذلك في بابه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إنكاره السيرة ؛ بدليل ذهاب شيخ الطائفة إلى العمل بالمرجّحات في النصّ والظاهر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تدلاّن على ذلك ، خصوصاً بعد تصريحه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العامّ والخاصّ المطلقين خارجان عن باب التعارض</w:t>
      </w:r>
      <w:r>
        <w:rPr>
          <w:rStyle w:val="FootnoteAnchor"/>
          <w:rtl w:val="true"/>
        </w:rPr>
        <w:footnoteReference w:id="48"/>
      </w:r>
      <w:r>
        <w:rPr>
          <w:rFonts w:ascii="Amiri" w:hAnsi="Amiri" w:eastAsia="Amiri" w:cs="Amiri"/>
          <w:color w:val="111111"/>
          <w:sz w:val="28"/>
          <w:sz w:val="28"/>
          <w:szCs w:val="28"/>
          <w:rtl w:val="true"/>
          <w:lang w:bidi="ar-SA"/>
        </w:rPr>
        <w:t xml:space="preserve">، فراجع ما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بناء شيخ الطائفة ليس على العمل بالمرجّحات في العامّ والخاصّ ، والمطلق والمقيّد ، والنصّ والظاهر في الفقه بالضرورة </w:t>
      </w:r>
      <w:r>
        <w:rPr>
          <w:rFonts w:eastAsia="Amiri" w:cs="Amiri" w:ascii="Amiri" w:hAnsi="Amiri"/>
          <w:color w:val="111111"/>
          <w:sz w:val="28"/>
          <w:szCs w:val="28"/>
          <w:rtl w:val="true"/>
          <w:lang w:bidi="ar-SA"/>
        </w:rPr>
        <w:t xml:space="preserve">. </w:t>
      </w:r>
      <w:bookmarkStart w:id="85" w:name="pg15088_161762"/>
    </w:p>
    <w:p>
      <w:pPr>
        <w:pStyle w:val="Heading4"/>
        <w:numPr>
          <w:ilvl w:val="3"/>
          <w:numId w:val="1"/>
        </w:numPr>
        <w:rPr/>
      </w:pPr>
      <w:bookmarkStart w:id="86" w:name="__RefHeading___Toc995205_2142443653"/>
      <w:bookmarkStart w:id="87" w:name="_Toc29"/>
      <w:bookmarkEnd w:id="85"/>
      <w:bookmarkEnd w:id="86"/>
      <w:r>
        <w:rPr>
          <w:rtl w:val="true"/>
        </w:rPr>
        <w:t>الأمر الثالث</w:t>
      </w:r>
      <w:r>
        <w:rPr>
          <w:rtl w:val="true"/>
        </w:rPr>
        <w:t xml:space="preserve">: </w:t>
      </w:r>
      <w:r>
        <w:rPr>
          <w:rtl w:val="true"/>
        </w:rPr>
        <w:t>في قاعدة الجمع مهما أمكن ، أولى من الطرح</w:t>
      </w:r>
      <w:bookmarkEnd w:id="87"/>
    </w:p>
    <w:p>
      <w:pPr>
        <w:pStyle w:val="BookText"/>
        <w:rPr/>
      </w:pPr>
      <w:r>
        <w:rPr>
          <w:rFonts w:ascii="Amiri" w:hAnsi="Amiri" w:eastAsia="Amiri" w:cs="Amiri"/>
          <w:color w:val="111111"/>
          <w:sz w:val="28"/>
          <w:sz w:val="28"/>
          <w:szCs w:val="28"/>
          <w:rtl w:val="true"/>
          <w:lang w:bidi="ar-SA"/>
        </w:rPr>
        <w:t>قد ادّعى الشيخ ابن أبي جمهور الإجماع على أنّ العمل بالدليلين مهما أمكن ، خير من ترك أحدهما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بقرينة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التوفيق العرفي المقبول ، ولو ادّعى غير ذلك لردّه بناء العلماء على العمل بالمرجّحات فيما لا يمكن التوفيق العرفي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الدليلين الإعمال ، فيجب الجمع بينهما مهما أمكن ؛ لاستحالة الترجيح من غير مرجّح</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على النظم القياسي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لولا وجوب الجمع بينهما مهما أمكن ، للزم إمّا طرحهما ، أو طرح أحدهما ، وهما باطلان ، فنقيض التالي حقّ ؛ وهو وجوب الجمع مهما أمكن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الملازمة واضح ، وبطلان التالي بكلا شقّيه مذكور في دليله ؛ فإنّ طرحهما خلاف الأصل ، وترجيحَ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العقل ، وبما قرّرنا في بيانه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إمكاناً عقلياً فبطلان الشقّ الأوّل من التالي ممنوع ؛ لأنّ الدليلين حينئذٍ يصيران من المتعارضين المتساويين ، وهما متساقطان عقلاً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الأصل في الدليلين الإعمالَ ، مسلّم في كلّ واحد منهما من حيث هو ، دون مقام التعارض ؛ فإنّه فيه غير صحيح بنحو الإيجاب الكلّي ، فلا ينتج القياس </w:t>
      </w:r>
      <w:r>
        <w:rPr>
          <w:rFonts w:eastAsia="Amiri" w:cs="Amiri" w:ascii="Amiri" w:hAnsi="Amiri"/>
          <w:color w:val="111111"/>
          <w:sz w:val="28"/>
          <w:szCs w:val="28"/>
          <w:rtl w:val="true"/>
          <w:lang w:bidi="ar-SA"/>
        </w:rPr>
        <w:t xml:space="preserve">. </w:t>
      </w:r>
      <w:bookmarkStart w:id="88" w:name="pg15088_161764"/>
    </w:p>
    <w:p>
      <w:pPr>
        <w:pStyle w:val="Heading4"/>
        <w:numPr>
          <w:ilvl w:val="3"/>
          <w:numId w:val="1"/>
        </w:numPr>
        <w:rPr/>
      </w:pPr>
      <w:bookmarkStart w:id="89" w:name="__RefHeading___Toc995207_2142443653"/>
      <w:bookmarkStart w:id="90" w:name="_Toc30"/>
      <w:bookmarkEnd w:id="88"/>
      <w:bookmarkEnd w:id="89"/>
      <w:r>
        <w:rPr>
          <w:rtl w:val="true"/>
        </w:rPr>
        <w:t>الأمر الرابع</w:t>
      </w:r>
      <w:r>
        <w:rPr>
          <w:rtl w:val="true"/>
        </w:rPr>
        <w:t xml:space="preserve">: </w:t>
      </w:r>
      <w:r>
        <w:rPr>
          <w:rtl w:val="true"/>
        </w:rPr>
        <w:t>في كلام الشيخ في موضوع الترجيح بحسب الدلالة</w:t>
      </w:r>
      <w:bookmarkEnd w:id="90"/>
    </w:p>
    <w:p>
      <w:pPr>
        <w:pStyle w:val="BookText"/>
        <w:rPr/>
      </w:pPr>
      <w:r>
        <w:rPr>
          <w:rFonts w:ascii="Amiri" w:hAnsi="Amiri" w:eastAsia="Amiri" w:cs="Amiri"/>
          <w:color w:val="111111"/>
          <w:sz w:val="28"/>
          <w:sz w:val="28"/>
          <w:szCs w:val="28"/>
          <w:rtl w:val="true"/>
          <w:lang w:bidi="ar-SA"/>
        </w:rPr>
        <w:t xml:space="preserve">يظهر من العلاّمة الأنصاري في شتات كلماته في المقام الرابع ، أنّ تقديم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الظنّي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الترجيح بحسب الدلالة ، سواء كانا مثل العامّ والخاصّ ، أو مثل صيغة الوجوب مع ما يدلّ على نفي البأس عن الترك ، فينحصر الترجيح بحسب الدلالات في تعارض الظاهر والأظهر ، وأنّ الترجيح بحسب الدلالات مقدّم على سائر التراجيح</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ومقتضاه أن يكون النصّ الظنّي السند ، خارجاً عن أدلّة المرجّحات موضوعاً ، والظاهر والأظهر داخلين فيها موضوعاً ، خارجين حكماً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 يخلو عن مناقشة ؛ لأنّ المراد من التعارض في الحديثين المتعارضين ، إن كان الحقيقي المستقرّ ، فالترجيحات الدلالية كلّها خارجة عنه ؛ لأنّ المراد من الترجيح الدلالي ، أن يكون العرف لا يرى تعارضاً بين الكلامين </w:t>
      </w:r>
    </w:p>
    <w:p>
      <w:pPr>
        <w:pStyle w:val="BookText"/>
        <w:rPr/>
      </w:pPr>
      <w:r>
        <w:rPr>
          <w:rFonts w:ascii="Amiri" w:hAnsi="Amiri" w:eastAsia="Amiri" w:cs="Amiri"/>
          <w:color w:val="111111"/>
          <w:sz w:val="28"/>
          <w:sz w:val="28"/>
          <w:szCs w:val="28"/>
          <w:rtl w:val="true"/>
          <w:lang w:bidi="ar-SA"/>
        </w:rPr>
        <w:t xml:space="preserve">بحسب المحاورات العرفية ، ويكون أحد الدليلين قرينة عرفية صارفة للآخر ، ومثل ذلك لا يكون من المتعارضين في شيء ؛ لأنّ المتكلّم بذلك لا يتناقض بالمقال ، ولا يضادّ أحد كلاميه كلامَه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منه أعمّ من ذلك ومن التعارض البدوي ، فلا إشكال في تعارض النصّ والظاهر ؛ ضرورة تناقض الإيجاب الكلّي أو ما بحكمه مع السلب الجزئي أو ما بحكمه وبالعكس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غير متعارضين عرفاً ؛ للجمع المقبول بينهما ، وكذا الكلام في ظاهرين يكون الجمع بينهما مقبولاً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الحديثين إمّا أن يكون بينهما توفيق عرفي وجمع عقلائي بحسب قانون المحاورة ، أو لا ، فالأوّل خارج عن مصبّ أخبار العلاج موضوعاً أو انصرافاً ، دون الثاني ، فيجب العمل فيهما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 الشيخ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تعارض النصّ والظاهر مطلقاً خارج عن مصبّ أخبار العلاج ، بخلاف الظاهرين ؛ فإنّ خروجهما مشروط بأن يكون بينهما جمع مقبول</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لا يخلو عن مسامحة ومناقشة ؛ لأنّ تعارض النصّ والظاهر أيضاً مشروط بذلك ، وإلاّ فلو كان التصرّف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قانون </w:t>
      </w:r>
    </w:p>
    <w:p>
      <w:pPr>
        <w:pStyle w:val="BookText"/>
        <w:rPr/>
      </w:pPr>
      <w:r>
        <w:rPr>
          <w:rFonts w:ascii="Amiri" w:hAnsi="Amiri" w:eastAsia="Amiri" w:cs="Amiri"/>
          <w:color w:val="111111"/>
          <w:sz w:val="28"/>
          <w:sz w:val="28"/>
          <w:szCs w:val="28"/>
          <w:rtl w:val="true"/>
          <w:lang w:bidi="ar-SA"/>
        </w:rPr>
        <w:t xml:space="preserve">المحاورة ، ولم يكن الجمع بينهما عرفياً مقبولاً ، يكون من المتعارضين ، فالميزان الكلّي هو كون الجمع مقبولاً عرفاً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المتخالفين والمتعارضين ، مع أنّ الأوّل نصّ في الرخصة ، والثاني ظاهر في الحرمة ، لكنّ الجمع بينهما ليس بمقبول عقلائي ، فاللازم على الفقيه مراعاة مقبولية الجمع عرفاً ، وكونه على قانون المحاورات في محيط التشريع والتقنين كما مرّ ، لا الأخذ 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الظاهر على النصّ ؛ فإنّه لم يرد فيه نصّ ، وما قام عليه إجماع ، فالمتّبع هو ما ذكرناه </w:t>
      </w:r>
      <w:r>
        <w:rPr>
          <w:rFonts w:eastAsia="Amiri" w:cs="Amiri" w:ascii="Amiri" w:hAnsi="Amiri"/>
          <w:color w:val="111111"/>
          <w:sz w:val="28"/>
          <w:szCs w:val="28"/>
          <w:rtl w:val="true"/>
          <w:lang w:bidi="ar-SA"/>
        </w:rPr>
        <w:t xml:space="preserve">. </w:t>
      </w:r>
      <w:bookmarkStart w:id="91" w:name="pg15088_161767"/>
    </w:p>
    <w:p>
      <w:pPr>
        <w:pStyle w:val="Heading4"/>
        <w:numPr>
          <w:ilvl w:val="3"/>
          <w:numId w:val="1"/>
        </w:numPr>
        <w:rPr/>
      </w:pPr>
      <w:bookmarkStart w:id="92" w:name="__RefHeading___Toc995209_2142443653"/>
      <w:bookmarkStart w:id="93" w:name="_Toc31"/>
      <w:bookmarkEnd w:id="91"/>
      <w:bookmarkEnd w:id="92"/>
      <w:r>
        <w:rPr>
          <w:rtl w:val="true"/>
        </w:rPr>
        <w:t>الأمر الخامس</w:t>
      </w:r>
      <w:r>
        <w:rPr>
          <w:rtl w:val="true"/>
        </w:rPr>
        <w:t xml:space="preserve">: </w:t>
      </w:r>
      <w:r>
        <w:rPr>
          <w:rtl w:val="true"/>
        </w:rPr>
        <w:t>في الموارد الخارجة عن أخبار العلاج</w:t>
      </w:r>
      <w:bookmarkEnd w:id="93"/>
    </w:p>
    <w:p>
      <w:pPr>
        <w:pStyle w:val="Heading5"/>
        <w:numPr>
          <w:ilvl w:val="4"/>
          <w:numId w:val="1"/>
        </w:numPr>
        <w:rPr/>
      </w:pPr>
      <w:bookmarkStart w:id="94" w:name="__RefHeading___Toc995211_2142443653"/>
      <w:bookmarkStart w:id="95" w:name="_Toc32"/>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لمّا كان موضوع أخبار العلاج هو الخبران المختلفان</w:t>
      </w:r>
      <w:r>
        <w:rPr>
          <w:rStyle w:val="FootnoteAnchor"/>
          <w:rtl w:val="true"/>
        </w:rPr>
        <w:footnoteReference w:id="56"/>
      </w:r>
      <w:r>
        <w:rPr>
          <w:rFonts w:ascii="Amiri" w:hAnsi="Amiri" w:eastAsia="Amiri" w:cs="Amiri"/>
          <w:color w:val="111111"/>
          <w:sz w:val="28"/>
          <w:sz w:val="28"/>
          <w:szCs w:val="28"/>
          <w:rtl w:val="true"/>
          <w:lang w:bidi="ar-SA"/>
        </w:rPr>
        <w:t xml:space="preserve">، وهما ما لا يكون بينهما جمع مقبول لدى العرف ، فلا بدّ في تنقيح موضوع البحث من ذكر الموارد التي ادّعي أو يمكن أن يدّعى أ نّها من قبيل النصّ والظاهر ، أو الظاهر والأظهر ؛ أي يكون الجمع بينهما مقبولاً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تكون خارجة عن تحت أخبار العلاج موضوعاً أو انصرافاً ، أو قيل بخروجها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 xml:space="preserve">: </w:t>
      </w:r>
      <w:bookmarkStart w:id="96" w:name="pg15088_161768"/>
    </w:p>
    <w:p>
      <w:pPr>
        <w:pStyle w:val="Heading5"/>
        <w:numPr>
          <w:ilvl w:val="4"/>
          <w:numId w:val="1"/>
        </w:numPr>
        <w:rPr/>
      </w:pPr>
      <w:bookmarkStart w:id="97" w:name="__RefHeading___Toc995213_2142443653"/>
      <w:bookmarkStart w:id="98" w:name="_Toc33"/>
      <w:bookmarkEnd w:id="96"/>
      <w:bookmarkEnd w:id="97"/>
      <w:r>
        <w:rPr>
          <w:rtl w:val="true"/>
        </w:rPr>
        <w:t>المبحث الأوّل</w:t>
      </w:r>
      <w:r>
        <w:rPr>
          <w:rtl w:val="true"/>
        </w:rPr>
        <w:t xml:space="preserve">: </w:t>
      </w:r>
      <w:r>
        <w:rPr>
          <w:rtl w:val="true"/>
        </w:rPr>
        <w:t>فيما يمكن أن يقال أو قيل بأ نّهما من قبيل النصّ والظاهر</w:t>
      </w:r>
      <w:bookmarkEnd w:id="98"/>
    </w:p>
    <w:p>
      <w:pPr>
        <w:pStyle w:val="Heading6"/>
        <w:numPr>
          <w:ilvl w:val="5"/>
          <w:numId w:val="1"/>
        </w:numPr>
        <w:rPr/>
      </w:pPr>
      <w:bookmarkStart w:id="99" w:name="__RefHeading___Toc995215_2142443653"/>
      <w:bookmarkStart w:id="100" w:name="_Toc34"/>
      <w:bookmarkEnd w:id="99"/>
      <w:r>
        <w:rPr>
          <w:rtl w:val="true"/>
        </w:rPr>
        <w:t>وجود قدر المتيقّن في مقام التخاطب</w:t>
      </w:r>
      <w:bookmarkEnd w:id="100"/>
    </w:p>
    <w:p>
      <w:pPr>
        <w:pStyle w:val="BookText"/>
        <w:rPr/>
      </w:pPr>
      <w:r>
        <w:rPr>
          <w:rFonts w:ascii="Amiri" w:hAnsi="Amiri" w:eastAsia="Amiri" w:cs="Amiri"/>
          <w:color w:val="111111"/>
          <w:sz w:val="28"/>
          <w:sz w:val="28"/>
          <w:szCs w:val="28"/>
          <w:rtl w:val="true"/>
          <w:lang w:bidi="ar-SA"/>
        </w:rPr>
        <w:t xml:space="preserve">وفيه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لأحد الدليلين قدر متيقّن في مقام التخاطب ، فإنّه وإن لم ينفع في تقييد الإطلاق ما لم يصل إلى حدّ الانصراف ، إلاّ أنّ وجوده يرفع التعارض ؛ فإنّ الدليل كالنصّ في القدر المتيقّن ، فيصلح أن يكون قرينة على التصرّف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دليل آخر على حرمة إكرام الفسّاق ، وعلم من حال الآمر أ نّه يبغض فسّاق العلماء ويكرههم كراهة أشدّ من فسّاق غيرهم ، فيصير فسّاق العلماء متيقّني الاندراج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بمنزلة التصريح ، فيخصّص إكرام العلماء بما عدا الفسّاق منهم كذا قيل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المتيقّن في مقام التخاطب ، إذا أوجب الاندراج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يصير بمنزلة التصريح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ينفكّ عن الانصراف ؛ أي انصراف الدليل المقابل ، فيخرج عن محطّ البحث ، ففرض عدم الانصراف يناقض فرض تيقّن الاندراج الكذائي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فرض عدم الانصراف فلا يوجب ظهوراً في الكلام ، فحينئذٍ لا وجه للتقييد بمقام التخاطب ؛ لعدم الفرق بينه وبين غيره فيما هو الملاك ، بعد إنكار كون القدر المتيقّن مضرّاً بالإطلاق ، كما هو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بمنزلة التصريح إذا كان في مقام التخاطب لا غيره ، ممنوعة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اُريد بتيقّن الاندراج ، العلم الفعلي بإرادة المتكلّم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منهم كما هو ظاهر كلامه ، فهذا العلم الفعلي ملازم للعلم الفعلي بعدم إرادة المتكلّم العلماءَ الفسّاق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يخرج المقام من باب التعارض جزماً ، ولا يكون من قبيل تعارض النصّ والظاهر ؛ فإنّه بعد العلم الفعلي بمراد المولى من الدليلين ، يخرج المورد من الجمع بين مدلولي الدليلين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العلم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 نّه إن صدر من المتكلّم هذا الكلام ، وأراد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إكرامهم جدّاً ، يكون فسّاق العلماء مرادين قطعاً ، لكن يحتمل عدم الصدور ، أو عدم تطابق الإرادتين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لتقدّم الدليل المشتمل على القدر المتيقّن على غيره ؛ لأنّ مجرد العلم بعدم انفكاك إرادة العلماء عن إرادة غيرهم لا يوجب صيرورة الدليل كالنصّ ؛ لأنّ العلم بالملازمة مع الشكّ في وجود الملزوم لا يوجب العلم بوجود اللازم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يصير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مدلوله ، معارضاً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العلماء الفسّاق ؛ لأجل التلازم بين الإرادتين </w:t>
      </w:r>
      <w:r>
        <w:rPr>
          <w:rFonts w:eastAsia="Amiri" w:cs="Amiri" w:ascii="Amiri" w:hAnsi="Amiri"/>
          <w:color w:val="111111"/>
          <w:sz w:val="28"/>
          <w:szCs w:val="28"/>
          <w:rtl w:val="true"/>
          <w:lang w:bidi="ar-SA"/>
        </w:rPr>
        <w:t xml:space="preserve">. </w:t>
      </w:r>
      <w:bookmarkStart w:id="101" w:name="pg15088_161770"/>
    </w:p>
    <w:p>
      <w:pPr>
        <w:pStyle w:val="Heading6"/>
        <w:numPr>
          <w:ilvl w:val="5"/>
          <w:numId w:val="1"/>
        </w:numPr>
        <w:rPr/>
      </w:pPr>
      <w:bookmarkStart w:id="102" w:name="__RefHeading___Toc995217_2142443653"/>
      <w:bookmarkStart w:id="103" w:name="_Toc35"/>
      <w:bookmarkEnd w:id="101"/>
      <w:bookmarkEnd w:id="102"/>
      <w:r>
        <w:rPr>
          <w:rtl w:val="true"/>
        </w:rPr>
        <w:t>لزوم استهجان التخصيص</w:t>
      </w:r>
      <w:bookmarkEnd w:id="10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التخصيص في أحد العامّين من وجه مستهجناً ؛ وذلك من جهة قلّة الباقي بعده وندرة وجوده ؛ لأنّ العامّ يكون نصّاً في المقدار الذي يلزم من خروجه تخصيص مستهجن ، فإذا دار الأمر بين تخصيصه وتخصيص ما لا يلزم منه ذلك ، يقدّم الثاني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لزوم استهجان التخصيص في دليل لا يوجب تخصيص دليل آخر به ما لم يكن الجمع عرفياً، وصيرورة العامّ نصّاً في المقدار المذكور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العامّين من وجه خارجان عن موضوع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التعرّض له</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بينهما ، ويتساقطان في مورد التعارض ، وقلّة مورد الافتراق لا محذور فيه؛ لأ نّه ليس من قبيل التخصيص حتّى يستهجن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الأخبار له ، فيقدّم الراجح ، وليس أيضاً من قبيل التخصيص حتّى يكون مستهجناً فتدبّر </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995219_2142443653"/>
      <w:bookmarkStart w:id="105" w:name="_Toc36"/>
      <w:bookmarkEnd w:id="104"/>
      <w:r>
        <w:rPr>
          <w:rtl w:val="true"/>
        </w:rPr>
        <w:t>لزوم إخراج المورد</w:t>
      </w:r>
      <w:bookmarkEnd w:id="105"/>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العامّين من وجه وارداً في مورد الاجتماع</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 xml:space="preserve">: </w:t>
      </w:r>
      <w:bookmarkStart w:id="106" w:name="pg15088_161771"/>
    </w:p>
    <w:p>
      <w:pPr>
        <w:pStyle w:val="BookText"/>
        <w:rPr/>
      </w:pPr>
      <w:bookmarkEnd w:id="106"/>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المسؤول عنه أعمّ من وجه من الدليل الآخر ، كما إذا ورد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سؤال حكم الخمر ، وورد ابتداءً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بالماء المتّخذ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النسبة بين الخمر والماء المتّخذ من التمر أعمّ من وجه ، بناءً على أعمّية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يوجب التقدّم ؛ لأ نّه لا يزيد على التنصيص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يتقدّم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بالماء المتّخذ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النسبة بينهما 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أخصّ مطلقاً منه ،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حكم الخمر التمري ، فإنّ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للخمر قويّ جدّاً ، كاد أن يلحقه بالنصّ ، فيقدّم على عديله ، لكن كون هذا من قبيل النصّ محلّ إشكال </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995221_2142443653"/>
      <w:bookmarkStart w:id="108" w:name="_Toc37"/>
      <w:bookmarkEnd w:id="107"/>
      <w:r>
        <w:rPr>
          <w:rtl w:val="true"/>
        </w:rPr>
        <w:t>ورود أحد الدليلين مورد التحديدات</w:t>
      </w:r>
      <w:bookmarkEnd w:id="108"/>
    </w:p>
    <w:p>
      <w:pPr>
        <w:pStyle w:val="BookText"/>
        <w:rPr/>
      </w:pPr>
      <w:r>
        <w:rPr>
          <w:rFonts w:ascii="Amiri" w:hAnsi="Amiri" w:eastAsia="Amiri" w:cs="Amiri"/>
          <w:color w:val="111111"/>
          <w:sz w:val="28"/>
          <w:sz w:val="28"/>
          <w:szCs w:val="28"/>
          <w:rtl w:val="true"/>
          <w:lang w:bidi="ar-SA"/>
        </w:rPr>
        <w:t>هذا ، وأمّا عدّ ورود أحد الدليلين في مقام بيان التحديدات والمقادير والمسافات دون الآخر من قبيل النصّ والظاهر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كما ترى ؛ ضرورة أ نّه بعد تسليم تقدّم ما هو من قبيلها على غيرها مطلقاً ، لا تكون إلاّ من قبيل الأظهر والظاهر ، مثل القضايا المعلّلة مع غيرها </w:t>
      </w:r>
      <w:r>
        <w:rPr>
          <w:rFonts w:eastAsia="Amiri" w:cs="Amiri" w:ascii="Amiri" w:hAnsi="Amiri"/>
          <w:color w:val="111111"/>
          <w:sz w:val="28"/>
          <w:szCs w:val="28"/>
          <w:rtl w:val="true"/>
          <w:lang w:bidi="ar-SA"/>
        </w:rPr>
        <w:t xml:space="preserve">. </w:t>
      </w:r>
      <w:bookmarkStart w:id="109" w:name="pg15088_161772"/>
    </w:p>
    <w:p>
      <w:pPr>
        <w:pStyle w:val="Heading5"/>
        <w:numPr>
          <w:ilvl w:val="4"/>
          <w:numId w:val="1"/>
        </w:numPr>
        <w:rPr/>
      </w:pPr>
      <w:bookmarkStart w:id="110" w:name="__RefHeading___Toc995223_2142443653"/>
      <w:bookmarkStart w:id="111" w:name="_Toc38"/>
      <w:bookmarkEnd w:id="109"/>
      <w:bookmarkEnd w:id="110"/>
      <w:r>
        <w:rPr>
          <w:rtl w:val="true"/>
        </w:rPr>
        <w:t xml:space="preserve">المبحث الثاني </w:t>
      </w:r>
      <w:r>
        <w:rPr>
          <w:rtl w:val="true"/>
        </w:rPr>
        <w:t xml:space="preserve">: </w:t>
      </w:r>
      <w:r>
        <w:rPr>
          <w:rtl w:val="true"/>
        </w:rPr>
        <w:t>فيما عدّ من المرجّحات النوعية الدلالية</w:t>
      </w:r>
      <w:bookmarkEnd w:id="111"/>
    </w:p>
    <w:p>
      <w:pPr>
        <w:pStyle w:val="Heading6"/>
        <w:numPr>
          <w:ilvl w:val="5"/>
          <w:numId w:val="1"/>
        </w:numPr>
        <w:rPr/>
      </w:pPr>
      <w:bookmarkStart w:id="112" w:name="__RefHeading___Toc995225_2142443653"/>
      <w:bookmarkStart w:id="113" w:name="_Toc39"/>
      <w:bookmarkEnd w:id="112"/>
      <w:r>
        <w:rPr>
          <w:rtl w:val="true"/>
        </w:rPr>
        <w:t xml:space="preserve">وهي موارد </w:t>
      </w:r>
      <w:r>
        <w:rPr>
          <w:rtl w:val="true"/>
        </w:rPr>
        <w:t>:</w:t>
      </w:r>
      <w:bookmarkEnd w:id="113"/>
    </w:p>
    <w:p>
      <w:pPr>
        <w:pStyle w:val="Heading6"/>
        <w:numPr>
          <w:ilvl w:val="5"/>
          <w:numId w:val="1"/>
        </w:numPr>
        <w:rPr/>
      </w:pPr>
      <w:bookmarkStart w:id="114" w:name="__RefHeading___Toc995227_2142443653"/>
      <w:bookmarkStart w:id="115" w:name="_Toc40"/>
      <w:bookmarkEnd w:id="114"/>
      <w:r>
        <w:rPr>
          <w:rtl w:val="true"/>
        </w:rPr>
        <w:t>تعارض العموم والإطلاق</w:t>
      </w:r>
      <w:bookmarkEnd w:id="115"/>
    </w:p>
    <w:p>
      <w:pPr>
        <w:pStyle w:val="BookText"/>
        <w:rPr/>
      </w:pPr>
      <w:r>
        <w:rPr>
          <w:rFonts w:ascii="Amiri" w:hAnsi="Amiri" w:eastAsia="Amiri" w:cs="Amiri"/>
          <w:color w:val="111111"/>
          <w:sz w:val="28"/>
          <w:sz w:val="28"/>
          <w:szCs w:val="28"/>
          <w:rtl w:val="true"/>
          <w:lang w:bidi="ar-SA"/>
        </w:rPr>
        <w:t xml:space="preserve">المبحث الثاني فيما عدّ من المرجّحات النوعية الدلالية في تعارض الدليلين فقط وهي موارد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العموم والإطلاق</w:t>
      </w:r>
      <w:r>
        <w:rPr>
          <w:rStyle w:val="FootnoteAnchor"/>
          <w:rtl w:val="true"/>
        </w:rPr>
        <w:footnoteReference w:id="62"/>
      </w:r>
      <w:r>
        <w:rPr>
          <w:rFonts w:ascii="Amiri" w:hAnsi="Amiri" w:eastAsia="Amiri" w:cs="Amiri"/>
          <w:color w:val="111111"/>
          <w:sz w:val="28"/>
          <w:sz w:val="28"/>
          <w:szCs w:val="28"/>
          <w:rtl w:val="true"/>
          <w:lang w:bidi="ar-SA"/>
        </w:rPr>
        <w:t xml:space="preserve">، ولا بدّ من فرض الكلام في مورد يكون العامّ والمطلق متساويين من الجهات الخارجية ، كصدورهما من متكلّم لم يعهد منه بيان الخاصّ والمقيِّد منفصلاً عن العامّ والمطلق ، أو صدورهما من متكلّم معهود منه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بعد الفحص عن المقيِّد والمخصِّص مثلاً ، وبعد فرض ورودهما قبل وقت الحاجة أو بعده ، ثمّ الكلام في التقديم ووجهه حتّى لا يختلط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بالإشارة إلى كيفية تعارض المطلق والمقيّد حتّى يتبيّن حال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تعارض المطلق والمقيّد ليس من سنخ تعارض العامّ والخاصّ ؛ لأنّ الخاصّ بمدلوله اللفظي يعارض العامّ ؛ ضرورة أنّ الإيجاب الكلّي يناقض </w:t>
      </w:r>
    </w:p>
    <w:p>
      <w:pPr>
        <w:pStyle w:val="BookText"/>
        <w:rPr/>
      </w:pPr>
      <w:r>
        <w:rPr>
          <w:rFonts w:ascii="Amiri" w:hAnsi="Amiri" w:eastAsia="Amiri" w:cs="Amiri"/>
          <w:color w:val="111111"/>
          <w:sz w:val="28"/>
          <w:sz w:val="28"/>
          <w:szCs w:val="28"/>
          <w:rtl w:val="true"/>
          <w:lang w:bidi="ar-SA"/>
        </w:rPr>
        <w:t xml:space="preserve">السلب الجزئي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عالم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بمفهومه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إكرام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التنافي بأحد الوجوه المتقدّمة ، وأمّا المقيّد فلا يكون بمدلوله اللفظي منافياً للمطلق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بالإطلاق ليس لأجل ظهور لفظ المطلق فيه ؛ ضرورة أنّ اللفظ الموضوع للطبيعة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يدلّ إلاّ على نفس الطبيعة ، لا غيرها كالكثرات الفردية وغيرها ، لكن جعل المتكلّم نفس الطبيعة موضوعةً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قيد في كلامه ، بما أ نّه فعل اختياري للفاعل المختار الذي بصدد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لحكم العقلاء بأنّ موضوع حكمه نفس الطبيعة ، من غير دخالة شيء آخر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بالإطلاق وموضوع احتجاج العقلاء لا يكون إلاّ الفعل الاختياري من الفاعل المختار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شيء آخر دخيلاً في موضوع حكمه لكان عليه جعل الطبيعة مع القيد موضوعاً ، لا نفسها ، فالاحتجاج متقوّم بجعلها موضوعاً مع عدم بيان قيد آخر معها ، لا بدلالة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 أو على الأفراد ، أو على عدم دخالة شيء في مطلوبه ؛ ضرورة خروجها كلّها عن مدلول اللفظ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ورد دليل آخر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البيع الغرري باطل</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لا يكون التعارض بينه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تناقضاً في المقال ؛ ضرورة أنّ حكم البيع الغرري غير </w:t>
      </w:r>
      <w:bookmarkStart w:id="116" w:name="pg15088_161774"/>
    </w:p>
    <w:p>
      <w:pPr>
        <w:pStyle w:val="BookText"/>
        <w:rPr/>
      </w:pPr>
      <w:bookmarkEnd w:id="116"/>
      <w:r>
        <w:rPr>
          <w:rFonts w:ascii="Amiri" w:hAnsi="Amiri" w:eastAsia="Amiri" w:cs="Amiri"/>
          <w:color w:val="111111"/>
          <w:sz w:val="28"/>
          <w:sz w:val="28"/>
          <w:szCs w:val="28"/>
          <w:rtl w:val="true"/>
          <w:lang w:bidi="ar-SA"/>
        </w:rPr>
        <w:t xml:space="preserve">مقول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دلالته على أفراد البيع وأصنافه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في المقام بين القولين والتلفّظين بما أ نّهما فعلان اختياريان له ، وفي العامّ والخاصّ بين الكلامين بما لهما من المدلول </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995229_2142443653"/>
      <w:bookmarkStart w:id="118" w:name="_Toc41"/>
      <w:bookmarkEnd w:id="117"/>
      <w:r>
        <w:rPr>
          <w:rtl w:val="true"/>
        </w:rPr>
        <w:t>وجه تقدّم العامّ على المطلق</w:t>
      </w:r>
      <w:bookmarkEnd w:id="118"/>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احتجاج العقلاء في المطلق ، لمّا كان متقوّماً بجعل الطبيعة بنفسها موضوعاً ، وعدم ذكر قيد لها ، يكون أمد هذا الاحتجاج إلى زمان ورود القيد ، فإذا ورد ينتهي احتجاجهم ، ويرتفع موضوعه ، فتقدّم العامّ الاُصولي على المطلق ، إنّما هو لكون العامّ غاية لاحتجاج العقلاء بالإطلاق ؛ لكونه بياناً للقيد ، فلا يمكن أن يكون الإطلاق مخصّصاً للعموم ؛ لحصول غايته بوروده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أيضاً غاية لحجّية العامّ ، فهو غير صحيح ؛ لأنّ العامّ لمّا كانت دلالته على العموم دلالة لفظية ، فلا يكون مغيّاً بشيء ، بل نفس ظهوره الوضعي مع بعض الاُصول العقلائية موضوع الاحتجاج ، وإنّما الخاصّ حجّة أقوى ، فتقديمه عليه من قبيل تقديم أقوى الحجّتين ، لكن بنحو ما ذكرنا سابقاً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 تتّضح اُمور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الحكم في العامّ الاُصولي كلّ فردٍ فردٍ ، وفي المطلق نفس حيثية الطبيعة ، من غير دخالة شيء آخر فيها ، وإنّما تستفاد الأفراد من العامّ الاُصولي بدلالة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الاستغراق وأمثالها ، ولا يكون المطلق بعد </w:t>
      </w:r>
    </w:p>
    <w:p>
      <w:pPr>
        <w:pStyle w:val="BookText"/>
        <w:rPr/>
      </w:pPr>
      <w:r>
        <w:rPr>
          <w:rFonts w:ascii="Amiri" w:hAnsi="Amiri" w:eastAsia="Amiri" w:cs="Amiri"/>
          <w:color w:val="111111"/>
          <w:sz w:val="28"/>
          <w:sz w:val="28"/>
          <w:szCs w:val="28"/>
          <w:rtl w:val="true"/>
          <w:lang w:bidi="ar-SA"/>
        </w:rPr>
        <w:t xml:space="preserve">تمامية مقدّمات الإطلاق ، دالاًّ على الأفراد ، بل يحكم العقل بعدها بأنّ تمام الموضوع نفس حيثية ما جعل موضوعاً ، من غير دخالة شيء آخر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يجري ذلك في الأعلام الشخصية أيضاً ، كما إذا أمر بإكرام زيد ، فإطلاقه يقتضي جواز إكرامه في أيّ حال كان ، لا من حيث إنّ مدلول كلامه ذلك ، بل من حيث إنّ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بلا قيد ، موجب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فموضوع الاحتجاج في العامّ قول المتكلّم بما أ نّه لفظ دالّ على الأفراد ، وفي المطلق جعل نفس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اقترانها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 وهو غير مربوط بسنخ الدلالات ، فالإطلاق الشمولي ممّا لا معنى له إن اُريد شموله للأفراد كالعامّ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جعل الماهية من غير قيد موضوعاً للحكم هو موضوع حكم العقلاء في الاحتجاج منجّزاً ، من غير تعليق على عدم البيان المتأخّر ؛ ضرورة أنّ الآمر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يقيّدها ، يكون حجّة على العبد والمولى ، فليس للمولى أن يؤاخذ عبده إذا أعتق الكافرة بعد تمامية مقدّمات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المطلق معلّق على عدم البيان</w:t>
      </w:r>
      <w:r>
        <w:rPr>
          <w:rStyle w:val="FootnoteAnchor"/>
          <w:rtl w:val="true"/>
        </w:rPr>
        <w:footnoteReference w:id="66"/>
      </w:r>
      <w:r>
        <w:rPr>
          <w:rFonts w:ascii="Amiri" w:hAnsi="Amiri" w:eastAsia="Amiri" w:cs="Amiri"/>
          <w:color w:val="111111"/>
          <w:sz w:val="28"/>
          <w:sz w:val="28"/>
          <w:szCs w:val="28"/>
          <w:rtl w:val="true"/>
          <w:lang w:bidi="ar-SA"/>
        </w:rPr>
        <w:t xml:space="preserve">وقرّره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البيان أعمّ من كونه حين التخاطب ، أو متأخّراً عنه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المطلق ليس بحجّة فعلاً ، ومعلّقة حجّيته على عدم ورود البيان متأخّراً كما هو ظاهر كلامهما ، فهو في غير محلّه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المراد هو أنّ المطلق وإن كان حجّة فعلاً ، لكن لمّا كان موضوع الحجّية عدم بيان القيد ، يكون أمدها ورود البيان ، فإذا ورد يرفع موضوعها ، فالعامّ بدلالته اللفظية يرفع موضوع الاحتجاج ، فيكون وارداً على المطلق ، فهو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العامّ على المطلق ليس من باب تقدّم الأظهر على الظاهر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شمول العامّ الاُصولي لمورد الاجتماع أظهر من شمول المطلق له</w:t>
      </w:r>
      <w:r>
        <w:rPr>
          <w:rStyle w:val="FootnoteAnchor"/>
          <w:rtl w:val="true"/>
        </w:rPr>
        <w:footnoteReference w:id="68"/>
      </w:r>
      <w:r>
        <w:rPr>
          <w:rFonts w:ascii="IRNazanin" w:hAnsi="IRNazanin" w:eastAsia="IRNazanin"/>
          <w:color w:val="111111"/>
          <w:sz w:val="28"/>
          <w:sz w:val="28"/>
          <w:szCs w:val="28"/>
          <w:rtl w:val="true"/>
          <w:lang w:bidi="fa-IR"/>
        </w:rPr>
        <w:t xml:space="preserve">؛ لأنّ المطلق لم يكن له ظهور في مورد الاجتماع كما عرفت ، فتقدّم العامّ عليه ليس لأقوائية ظهوره ، بل لرفع موضوع الحجّية الذي له أمد ، ولا يخلو كلام المحقّق المعاصر رحمه الله علیه من تهافت ،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ذكرنا يظهر حال دوران الأمر بين تخصيص العموم بمفهوم الشرط أو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المفهوم فيهما بواسطة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قرينية العامّ على عدم المفهوم فيهما ، فنأخذ بالعامّ ونترك المفهومين ؛ لأ نّه يرفع موضوع المفهوم ؛ أي إطلاق الاشتراط والتوصيف ، أو الشرط والوصف ، ولا تصلح القضيّة الشرطية أو الوصفية لتخصيص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تعارض الإطلاق مع أحد المفهومين ؛ لأنّ الكلّ بمقدّمات الإطلاق ، كما أنّ الأمر كذلك في تعارض المفهومين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القضيّة الشرطية أظهر في المفهوم من الوصفية</w:t>
      </w:r>
      <w:r>
        <w:rPr>
          <w:rStyle w:val="FootnoteAnchor"/>
          <w:rtl w:val="true"/>
        </w:rPr>
        <w:footnoteReference w:id="69"/>
      </w:r>
      <w:r>
        <w:rPr>
          <w:rFonts w:ascii="Amiri" w:hAnsi="Amiri" w:eastAsia="Amiri" w:cs="Amiri"/>
          <w:color w:val="111111"/>
          <w:sz w:val="28"/>
          <w:sz w:val="28"/>
          <w:szCs w:val="28"/>
          <w:rtl w:val="true"/>
          <w:lang w:bidi="ar-SA"/>
        </w:rPr>
        <w:t xml:space="preserve">مغالطة ؛ </w:t>
      </w:r>
      <w:bookmarkStart w:id="119" w:name="pg15088_161777"/>
    </w:p>
    <w:p>
      <w:pPr>
        <w:pStyle w:val="BookText"/>
        <w:rPr/>
      </w:pPr>
      <w:bookmarkEnd w:id="119"/>
      <w:r>
        <w:rPr>
          <w:rFonts w:ascii="Amiri" w:hAnsi="Amiri" w:eastAsia="Amiri" w:cs="Amiri"/>
          <w:color w:val="111111"/>
          <w:sz w:val="28"/>
          <w:sz w:val="28"/>
          <w:szCs w:val="28"/>
          <w:rtl w:val="true"/>
          <w:lang w:bidi="ar-SA"/>
        </w:rPr>
        <w:t xml:space="preserve">لأ نّها لو كانت أظهر فإنّما هو في دخالة القيد في موضوع الحكم ، لا في انحصاره ، وما يستفاد منه المفهوم هو الثاني بمقدّمات الإطلاق على القول به ، لا الأوّل ، وجريان المقدّمات فيهما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الغاية والاستثناء والحصر ، فلا يبعد أن تكون دلالتها بالوضع ، ولا إشكال في تقدّمها على مفهوم الوصف والشرط </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995231_2142443653"/>
      <w:bookmarkStart w:id="121" w:name="_Toc42"/>
      <w:bookmarkEnd w:id="120"/>
      <w:r>
        <w:rPr>
          <w:rtl w:val="true"/>
        </w:rPr>
        <w:t>دوران الأمر بين النسخ والتخصيص</w:t>
      </w:r>
      <w:bookmarkEnd w:id="121"/>
    </w:p>
    <w:p>
      <w:pPr>
        <w:pStyle w:val="Heading6"/>
        <w:numPr>
          <w:ilvl w:val="5"/>
          <w:numId w:val="1"/>
        </w:numPr>
        <w:rPr/>
      </w:pPr>
      <w:bookmarkStart w:id="122" w:name="__RefHeading___Toc995233_2142443653"/>
      <w:bookmarkStart w:id="123" w:name="_Toc43"/>
      <w:bookmarkEnd w:id="122"/>
      <w:r>
        <w:rPr>
          <w:rtl w:val="true"/>
        </w:rPr>
        <w:t>الإشارة إلى حال المخصّصات في المقام</w:t>
      </w:r>
      <w:bookmarkEnd w:id="123"/>
    </w:p>
    <w:p>
      <w:pPr>
        <w:pStyle w:val="BookText"/>
        <w:rPr/>
      </w:pPr>
      <w:r>
        <w:rPr>
          <w:rFonts w:ascii="Amiri" w:hAnsi="Amiri" w:eastAsia="Amiri" w:cs="Amiri"/>
          <w:color w:val="111111"/>
          <w:sz w:val="28"/>
          <w:sz w:val="28"/>
          <w:szCs w:val="28"/>
          <w:rtl w:val="true"/>
          <w:lang w:bidi="ar-SA"/>
        </w:rPr>
        <w:t xml:space="preserve">ومن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التخصيص والنسخ</w:t>
      </w:r>
      <w:r>
        <w:rPr>
          <w:rStyle w:val="FootnoteAnchor"/>
          <w:rtl w:val="true"/>
        </w:rPr>
        <w:footnoteReference w:id="70"/>
      </w:r>
      <w:r>
        <w:rPr>
          <w:rFonts w:ascii="IRNazanin" w:hAnsi="IRNazanin" w:eastAsia="IRNazanin"/>
          <w:color w:val="111111"/>
          <w:sz w:val="28"/>
          <w:sz w:val="28"/>
          <w:szCs w:val="28"/>
          <w:rtl w:val="true"/>
          <w:lang w:bidi="fa-IR"/>
        </w:rPr>
        <w:t xml:space="preserve">، وقبل تحقيق المقام لا بأس بالإشارة إلى حال المخصّصات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الصوارف الواردة في كلام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مضيّ زمان طويل على وقت العمل بالعمومات والمطلقات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المحتملات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ناسخة لحكمها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كاشفة عن اتّصالها بمخصّصاتها ومقيّداتها ، وقد اختفت علينا المتّصلات ، ووصلت إلينا بنحو الانفصال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المخصّصات وسائر الصوارف مودعة لدى الأئمّة علیهم السلام ، وتأخّر بيانها عن وقت العمل غير قبيح إذا اقتضت المصلحة 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اختار الشيخ الأنصاري الاحتمال الأخير</w:t>
      </w:r>
      <w:r>
        <w:rPr>
          <w:rStyle w:val="FootnoteAnchor"/>
          <w:rtl w:val="true"/>
        </w:rPr>
        <w:footnoteReference w:id="71"/>
      </w:r>
      <w:r>
        <w:rPr>
          <w:rFonts w:ascii="Amiri" w:hAnsi="Amiri" w:eastAsia="Amiri" w:cs="Amiri"/>
          <w:color w:val="111111"/>
          <w:sz w:val="28"/>
          <w:sz w:val="28"/>
          <w:szCs w:val="28"/>
          <w:rtl w:val="true"/>
          <w:lang w:bidi="ar-SA"/>
        </w:rPr>
        <w:t>، وبعض أعاظم العصر الاحتمال الثاني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جميعها بعيدة ؛ أمّا احتمال النسخ فهو كالضروري البطلان ؛ فإنّ احتمال كون أمد نوع أحكام اللّه تعالى المجعولة في صدر الإسلام إلى زمن الصادقين علیهما السلام ، وحدوث مصالح في زمانهما مقتضية لتغييرها ونسخها ، مقطوع البطلان ، بل ضروري الفساد عند جميع 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احتمال كون المخصّصات والمقيّدات كلّها متّصلة في كلام رسول اللّه صلی الله علیه و آله وسلم وعرض الانفصال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 الفساد ؛ ضرورة أنّ العامّة والخاصّة حدّثوا بالكلّيات الكثيرة إلى ما شاء اللّه عن رسول اللّه صلی الله علیه و آله وسلم</w:t>
      </w:r>
    </w:p>
    <w:p>
      <w:pPr>
        <w:pStyle w:val="BookText"/>
        <w:rPr/>
      </w:pPr>
      <w:r>
        <w:rPr>
          <w:rFonts w:ascii="IRNazanin" w:hAnsi="IRNazanin" w:eastAsia="IRNazanin"/>
          <w:color w:val="111111"/>
          <w:sz w:val="28"/>
          <w:sz w:val="28"/>
          <w:szCs w:val="28"/>
          <w:rtl w:val="true"/>
          <w:lang w:bidi="fa-IR"/>
        </w:rPr>
        <w:t xml:space="preserve">بنحو التشريع والتقنين من غير ذكر المخصّصات والمقيّدات ، ولا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المحدّثين من الفريقين تركوا الصوارف عمداً ، أو سهواً وخطأً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ورود كثير من المخصّصات التي في لسان الأئمّة علیهم السلام من طرق العامّة أيضاً لا يدلّ على ذلك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احتمال إيداع نوع الأحكام الواقعية لدى الأئمّة علیهم السلام وإخفائها عن سائر الناس ، بعيد غايته ، بل يمكن دعوى وضوح بطلانه ؛ لأنّ ذلك مخالف لتبليغ الأحكام ، ودعوى اقتضاء المصلحة ذلك مجازفة ، فأيّة مصلحة تقتضي كون نوع الأحكام معطّلة غير معمول بها ؟</w:t>
      </w:r>
      <w:r>
        <w:rPr>
          <w:rFonts w:eastAsia="IRNazanin" w:cs="IRNazanin"/>
          <w:color w:val="111111"/>
          <w:sz w:val="28"/>
          <w:szCs w:val="28"/>
          <w:rtl w:val="true"/>
          <w:lang w:bidi="fa-IR"/>
        </w:rPr>
        <w:t xml:space="preserve">! </w:t>
      </w:r>
      <w:bookmarkStart w:id="124" w:name="pg15088_161779"/>
    </w:p>
    <w:p>
      <w:pPr>
        <w:pStyle w:val="BookText"/>
        <w:rPr/>
      </w:pPr>
      <w:bookmarkEnd w:id="124"/>
      <w:r>
        <w:rPr>
          <w:rFonts w:ascii="IRNazanin" w:hAnsi="IRNazanin" w:eastAsia="IRNazanin"/>
          <w:color w:val="111111"/>
          <w:sz w:val="28"/>
          <w:sz w:val="28"/>
          <w:szCs w:val="28"/>
          <w:rtl w:val="true"/>
          <w:lang w:bidi="fa-IR"/>
        </w:rPr>
        <w:t xml:space="preserve">مضافاً إلى مخالفة ذلك لقوله صلی الله علیه و آله وسلم في حجّة الوداع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 ما من شيء يقرّبكم من الجنّة ويباعدكم من النار إلاّ وقد أمرتكم به ، وما من شيء يقرّبكم من النار ويباعدكم من الجنّة ، إلاّ وقد نهيتكم عنه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إيداعها لدى أمير المؤمنين علیه السلام يكفي في رفع المنافاة ، كما ترى </w:t>
      </w:r>
      <w:r>
        <w:rPr>
          <w:rFonts w:eastAsia="IRNazanin" w:cs="IRNazanin"/>
          <w:color w:val="111111"/>
          <w:sz w:val="28"/>
          <w:szCs w:val="28"/>
          <w:rtl w:val="true"/>
          <w:lang w:bidi="fa-IR"/>
        </w:rPr>
        <w:t>.</w:t>
      </w:r>
    </w:p>
    <w:p>
      <w:pPr>
        <w:pStyle w:val="Heading6"/>
        <w:numPr>
          <w:ilvl w:val="5"/>
          <w:numId w:val="1"/>
        </w:numPr>
        <w:rPr/>
      </w:pPr>
      <w:bookmarkStart w:id="125" w:name="__RefHeading___Toc995235_2142443653"/>
      <w:bookmarkStart w:id="126" w:name="_Toc44"/>
      <w:bookmarkEnd w:id="125"/>
      <w:r>
        <w:rPr>
          <w:rtl w:val="true"/>
        </w:rPr>
        <w:t>علل الاختلاف بين العامّة والخاصّة وتأخير بيان المخصّصات</w:t>
      </w:r>
      <w:bookmarkEnd w:id="126"/>
    </w:p>
    <w:p>
      <w:pPr>
        <w:pStyle w:val="BookText"/>
        <w:rPr/>
      </w:pPr>
      <w:r>
        <w:rPr>
          <w:rFonts w:ascii="Amiri" w:hAnsi="Amiri" w:eastAsia="Amiri" w:cs="Amiri"/>
          <w:color w:val="111111"/>
          <w:sz w:val="28"/>
          <w:sz w:val="28"/>
          <w:szCs w:val="28"/>
          <w:rtl w:val="true"/>
          <w:lang w:bidi="ar-SA"/>
        </w:rPr>
        <w:t xml:space="preserve">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علل اختلاف الأحكام بين العامّة والخاصّة ، واختفائها عن العامّة ، وتأخيرِ المخصّصات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وإن بلّغ جميع الأحكام الكلّية للاُمّة ، لكن لمّا لم تكن دواعي الحفظ في صدر الشريعة وأوّل بدء الإسلام قويّة ، لم يضبط جميعَها بخصوصياتها إلاّ من هو بطانته وأهل بيته ، ولم يكن في الاُمّة من هو أشدّ اهتماماً وأقوى ضبطاً من أمير المؤمنين علیه السلام ، فهو لشدّة اهتمامه ضبط جميع الأحكام ، وتمام خصوصيات الكتاب الإلهي ؛ تفسيرِها وتأويلها ، وما كانت دخيلة في فهم آيات الكتاب وضوابط السنن النبوية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القرآن الذي جمعه وأراد تبليغه للناس بعد رسول اللّه هو القرآن الكريم مع جميع الخصوصيات الدخيلة في فهمه المضبوطة عنده بتعليم رسول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وإن بلّغ الأحكام حتّى أرش الخدش للاُمّة ، لكن من لم يفت منه شيء من الأحكام ، وضبط جميعها كتاباً وسنّة هو أمير المؤمنين علیه السلام في حين فات القومَ كثير منها ؛ لقلّة اهتمامهم بذلك ، ويدلّ على ما ذكر بعض الروايات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علیهم السلام لامتيازهم الذاتي عن سائر الناس في فهم الكتاب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امتيازهم عنهم في سائر الكمالات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فهموا جميع التفريعات المتفرّعة على الاُصول الكلّية التي شرعها رسول اللّه صلی الله علیه و آله وسلم ونزل بها الكتاب الإلهي ، ففتح لهم من كلّ باب فتحه رسول اللّه صلی الله علیه و آله وسلم للاُمّة ألف باب ، حين كون غيرهم قاصرين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فعلم الكتاب والسنّة وما يتفرّع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العلم ، ونكت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موروث لهم خلفاً عن سلف ، وغيرهم 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نقصانهم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العلم الكثير النافع ، فيعوّلون على اجتهادهم الناقص ، من غير ضبط الكتاب والسنّة تأويلاً وتنزيلاً ، ومن غير رجوع إلى من رزقه اللّه تعالى علمهما وخصّه به ، فترى في آية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كآية الوضوء</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اختلافهم مع غيرهم ، وقس على ذلك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باب واسع يردّ إليه نوع الاختلافات الواقعة في الاُمّة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أشار إلى ما ذكرنا كثير من الروايات في الأبواب المختلفة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27" w:name="pg15088_161781"/>
    </w:p>
    <w:p>
      <w:pPr>
        <w:pStyle w:val="BookText"/>
        <w:rPr/>
      </w:pPr>
      <w:bookmarkEnd w:id="127"/>
      <w:r>
        <w:rPr>
          <w:rFonts w:ascii="IRNazanin" w:hAnsi="IRNazanin" w:eastAsia="IRNazanin"/>
          <w:color w:val="111111"/>
          <w:sz w:val="28"/>
          <w:sz w:val="28"/>
          <w:szCs w:val="28"/>
          <w:rtl w:val="true"/>
          <w:lang w:bidi="fa-IR"/>
        </w:rPr>
        <w:t xml:space="preserve">فالصوارف التي في لسانهم علیهم السلام يمكن صدور كثير منها من رسول اللّه منفصلة عن العمومات والمطلقات ، ولم يضبطها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هي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خازن علمه ؛ أمير المؤمنين ، وأودعها إلى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اُخّر البيان إلى زمن الصادقين علیهما السلام لابتلاء سائر الأئمّة المتقدّمين عليهما ببليّات كثيرة ، سُدّ عليهم لأجلها بيان الأحكام ، كما يشهد به التأريخ ، فلمّا بلغ زمانهما اتّسع لهما المجال في برهة من الزمان ، فاجتمع العلماء والمحدّثون حولهما ، وانتشرت الأحكام وانبثّت البركات ، ولو اتّسع المجال لغيرهما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اتّسع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لصارت الأحكام منتشرة قبلهما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تأمّلت فيما ذكرنا وتتبّعت الأخبار ، لوجدت ما ذكرنا احتمالاً قريباً قابلاً للتصديق </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995237_2142443653"/>
      <w:bookmarkStart w:id="129" w:name="_Toc45"/>
      <w:bookmarkEnd w:id="128"/>
      <w:r>
        <w:rPr>
          <w:rtl w:val="true"/>
        </w:rPr>
        <w:t>في وجوه ورود العامّ والخاصّ والدوران بين النسخ والتخصيص</w:t>
      </w:r>
      <w:bookmarkEnd w:id="129"/>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ورد عامّ وخاصّ ودار الأمر بين النسخ والتخصيص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تقدّم صدور العامّ على الخاصّ وحضور وقت العمل به ، ثمّ ورد الخاصّ وشكّ في كونه نسخاً أو تخصيصاً ،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حضور وقت العمل به والعمل به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كونه ناسخاً من حين وروده ، أو مخصّصاً له من الأوّل ، وكان حكم العامّ بالنسبة إلى الفسّاق صورياً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تقدّم الخاصّ على العامّ مع حضور وقت العمل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التقدّم والتأخّر ، بل كانا مجهولين من جهات اُخرى أيضاً ، فاحتمل ورود الخاصّ قبل حضور العمل بالعامّ وبعده ، وكذا في العامّ على فرض تقدّمه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نقول بأنّ دليل استمرار حكم العامّ هو الإطلاق المقامي ؛ أي كون المقام مقام التشريع مع عدم ذكر الغاية للحكم ، هو موضوع حكم العقلاء باستمرار الحكم ، أو موضوع حجّية العامّ لدى العقلاء على جميع الرعية الموجودين في عمود الزمان في جميع الأعصار ، أو إطلاق الحكم أو متعلّقه على القول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وتارة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دليله هو الأدلّة الخارجية ، 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صلی الله علیه و آله وسلم حلال إلى يوم القيامة</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الأوّلين حكمي على الآخرين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دليله نفس القضايا الملقاة من الشارع بنحو القضيّة الحقيقية ؛ فيما كانت كذلك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يدلّ بنفسه على أنّ كلّ من وجد في الخارج وكان مؤمناً يجب عليه الوفاء بكلّ عقد صدر منه في ظرف تحقّقه ، وهو حجّة على كلّ من اطّلع عليه ومخاطب به في ظرف وجوده في عمود الزمان </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على الاستمرار هو السكوت في مقام البيان ، فالظاهر</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تقدّم النسخ على التخصيص ، بالبيان الذي ذكرناه في دوران الأمر بين التخصيص والتقييد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ادّعى بعض أعاظم العصر من أنّ النسخ يتوقّف على ثبوت حكم العامّ ، وأصالة الظهور في الخاصّ الحاكمة على العامّ ، ترفع موضوع النسخ</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 لأنّ ذلك على فرض تسليمه ، إنّما هو فيما محّض الدليل في التخصيص ؛ أي لم يكن احتمال النسخ في البين ، ودار الأمر بين تقديم العامّ أو الخاصّ ، لا فيما دار الأمر بين النسخ والتخصيص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فحكومة أصالة الظهور في الخاصّ على أصالة الظهور في العامّ لا توجب تقدّم التخصيص على النسخ ، بل لمّا كانت الحجّة على الاستمرار منتزعة من السكوت في مقام البيان ، يكون الدليل الدالّ على قطع الحكم بياناً وقاطعاً </w:t>
      </w:r>
    </w:p>
    <w:p>
      <w:pPr>
        <w:pStyle w:val="BookText"/>
        <w:rPr/>
      </w:pPr>
      <w:r>
        <w:rPr>
          <w:rFonts w:ascii="Amiri" w:hAnsi="Amiri" w:eastAsia="Amiri" w:cs="Amiri"/>
          <w:color w:val="111111"/>
          <w:sz w:val="28"/>
          <w:sz w:val="28"/>
          <w:szCs w:val="28"/>
          <w:rtl w:val="true"/>
          <w:lang w:bidi="ar-SA"/>
        </w:rPr>
        <w:t xml:space="preserve">للسكوت ، فيرتفع موضوع الحجّية به ، كما تقدّم بيانه ، وممّا ذكرنا ظهر الحال في إطلاق الحكم أو الموضوع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الدليل عليه هو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فهو وإن كان ضعيفاً غايته ، لكن على فرضه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النسخ أيضاً يقدّم ، إن قلنا 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قبيل الإطلاق ؛ لدوران الأمر بين تخصيص العامّ وتقييد هذا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قبيل العموم ، وإنّ المصدر المضاف يفيد العموم وضعاً ، فيدور الأمر بين تخصيص أحد الدليلين ، ولا مرجّح لأحدهما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الاستمرار هو ظهور القضايا الحقيقية فيه ، يكون النسخ أيضاً مقدّماً ؛ لدوران الأمر بين تخصيص العامّ من الأوّل ، أو تخصيصه من زمن ورود الخاصّ ، فدار الأمر بين الأقلّ والأكثر في التخصيص ، وعلى النسخ يكون التخصيص أقلّ ؛ لأنّ النسخ بناءً عليه تخصيص للعامّ في الأفراد المتأخّرة عن ورود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العامّ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متأخّراً ، ودار الأمر بين كون الخاصّ مخصّصاً له ، أو العامّ ناسخاً للخاصّ ، فحاله كسابقه إلاّ في قضيّة دوران الأمر بين الأقلّ والأكثر في التخصيص ؛ لأنّ المورد يكون من دوران الأمر بين كون العامّ ناسخاً للخاصّ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مخصّصاً له في الأفراد التي تتحقّق في عمود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الخاصّ المقدّم مخصّصاً للعامّ ، وتقديم أحدهما على الآخر غير معلوم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أكثرية التخصيص من النسخ في مثل هذين الموردين ممنوعة ؛ </w:t>
      </w:r>
    </w:p>
    <w:p>
      <w:pPr>
        <w:pStyle w:val="BookText"/>
        <w:rPr/>
      </w:pPr>
      <w:r>
        <w:rPr>
          <w:rFonts w:ascii="Amiri" w:hAnsi="Amiri" w:eastAsia="Amiri" w:cs="Amiri"/>
          <w:color w:val="111111"/>
          <w:sz w:val="28"/>
          <w:sz w:val="28"/>
          <w:szCs w:val="28"/>
          <w:rtl w:val="true"/>
          <w:lang w:bidi="ar-SA"/>
        </w:rPr>
        <w:t xml:space="preserve">لأنّ التخصيص بعد حضور وقت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جدّاً ، بل وقوعه مشكوك فيه وإن كان جائزاً بالاحتمال الاُصولي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بعد العلم بوقوعه يكون الاحتمال الذي أبداه الشيخ</w:t>
      </w:r>
      <w:r>
        <w:rPr>
          <w:rStyle w:val="FootnoteAnchor"/>
          <w:rtl w:val="true"/>
        </w:rPr>
        <w:footnoteReference w:id="83"/>
      </w:r>
      <w:r>
        <w:rPr>
          <w:rFonts w:ascii="Amiri" w:hAnsi="Amiri" w:eastAsia="Amiri" w:cs="Amiri"/>
          <w:color w:val="111111"/>
          <w:sz w:val="28"/>
          <w:sz w:val="28"/>
          <w:szCs w:val="28"/>
          <w:rtl w:val="true"/>
          <w:lang w:bidi="ar-SA"/>
        </w:rPr>
        <w:t xml:space="preserve">دافعاً للامتناع ، وكذا تأخّر العامّ عن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شائعاً متعارفاً حتّى يتقدّم لأجله على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الجهل بتأريخهما ، والشكّ في النسخ والتخصيص الناشئ من أنّ الخاصّ ورد قبل حضور العمل بالعامّ حتّى يتمحّض في التخصيص ، أو بعد حضوره حتّى يتمحّض في النسخ على ما عرفت ، أو العامّ ورد بعد حضور وقت العمل بالخاصّ أو قبله ، فيدور الأمر بين كون المورد من الموارد التي تتمحّض في التخصيص ، أو الموارد التي يقدّم النسخ ، ففي مثله لا يأتي ما ذكرنا من تقديم النسخ بالوجوه المتقدّمة كما هو واضح ، فلا يبعد أن يكون التخصيص مقدّماً ؛ لكثرته وتعارفه ، بحيث لا يعتني العقلاء بالاحتمال المقابل له مع ندرته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العقلاء لا يعتنون بالاحتمال النادر في مقابل الكثرة ، كما في الشبهة غير المحصورة ، بل وفي باب أصالة الصحّة في العقود ، وفي باب العيوب ، كذلك لا يعتنون باحتمال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وقوعه في الشريعة إلاّ في موارد قليلة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التخصيص والتقييد الرائجين الشائعين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فقه الإسلام على التخصيص والتقييد ، وقلّما يتّفق أن يتفوّه فقيه بالنسخ ، مع أنّ في جلّ الموارد يتردّد الأمر بينهما ؛ للجهل بتأريخ </w:t>
      </w:r>
      <w:bookmarkStart w:id="130" w:name="pg15088_161787"/>
    </w:p>
    <w:p>
      <w:pPr>
        <w:pStyle w:val="BookText"/>
        <w:rPr/>
      </w:pPr>
      <w:bookmarkEnd w:id="130"/>
      <w:r>
        <w:rPr>
          <w:rFonts w:ascii="Amiri" w:hAnsi="Amiri" w:eastAsia="Amiri" w:cs="Amiri"/>
          <w:color w:val="111111"/>
          <w:sz w:val="28"/>
          <w:sz w:val="28"/>
          <w:szCs w:val="28"/>
          <w:rtl w:val="true"/>
          <w:lang w:bidi="ar-SA"/>
        </w:rPr>
        <w:t xml:space="preserve">صدورهما ، وعروض الاحتمالات المتقدّمة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النسخ مقدّم على التخصيص في بعض الصور، وبالعكس في بعضها ، ولا يتقدّم أحدهما على الآخر في بعضها ، على بعض الاحتمالات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ممّا ذكروا في وجه تقديم التخصيص على النسخ ؛ من كثرته</w:t>
      </w:r>
      <w:r>
        <w:rPr>
          <w:rStyle w:val="FootnoteAnchor"/>
          <w:rtl w:val="true"/>
        </w:rPr>
        <w:footnoteReference w:id="84"/>
      </w:r>
      <w:r>
        <w:rPr>
          <w:rFonts w:ascii="Amiri" w:hAnsi="Amiri" w:eastAsia="Amiri" w:cs="Amiri"/>
          <w:color w:val="111111"/>
          <w:sz w:val="28"/>
          <w:sz w:val="28"/>
          <w:szCs w:val="28"/>
          <w:rtl w:val="true"/>
          <w:lang w:bidi="ar-SA"/>
        </w:rPr>
        <w:t>ووجهِ تقديم النسخ على التخصيص؛ من كون تقييد الإطلاق أهون من التخصيص</w:t>
      </w:r>
      <w:r>
        <w:rPr>
          <w:rStyle w:val="FootnoteAnchor"/>
          <w:rtl w:val="true"/>
        </w:rPr>
        <w:footnoteReference w:id="85"/>
      </w:r>
      <w:r>
        <w:rPr>
          <w:rFonts w:ascii="Amiri" w:hAnsi="Amiri" w:eastAsia="Amiri" w:cs="Amiri"/>
          <w:color w:val="111111"/>
          <w:sz w:val="28"/>
          <w:sz w:val="28"/>
          <w:szCs w:val="28"/>
          <w:rtl w:val="true"/>
          <w:lang w:bidi="ar-SA"/>
        </w:rPr>
        <w:t xml:space="preserve">أنّ الدليلين واردان على موضوع واحد ، ففي مورد واحد يتشبّث كلّ بما ذكر من وجه التقديم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اتّضح بما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التمسّك بأهونية التقييد إنّما هو فيما علم التأريخ ، ولا يجري في المجهول ، ومورد التشبّث بالكثرة إنّما هو في مجهولي التأريخ دون غيرهما ، فلا يخلو استدلالهم من الخلط </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995239_2142443653"/>
      <w:bookmarkStart w:id="132" w:name="_Toc46"/>
      <w:bookmarkEnd w:id="131"/>
      <w:r>
        <w:rPr>
          <w:rtl w:val="true"/>
        </w:rPr>
        <w:t>في الدوران بين التقييد وحمل الأمر على الاستحباب</w:t>
      </w:r>
      <w:bookmarkEnd w:id="1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الموارد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تقييد الإطلاق وحمل الأمر على الاستحباب ، أو النهي على الكراهة ، ومجمل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في مقام البيان قد يقع في جواب سؤال من يريد العمل به ، كما لو سأل رجل عن تكليفه الفعلي فيما إذا أفطر يوماً من شهر رمضان متعمّداً ، فقال الإمام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فذهب ليعمل به ، ثمّ بعده ورد دليل على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ذلك يكون حمل النهي على الكراهة والأمر على الاستحباب أهونَ بل متعيّناً ؛ لأنّ في تقييد الإطلاق محذور الإغراء بالجهل الممتنع ، أو النسخ المستبعد جدّاً ، أو كون حكم المطلق بإطلاقه صورياً لمصالح ، وهو أيضاً بعيد جدّاً ، وأمّا حمل النهي على الكراهة ، أو الأمر على الاستحباب ، فلا محذور فيه إلاّ مخالفة ظاهرهما ، أو إطلاقهما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يقع الإطلاق في مقام البيان في جواب مثل زرارة ومحمّد بن مسلم وأمثالهما من الفقهاء وأصحاب الجوامع والاُصول ؛ ممّن يكون مقصدهم جمع المسائل وتدوين الكتب ،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للأمر والنهي ظهوراً وضعياً أو انصرافياً في الوجوب والحرمة ، فالحمل عليهما وتقييد الإطلاق أولى؛ لما ذكرنا سابقاً من أنّ الإطلاق لا يكون من قبيل ظهور اللفظ ، بل إنّما يحكم به من السكوت في مقام البيان</w:t>
      </w:r>
      <w:r>
        <w:rPr>
          <w:rStyle w:val="FootnoteAnchor"/>
          <w:rtl w:val="true"/>
        </w:rPr>
        <w:footnoteReference w:id="86"/>
      </w:r>
      <w:r>
        <w:rPr>
          <w:rFonts w:ascii="Amiri" w:hAnsi="Amiri" w:eastAsia="Amiri" w:cs="Amiri"/>
          <w:color w:val="111111"/>
          <w:sz w:val="28"/>
          <w:sz w:val="28"/>
          <w:szCs w:val="28"/>
          <w:rtl w:val="true"/>
          <w:lang w:bidi="ar-SA"/>
        </w:rPr>
        <w:t xml:space="preserve">، والأمر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لهما من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يصيران بياناً له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نّهما محمولان عليهما ؛ قضاءً للإطلاق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هما موضوعان لمطلق البعث والزجر ، لكنّ البعث المطلق من غير الإذن في الترك ، والزجرَ من دون الإذن في الفعل ، يكونان حجّتين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فترجيح أحد الحملين على الآخر مشكل وإن كان التقييد أهون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العرف ، وأمّا تحقيق حال الأمر والنهي فموكول إلى محلّه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33" w:name="pg15088_161789"/>
    </w:p>
    <w:p>
      <w:pPr>
        <w:pStyle w:val="Heading5"/>
        <w:numPr>
          <w:ilvl w:val="4"/>
          <w:numId w:val="1"/>
        </w:numPr>
        <w:rPr/>
      </w:pPr>
      <w:bookmarkStart w:id="134" w:name="__RefHeading___Toc995241_2142443653"/>
      <w:bookmarkStart w:id="135" w:name="_Toc47"/>
      <w:bookmarkEnd w:id="133"/>
      <w:bookmarkEnd w:id="134"/>
      <w:r>
        <w:rPr>
          <w:rtl w:val="true"/>
        </w:rPr>
        <w:t>المبحث الثالث</w:t>
      </w:r>
      <w:r>
        <w:rPr>
          <w:rtl w:val="true"/>
        </w:rPr>
        <w:t xml:space="preserve">: </w:t>
      </w:r>
      <w:r>
        <w:rPr>
          <w:rtl w:val="true"/>
        </w:rPr>
        <w:t>فيما إذا كان التعارض بين أكثر من دليلين</w:t>
      </w:r>
      <w:bookmarkEnd w:id="135"/>
    </w:p>
    <w:p>
      <w:pPr>
        <w:pStyle w:val="Heading6"/>
        <w:numPr>
          <w:ilvl w:val="5"/>
          <w:numId w:val="1"/>
        </w:numPr>
        <w:rPr/>
      </w:pPr>
      <w:bookmarkStart w:id="136" w:name="__RefHeading___Toc995243_2142443653"/>
      <w:bookmarkStart w:id="137" w:name="_Toc48"/>
      <w:bookmarkEnd w:id="136"/>
      <w:r>
        <w:rPr>
          <w:rtl w:val="true"/>
        </w:rPr>
        <w:t xml:space="preserve">وهي كثيرة نذكر مهمّاتها </w:t>
      </w:r>
      <w:r>
        <w:rPr>
          <w:rtl w:val="true"/>
        </w:rPr>
        <w:t>:</w:t>
      </w:r>
      <w:bookmarkEnd w:id="137"/>
    </w:p>
    <w:p>
      <w:pPr>
        <w:pStyle w:val="Heading6"/>
        <w:numPr>
          <w:ilvl w:val="5"/>
          <w:numId w:val="1"/>
        </w:numPr>
        <w:rPr/>
      </w:pPr>
      <w:bookmarkStart w:id="138" w:name="__RefHeading___Toc995245_2142443653"/>
      <w:bookmarkStart w:id="139" w:name="_Toc49"/>
      <w:bookmarkEnd w:id="138"/>
      <w:r>
        <w:rPr>
          <w:rtl w:val="true"/>
        </w:rPr>
        <w:t>إذا ورد عامّ وخاصّان بينهما التباين</w:t>
      </w:r>
      <w:bookmarkEnd w:id="139"/>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 وخاصّان مختلفان موضوعاً ، كما إذا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منفصلاً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الكوفيين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البصريين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تخصيص العامّ بهما من غير لحاظ تقدّم أحدهما حتّى تنقلب النسبة لو فرض في مورد ، إلاّ إذا لزم منه محذور التخصيص المستهجن ، فحينئذٍ يقع التعارض بالعرض بين الخاصّين ، فمع ترجيح أحدهما يؤخذ به ويخصّص به العامّ ، ومع التساوي يؤخذ بأحدهما تخييراً ويخصّص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أخبار العلاج لمثل هذا التعارض ولو بإلغاء الخصوصية ، أو فهم المناط القطعي ، وإلاّ فالقاعدة تقتضي تساقطهما لولا الإجماع على عدم التساقط ، ولعلّه يأتي لبيان ذلك وتحقيقه كلامٌ في مستأنف القول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اختاره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التعارض بين مجموع الخاصّين والعامّ ؛ لأنّ مجموعهما مباين 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مجموع الدليلين ليس من الأدلّة ، بل لا وجود له في الخارج ، وإنّما هو اعتبار عقلي ، فالموجود في الخارج والصادر من الأئمّة علیهم السلام هو كلّ واحد من الخاصّين بخصوصه ، والعامّ لا يباين ولا يعارض كلاًّ منهما ، ولا يعارض المجموع الذي لا وجود له وهو أمر اعتباري ، فالتعارض إنّما هو بين الخاصّين ، لكن بالعرض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لو علم تلازم حكم الخاصّين ، فقد يقع التعارض بين العامّ وكلّ واحد من الخاصّين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العدول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العلم بتلازم الخاصّين ، يقع التعارض بين كلّ خاصّ مع العامّ ، وكأ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يقع التعارض بين الجميع ،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عدولهم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تلازم حكم الخاصّين ؛ بمعنى أنّه إذا حرم إكرام فسّاقهم حرم إكرام الجميع ، وإن استحبّ استحبّ ، فهو في حكم 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إذا كان الخاصّان لفظيين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أحدهما لبّياً كإجماع أو عقل ، فإن احتفّ العامّ به ؛ بحيث يكون قرينة على صرفه ، وينعقد ظهوره فيما عدا المخصّص ، فلا إشكال في انقلاب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الأمر كذلك لو كان أحد اللفظيين كذلك ، بل ليس هذا من انقلابها ؛ لعدم ظهور العامّ أوّلاً في غير مورد التخصيص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الكلام فيما إذا لم يحتفّ العامّ بالدليل اللبّي، وانعقد ظهور العامّ في العموم</w:t>
      </w:r>
      <w:r>
        <w:rPr>
          <w:rFonts w:eastAsia="Amiri" w:cs="Amiri" w:ascii="Amiri" w:hAnsi="Amiri"/>
          <w:color w:val="111111"/>
          <w:sz w:val="28"/>
          <w:szCs w:val="28"/>
          <w:rtl w:val="true"/>
          <w:lang w:bidi="ar-SA"/>
        </w:rPr>
        <w:t xml:space="preserve">. </w:t>
      </w:r>
      <w:bookmarkStart w:id="140" w:name="pg15088_161791"/>
    </w:p>
    <w:p>
      <w:pPr>
        <w:pStyle w:val="BookText"/>
        <w:rPr/>
      </w:pPr>
      <w:bookmarkEnd w:id="140"/>
      <w:r>
        <w:rPr>
          <w:rFonts w:ascii="Amiri" w:hAnsi="Amiri" w:eastAsia="Amiri" w:cs="Amiri"/>
          <w:color w:val="111111"/>
          <w:sz w:val="28"/>
          <w:sz w:val="28"/>
          <w:szCs w:val="28"/>
          <w:rtl w:val="true"/>
          <w:lang w:bidi="ar-SA"/>
        </w:rPr>
        <w:t xml:space="preserve">فقد يقال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بانقلاب النسبة ؛ لأنّ اعتبار الاُصول اللفظية معلّق على عدم القطع بخلافها ، فيكون العامّ قاصراً من أوّل الأمر بالنسبة إلى مورد الخاصّ ، وأمّا اللفظي فيكون من قبيل المانع والرافع للحجّية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الحاصل بعد انعقاد ظهور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للحجّية كالدليل اللفظي ، فإن اُريد بتعليقية الاُصول اللفظية هي عدم حجّيتها قبل القطع بالخلاف ، فهو ممنوع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بالخلاف يكشف عن كون المراد الجدّي ما عدا مورد الخاصّ من أوّل الأمر ، فهو كذلك ، لكنّ المخصّص اللفظي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معتدّ به لانقلاب النسبة في اللبّي أيضاً </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995247_2142443653"/>
      <w:bookmarkStart w:id="142" w:name="_Toc50"/>
      <w:bookmarkEnd w:id="141"/>
      <w:r>
        <w:rPr>
          <w:rtl w:val="true"/>
        </w:rPr>
        <w:t>إذا ورد عامّ وخاصّان بينهما عموم مطلق</w:t>
      </w:r>
      <w:bookmarkEnd w:id="14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 وخاصّان ، مع كون النسبة بين الخاصّين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صور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كانا متوافقي الحكم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 من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قد لا يلزم من التخصيص الاستهجان ، فيخصّص العامّ بهما إذا لم تحرز وحدة الحكم فيهما ، فيكون في مورد الأخصّ ، الخاصّ والأخصّ دليلاً على التخصيص ، وفي غير مورده ، الخاصّ مخصّصاً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اُحرزت وحدته يحمل الخاصّ على الأخصّ ، فيخصّص العامّ به ، فيخرج النحويون من الكوفيين من العامّ ، ويبقى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لزم الاستهجان ، فإمّا أن يلزم من الخاصّ فقط ، أو من كلّ منهما مستقلاًّ ، ولا يعقل لزومه من مجموعهما ؛ للتداخل بينهما ، فما ظنّه بعض أعاظم العصر ؛ من قياس هذه الصورة بالصورة السابقة</w:t>
      </w:r>
      <w:r>
        <w:rPr>
          <w:rStyle w:val="FootnoteAnchor"/>
          <w:rtl w:val="true"/>
        </w:rPr>
        <w:footnoteReference w:id="90"/>
      </w:r>
      <w:r>
        <w:rPr>
          <w:rFonts w:ascii="IRNazanin" w:hAnsi="IRNazanin" w:eastAsia="IRNazanin"/>
          <w:color w:val="111111"/>
          <w:sz w:val="28"/>
          <w:sz w:val="28"/>
          <w:szCs w:val="28"/>
          <w:rtl w:val="true"/>
          <w:lang w:bidi="fa-IR"/>
        </w:rPr>
        <w:t xml:space="preserve">واضح البطلان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لزم من الخاصّ فقط يحمل الخاصّ على الأخصّ ، ويخصّص العامّ به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جمعاً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للاستهجان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لزم منهما مستقلاًّ فلا محالة يكون تخصيص الخاصّ بالأخصّ مستهجناً ، فيقع التعارض بين 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الخاصّان مختلفي الحكم ، وكان الأخصّ موافقاً للعامّ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فسّاق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يلزم استهجان يجب تخصيص الخاصّ بالأخصّ ، والعامّ بالخاصّ المخصّص ، فيجب إكرام العلماء إلاّ فسّاقهم ما عدا فسّاق النحويين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لزم من تخصيص العامّ بالخاصّ استهجان ، فحينئذٍ قد يرفع استهجانه بتخصيصه بالأخصّ ، فحكمه كذلك ، وقد لا يرفع فيقع التعارض بين الخاصّ والعامّ ، ويخصّص الخاصّ بالأخصّ إن لم يلزم استهجان منه ، وإلاّ فيقع التعارض بينهما أيضاً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كلّ من العامّ والخاصّين مختلفي الحكم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w:t>
      </w:r>
      <w:bookmarkStart w:id="143" w:name="pg15088_161793"/>
    </w:p>
    <w:p>
      <w:pPr>
        <w:pStyle w:val="BookText"/>
        <w:rPr/>
      </w:pPr>
      <w:bookmarkEnd w:id="143"/>
      <w:r>
        <w:rPr>
          <w:rFonts w:ascii="Amiri" w:hAnsi="Amiri" w:eastAsia="Amiri" w:cs="Amiri"/>
          <w:color w:val="111111"/>
          <w:sz w:val="28"/>
          <w:sz w:val="28"/>
          <w:szCs w:val="28"/>
          <w:rtl w:val="true"/>
          <w:lang w:bidi="ar-SA"/>
        </w:rPr>
        <w:t>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فسّاق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ظهر حالها أيضاً ، واتّضح ما في كلام بعض أعاظم العصر ؛ من قياس الصورة الثانية بالاُولى</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995249_2142443653"/>
      <w:bookmarkStart w:id="145" w:name="_Toc51"/>
      <w:bookmarkEnd w:id="144"/>
      <w:r>
        <w:rPr>
          <w:rtl w:val="true"/>
        </w:rPr>
        <w:t>إذا ورد عامّ وخاصّان بينهما عموم من وجه</w:t>
      </w:r>
      <w:bookmarkEnd w:id="145"/>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 وخاصّان ، وكانت النسبة بين الخاصّين عموماً من وجه ، ففيها أيضاً الصور المتقدّمة ، فإن كان الخاصّان متّفقي الحكم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الصرفيين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تخصيص العامّ بهما مع عدم المحذور المتقدّم ، وإلاّ فيعمل على حكمه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كانا مختلفي الحكم مع اتّفاق حكم أحدهما مع العامّ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الصرفيين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فيتعارض الخاصّان في النحوي الصرفي ، ويخصّص العامّ بالخاصّ المخالف له في غير مورد التعارض ، فتنقلب النسبة بين العامّ والخاصّ المخالف له من العموم المطلق إلى من وجه ، لا لما ادّعى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العامّ المخصّص بالمتّصل أو المنفصل يصير معنوناً بعنوان الخاصّ</w:t>
      </w:r>
      <w:r>
        <w:rPr>
          <w:rStyle w:val="FootnoteAnchor"/>
          <w:rtl w:val="true"/>
        </w:rPr>
        <w:footnoteReference w:id="92"/>
      </w:r>
      <w:r>
        <w:rPr>
          <w:rFonts w:ascii="Amiri" w:hAnsi="Amiri" w:eastAsia="Amiri" w:cs="Amiri"/>
          <w:color w:val="111111"/>
          <w:sz w:val="28"/>
          <w:sz w:val="28"/>
          <w:szCs w:val="28"/>
          <w:rtl w:val="true"/>
          <w:lang w:bidi="ar-SA"/>
        </w:rPr>
        <w:t xml:space="preserve">؛ وذلك لكونه خلاف التحقيق ، ولهذا لا يسري إجمال الخاصّ المنفصل إليه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لقطع حجّية العامّ بالنسبة إلى مورد التخصيص ، والتعارض بين الأدلّة إنّما هو بعد الفراغ عن حجّيتها ، فالعامّ المخصّص إنّما هو حجّة فيما عدا مورد </w:t>
      </w:r>
      <w:bookmarkStart w:id="146" w:name="pg15088_161794"/>
    </w:p>
    <w:p>
      <w:pPr>
        <w:pStyle w:val="BookText"/>
        <w:rPr/>
      </w:pPr>
      <w:bookmarkEnd w:id="146"/>
      <w:r>
        <w:rPr>
          <w:rFonts w:ascii="Amiri" w:hAnsi="Amiri" w:eastAsia="Amiri" w:cs="Amiri"/>
          <w:color w:val="111111"/>
          <w:sz w:val="28"/>
          <w:sz w:val="28"/>
          <w:szCs w:val="28"/>
          <w:rtl w:val="true"/>
          <w:lang w:bidi="ar-SA"/>
        </w:rPr>
        <w:t>التخصيص ، ونسبته مع الخاصّ عموم من وجه ، ولعلّ ذلك مراده أيضاً ؛ لما صرّح به بعد ذلك</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مع عدم اتّفاق حكمه مع العامّ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الصرفيين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العامّ بكلّ من الخاصّين ، فتنقلب نسبته مع كلّ واحد من الخاصّين من العموم المطلق إلى العموم من وجه ؛ فإنّ العالم غير النحوي الصرفي يفترق عن كلّ من النحوي والصرفي في الفقهاء ، والنحوي يفترق عنه في النحوي غير الصرفي ، والصرفي في الصرفي غير النحوي </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995251_2142443653"/>
      <w:bookmarkStart w:id="148" w:name="_Toc52"/>
      <w:bookmarkEnd w:id="147"/>
      <w:r>
        <w:rPr>
          <w:rtl w:val="true"/>
        </w:rPr>
        <w:t>إذا ورد عامّان من وجه وخاصّ</w:t>
      </w:r>
      <w:bookmarkEnd w:id="14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عامّان من وجه وخاصّ ، فإن أخرج موردَ افتراق أحد العامّين تنقلب النسبة بين العامّين إلى الأخصّ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أخرج خاصّ آخر موردَ افتراق العامّ الآخر تنقلب إلى التباين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أخرج الخاصّ موردَ اجتماعهما يرتفع الاختلاف بينهما ، فيختصّ كلّ منهما بموضوع غير الآخر </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995253_2142443653"/>
      <w:bookmarkStart w:id="150" w:name="_Toc53"/>
      <w:bookmarkEnd w:id="149"/>
      <w:r>
        <w:rPr>
          <w:rtl w:val="true"/>
        </w:rPr>
        <w:t>إذا ورد عامّان متباينان وخاصّ</w:t>
      </w:r>
      <w:bookmarkEnd w:id="1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دليلان متباينان ، فقد يرد المخصّص لأحدهما ، فتنقلب نسبتهما إلى الأخصّ المطلق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عدولهم وهو أخصّ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يرد مخصّص آخر ، ويرتفع الاختلاف بينهما ، فيختصّ كلٌّ بموضوع ، كما إذا ورد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عدول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التخصيص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منافٍ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عدول العلماء</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يرد مخصّص ، وتنقلب نسبتهما إلى العموم من وجه ، كما لو ورد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نحويي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النسبة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غير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 غير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وجه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موارد انقلاب النسبة </w:t>
      </w:r>
      <w:r>
        <w:rPr>
          <w:rFonts w:eastAsia="Amiri" w:cs="Amiri" w:ascii="Amiri" w:hAnsi="Amiri"/>
          <w:color w:val="111111"/>
          <w:sz w:val="28"/>
          <w:szCs w:val="28"/>
          <w:rtl w:val="true"/>
          <w:lang w:bidi="ar-SA"/>
        </w:rPr>
        <w:t xml:space="preserve">. </w:t>
      </w:r>
      <w:bookmarkStart w:id="151" w:name="pg15088_161796"/>
    </w:p>
    <w:p>
      <w:pPr>
        <w:pStyle w:val="Heading6"/>
        <w:numPr>
          <w:ilvl w:val="5"/>
          <w:numId w:val="1"/>
        </w:numPr>
        <w:rPr/>
      </w:pPr>
      <w:bookmarkStart w:id="152" w:name="__RefHeading___Toc995255_2142443653"/>
      <w:bookmarkStart w:id="153" w:name="_Toc54"/>
      <w:bookmarkEnd w:id="151"/>
      <w:bookmarkEnd w:id="152"/>
      <w:r>
        <w:rPr>
          <w:rtl w:val="true"/>
        </w:rPr>
        <w:t>فصل</w:t>
      </w:r>
      <w:bookmarkEnd w:id="153"/>
    </w:p>
    <w:p>
      <w:pPr>
        <w:pStyle w:val="Heading6"/>
        <w:numPr>
          <w:ilvl w:val="5"/>
          <w:numId w:val="1"/>
        </w:numPr>
        <w:rPr/>
      </w:pPr>
      <w:bookmarkStart w:id="154" w:name="__RefHeading___Toc995257_2142443653"/>
      <w:bookmarkStart w:id="155" w:name="_Toc55"/>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في أنّ العامّين من وجه هل يندرجان في أخبار العلاج ؟</w:t>
      </w:r>
    </w:p>
    <w:p>
      <w:pPr>
        <w:pStyle w:val="BookText"/>
        <w:rPr/>
      </w:pPr>
      <w:r>
        <w:rPr>
          <w:rFonts w:ascii="Amiri" w:hAnsi="Amiri" w:eastAsia="Amiri" w:cs="Amiri"/>
          <w:color w:val="111111"/>
          <w:sz w:val="28"/>
          <w:sz w:val="28"/>
          <w:szCs w:val="28"/>
          <w:rtl w:val="true"/>
          <w:lang w:bidi="ar-SA"/>
        </w:rPr>
        <w:t xml:space="preserve">قد اتّضحت ممّا قدّمنا الموارد التي تكون غير داخلة في الحديثين المختلفين ، وخارجة عن موضوع البحث في باب التعادل والترجيح ؛ لأجل الجمع المقبول بينهما ، ولا بدّ لتنقيح البحث من ذكر بعض الموارد التي تكون مورد البحث في اندراجها في موضوع أدلّة العلاج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بين الدليلين عموم من وجه ، فهل يندرجان فيها أم لا ؟</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تجري فيهما جميع المرجّحات ، صدورية كانت أو غيرها ، أم لا تجري فيهما المرجّحات الصدورية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محصّل الكلام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أدلّة العلاج</w:t>
      </w:r>
      <w:r>
        <w:rPr>
          <w:rStyle w:val="FootnoteAnchor"/>
          <w:rtl w:val="true"/>
        </w:rPr>
        <w:footnoteReference w:id="94"/>
      </w:r>
      <w:r>
        <w:rPr>
          <w:rFonts w:ascii="Amiri" w:hAnsi="Amiri" w:eastAsia="Amiri" w:cs="Amiri"/>
          <w:color w:val="111111"/>
          <w:sz w:val="28"/>
          <w:sz w:val="28"/>
          <w:szCs w:val="28"/>
          <w:rtl w:val="true"/>
          <w:lang w:bidi="ar-SA"/>
        </w:rPr>
        <w:t xml:space="preserve">تدور مدار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الخبرين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منهما هو التخالف بقول مطلق ، وهو يختصّ بالمتباينين ، وأمّا العامّان من وجه فتنصرف الأدلّة عنهما ؛ فإنّ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عنكم الخبران أو الحديثان المتعارضان ، فبأيّهما آخذ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دوران الأمر بين أخذ أحدهما وترك الآخر ، وبالعكس رأساً ، لا أخذ بعض مفاد أحدهما ؛ وترك بعض مفاد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الأجوبة الواردة فيها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 ، ودع الشاذّ النادر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اعرضوهما على كتاب اللّه ، فما وافق كتاب اللّه فخذوه</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98"/>
      </w:r>
      <w:r>
        <w:rPr>
          <w:rFonts w:ascii="Amiri" w:hAnsi="Amiri" w:eastAsia="Amiri" w:cs="Amiri"/>
          <w:color w:val="111111"/>
          <w:sz w:val="28"/>
          <w:sz w:val="28"/>
          <w:szCs w:val="28"/>
          <w:rtl w:val="true"/>
          <w:lang w:bidi="ar-SA"/>
        </w:rPr>
        <w:t xml:space="preserve">ظاهرة في الحديثين المختلفين في جميع مفادهما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في روايات الباب يرى أنّ محطّ السؤال والجواب فيها هو الخبران المختلفان بجميع المضمون ، فالعامّان من وجه خارجان عنها ، فلا بدّ في مورد تعارضهما من الرجوع إلى القاعدة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والعجب من بعض أعاظم العصر ؛ حيث ادّعى أنّ قول الأئمّة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قول ربّنا زخرف</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ظاهر في المخالفة بالتباين الكلّي ، قائلاً</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بقول مطلق هي المخالفة بالتباين ، وأخرج العامّين من وجه عن موضوع المخالفة للكتاب ، ومع ذلك أدرجهما في موضوع أخبار العلاج</w:t>
      </w:r>
      <w:r>
        <w:rPr>
          <w:rStyle w:val="FootnoteAnchor"/>
          <w:rtl w:val="true"/>
        </w:rPr>
        <w:footnoteReference w:id="102"/>
      </w:r>
      <w:r>
        <w:rPr>
          <w:rFonts w:ascii="IRNazanin" w:hAnsi="IRNazanin" w:eastAsia="IRNazanin"/>
          <w:color w:val="111111"/>
          <w:sz w:val="28"/>
          <w:sz w:val="28"/>
          <w:szCs w:val="28"/>
          <w:rtl w:val="true"/>
          <w:lang w:bidi="fa-IR"/>
        </w:rPr>
        <w:t xml:space="preserve">مع أنّ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الخبران المختلفان</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وأولى بعدم الاندراج في موضوعها التعارض بالعرَض ، كما إذا ورد دليل </w:t>
      </w:r>
    </w:p>
    <w:p>
      <w:pPr>
        <w:pStyle w:val="BookText"/>
        <w:rPr/>
      </w:pPr>
      <w:r>
        <w:rPr>
          <w:rFonts w:ascii="Amiri" w:hAnsi="Amiri" w:eastAsia="Amiri" w:cs="Amiri"/>
          <w:color w:val="111111"/>
          <w:sz w:val="28"/>
          <w:sz w:val="28"/>
          <w:szCs w:val="28"/>
          <w:rtl w:val="true"/>
          <w:lang w:bidi="ar-SA"/>
        </w:rPr>
        <w:t xml:space="preserve">بوجوب صلاة الجمعة وآخر بوجوب صلاة الظهر ، وعلم عدم وجوب إحداهما ووجوب الاُخرى ، فإنّ هذا العلم يوجب التعارض بينهما بالعرض ، لكن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الخبران 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الخاصّين إذا كان ورودهما على العامّ موجباً للاستهجان ؛ فإنّه يوجب التعارض بينهما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إدراج العامّين من وجه في أدلّة التعارض مشكل ، وإدراج المتعارضين بالعرض أشكل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ذكرنا وجه ما نسب إلى المشهور ؛ من الحكم بالتساقط في المتكافئين إذا كان بينهما عموم من وجه</w:t>
      </w:r>
      <w:r>
        <w:rPr>
          <w:rStyle w:val="FootnoteAnchor"/>
          <w:rtl w:val="true"/>
        </w:rPr>
        <w:footnoteReference w:id="103"/>
      </w:r>
      <w:r>
        <w:rPr>
          <w:rFonts w:ascii="Amiri" w:hAnsi="Amiri" w:eastAsia="Amiri" w:cs="Amiri"/>
          <w:color w:val="111111"/>
          <w:sz w:val="28"/>
          <w:sz w:val="28"/>
          <w:szCs w:val="28"/>
          <w:rtl w:val="true"/>
          <w:lang w:bidi="ar-SA"/>
        </w:rPr>
        <w:t xml:space="preserve">لكن لازمه عدم العمل بالمرجّحات فيهما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إلاّ أن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العامّين من وجه وكذا المتعارضين بالعرض وإن لم يندرجا فيهما ، لكنّ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الحكم والموضوع وإلغاء الخصوصية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يفهم أنّ الخبرين الواردين عن الأئمّة علیهم السلام إذا تصادما وتعارضا بأيّ وجه كان ، لا يجوز طرحهما ، بل لا بدّ من الترجيح والأخذ بالراجح ، ومع فقدانه التخيير ، فلا يرضى الشارع فيهما بالعمل على طبق القاعدة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وأولى بذلك ما إذا اختلف الخبران في مدلولهما الالتزامي ، فتدبّر جيّداً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الأخصّ المطلق إذا كان تخصيص العامّ به مستهجناً ، فيتعامل معه والعامّ معاملة الخبرين المختلفين ؛ لاندراجهما فيهما حقيقة ، لكن خروجهما عن أدلّة العلاج لأجل الجمع العرفي ، ومع عدم الجمع بينهما يعمل معهما عمل التعارض </w:t>
      </w:r>
      <w:r>
        <w:rPr>
          <w:rFonts w:eastAsia="Amiri" w:cs="Amiri" w:ascii="Amiri" w:hAnsi="Amiri"/>
          <w:color w:val="111111"/>
          <w:sz w:val="28"/>
          <w:szCs w:val="28"/>
          <w:rtl w:val="true"/>
          <w:lang w:bidi="ar-SA"/>
        </w:rPr>
        <w:t xml:space="preserve">. </w:t>
      </w:r>
      <w:bookmarkStart w:id="156" w:name="pg15088_161799"/>
    </w:p>
    <w:p>
      <w:pPr>
        <w:pStyle w:val="BookText"/>
        <w:rPr/>
      </w:pPr>
      <w:bookmarkEnd w:id="156"/>
      <w:r>
        <w:rPr>
          <w:rFonts w:ascii="Amiri" w:hAnsi="Amiri" w:eastAsia="Amiri" w:cs="Amiri"/>
          <w:color w:val="111111"/>
          <w:sz w:val="28"/>
          <w:sz w:val="28"/>
          <w:szCs w:val="28"/>
          <w:rtl w:val="true"/>
          <w:lang w:bidi="ar-SA"/>
        </w:rPr>
        <w:t xml:space="preserve">كما أ نّه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الخاصّين اللذين يكون التخصيص بمجموعهما مستهجناً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مجموعهما يعارض العامّ كما قالوا</w:t>
      </w:r>
      <w:r>
        <w:rPr>
          <w:rStyle w:val="FootnoteAnchor"/>
          <w:rtl w:val="true"/>
        </w:rPr>
        <w:footnoteReference w:id="104"/>
      </w:r>
      <w:r>
        <w:rPr>
          <w:rFonts w:ascii="Amiri" w:hAnsi="Amiri" w:eastAsia="Amiri" w:cs="Amiri"/>
          <w:color w:val="111111"/>
          <w:sz w:val="28"/>
          <w:sz w:val="28"/>
          <w:szCs w:val="28"/>
          <w:rtl w:val="true"/>
          <w:lang w:bidi="ar-SA"/>
        </w:rPr>
        <w:t xml:space="preserve">يكون مجموعهما مع العامّ مندرجين في أدلّة العلاج </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995259_2142443653"/>
      <w:bookmarkStart w:id="158" w:name="_Toc56"/>
      <w:bookmarkEnd w:id="157"/>
      <w:r>
        <w:rPr>
          <w:rtl w:val="true"/>
        </w:rPr>
        <w:t>هل المرجّحات الصدورية جارية في العامّين من وجه ؟</w:t>
      </w:r>
      <w:bookmarkEnd w:id="158"/>
    </w:p>
    <w:p>
      <w:pPr>
        <w:pStyle w:val="BookText"/>
        <w:rPr/>
      </w:pPr>
      <w:r>
        <w:rPr>
          <w:rFonts w:ascii="Amiri" w:hAnsi="Amiri" w:eastAsia="Amiri" w:cs="Amiri"/>
          <w:color w:val="111111"/>
          <w:sz w:val="28"/>
          <w:sz w:val="28"/>
          <w:szCs w:val="28"/>
          <w:rtl w:val="true"/>
          <w:lang w:bidi="ar-SA"/>
        </w:rPr>
        <w:t>ثمّ إنّه بناءً على شمول أخبار العلاج للعامّين من وجه ، فهل المرجّحات مطلقاً جارية فيهما كما في غيرهما ؟</w:t>
      </w:r>
    </w:p>
    <w:p>
      <w:pPr>
        <w:pStyle w:val="BookText"/>
        <w:rPr/>
      </w:pPr>
      <w:r>
        <w:rPr>
          <w:rFonts w:ascii="Amiri" w:hAnsi="Amiri" w:eastAsia="Amiri" w:cs="Amiri"/>
          <w:color w:val="111111"/>
          <w:sz w:val="28"/>
          <w:sz w:val="28"/>
          <w:szCs w:val="28"/>
          <w:rtl w:val="true"/>
          <w:lang w:bidi="ar-SA"/>
        </w:rPr>
        <w:t>اختار الشيخ الأعظم ذلك</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 بعض أعاظم العصر جريان المرجّحات الصدورية فيهما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التعارض فيهما في بعض المدلول ، فمعاملة عدم صدور أحدهما في جميع المدلول ممّا لا وجه له ، والتبعيض فيه من حيث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الخبر صادراً في بعض المدلول ، وغير صادر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المقبولة</w:t>
      </w:r>
      <w:r>
        <w:rPr>
          <w:rStyle w:val="FootnoteAnchor"/>
          <w:rtl w:val="true"/>
        </w:rPr>
        <w:footnoteReference w:id="107"/>
      </w:r>
      <w:r>
        <w:rPr>
          <w:rFonts w:ascii="Amiri" w:hAnsi="Amiri" w:eastAsia="Amiri" w:cs="Amiri"/>
          <w:color w:val="111111"/>
          <w:sz w:val="28"/>
          <w:sz w:val="28"/>
          <w:szCs w:val="28"/>
          <w:rtl w:val="true"/>
          <w:lang w:bidi="ar-SA"/>
        </w:rPr>
        <w:t>والمرفوعة</w:t>
      </w:r>
      <w:r>
        <w:rPr>
          <w:rStyle w:val="FootnoteAnchor"/>
          <w:rtl w:val="true"/>
        </w:rPr>
        <w:footnoteReference w:id="108"/>
      </w:r>
      <w:r>
        <w:rPr>
          <w:rFonts w:ascii="Amiri" w:hAnsi="Amiri" w:eastAsia="Amiri" w:cs="Amiri"/>
          <w:color w:val="111111"/>
          <w:sz w:val="28"/>
          <w:sz w:val="28"/>
          <w:szCs w:val="28"/>
          <w:rtl w:val="true"/>
          <w:lang w:bidi="ar-SA"/>
        </w:rPr>
        <w:t xml:space="preserve">أنّ ما جرت فيه المرجّحات الصدورية </w:t>
      </w:r>
    </w:p>
    <w:p>
      <w:pPr>
        <w:pStyle w:val="BookText"/>
        <w:rPr/>
      </w:pPr>
      <w:r>
        <w:rPr>
          <w:rFonts w:ascii="Amiri" w:hAnsi="Amiri" w:eastAsia="Amiri" w:cs="Amiri"/>
          <w:color w:val="111111"/>
          <w:sz w:val="28"/>
          <w:sz w:val="28"/>
          <w:szCs w:val="28"/>
          <w:rtl w:val="true"/>
          <w:lang w:bidi="ar-SA"/>
        </w:rPr>
        <w:t xml:space="preserve">هو ما جرت فيه سائرها ؛ لأنّ ما فرض فيه الترجيح بالأعدلية والأصدقية في الحديث والأوثقية ، عين ما فرض فيه الترجيح بموافقة الكتاب ومخالفة العامّة ، ورفع اليد عن هذا الظاهر لا يجوز إلاّ بدعوى عدم الإمكان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شاهدة إمّا على عدم شمولهما للعامّين من وجه رأساً ؛ حفظاً لأدلّة العلاج ، وحرصاً على عدم التفكيك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على عدم الأخذ بالمرجّح الصدوري في خصوص العامّين من وجه ؛ لامتناع التفكيك ، ولا ترجيح ظاهر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يجري في سائر الأدلّة في باب الترجيح ، فنلتزم بعدم شمولهما للعامّين من وجه بما ذكر ، ونأخذ بإطلاق سائر أدلّة الترجيح المقصورة على الترجيح الغير السندي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فالدعوى المذكورة ممنوعة جدّاً ؛ فإنّ عدم الإمكان لا يجوز أن يكون عقلياً ؛ ضرورة أنّ التعبّد بذلك بمكان من الإمكان ، بل لا بدّ وأن يكون عرفياً ؛ أي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استبعاد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يفهم من أخبار العلاج التعبّد بصدور خبر من جهة دون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يستبعده العرف ، إنّما هو التعبّد بصدور رواية وعدم صدورها ، وأمّا التعبّد بأنّ الرواية صدرت بهذا المضمون لا بذاك ، فلا يستبعده بوجه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فتعارضا في العالم الفاسق ، 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يقوله أصدقهما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العرف أنّ الأصدق في الحديث ، كما أ نّه أبعد من الكذب في أصل الحديث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من التصرّف فيه بما يتغيّر به المعنى ؛ بإلغاء قيد أو زيادته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المثال المتقدّم ، يحتمل أن يكون أحد الخبرين صادراً مع قيد لم ينقله بعض المحدّثين والوسائط عمداً أو سهواً ، وهذا الاحتمال ممّا لا يعتني به العقلاء في خبر 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ورد التعبّد بالأخذ بما روى أصدقهما حديثاً ، لا يأبون عن الأخذ بقوله في مورد الاجتماع ، وترك قول غيره فيه ، والتفكيك بهذا المعنى غير مستبعد ، بل هذا ليس تفكيكاً ، بل تعبّد بصدور حديث الأوثق بجميع مضمونه وقيوده دون غيره ، وهذا أمر ممكن عقلاً وعرفاً ، فدعوى عدم الإمكان ممنوعة ، فرفع اليد عن ظاهر أدلّة العلاج غير جائز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تمحّض البحث في المتعارضين ، واتّضح حدود الموضوع ، يقع الكلام في مقصدين </w:t>
      </w:r>
      <w:r>
        <w:rPr>
          <w:rFonts w:eastAsia="Amiri" w:cs="Amiri" w:ascii="Amiri" w:hAnsi="Amiri"/>
          <w:color w:val="111111"/>
          <w:sz w:val="28"/>
          <w:szCs w:val="28"/>
          <w:rtl w:val="true"/>
          <w:lang w:bidi="ar-SA"/>
        </w:rPr>
        <w:t xml:space="preserve">: </w:t>
      </w:r>
      <w:bookmarkStart w:id="159" w:name="pg15088_161802"/>
    </w:p>
    <w:p>
      <w:pPr>
        <w:pStyle w:val="Heading3"/>
        <w:numPr>
          <w:ilvl w:val="2"/>
          <w:numId w:val="1"/>
        </w:numPr>
        <w:rPr/>
      </w:pPr>
      <w:bookmarkStart w:id="160" w:name="__RefHeading___Toc995261_2142443653"/>
      <w:bookmarkStart w:id="161" w:name="_Toc57"/>
      <w:bookmarkEnd w:id="159"/>
      <w:bookmarkEnd w:id="160"/>
      <w:r>
        <w:rPr>
          <w:rtl w:val="true"/>
        </w:rPr>
        <w:t>المقصد الأوّل</w:t>
      </w:r>
      <w:r>
        <w:rPr>
          <w:rtl w:val="true"/>
        </w:rPr>
        <w:t xml:space="preserve">: </w:t>
      </w:r>
      <w:r>
        <w:rPr>
          <w:rtl w:val="true"/>
        </w:rPr>
        <w:t>في المتكافئين</w:t>
      </w:r>
      <w:bookmarkEnd w:id="161"/>
    </w:p>
    <w:p>
      <w:pPr>
        <w:pStyle w:val="Heading4"/>
        <w:numPr>
          <w:ilvl w:val="3"/>
          <w:numId w:val="1"/>
        </w:numPr>
        <w:rPr/>
      </w:pPr>
      <w:bookmarkStart w:id="162" w:name="__RefHeading___Toc995263_2142443653"/>
      <w:bookmarkStart w:id="163" w:name="_Toc58"/>
      <w:bookmarkEnd w:id="162"/>
      <w:r>
        <w:rPr>
          <w:rtl w:val="true"/>
        </w:rPr>
        <w:t xml:space="preserve">وفيه بحثان </w:t>
      </w:r>
      <w:r>
        <w:rPr>
          <w:rtl w:val="true"/>
        </w:rPr>
        <w:t>:</w:t>
      </w:r>
      <w:bookmarkEnd w:id="163"/>
    </w:p>
    <w:p>
      <w:pPr>
        <w:pStyle w:val="Heading5"/>
        <w:numPr>
          <w:ilvl w:val="4"/>
          <w:numId w:val="1"/>
        </w:numPr>
        <w:rPr/>
      </w:pPr>
      <w:bookmarkStart w:id="164" w:name="__RefHeading___Toc995265_2142443653"/>
      <w:bookmarkStart w:id="165" w:name="_Toc59"/>
      <w:bookmarkEnd w:id="164"/>
      <w:r>
        <w:rPr>
          <w:rtl w:val="true"/>
        </w:rPr>
        <w:t>البحث الأوّل</w:t>
      </w:r>
      <w:r>
        <w:rPr>
          <w:rtl w:val="true"/>
        </w:rPr>
        <w:t xml:space="preserve">: </w:t>
      </w:r>
      <w:r>
        <w:rPr>
          <w:rtl w:val="true"/>
        </w:rPr>
        <w:t>في مقتضى الأصل في المتكافئين مع قطع النظر عن الأخبار</w:t>
      </w:r>
      <w:bookmarkEnd w:id="16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6" w:name="__RefHeading___Toc995267_2142443653"/>
      <w:bookmarkStart w:id="167" w:name="_Toc60"/>
      <w:bookmarkEnd w:id="166"/>
      <w:r>
        <w:rPr>
          <w:rtl w:val="true"/>
        </w:rPr>
        <w:t>اشارة</w:t>
      </w:r>
      <w:bookmarkEnd w:id="16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5088_161804"/>
      <w:bookmarkStart w:id="169" w:name="pg15088_161804"/>
      <w:bookmarkEnd w:id="169"/>
    </w:p>
    <w:p>
      <w:pPr>
        <w:pStyle w:val="BookText"/>
        <w:rPr/>
      </w:pPr>
      <w:bookmarkStart w:id="170" w:name="pg15088_161804"/>
      <w:bookmarkEnd w:id="170"/>
      <w:r>
        <w:rPr>
          <w:rFonts w:ascii="Amiri" w:hAnsi="Amiri" w:eastAsia="Amiri" w:cs="Amiri"/>
          <w:color w:val="111111"/>
          <w:sz w:val="28"/>
          <w:sz w:val="28"/>
          <w:szCs w:val="28"/>
          <w:rtl w:val="true"/>
          <w:lang w:bidi="ar-SA"/>
        </w:rPr>
        <w:t xml:space="preserve">والكلام فيه يقع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بالطريقية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بالسببية </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995269_2142443653"/>
      <w:bookmarkStart w:id="172" w:name="_Toc61"/>
      <w:bookmarkEnd w:id="171"/>
      <w:r>
        <w:rPr>
          <w:rtl w:val="true"/>
        </w:rPr>
        <w:t>مقتضى الأصل على الطريقية</w:t>
      </w:r>
      <w:bookmarkEnd w:id="172"/>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بأنّ الدليل على حجّية الأخبار هو بناء العقلاء ، والأدلّة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إمضائية لا تأسيسية ، وإنّما اتّكل الشارع في مقاصده على ما هو عند العقلاء من العمل بخبر الثقة كما هو الحقّ ، فمقتضى القاعدة هو التوقّف وسقوطهما عن الحجّية ؛ فإنّ الحجّة على الواقع عبارة عن تنجّز الواقع بها ؛ بحيث تصحّ للمولى مؤاخذة العبد لدى المخالفة في صورة المصادفة ، فإذا قامت الأمارة على وجوب صلاة الجمعة ، وتركها المكلّف وكانت واجبة ، تصحّ للمولى عقوبته على تركها ، ولو أتى بها وكانت محرّمة يصحّ اعتذار العبد بقيام الأمارة المعتبرة على الوجوب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متقوّم بالوصول ، فلو قامت الأمارة واقعاً على حرمة شيء ، </w:t>
      </w:r>
    </w:p>
    <w:p>
      <w:pPr>
        <w:pStyle w:val="BookText"/>
        <w:rPr/>
      </w:pPr>
      <w:r>
        <w:rPr>
          <w:rFonts w:ascii="Amiri" w:hAnsi="Amiri" w:eastAsia="Amiri" w:cs="Amiri"/>
          <w:color w:val="111111"/>
          <w:sz w:val="28"/>
          <w:sz w:val="28"/>
          <w:szCs w:val="28"/>
          <w:rtl w:val="true"/>
          <w:lang w:bidi="ar-SA"/>
        </w:rPr>
        <w:t xml:space="preserve">وارتكبه العبد بعد فحصه واجتهاده وعدم العثور عليها ، يكون معذوراً لا تصحّ عقوبته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لو قامت أمارة على حرمته لدى المكلّف ، وقامت أمارة واقعاً على عدم الحرمة أقوى من الواصلة ، وارتكبه العبد وكان محرّماً واقعاً ، تصحّ عقوبته ، ولا عذر له بأنّ الأمارة الراجحة قامت واقعاً على عدم الحرمة ؛ لأنّ الأمارة الواصلة حجّة عليه ما لم تصل حجّة أقوى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ذلك في عدم الحجّية ، ما إذا وصلت الأمارتان وتكاذبتا في المضمون ، فإنّ كلّ واحدة منهما إذا كانت مبتلاة بمعارض ينفي ما تثبته ، لا تكون عند العقلاء حجّة على مضمونها ، فلو كانت صلاة الجمعة واجبة واقعاً ، لا تكون الأمارة القائمة على وجوبها حجّة عليه إذا قامت أمارة اُخرى مثلها على عدم وجوبها ، فكلّ واحدة منهما ساقطة عن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معنى لحجّية إحداهما لا بعينها ؛ لعدم تعقّل ذلك بعد سقوط كلّ واحدة منهما عنها ؛ لأنّ الواحد لا بعينه وبلا عنوان لا وجود له ، والموجود كلّ واحد مشخّصاً بشخصية ، وهي ساقطة عن الحجّية ، فلا يعقل أن يكون الواحد لا بعينه حجّة ، هذا حال مضمونهما المبتلى بالمعارض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لكلّ واحدة منهما مضمون التزامي موافق للآخر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الاحتجاج بكلّ منهما على الواقع إذا طابقته ؛ لعدم الابتلاء بالمعارض ، والعلم بالكذب في المدلول المطابقي لا يوجب السقوط عن الحجّية في الالتزامي الذي لا يعلم كذبه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قامت الأمارة على وجوب إكرام زيد وكان ملازماً لوجوب </w:t>
      </w:r>
    </w:p>
    <w:p>
      <w:pPr>
        <w:pStyle w:val="BookText"/>
        <w:rPr/>
      </w:pPr>
      <w:r>
        <w:rPr>
          <w:rFonts w:ascii="Amiri" w:hAnsi="Amiri" w:eastAsia="Amiri" w:cs="Amiri"/>
          <w:color w:val="111111"/>
          <w:sz w:val="28"/>
          <w:sz w:val="28"/>
          <w:szCs w:val="28"/>
          <w:rtl w:val="true"/>
          <w:lang w:bidi="ar-SA"/>
        </w:rPr>
        <w:t xml:space="preserve">إكرام عمرو ، فترك العبد كليهما ، فصادف عدم وجوب إكرام زيد ، ووجوبَ إكرام عمرو بدليل آخر لم يصل إلى العبد ، تصحّ عقوبته على ترك إكرام عمرو ؛ لأ نّه في تركه مع قيام الأمارة عليه ليس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الوجوب مؤدّى أمارة غير واصلة لا هذه ، ليس عذراً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الأقوى ما ذهب إليه المحقّق الخراساني</w:t>
      </w:r>
      <w:r>
        <w:rPr>
          <w:rStyle w:val="FootnoteAnchor"/>
          <w:rtl w:val="true"/>
        </w:rPr>
        <w:footnoteReference w:id="109"/>
      </w:r>
      <w:r>
        <w:rPr>
          <w:rFonts w:ascii="Amiri" w:hAnsi="Amiri" w:eastAsia="Amiri" w:cs="Amiri"/>
          <w:color w:val="111111"/>
          <w:sz w:val="28"/>
          <w:sz w:val="28"/>
          <w:szCs w:val="28"/>
          <w:rtl w:val="true"/>
          <w:lang w:bidi="ar-SA"/>
        </w:rPr>
        <w:t>، ويظهر من شيخنا العلاّمة أيضاً</w:t>
      </w:r>
      <w:r>
        <w:rPr>
          <w:rStyle w:val="FootnoteAnchor"/>
          <w:rtl w:val="true"/>
        </w:rPr>
        <w:footnoteReference w:id="110"/>
      </w:r>
      <w:r>
        <w:rPr>
          <w:rFonts w:ascii="Amiri" w:hAnsi="Amiri" w:eastAsia="Amiri" w:cs="Amiri"/>
          <w:color w:val="111111"/>
          <w:sz w:val="28"/>
          <w:sz w:val="28"/>
          <w:szCs w:val="28"/>
          <w:rtl w:val="true"/>
          <w:lang w:bidi="ar-SA"/>
        </w:rPr>
        <w:t xml:space="preserve">، وهو كون الحجّة على نفي الثالث إحداهما ؛ لأ نّه مع العلم بكذب أمارة في مدلولها المطابقي لا يعقل بقاء الحجّية في مدلولها الالتزامي ، والمقام من قبيله ، والنقض المتقدّم قياس مع الفارق ؛ لعدم العلم بالكذب في المقيس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إحداهما هي إحداهما المشخّصة واقعاً وإن جهل المكلّف بها ، هذا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حجّية خبر الثقة هو بناء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الأدلّة اللفظية ، فلا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مهملة بالنسبة إلى حال التعارض ، أو مطلقة بالإطلاق الذاتي ، أو بالإطلاق اللحاظي على فرض صحّته ، أو مقيّدة بعدم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عدم الحجّية بناءً على الاحتمال الأوّل والرابع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الثالث ، فالقاعدة تقتضي التخيير ؛ لأنّ الإطلاق اللحاظي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كالتصريح بالاعتبار حال التعارض ، ومعه لا بدّ من القول بالتخيير ، وإلاّ فإمّا أن يكون أمراً بالمحال وهو باطل ، أو لغاية حصول التوقّف </w:t>
      </w:r>
    </w:p>
    <w:p>
      <w:pPr>
        <w:pStyle w:val="BookText"/>
        <w:rPr/>
      </w:pPr>
      <w:r>
        <w:rPr>
          <w:rFonts w:ascii="Amiri" w:hAnsi="Amiri" w:eastAsia="Amiri" w:cs="Amiri"/>
          <w:color w:val="111111"/>
          <w:sz w:val="28"/>
          <w:sz w:val="28"/>
          <w:szCs w:val="28"/>
          <w:rtl w:val="true"/>
          <w:lang w:bidi="ar-SA"/>
        </w:rPr>
        <w:t xml:space="preserve">وهو لغو ، فلا بدّ من صون كلام الحكيم عنهما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بالعمل حتّى في مقام التعارض ؛ لحفظ الواقع حتّى الإمكان ، ومقتضى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فكأ نّه صرّح بالتخيير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الإطلاق لحال التعارض محال ؛ لأ نّه لا يترتّب على التعبّد بصدور المتعارضين أثر سوى البناء على إجمالهما ، وعدم إرادة الظاهر في كلّ منهما ، ولا معنى للتعبّد بصدور كلام تكون نتيجته إجماله</w:t>
      </w:r>
      <w:r>
        <w:rPr>
          <w:rStyle w:val="FootnoteAnchor"/>
          <w:rtl w:val="true"/>
        </w:rPr>
        <w:footnoteReference w:id="111"/>
      </w:r>
      <w:r>
        <w:rPr>
          <w:rFonts w:ascii="Amiri" w:hAnsi="Amiri" w:eastAsia="Amiri" w:cs="Amiri"/>
          <w:color w:val="111111"/>
          <w:sz w:val="28"/>
          <w:sz w:val="28"/>
          <w:szCs w:val="28"/>
          <w:rtl w:val="true"/>
          <w:lang w:bidi="ar-SA"/>
        </w:rPr>
        <w:t xml:space="preserve">، فهو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لدليل الاعتبار إطلاق ذاتي كما هو أقوى الاحتمالات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نتيجته التخيير أيضاً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في دليل الاعتبار يتقدّر بقدره ، فإذا دار الأمر بين رفع اليد عن دليل الاعتبار بالنسبة إلى حال التعارض مطلقاً ، حتّى تصير النتيجة عدم حجّية كلا المتعارضين ، أو رفعِ اليد عن كلّ منهما حال الإتيان بالآخر ، كان الثاني أولى ، ونتيجته التخيير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النتيجة هي التوقّف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تقييد الإطلاق حال الإتيان بالآخر ، إنّما هو في التكاليف النفسية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وكأدلّة الاُصول في أطراف العلم الإجمالي ؛ حيث إنّ كلّ طرف مرخّص فيه بما أ نّه عنوان المشكوك فيه ، وفي أطراف العلم دار الأمر بين رفع اليد عن كلا الترخيصين ، أو ترخيص كلّ في حال الإتيان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التكليف متوجّه بإنقاذ كلّ منهما ، ودار الأمر بين رفع اليد عنه في كليهما ، وعن كلّ في حال الإتيان بالآخر ، والثاني أولى </w:t>
      </w:r>
      <w:r>
        <w:rPr>
          <w:rFonts w:eastAsia="Amiri" w:cs="Amiri" w:ascii="Amiri" w:hAnsi="Amiri"/>
          <w:color w:val="111111"/>
          <w:sz w:val="28"/>
          <w:szCs w:val="28"/>
          <w:rtl w:val="true"/>
          <w:lang w:bidi="ar-SA"/>
        </w:rPr>
        <w:t xml:space="preserve">. </w:t>
      </w:r>
      <w:bookmarkStart w:id="173" w:name="pg15088_161808"/>
    </w:p>
    <w:p>
      <w:pPr>
        <w:pStyle w:val="BookText"/>
        <w:rPr/>
      </w:pPr>
      <w:bookmarkEnd w:id="173"/>
      <w:r>
        <w:rPr>
          <w:rFonts w:ascii="Amiri" w:hAnsi="Amiri" w:eastAsia="Amiri" w:cs="Amiri"/>
          <w:color w:val="111111"/>
          <w:sz w:val="28"/>
          <w:sz w:val="28"/>
          <w:szCs w:val="28"/>
          <w:rtl w:val="true"/>
          <w:lang w:bidi="ar-SA"/>
        </w:rPr>
        <w:t xml:space="preserve">وأمّا إذا كان التكليف طريقياً جعل لأجل كشف كلّ أمارة عن الواقع وكانت كلّ أمارة مكذّبة للاُخرى ، فلا معنى لذلك ؛ فإنّ البناء على طريقية كلّ أمارة ، والعملَ بها على أ نّها هي الكاشفة عن الواقع في حال ترك الاُخرى ، ممّا لا محصّل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إيجاب العمل بالخبر لمحض التعبّد ، وكان التكليف نفسياً مثل سائر النفسيات ، كان لذلك الكلام وجه ، لكنّه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ما ذكر يرجع إلى أنّ الأمر إذا دار بين التخصيص والتقييد ، كان الثاني أولى ، وهو ممنوع في مثل ما نحن فيه ، وسيأتي التعرّض له عن قريب</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بناءً على الطريقية كما هو الحقّ </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995271_2142443653"/>
      <w:bookmarkStart w:id="175" w:name="_Toc62"/>
      <w:bookmarkEnd w:id="174"/>
      <w:r>
        <w:rPr>
          <w:rtl w:val="true"/>
        </w:rPr>
        <w:t>مقتضى الأصل على السببية</w:t>
      </w:r>
      <w:bookmarkEnd w:id="175"/>
    </w:p>
    <w:p>
      <w:pPr>
        <w:pStyle w:val="BookText"/>
        <w:rPr/>
      </w:pPr>
      <w:r>
        <w:rPr>
          <w:rFonts w:ascii="Amiri" w:hAnsi="Amiri" w:eastAsia="Amiri" w:cs="Amiri"/>
          <w:color w:val="111111"/>
          <w:sz w:val="28"/>
          <w:sz w:val="28"/>
          <w:szCs w:val="28"/>
          <w:rtl w:val="true"/>
          <w:lang w:bidi="ar-SA"/>
        </w:rPr>
        <w:t xml:space="preserve">وأمّا بناءً على السببية فمقتضى الأصل مختلف حسب اختلاف الاحتمالات في السببية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ليس للّه تعالى في كلّ واقعة حكم مشترك بين العالم والجاهل ، وأنكرنا المصالح والمفاسد ، وقلنا بالإرادة الجزافية ، وأنّ الحكم تابع لقيام الأمارة ، فحينئذٍ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الأمارة إذا قامت على شيء يصير بعنوانه متعلّق التكليف ، فلا محيص من التساقط إذا قامت الأمارتان على الوجوب والحرمة ؛ لامتناع جعل حكمين على موضوع واحد من جميع الجهات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التكليف يتعلّق بمؤدّى الأمارة بما أ نّه كذلك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تكثّر العنوانين يرفع التضادّ ، فالأصل يقتضي التخيير ؛ لثبوت الوجوب والحرمة على عنوانين غير قابلين للجمع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رفعه التضادّ يكون حاله كالأوّل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بالمصالح والمفاسد ، وأنّ الأحكام مشتركة بين العالم والجاهل ، فحينئذٍ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قيام الأمارة يوجب مصلحة أو مفسدة في ذات العناوين إذا كانت الأمارة مخالفة للواقع ، وتكون المصلحة الآتية من قبل الأمارة أقوى مناطاً من المصلحة الواقعية فلا بدّ من القول بالتساقط أيضاً ؛ لأنّ الحكم الفعلي يكون تابعاً للأمارة المخالفة ، فإن كانت الأمارة مخالفة للواقع ، يكون الحكم الفعلي تابعاً لها ، ومع الجهل بها تتساقطان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كلتاهما مخالفة له تتساقطان أيضاً ؛ لامتناع جعل حكمين فعليين على عنوان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المصلحة والمفسدة تقومان على عنوان المؤدّى بما أ نّه كذلك ، وتكثّر الموضوع كذلك يرفع التضادّ ، فمقتضى الأصل التخيير ، كباب التزاحم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بحدوث المصلحة حتّى في الأمارة الموافقة ، وإلاّ فالتساقط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رفع التضادّ به فالأصل هو التساقط ؛ للكسر والانكسار الواقعين بين المصلحة والمفسدة ، فالحكم تابع لأقوى المناطين ، ومع الجهل به تتساقطان ، كما أ نّه مع تساويهما كذلك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المصلحة إنّما تكون في متابعة قول الثقة والعمل على طبقه ، من غير أن يكون للواقع دخالة في ذلك ، ولا في طريقية الطريق أثر ، فالأصل يقتضي التخيير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الطريق بما أ نّه طريق قامت به المصلحة فكذلك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الطريق الفعلي قامت به المصلحة ، فالأصل هو التساقط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اعتبار الأخبار من بناء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من الأدلّة اللفظية ،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أدلّة الاعتبار يشمل حال التعارض بينهما ، فيتردّد الأمر بين رفع اليد عن الخبر المبتلى بالمعارض ، فيكون تخصيصاً في أدلّة الاعتبار ، أو رفع اليد عن كلّ منهما حال الإتيان بالآخر ، فيكون تقييداً فيها ، والثاني أولى ، فالنتيجة هي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w:t>
      </w:r>
      <w:r>
        <w:rPr>
          <w:rStyle w:val="FootnoteAnchor"/>
          <w:rtl w:val="true"/>
        </w:rPr>
        <w:footnoteReference w:id="113"/>
      </w:r>
      <w:r>
        <w:rPr>
          <w:rFonts w:ascii="Amiri" w:hAnsi="Amiri" w:eastAsia="Amiri" w:cs="Amiri"/>
          <w:color w:val="111111"/>
          <w:sz w:val="28"/>
          <w:sz w:val="28"/>
          <w:szCs w:val="28"/>
          <w:rtl w:val="true"/>
          <w:lang w:bidi="ar-SA"/>
        </w:rPr>
        <w:t xml:space="preserve">من تقدّم التقييد على التخصيص في الدوران بينهما ، إنّما هو فيما إذا تعارض عموم عامّ مع إطلاق دليل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لمّا كانت حجّيته لدى العقلاء من جعل الماهية موضوعاً للحكم بلا قيد ، فهذا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السكوت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الحجّية ، فهو يرفع مع ورود دليل من قبل المولى ، والعامّ بظهوره الوضعي دليل ، ولا يمكن أن يكون المطلق الكذائي مخصّصاً للعامّ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نحن فيه فلا يكون من هذا القبيل ؛ لأنّ أدلّة اعتبار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عموم أفرادي وإطلاق حالي ، ومعلوم أنّ الأوّل موضوع الثاني ، فدار الأمر بين تخصيص العموم بحكم العقل ، وتقييد الإطلاق ، وكلاهما خلاف الأصل ، ولا ترجيح لأحدهما ، ولا يكون العامّ بياناً للمطلق كالفرض السابق ، وليس التقييد أقلّ محذوراً من التخصيص ؛ لأنّ رفع موضوع الإطلاق </w:t>
      </w:r>
    </w:p>
    <w:p>
      <w:pPr>
        <w:pStyle w:val="BookText"/>
        <w:rPr/>
      </w:pPr>
      <w:r>
        <w:rPr>
          <w:rFonts w:ascii="Amiri" w:hAnsi="Amiri" w:eastAsia="Amiri" w:cs="Amiri"/>
          <w:color w:val="111111"/>
          <w:sz w:val="28"/>
          <w:sz w:val="28"/>
          <w:szCs w:val="28"/>
          <w:rtl w:val="true"/>
          <w:lang w:bidi="ar-SA"/>
        </w:rPr>
        <w:t xml:space="preserve">ليس ارتكاب خلاف الأصل في الإطلاق ، بل خلاف ظاهر فقط في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العامّ يرتكب خلاف ظاهر فقط ، وبه يرفع موضوع الإطلاق ، ورفع موضوعه لا يكون تقييداً ، ولا خلاف أصل ؛ لأنّ الإطلاق فرع شمول العامّ للأفراد ، ومع بقاء العامّ على عمومه يرتكب خلاف أصل آخر هو تقييد الإطلاق ، ولا ترجيح لأحدهما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أصالة العموم في الرتبة المتقدّمة على أصالة الإطلاق ، فهي في تلك الرتبة لا معارض لها ، فالقاعدة تقتضي حفظ العموم ؛ لعدم المعارض ، وارتكابِ خلاف الأصل في الإطلاق ، كلام شعري ؛ لأنّ التقدّم الرتبي ليس موضوعاً لحكم العقلاء في باب الظواهر والمباحث العرفية ، ولا ينبغي الخلط بين العقليات والعرفيات </w:t>
      </w:r>
      <w:r>
        <w:rPr>
          <w:rFonts w:eastAsia="Amiri" w:cs="Amiri" w:ascii="Amiri" w:hAnsi="Amiri"/>
          <w:color w:val="111111"/>
          <w:sz w:val="28"/>
          <w:szCs w:val="28"/>
          <w:rtl w:val="true"/>
          <w:lang w:bidi="ar-SA"/>
        </w:rPr>
        <w:t xml:space="preserve">. </w:t>
      </w:r>
      <w:bookmarkStart w:id="176" w:name="pg15088_161812"/>
    </w:p>
    <w:p>
      <w:pPr>
        <w:pStyle w:val="Heading5"/>
        <w:numPr>
          <w:ilvl w:val="4"/>
          <w:numId w:val="1"/>
        </w:numPr>
        <w:rPr/>
      </w:pPr>
      <w:bookmarkStart w:id="177" w:name="__RefHeading___Toc995273_2142443653"/>
      <w:bookmarkStart w:id="178" w:name="_Toc63"/>
      <w:bookmarkEnd w:id="176"/>
      <w:bookmarkEnd w:id="177"/>
      <w:r>
        <w:rPr>
          <w:rtl w:val="true"/>
        </w:rPr>
        <w:t>البحث الثاني</w:t>
      </w:r>
      <w:r>
        <w:rPr>
          <w:rtl w:val="true"/>
        </w:rPr>
        <w:t xml:space="preserve">: </w:t>
      </w:r>
      <w:r>
        <w:rPr>
          <w:rtl w:val="true"/>
        </w:rPr>
        <w:t>في حال المتكافئين بمقتضى الأخبار الواردة في المقام</w:t>
      </w:r>
      <w:bookmarkEnd w:id="178"/>
    </w:p>
    <w:p>
      <w:pPr>
        <w:pStyle w:val="Heading6"/>
        <w:numPr>
          <w:ilvl w:val="5"/>
          <w:numId w:val="1"/>
        </w:numPr>
        <w:rPr/>
      </w:pPr>
      <w:bookmarkStart w:id="179" w:name="__RefHeading___Toc995275_2142443653"/>
      <w:bookmarkStart w:id="180" w:name="_Toc64"/>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والأولى نقل ما ارتبط به وتذييله بما يرتبط بفقه الحديث ، ثمّ بيان ما يساعد عليه العرف في الجمع بينها ، فنقول وعلى اللّه التكلان </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995277_2142443653"/>
      <w:bookmarkStart w:id="182" w:name="_Toc65"/>
      <w:bookmarkEnd w:id="181"/>
      <w:r>
        <w:rPr>
          <w:rtl w:val="true"/>
        </w:rPr>
        <w:t>نقل أخبار التخيير</w:t>
      </w:r>
      <w:bookmarkEnd w:id="182"/>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الطبرسي في جواب مكاتبة محمّد ابن عبداللّه الحميري إلى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يسألني بعض الفقهاء عن المصلّي إذا قام من التشهّد الأوّل إلى الركعة الثالثة ، هل يجب عليه أن يكبّر ؟ فإنّ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عليه تكبير ، فيجزيه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وقوّته أقوم وأقعد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حديثان ، 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انتقل من حالة إلى اُخرى فعليه التكبير ، وأ 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روي أ نّه إذا رفع رأسه من السجدة الثانية ، وكبّر ثمّ جلس ثمّ قام ، فليس عليه في القيام بعد القعود تكبير ، وكذا التشهّد </w:t>
      </w:r>
    </w:p>
    <w:p>
      <w:pPr>
        <w:pStyle w:val="BookText"/>
        <w:rPr/>
      </w:pPr>
      <w:r>
        <w:rPr>
          <w:rFonts w:ascii="Amiri" w:hAnsi="Amiri" w:eastAsia="Amiri" w:cs="Amiri"/>
          <w:color w:val="111111"/>
          <w:sz w:val="28"/>
          <w:sz w:val="28"/>
          <w:szCs w:val="28"/>
          <w:rtl w:val="true"/>
          <w:lang w:bidi="ar-SA"/>
        </w:rPr>
        <w:t>الأوّل يجري هذا المجرى ، فبأيّهما أخذت من باب التسليم كان صواباً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كون هذا الحديث من بابنا هذا إشكال ؛ فإنّ السائل سأل عن حكم الواقعة ، لا عن تعارض الأدلّة ، فيناسب الجواب عن 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مراده أنّ التكبير لمّا كان مستحبّاً ، وورد فيه حديثان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بإتيانه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يرخّصه في تركه ، فالإتيان به صواب ؛ لأ نّه مستحبّ ، وكذا تركه ؛ لأنّ الأخذ بالدليل المرخّص في المستحبّ صواب ، فالأخذ بكلّ واحد منهما صواب ، لا من حيث التخيير في المتعارضين ، بل من حيث كون الواقع كذلك ، فعليه يكون أجنبيّاً عن أخبار العلاج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مراده من كون كليهما صواباً موافقاً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ظاهراً في الوجوب ، لكن ترفع اليد عنه بنصّ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عدم كونه عليه أ نّه لا يجب عليه ، فالحديث المثبت يثبت الاستحباب ، والآخر يرفع الوجوب ، وكلاهما 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بأيّهما من باب التسليم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نّه إذا أتيت بالتكبير من باب التسليم فقد أتيت بالمأمور به ، وإن تركته من باب التسليم تركته من باب الترخيص الوارد في الحديث ، وكلاهما 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الحديث من باب تعارض الأحوال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كون الأخذ بكلّ منهما صواباً موافقاً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p>
    <w:p>
      <w:pPr>
        <w:pStyle w:val="BookText"/>
        <w:rPr/>
      </w:pPr>
      <w:r>
        <w:rPr>
          <w:rFonts w:ascii="Amiri" w:hAnsi="Amiri" w:eastAsia="Amiri" w:cs="Amiri"/>
          <w:color w:val="111111"/>
          <w:sz w:val="28"/>
          <w:sz w:val="28"/>
          <w:szCs w:val="28"/>
          <w:rtl w:val="true"/>
          <w:lang w:bidi="ar-SA"/>
        </w:rPr>
        <w:t xml:space="preserve">لا يعقل ؛ فإنّه مع فرض التعارض والتكاذب يكون من الجمع بين النقيضين أو الضدّين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لم تكن الرواية معرضاً عنها ، وإلاّ فهي ساقطة رأساً ، مع أ نّها ضعيفة السند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بإسناده عن علي بن مهزيار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لعبداللّه بن محمّد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في روايتهم عن أبي عبداللّه علیه السلام في ركعتي الفجر في السفر ، فروى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صلّها في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تصلّها إلاّ على الأرض</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فأعلمني كيف تصنع أنت ؛ لأقتدي بك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الخبر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سؤاله عن حكم الواقعة ، خصوصاً بملاحظة الزيادة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 جوابه أيضاً يكون عن الحكم الواقعي ، كما هو كذلك ؛ 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نافلته ، ويجوز إتيانها في المحمل وعلى الأرض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نّك مخيّر واقعاً في إتيانها في المحمل وعلى الأرض ، وحملها على الأخذ في المسألة الاُصولية لدى تعارض </w:t>
      </w:r>
    </w:p>
    <w:p>
      <w:pPr>
        <w:pStyle w:val="BookText"/>
        <w:rPr/>
      </w:pPr>
      <w:r>
        <w:rPr>
          <w:rFonts w:ascii="IRNazanin" w:hAnsi="IRNazanin" w:eastAsia="IRNazanin"/>
          <w:color w:val="111111"/>
          <w:sz w:val="28"/>
          <w:sz w:val="28"/>
          <w:szCs w:val="28"/>
          <w:rtl w:val="true"/>
          <w:lang w:bidi="fa-IR"/>
        </w:rPr>
        <w:t>الأحوال</w:t>
      </w:r>
      <w:r>
        <w:rPr>
          <w:rStyle w:val="FootnoteAnchor"/>
          <w:rtl w:val="true"/>
        </w:rPr>
        <w:footnoteReference w:id="117"/>
      </w:r>
      <w:r>
        <w:rPr>
          <w:rFonts w:ascii="Amiri" w:hAnsi="Amiri" w:eastAsia="Amiri" w:cs="Amiri"/>
          <w:color w:val="111111"/>
          <w:sz w:val="28"/>
          <w:sz w:val="28"/>
          <w:szCs w:val="28"/>
          <w:rtl w:val="true"/>
          <w:lang w:bidi="ar-SA"/>
        </w:rPr>
        <w:t xml:space="preserve">في غاية البعد ، فهي أيضاً أجنبيّة عمّا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زرارة المنقولة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ذيلها بعد الأمر بالأخذ بما يوافق الاحتياط ، وفرضه موافقتهما أو مخالفتهما 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 أحدهما فتأخذ به ، وتدع الآخر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 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فأرجه حتّى تلقى إمامك فتسأله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هذه الرواية مرسلة في غاية الضعف من غير جابر لها ، فلا يجوز إثبات حكم بها ، ولهذا أخرجناها عن أدلّة العلاج ، وتمسّكُ من تأخّر عن ابن أبي جمهور بها بل إجماعهم على العمل بها لا يفيد جبرها ، وليس كتمسّك القدماء واعتمادهم على الحديث ؛ لكونهم قريبي العهد بأصحاب الاُصول والجوامع ، وعندهم اُصول لم تكن عند المتأخّرين ، فما أفاده شيخنا العلاّمة ؛ من جبرها بالعمل</w:t>
      </w:r>
      <w:r>
        <w:rPr>
          <w:rStyle w:val="FootnoteAnchor"/>
          <w:rtl w:val="true"/>
        </w:rPr>
        <w:footnoteReference w:id="119"/>
      </w:r>
      <w:r>
        <w:rPr>
          <w:rFonts w:ascii="Amiri" w:hAnsi="Amiri" w:eastAsia="Amiri" w:cs="Amiri"/>
          <w:color w:val="111111"/>
          <w:sz w:val="28"/>
          <w:sz w:val="28"/>
          <w:szCs w:val="28"/>
          <w:rtl w:val="true"/>
          <w:lang w:bidi="ar-SA"/>
        </w:rPr>
        <w:t xml:space="preserve">ليس على 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احتمال أن يكون قوله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نسخ هذه الرواية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الطبرسي ، عن الحارث بن المغيرة</w:t>
      </w:r>
      <w:r>
        <w:rPr>
          <w:rStyle w:val="FootnoteAnchor"/>
          <w:rtl w:val="true"/>
        </w:rPr>
        <w:footnoteReference w:id="120"/>
      </w:r>
      <w:r>
        <w:rPr>
          <w:rFonts w:ascii="IRNazanin" w:hAnsi="IRNazanin" w:eastAsia="IRNazanin"/>
          <w:color w:val="111111"/>
          <w:sz w:val="28"/>
          <w:sz w:val="28"/>
          <w:szCs w:val="28"/>
          <w:rtl w:val="true"/>
          <w:lang w:bidi="fa-IR"/>
        </w:rPr>
        <w:t xml:space="preserve">،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سمعت من أصحابك الحديثَ وكلّهم ثقة ، فموسّع عليك حتّى </w:t>
      </w:r>
    </w:p>
    <w:p>
      <w:pPr>
        <w:pStyle w:val="BookText"/>
        <w:rPr/>
      </w:pPr>
      <w:r>
        <w:rPr>
          <w:rFonts w:ascii="Amiri" w:hAnsi="Amiri" w:eastAsia="Amiri" w:cs="Amiri"/>
          <w:color w:val="111111"/>
          <w:sz w:val="28"/>
          <w:sz w:val="28"/>
          <w:szCs w:val="28"/>
          <w:rtl w:val="true"/>
          <w:lang w:bidi="ar-SA"/>
        </w:rPr>
        <w:t>ترى القائم ، فتردّ إليه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كونها من أخبار الباب أيضاً إشكال ؛ لاحتمال أن يكون المراد جواز العمل بخبر الثقة ، وليس فيها دلالة على التوسعة والتخيير في الروايتين المتعارضتين ، ولا يدلّ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تعدّد الرواية ، فضلاً عن تعارضها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الاستدلال بهذه الرواية لما نحن فيه ، فتأمّل</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 عن الحسن بن الجهم</w:t>
      </w:r>
      <w:r>
        <w:rPr>
          <w:rStyle w:val="FootnoteAnchor"/>
          <w:rtl w:val="true"/>
        </w:rPr>
        <w:footnoteReference w:id="123"/>
      </w:r>
      <w:r>
        <w:rPr>
          <w:rFonts w:ascii="IRNazanin" w:hAnsi="IRNazanin" w:eastAsia="IRNazanin"/>
          <w:color w:val="111111"/>
          <w:sz w:val="28"/>
          <w:sz w:val="28"/>
          <w:szCs w:val="28"/>
          <w:rtl w:val="true"/>
          <w:lang w:bidi="fa-IR"/>
        </w:rPr>
        <w:t xml:space="preserve">،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يجيئنا الرجلان وكلاهما ثقة بحديثين مختلفين ، ولا نعلم أيّهما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تعلم فموسّع عليك بأيّهما أخذت</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إشكال في دلالتها على التخيير في الحديثين المختلفين مطلقاً ، كما لا يبعد جبر سندها بعمل الأصحاب ، على تأمّل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الكليني ، حيث قال في ذيل موثّقة سَماعة الآتية في أخبار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83" w:name="pg15088_161817"/>
    </w:p>
    <w:p>
      <w:pPr>
        <w:pStyle w:val="BookText"/>
        <w:rPr/>
      </w:pPr>
      <w:bookmarkEnd w:id="183"/>
      <w:r>
        <w:rPr>
          <w:rFonts w:ascii="Amiri" w:hAnsi="Amiri" w:eastAsia="Amiri" w:cs="Amiri"/>
          <w:color w:val="111111"/>
          <w:sz w:val="28"/>
          <w:sz w:val="28"/>
          <w:szCs w:val="28"/>
          <w:rtl w:val="true"/>
          <w:lang w:bidi="ar-SA"/>
        </w:rPr>
        <w:t xml:space="preserve">ويحتمل أن لا تكون رواية مستقلّة ، بل إشارة إلى مضمون بعض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والنفساء تدع الصلاة أكثره مثل أيّام حيضها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ثمانية عشر يوماً ، وروي ثلاثة وعشرين يوماً ، وبأيّ هذه الأحاديث اُخذ من جهة التسليم جاز</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والمظنون كون هذا الكتاب من تصنيف بعض العلماء المطّلع على الأحاديث ، وقد جمع بين شتات الأخبار باجتهاده وروى مضمونها ، كما يظهر للمتدبّر فيه ، ولا يبعد أن يكون قوله هذا مأخوذاً من الروايات ، لا رواية 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الميثمي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وسنذكرها في ذيل أخبار الإرجاء</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تحصّل ممّا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دلّت على التخيير وسلمت عن الإشكال دلالة ، ويمكن دعوى جبرها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 هي رواية الحسن بن الجهم ، ولا أدري كيف ادّعى الشيخ الأنصاري دلالة الأخبار المستفيضة بل المتواترة عليه</w:t>
      </w:r>
      <w:r>
        <w:rPr>
          <w:rStyle w:val="FootnoteAnchor"/>
          <w:rtl w:val="true"/>
        </w:rPr>
        <w:footnoteReference w:id="1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184" w:name="__RefHeading___Toc995279_2142443653"/>
      <w:bookmarkStart w:id="185" w:name="_Toc66"/>
      <w:bookmarkEnd w:id="184"/>
      <w:r>
        <w:rPr>
          <w:rtl w:val="true"/>
        </w:rPr>
        <w:t>مفاد أخبار التخيير</w:t>
      </w:r>
      <w:bookmarkEnd w:id="18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أخبار التخيير مع قطع النظر عن معارضاتها لا تدلّ إلاّ على جواز الأخذ بأحدهما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فموسّع عليك بأيّهما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لأ نّه يدلّ على التوسعة في الأخذ ، مقابل التضييق الذي يحكم به العقل والعقلاء بمقتضى الأصل الذي عرفت أ نّه سقوطهما عن الحجّية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الأخذ مساوق لوجوبه ؛ لأنّ أحدهما إن لم يكن حجّة فلا يجوز الأخذ به ، وإن كان حجّة فيجب ، ممنوعة ؛ لأ نّهما وإن كانا غير حجّتين بحسب حكم العقل ، لكن يجوز الأخذ بأحدهما بدليل وحجّة ؛ وهو أخبار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الأخذ بأحدهما ليس من حيث حجّيته في حال التعارض ، بل بعد سقوطهما معاً بحكم العقل تدلّ أخبار العلاج على التوسعة في الأخذ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ورد دليل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فرض اعتبار المرفوعة</w:t>
      </w:r>
      <w:r>
        <w:rPr>
          <w:rStyle w:val="FootnoteAnchor"/>
          <w:rtl w:val="true"/>
        </w:rPr>
        <w:footnoteReference w:id="130"/>
      </w:r>
      <w:r>
        <w:rPr>
          <w:rFonts w:ascii="Amiri" w:hAnsi="Amiri" w:eastAsia="Amiri" w:cs="Amiri"/>
          <w:color w:val="111111"/>
          <w:sz w:val="28"/>
          <w:sz w:val="28"/>
          <w:szCs w:val="28"/>
          <w:rtl w:val="true"/>
          <w:lang w:bidi="ar-SA"/>
        </w:rPr>
        <w:t xml:space="preserve">المعبّرة بالجملة الإنشائية أو الإخبارية في مقام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فتخيّر 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يدلّ على الوجوب ؛ لوروده في مقام حكم العقل بالحظر ، فلا يستفاد منه إلاّ رفعه ، 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الأخذ بأحدهما على سبيل التخيير ؛ تمسّكاً بالروايات المتقدّمة</w:t>
      </w:r>
      <w:r>
        <w:rPr>
          <w:rStyle w:val="FootnoteAnchor"/>
          <w:rtl w:val="true"/>
        </w:rPr>
        <w:footnoteReference w:id="131"/>
      </w:r>
      <w:r>
        <w:rPr>
          <w:rFonts w:ascii="Amiri" w:hAnsi="Amiri" w:eastAsia="Amiri" w:cs="Amiri"/>
          <w:color w:val="111111"/>
          <w:sz w:val="28"/>
          <w:sz w:val="28"/>
          <w:szCs w:val="28"/>
          <w:rtl w:val="true"/>
          <w:lang w:bidi="ar-SA"/>
        </w:rPr>
        <w:t xml:space="preserve">كأ نّه في غير محلّه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أخبار التخيير </w:t>
      </w:r>
      <w:r>
        <w:rPr>
          <w:rFonts w:eastAsia="Amiri" w:cs="Amiri" w:ascii="Amiri" w:hAnsi="Amiri"/>
          <w:color w:val="111111"/>
          <w:sz w:val="28"/>
          <w:szCs w:val="28"/>
          <w:rtl w:val="true"/>
          <w:lang w:bidi="ar-SA"/>
        </w:rPr>
        <w:t xml:space="preserve">. </w:t>
      </w:r>
      <w:bookmarkStart w:id="186" w:name="pg15088_161819"/>
    </w:p>
    <w:p>
      <w:pPr>
        <w:pStyle w:val="Heading6"/>
        <w:numPr>
          <w:ilvl w:val="5"/>
          <w:numId w:val="1"/>
        </w:numPr>
        <w:rPr/>
      </w:pPr>
      <w:bookmarkStart w:id="187" w:name="__RefHeading___Toc995281_2142443653"/>
      <w:bookmarkStart w:id="188" w:name="_Toc67"/>
      <w:bookmarkEnd w:id="186"/>
      <w:bookmarkEnd w:id="187"/>
      <w:r>
        <w:rPr>
          <w:rtl w:val="true"/>
        </w:rPr>
        <w:t>نقل أخبار التوقّف</w:t>
      </w:r>
      <w:bookmarkEnd w:id="188"/>
    </w:p>
    <w:p>
      <w:pPr>
        <w:pStyle w:val="BookText"/>
        <w:rPr/>
      </w:pPr>
      <w:r>
        <w:rPr>
          <w:rFonts w:ascii="Amiri" w:hAnsi="Amiri" w:eastAsia="Amiri" w:cs="Amiri"/>
          <w:color w:val="111111"/>
          <w:sz w:val="28"/>
          <w:sz w:val="28"/>
          <w:szCs w:val="28"/>
          <w:rtl w:val="true"/>
          <w:lang w:bidi="ar-SA"/>
        </w:rPr>
        <w:t xml:space="preserve">وأمّا أخبار التوقّف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اختلف عليه رجلان من أهل دينه في أمر ، كلاهما يرويه ، أحدهما يأمر بأخذه ، والآخر ينهاه عنه ، كيف يصنع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يرجئه حتّى يلقى من يخبره ، فهو في سعة حتّى يلقاه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الكليني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أرجأت الأمرَ إذا أخّرته</w:t>
      </w:r>
      <w:r>
        <w:rPr>
          <w:rStyle w:val="FootnoteAnchor"/>
          <w:rtl w:val="true"/>
        </w:rPr>
        <w:footnoteReference w:id="133"/>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أرْجِهْ وَأَخَاهُ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ولولا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سعة حتّى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الظاهر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الأمر ، لكن معه يرجع إلى الأخذ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الأخذ بواحدٍ منهما حتّى يلقى من يخبره ، فهو في الواقعة في سعة حتّى يلقاه ، ولا يوجب ورود مثل الخبرين المتعارضين الضيقَ عليه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اتّحاد هذه الموثّقة مع ما روى الطبرسي ، عن سَماعة ، عن أبي عبداللّه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علينا حديثان ، واحد يأمرنا بالأخذ به ، والآخر ينهانا 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بواحد منهما حتّى تلقى صاحبك فتسأله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نعمل بواحد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فيه خلاف العامّة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نقل سَماعة أو أحد الرواة بالمعنى ؛ لاتّحاد الراوي والمرويّ عنه ، وتشابه ألفاظهما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يختلف ذيلهما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يؤخّره ولا يعمل بواحد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مقبولة عمر بن حنظلة الآتية</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فأرجئه حتّى تلقى إمامك ؛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الأخذ المستفاد من الكلام السابق ؛ أي لا تعمل بواحد منهما ؛ فإنّ مضمون كلّ منهما مشتبه ، والوقوف عند الشبهات خير من الاقتحام في الهلكات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بالخبر والاستناد إليه ، أي لا تعمل بواحد منهما حتّى تلقى إمامك ؛ فإنّ الأخذ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الاستناد والأخذ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 والوقوف عندها خير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الرجال لعلي بن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محمّد بن علي بن عيسى كتب إليه يسأله عن العلم المنقول إلينا عن آبائك وأجدادك ، قد اختلف علينا فيه ، فكيف العمل به على اختلافه والردّ إليك فيما اختلف فيه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أ نّه قولنا فالزموه ، وما لم تعلموا فردّوه إلينا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وكأ نّهما رواية واحدة ؛ لتقارب ألفاظهما ، وكأ نّه وقع اشتباه في بعض ألفاظ رواية الصفّار ، فراجع وتأمّل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ترك العمل بهما ، فلا يختصّ بزمان التمكّن من اللقاء ، أو إرجاع الرواية إليهم فيختصّ به ، والأوّل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الميثمي المشار إليها في أخبار التخيير</w:t>
      </w:r>
      <w:r>
        <w:rPr>
          <w:rStyle w:val="FootnoteAnchor"/>
          <w:rtl w:val="true"/>
        </w:rPr>
        <w:footnoteReference w:id="140"/>
      </w:r>
      <w:r>
        <w:rPr>
          <w:rFonts w:ascii="Amiri" w:hAnsi="Amiri" w:eastAsia="Amiri" w:cs="Amiri"/>
          <w:color w:val="111111"/>
          <w:sz w:val="28"/>
          <w:sz w:val="28"/>
          <w:szCs w:val="28"/>
          <w:rtl w:val="true"/>
          <w:lang w:bidi="ar-SA"/>
        </w:rPr>
        <w:t>فإنّه استدلّ بها للتوقّف أيضاً</w:t>
      </w:r>
      <w:r>
        <w:rPr>
          <w:rStyle w:val="FootnoteAnchor"/>
          <w:rtl w:val="true"/>
        </w:rPr>
        <w:footnoteReference w:id="141"/>
      </w:r>
      <w:r>
        <w:rPr>
          <w:rFonts w:ascii="Amiri" w:hAnsi="Amiri" w:eastAsia="Amiri" w:cs="Amiri"/>
          <w:color w:val="111111"/>
          <w:sz w:val="28"/>
          <w:sz w:val="28"/>
          <w:szCs w:val="28"/>
          <w:rtl w:val="true"/>
          <w:lang w:bidi="ar-SA"/>
        </w:rPr>
        <w:t>وسيأتي الكلام فيها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جملة من الروايات المستدلّ بها للتخيير والتوقّف ، وقد اختلفت أنظار المحقّقين في الجمع بينها </w:t>
      </w:r>
      <w:r>
        <w:rPr>
          <w:rFonts w:eastAsia="Amiri" w:cs="Amiri" w:ascii="Amiri" w:hAnsi="Amiri"/>
          <w:color w:val="111111"/>
          <w:sz w:val="28"/>
          <w:szCs w:val="28"/>
          <w:rtl w:val="true"/>
          <w:lang w:bidi="ar-SA"/>
        </w:rPr>
        <w:t xml:space="preserve">: </w:t>
      </w:r>
      <w:bookmarkStart w:id="189" w:name="pg15088_161822"/>
    </w:p>
    <w:p>
      <w:pPr>
        <w:pStyle w:val="Heading6"/>
        <w:numPr>
          <w:ilvl w:val="5"/>
          <w:numId w:val="1"/>
        </w:numPr>
        <w:rPr/>
      </w:pPr>
      <w:bookmarkStart w:id="190" w:name="__RefHeading___Toc995283_2142443653"/>
      <w:bookmarkStart w:id="191" w:name="_Toc68"/>
      <w:bookmarkEnd w:id="189"/>
      <w:bookmarkEnd w:id="190"/>
      <w:r>
        <w:rPr>
          <w:rtl w:val="true"/>
        </w:rPr>
        <w:t>أنظار المحقّقين في الجمع بين أخبار التخيير والتوقّف</w:t>
      </w:r>
      <w:bookmarkEnd w:id="191"/>
    </w:p>
    <w:p>
      <w:pPr>
        <w:pStyle w:val="BookText"/>
        <w:rPr/>
      </w:pPr>
      <w:r>
        <w:rPr>
          <w:rFonts w:ascii="Amiri" w:hAnsi="Amiri" w:eastAsia="Amiri" w:cs="Amiri"/>
          <w:color w:val="111111"/>
          <w:sz w:val="28"/>
          <w:sz w:val="28"/>
          <w:szCs w:val="28"/>
          <w:rtl w:val="true"/>
          <w:lang w:bidi="ar-SA"/>
        </w:rPr>
        <w:t xml:space="preserve">اختار شيخنا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لبعض</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بينها ؛ بحمل أخبار الإرجاء والتوقّف على صورة التمكّن من الوصول إلى الإمام ، كما يظهر من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منها أنّ المراد ترك العمل وإرجاء الواقعة إلى لقاء الإمام ، لا العمل فيها بالاحتياط</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لا يخلو من بعد وإشكال ؛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التمكّن الفعلي في حال حضور الواقعة ووقت العمل ؛ بأن يكون الإمام حاضراً في البلد مثلاً ، فهو مخالف لسوق الأخبار ؛ لأنّ الظاهر منها السؤال عن الواقعة المختلفة فيها الأخبار منهم ، وكان السائل متحيّراً في حكمها لأجله ، وليس له طريق إلى حكمها يحسم مادّة الخلاف والإشكال ، ولهذا ترى أنّ سَماعة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لنا من العمل بأحدهما ، فأجاب بأ 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فيه خلاف العامّة</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المراد التمكّن ولو في المستقبل ، في مقابل عدم التمكّن مطلقاً ، فحمل أخبار التخيير عليه بعيد ؛ فإنّ حمل مثل رواية ابن الجهم</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العمدة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التمكّن مطلقاً ، حمل على الفرد النادر ، بل من قبيل خروج المورد ، خصوصاً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قوله في موثّقة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لقاء الإمام ، أو مَن هو مِن بطانته وفقهاء أصحابه ؛ </w:t>
      </w:r>
    </w:p>
    <w:p>
      <w:pPr>
        <w:pStyle w:val="BookText"/>
        <w:rPr/>
      </w:pPr>
      <w:r>
        <w:rPr>
          <w:rFonts w:ascii="Amiri" w:hAnsi="Amiri" w:eastAsia="Amiri" w:cs="Amiri"/>
          <w:color w:val="111111"/>
          <w:sz w:val="28"/>
          <w:sz w:val="28"/>
          <w:szCs w:val="28"/>
          <w:rtl w:val="true"/>
          <w:lang w:bidi="ar-SA"/>
        </w:rPr>
        <w:t xml:space="preserve">ممّن يعرف فتاواه الصادرة لأجل بيان الحكم الواقعي أو لغيره ، كما لا يبعد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أخبار التخيير على زمان الغيبة أبعد ، مع أ نّه ورد في خبر الحارث بن المغيرة</w:t>
      </w:r>
      <w:r>
        <w:rPr>
          <w:rStyle w:val="FootnoteAnchor"/>
          <w:rtl w:val="true"/>
        </w:rPr>
        <w:footnoteReference w:id="146"/>
      </w:r>
      <w:r>
        <w:rPr>
          <w:rFonts w:ascii="Amiri" w:hAnsi="Amiri" w:eastAsia="Amiri" w:cs="Amiri"/>
          <w:color w:val="111111"/>
          <w:sz w:val="28"/>
          <w:sz w:val="28"/>
          <w:szCs w:val="28"/>
          <w:rtl w:val="true"/>
          <w:lang w:bidi="ar-SA"/>
        </w:rPr>
        <w:t>نظير ما في أخبار التوقّف ، لو كان من أخبار التخيير كما عدّوه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هذا الجمع عرفياً مقبولاً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اختاره شيخنا العلاّمة أعلى اللّه مقامه ؛ وهو حمل أخبار التوقّف على النهي عن تعيين مدلول الخبرين بالمناسبات الظنّية ، وهذا لا ينافي التخيير عملاً ، فقد تصدّى لتشييد ما أفاده فراجع</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الحمل لو تمشّى في بعض أخبار التوقّف ، فلا يتمشّى في بعض آخر ، فكيف يمكن حمل قوله في خبر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بواحد منهما حتّى تلقى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النهي عن كشف مدلولهما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يتمشّى ذلك في المقبولة وموثّقة سَماعة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وعرفاً هو تأخير الأخذ بالخبرين ، وترك العمل بهما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حمل رواية الميثمي على ذلك غير بعيد ، وسيأتي التعرّض لها</w:t>
      </w:r>
      <w:r>
        <w:rPr>
          <w:rStyle w:val="FootnoteAnchor"/>
          <w:rtl w:val="true"/>
        </w:rPr>
        <w:footnoteReference w:id="150"/>
      </w:r>
      <w:r>
        <w:rPr>
          <w:rFonts w:ascii="Amiri" w:hAnsi="Amiri" w:eastAsia="Amiri" w:cs="Amiri"/>
          <w:color w:val="111111"/>
          <w:sz w:val="28"/>
          <w:sz w:val="28"/>
          <w:szCs w:val="28"/>
          <w:rtl w:val="true"/>
          <w:lang w:bidi="ar-SA"/>
        </w:rPr>
        <w:t xml:space="preserve">لكن لا تكون شاهدة على حمل البقية على ذلك ؛ لعدم إمكانه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 نّه لا منافاة بين وجوب ردّ علم الحديثين إليهم ، وعدم جواز العمل بهما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التخيير نصّ في جواز الأخذ بأحدهما ، وأخبارَ التوقّف ظاهرة في وجوب الإرجاء وحرمةِ العمل بهما ، ومقتضى القاعدة حمل روايات التوقّف على رجحانه ومرجوحية العمل ، وحمل أخبار التخيير على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في ذيل المقبولة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أرجئه حتّى تلقى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 عند الشبهات خير من الاقتحام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ومسبوقاً بتثليث الاُمور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الشبهات نجا من المحرّمات ، ومن أخذ بالشبهات وقع في المحرّمات وهلك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إرشادي إلى ما هو أصلح بحال المكلّف ؛ فإنّ الأقرب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إلى أنّ كفّ النفس عند الشبهات وردعَها عن ارتكابها ، موجب لتنزّهها عن الوقوع في المحرّمات ونجاتِها من الهلكة ، وإرخاءَ عنانها في الشبهات واعتيادَها على الأخذ بها وارتكابها ، موجب قهراً لاجترائها على المولى ، وتهوّن المحرّمات عندها ، وهو موجب للوقوع فيها والهلاك من حيث لا يعلم ؛ أي من جهة وسبب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يصير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أرجئه حتّى تلقى إمامك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ظاهراً في الإرشاد إلى ما يتخلّص به من الاقتحام في الهلكة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الجمع بين الإرجاء والتوسعة في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موردها الدوران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الإرجاء ليس في العمل ، بل في الفتوى ، وأنّ التوسعة في العمل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المظنون أنّ الموثّقة عين ما عن الطبرسي كما أشرنا إليه</w:t>
      </w:r>
      <w:r>
        <w:rPr>
          <w:rStyle w:val="FootnoteAnchor"/>
          <w:rtl w:val="true"/>
        </w:rPr>
        <w:footnoteReference w:id="152"/>
      </w:r>
      <w:r>
        <w:rPr>
          <w:rFonts w:ascii="Amiri" w:hAnsi="Amiri" w:eastAsia="Amiri" w:cs="Amiri"/>
          <w:color w:val="111111"/>
          <w:sz w:val="28"/>
          <w:sz w:val="28"/>
          <w:szCs w:val="28"/>
          <w:rtl w:val="true"/>
          <w:lang w:bidi="ar-SA"/>
        </w:rPr>
        <w:t xml:space="preserve">مع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علينا حديثان ؛ واحد يأمرنا بالأخذ به ، والآخر ينهانا عنه ، فيعلم من ذلك أنّ المورد لا يلزم أن يكون من الدوران بين المحذورين ، كما لو ورد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الحبوة للولد الأكبر ، فأعطوها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 نّها ليست له ، فلا تعطوها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تلك الواقعة يمكن تأخيرها والاحتياط في العمل بالصلح ، أو تأخيرها إلى لقاء الإمام ، والتخيير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الموثّقة شاهدة لهذا الجمع ، مع إباء رواية الطبرسي عن ذلك ، بل إباء الموثّقة عنه أيضاً ؛ لما عرفت من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التأخير وترك العمل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يستشهد برواية الميثمي على الجمع بين الروايات ؛ بحمل أخبار التخيير على التخيير في المستحبّات والمكروهات ، وحمل أخبار الإرجاء على غيرهما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والمناسب نقل هذه الرواية الشريفة بطولها ؛ حتّى يتّضح بطلان هذه الدعوى ،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الحسن الميثمي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الرضا علیه السلام يوماً وقد اجتمع عنده قوم من أصحابه ، وقد كانوا يتنازعون في الحديثين المختلفين عن رسول اللّه في الشيء الواحد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حرّم حراماً ، وأحلّ حلالاً ، وفرض فرائض ، فما جاء في تحليل ما حرّم اللّه ، أو في تحريم ما أحلّ اللّه ، أو دفع فريضة في كتاب اللّه ، رسمُها بيّنٌ قائم بلا ناسخ نسخ ذلك ، فذلك ما لا يسع الأخذ به ؛ لأنّ رسول اللّه لم يكن ليحرّم ما أحلّ اللّه ، ولا ليحلّل ما حرّم اللّه ، ولا ليغيّر فرائض اللّه وأحكامه ، كان في ذلك كلّه متّبعاً مسلّماً مؤدّياً عن اللّه ، وذلك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إِلَىَّ</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فكان متّبعاً للّه ، مؤدّياً عن اللّه ما أمره به من تبليغ الرسالة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يرد عنكم الحديث في الشيء عن رسول اللّه ممّا ليس في الكتاب ، وهو في السنّة ، ثمّ يرد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قد نهى رسول اللّه عن أشياء نهي حرام ، فوافق في ذلك نهيه نهيَ اللّه ، وأمر بأشياءَ فصار ذلك الأمر واجباً لازماً ، كعدل فرائض اللّه ، فوافق في ذلك أمره أمرَ اللّه ، فما جاء في النهي عن رسول اللّه نهي حرام ، ثمّ جاء خلافه ، لم يسع استعمال ذلك ، وكذلك فيما أمر به ؛ لأ نّا لا نرخّص فيما لم يرخّص فيه رسول اللّه ، ولا نأمر بخلاف ما أمر به رسول اللّه إلاّ لعلّة خوف ضرورة ، فأمّا أن نستحلّ ما حرّم رسول اللّه ، أو نحرّم ما استحلّ رسول اللّه ، فلا يكون ذلك أبداً ؛ لأ نّا تابعون لرسول اللّه ، مسلّمون له ، كما كان رسول اللّه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تابعاً لأمر ربّه مسلّماً له ،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اللّه نهى عن أشياءَ ليس نهي حرام ، بل إعافة وكراهة ، وأمر بأشياء ليس بأمر فرض ولا واجب ، بل أمر فضل ورجحان في الدين ، ثمّ رخّص في ذلك للمعلول وغير المعلول ، فما كان عن رسول اللّه نهي إعافة أو أمر فضل فذلك الذي يسع استعمال الرخصة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ورد عليكم عنّا الخبر فيه باتّفاق ، يرويه من يرويه في النهي ولا ينكره ، وكان الخبران صحيحين معروفين باتّفاق الناقلة فيهما ، يجب الأخذ بأحدهما أو بهما جميعاً ، أو بأيّهما شئت وأحببت ، موسّع ذلك لك من باب التسليم لرسول اللّه ، والردّ إليه وإلينا ، وكان تارك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العناد والإنكار وترك التسليم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 باللّه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ورد عليكم من خبرين مختلفين فاعرضوهما على كتاب اللّه ، فما كان في كتاب اللّه موجوداً حلالاً أو حراماً فاتّبعوا ما وافق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لم يكن في الكتاب فاعرضوه على سنن رسول اللّه ، فما كان موجوداً منهيّاً عنه نهي حرام ، ومأموراً به عن رسول اللّه أمر إلزام ، فاتّبعوا ما وافق نهي رسول اللّه وأمره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في السنّة نهي إعافة أو كراهة ، ثمّ كان الخبر الأخير خلافه ، فذلك رخصة فيما عافه رسول اللّه وكرهه ولم يحرّمه ، فذلك الذي يسع الأخذ بهما جميعاً ، وبأيّهما شئت وسعك الاختيار من باب التسليم والاتّباع والردّ إلى رسول اللّه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لم تجدوه في شيء من هذه الوجوه فردّوا إلينا علمه ، فنحن أولى بذلك ، ولا تقولوا فيه بآرائكم ، وعليكم بالكفّ والتثبّت والوقوف وأنتم </w:t>
      </w:r>
    </w:p>
    <w:p>
      <w:pPr>
        <w:pStyle w:val="BookText"/>
        <w:rPr/>
      </w:pPr>
      <w:r>
        <w:rPr>
          <w:rFonts w:ascii="Amiri" w:hAnsi="Amiri" w:eastAsia="Amiri" w:cs="Amiri"/>
          <w:color w:val="111111"/>
          <w:sz w:val="28"/>
          <w:sz w:val="28"/>
          <w:szCs w:val="28"/>
          <w:rtl w:val="true"/>
          <w:lang w:bidi="ar-SA"/>
        </w:rPr>
        <w:t>طالبون باحثون حتّى يأتيكم البيان من عندنا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الصدوق</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نقل هذا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عبداللّه 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من الاُصول والكتب التي عليها المعوّل ، وإليها المرجع</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الحديث يدلّ على أنّ الأحاديث الواردة عن رسول اللّه إذا كانت مخالفة لتحليل اللّه وتحريمه وفرائضه ومحرّماته ، يجب طرحها ، وما ورد عن الأئمّة إذا كان كذلك ، أو مخالفاً للأمر والنهي الإلزاميين الواردين عن رسول اللّه ، لا يجوز استعماله ويجب طرحه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ورد في الكتاب والسنّة من الأوامر غير الإلزامية والنواهي كذلك ، ووردت الرخصة من رسول اللّه صلی الله علیه و آله وسلم أو الأئمّة علیهم السلام ، فذلك الذي يجوز استعماله والأخذ به ، ثمّ ذكر الحديثين المختلفين ، وبيّن الأمر فيهما على هذا المنوال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الرخصة والتخيير فيه غير التخيير في الأخذ بإحدى الروايتين المتعارضتين ؛ لأنّ الرخصة والتخيير في أمر الفضل ونهي الإعافة الذي يسع استعمال الرخصة فيه ، ويكون المكلّف مخيّراً في الأخذ بأحدهما أو </w:t>
      </w:r>
      <w:bookmarkStart w:id="192" w:name="pg15088_161829"/>
    </w:p>
    <w:p>
      <w:pPr>
        <w:pStyle w:val="BookText"/>
        <w:rPr/>
      </w:pPr>
      <w:bookmarkEnd w:id="192"/>
      <w:r>
        <w:rPr>
          <w:rFonts w:ascii="Amiri" w:hAnsi="Amiri" w:eastAsia="Amiri" w:cs="Amiri"/>
          <w:color w:val="111111"/>
          <w:sz w:val="28"/>
          <w:sz w:val="28"/>
          <w:szCs w:val="28"/>
          <w:rtl w:val="true"/>
          <w:lang w:bidi="ar-SA"/>
        </w:rPr>
        <w:t xml:space="preserve">جميعهما ، ليسا إلاّ لأجل عدم المنافاة بين أمر الفضل والرخصة في الترك ، ونهي الإعافة والرخصة في الفعل ، فجعل هذه الرواية شاهدة للجمع المتقدّم ضعيف ، كما أنّ عدّها من أخبار التخيير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ذيلها ظاهر في وجوب ردّ الخبرين إليهم ، وعدم جواز القول فيهما بالآراء والأهواء والاجتهادات الظنّية ، إذا لم نجدهما على أحد الوجوه المتقدّمة ، وذلك لا ينافي التخيير والتوسعة في العمل ، كما لا ينافي رجحان التوقّف وترك العمل بواحد منهما والاحتياط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مجموع الروايات بعد ردّ بعضها إلى بعض ، أنّ المكلّف مرخّص في العمل بواحد من المتعارضين ، مخيّر فيهما على سبيل التوسعة ، والأرجح له الوقوف والاحتياط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له الاستبداد بالرأي في تخريج الحكم الواقعي بالاجتهادات والظنون غير المعتبرة عند العقلاء ، المنهيّ عنها في الشرع ، وهذا لا ينافي جواز الأخذ بأحد الخبرين والفتوى على طبقه ، كما هو مفاد أخبار التخيير ؛ لأ نّه بمقتضى الحجّة وهي تلك الأخبار ، وسيأتي مزيد توضيح لذلك إن شاء اللّه‌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995285_2142443653"/>
      <w:bookmarkStart w:id="194" w:name="_Toc69"/>
      <w:bookmarkEnd w:id="193"/>
      <w:r>
        <w:rPr>
          <w:rtl w:val="true"/>
        </w:rPr>
        <w:t xml:space="preserve">بقي التنبيه على اُمور </w:t>
      </w:r>
      <w:r>
        <w:rPr>
          <w:rtl w:val="true"/>
        </w:rPr>
        <w:t>:</w:t>
      </w:r>
      <w:bookmarkEnd w:id="19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5" w:name="__RefHeading___Toc995287_2142443653"/>
      <w:bookmarkStart w:id="196" w:name="_Toc70"/>
      <w:bookmarkEnd w:id="195"/>
      <w:r>
        <w:rPr>
          <w:rtl w:val="true"/>
        </w:rPr>
        <w:t>الأمر الأوّل</w:t>
      </w:r>
      <w:r>
        <w:rPr>
          <w:rtl w:val="true"/>
        </w:rPr>
        <w:t xml:space="preserve">: </w:t>
      </w:r>
      <w:r>
        <w:rPr>
          <w:rtl w:val="true"/>
        </w:rPr>
        <w:t>في معنى التخيير في المسألة الاُصولية</w:t>
      </w:r>
      <w:bookmarkEnd w:id="196"/>
    </w:p>
    <w:p>
      <w:pPr>
        <w:pStyle w:val="BookText"/>
        <w:rPr/>
      </w:pPr>
      <w:r>
        <w:rPr>
          <w:rFonts w:ascii="Amiri" w:hAnsi="Amiri" w:eastAsia="Amiri" w:cs="Amiri"/>
          <w:color w:val="111111"/>
          <w:sz w:val="28"/>
          <w:sz w:val="28"/>
          <w:szCs w:val="28"/>
          <w:rtl w:val="true"/>
          <w:lang w:bidi="ar-SA"/>
        </w:rPr>
        <w:t xml:space="preserve">لا إشكال في أنّ التخيير في الأخذ بأحد الخبرين ليس من قبيل التخيير في المسألة الفرعية ، بل في المسألة الاُصولية ؛ ضرورة أنّ الأخذ بخبر الثقة أخذ بما هو حجّة في الفقه ، ووجوب الأخذ بأحد الخبرين يجعله حجّة على الواقع ، فيكون تخييراً في المسألة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معنى التخيير في المسألة الاُصولية ، هل هو جعل أحد الخبرين طريقاً وأمارة إلى الواقع ، أو يكون من قبيل الأصل المعوّل عليه لدى الشكّ في الوظيفة ، أو لا ذاك ولا ذلك كما سنشير إليه ؟</w:t>
      </w:r>
    </w:p>
    <w:p>
      <w:pPr>
        <w:pStyle w:val="BookText"/>
        <w:rPr/>
      </w:pPr>
      <w:r>
        <w:rPr>
          <w:rFonts w:ascii="Amiri" w:hAnsi="Amiri" w:eastAsia="Amiri" w:cs="Amiri"/>
          <w:color w:val="111111"/>
          <w:sz w:val="28"/>
          <w:sz w:val="28"/>
          <w:szCs w:val="28"/>
          <w:rtl w:val="true"/>
          <w:lang w:bidi="ar-SA"/>
        </w:rPr>
        <w:t xml:space="preserve">ويرد على الأوّل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الطريقية والكاشفية ممّا لا يمكن ، كما مرّ الكلام فيه في مباحث الظنّ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إمكانه ، فلا يمكن فيما نحن فيه ؛ لأدائه إلى جعل الطريق إلى المتناقضين ، فإنّ أحد الخبرين المتعارضين إذا دلّ على وجوب شيء ، والآخر على حرمته ، فجعل الشارع أحدهما طريقاً ، واختار أحد المجتهدين أحدهما ، والآخر الآخر ، فلازمه أن يكون كلّ منهما طريقاً إلى الواقع ، فينجرّ إلى جعل الطريق الفعلي إلى المتناقضين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 جعل الطريقية لأحدهما على سبيل الإبهام ، وجعل المكلّف </w:t>
      </w:r>
    </w:p>
    <w:p>
      <w:pPr>
        <w:pStyle w:val="BookText"/>
        <w:rPr/>
      </w:pPr>
      <w:r>
        <w:rPr>
          <w:rFonts w:ascii="Amiri" w:hAnsi="Amiri" w:eastAsia="Amiri" w:cs="Amiri"/>
          <w:color w:val="111111"/>
          <w:sz w:val="28"/>
          <w:sz w:val="28"/>
          <w:szCs w:val="28"/>
          <w:rtl w:val="true"/>
          <w:lang w:bidi="ar-SA"/>
        </w:rPr>
        <w:t xml:space="preserve">مخيّراً ؛ بحيث تكون الطريقية منوطة بأخذ المكلّف ،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أدلّة التخيير يقتضي ذلك ؛ لأنّ مفادها التوسعة على الجاهل بالواقع ، فهل مفاد قوله في رواية ابن الجهم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تعلم فموسّع عليك بأيّهما أخذت</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إلاّ كمفاد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فمفادها ليس إلاّ تعيين الوظيفة لدى الشكّ في الواقع ، فيكون من قبيل الأصل المعوّل عليه لدى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ينافي كون أحد الخبرين حجّة على الواقع بعد إيجاب العمل على طبقه ، أو حجّة للعبد إذا كان مفاد الأدلّة التوسعة في الأخذ ؛ لأنّ الحجّة على الواقع غير الأمارة عليه ، كما أ نّه لو أوجب المولى الاحتياط في الشبهة البدوية يصير حجّة على الواقع بعد إيجابه ، ولا يمكن أن يكون طريقاً إليه ؛ لأنّ نسبته إلى الواقع ومقابله على السواء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ففيما نحن فيه ، إن أوجب الشارع الأخذ بأحدهما فلا يجوز للعبد تركهما ، فإن ترك وصادف مخالفة الواقع يصحّ عقابه ، وليس له الاعتذار ، كما أ نّه لو عمل على طبق أحدهما وتخلّف عن الواقع فليس للمولى عقوبته ، فيكون أحدهما حجّة ، لا بجعل الحجّية كما توهّم</w:t>
      </w:r>
      <w:r>
        <w:rPr>
          <w:rStyle w:val="FootnoteAnchor"/>
          <w:rtl w:val="true"/>
        </w:rPr>
        <w:footnoteReference w:id="166"/>
      </w:r>
      <w:r>
        <w:rPr>
          <w:rFonts w:ascii="Amiri" w:hAnsi="Amiri" w:eastAsia="Amiri" w:cs="Amiri"/>
          <w:color w:val="111111"/>
          <w:sz w:val="28"/>
          <w:sz w:val="28"/>
          <w:szCs w:val="28"/>
          <w:rtl w:val="true"/>
          <w:lang w:bidi="ar-SA"/>
        </w:rPr>
        <w:t xml:space="preserve">بل بنفس إيجاب العمل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الأدلّة هو كون التخيير من قبيل الأصل المعوّل عليه لدى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لازم ذلك عدم جواز الأخذ باللوازم العادية والعقلية لأحد المتعارضين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الالتزام به ، ولا يلتزمون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المتفاهم من أدلّة الترجيح والتخيير لدى التعارض ، أنّ إيجاب العمل على طبق الخبر ذي المزيّة ، أو أحدِهما إذا تكافآ ، أو التوسعة في الأخذ بأحدهما ، ليس إلاّ من حيث كونه خبراً كاشفاً عن الواقع ، وأ نّهما وإن تساقطا بنظر العرف ، لكن لم يتساقطا بنظر الشارع ، بل وجوب الأخذ بأحدهما معيّناً أو مخيّراً في حال التعارض ، كوجوبه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الشارع العمل به لكونه ذاتاً طريقاً إلى الواقع ، وإيجاب العمل بهذا اللحاظ لا محذور فيه ، وليس كجعل الطريقية الفعلية إلى المتناقضين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يفهم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تعلم فموسّع عليك بأيّهما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الأخذ بأحدهما في حال التعارض كأخذه به قبله ، فكما كان يأخذ به وبلوازمه قبله فكذا الحال ، وهذا لا ينافي جعل الوظيفة في حال الشكّ ؛ لأنّ حاصله أنّ الوظيفة في حال الشكّ في صدق أحد الخبرين هي الأخذ بأحدهما بما لهما من المفاد مطابقة والتزاماً ، فالوظيفة هي الأخذ بأحد الطريقين بما هو طريق عقلائي ، فتدبّر جيّداً </w:t>
      </w:r>
      <w:r>
        <w:rPr>
          <w:rFonts w:eastAsia="Amiri" w:cs="Amiri" w:ascii="Amiri" w:hAnsi="Amiri"/>
          <w:color w:val="111111"/>
          <w:sz w:val="28"/>
          <w:szCs w:val="28"/>
          <w:rtl w:val="true"/>
          <w:lang w:bidi="ar-SA"/>
        </w:rPr>
        <w:t xml:space="preserve">. </w:t>
      </w:r>
      <w:bookmarkStart w:id="197" w:name="pg15088_161833"/>
    </w:p>
    <w:p>
      <w:pPr>
        <w:pStyle w:val="Heading6"/>
        <w:numPr>
          <w:ilvl w:val="5"/>
          <w:numId w:val="1"/>
        </w:numPr>
        <w:rPr/>
      </w:pPr>
      <w:bookmarkStart w:id="198" w:name="__RefHeading___Toc995289_2142443653"/>
      <w:bookmarkStart w:id="199" w:name="_Toc71"/>
      <w:bookmarkEnd w:id="197"/>
      <w:bookmarkEnd w:id="198"/>
      <w:r>
        <w:rPr>
          <w:rtl w:val="true"/>
        </w:rPr>
        <w:t>الأمر الثاني في حكم تخيير القاضي والمفتي في عمله وعمل مقلّديه</w:t>
      </w:r>
      <w:bookmarkEnd w:id="199"/>
    </w:p>
    <w:p>
      <w:pPr>
        <w:pStyle w:val="BookText"/>
        <w:rPr/>
      </w:pPr>
      <w:r>
        <w:rPr>
          <w:rFonts w:ascii="Amiri" w:hAnsi="Amiri" w:eastAsia="Amiri" w:cs="Amiri"/>
          <w:color w:val="111111"/>
          <w:sz w:val="28"/>
          <w:sz w:val="28"/>
          <w:szCs w:val="28"/>
          <w:rtl w:val="true"/>
          <w:lang w:bidi="ar-SA"/>
        </w:rPr>
        <w:t xml:space="preserve">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إنّما هو في المسألة الاُصولية ، وليس من قبيل التخيير في الأماكن الأربعة بين القصر والإتمام ، فاعلم أ نّه لا إشكال في تخيير المجتهد في عمل نفسه ، كما لا إشكال في أنّ القاضي في مقام فصل الخصومة ليس له تخيير المتحاكمين ؛ لأنّ فصل الخصومة إنّما هو بحكمه ، لا بفتواه ، فلا بدّ له من الأخذ بأحدهما والحكم على طبقه ؛ لتفصل الخصومة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المفتي بالنسبة إلى مقلّديه ، فهل التخيير مختصّ به لكونه في المسألة الاُصولية</w:t>
      </w:r>
      <w:r>
        <w:rPr>
          <w:rStyle w:val="FootnoteAnchor"/>
          <w:rtl w:val="true"/>
        </w:rPr>
        <w:footnoteReference w:id="167"/>
      </w:r>
      <w:r>
        <w:rPr>
          <w:rFonts w:ascii="Amiri" w:hAnsi="Amiri" w:eastAsia="Amiri" w:cs="Amiri"/>
          <w:color w:val="111111"/>
          <w:sz w:val="28"/>
          <w:sz w:val="28"/>
          <w:szCs w:val="28"/>
          <w:rtl w:val="true"/>
          <w:lang w:bidi="ar-SA"/>
        </w:rPr>
        <w:t xml:space="preserve">ولكون الخطاب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تعلم فموسّع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إليه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يأتيه الخبران ويجيئه الحديثان المختلفان ، هو المجتهد لا العامّي</w:t>
      </w:r>
      <w:r>
        <w:rPr>
          <w:rStyle w:val="FootnoteAnchor"/>
          <w:rtl w:val="true"/>
        </w:rPr>
        <w:footnoteReference w:id="1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الترجيحات إنّما هي للمجتهدين ، ويكون نظر المجتهد فيها معتبراً ، لا العامّي ، فلا بدّ للمجتهد من اختيار أحدهما والإفتاء به ، ورجوعِ العامّي إليه في المسألة الفرعية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يشترك العامّي مع المجتهد في جميع المسائل الاُصولية والفرعية ؛ لعدم </w:t>
      </w:r>
    </w:p>
    <w:p>
      <w:pPr>
        <w:pStyle w:val="BookText"/>
        <w:rPr/>
      </w:pPr>
      <w:r>
        <w:rPr>
          <w:rFonts w:ascii="Amiri" w:hAnsi="Amiri" w:eastAsia="Amiri" w:cs="Amiri"/>
          <w:color w:val="111111"/>
          <w:sz w:val="28"/>
          <w:sz w:val="28"/>
          <w:szCs w:val="28"/>
          <w:rtl w:val="true"/>
          <w:lang w:bidi="ar-SA"/>
        </w:rPr>
        <w:t>الدليل على الاختصاص به ، بل الأدلّة ظاهرة في خلافه</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ومجيء الخبر لدى المجتهد لا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اختصاصه بالحكم ، كما أنّ جميع الأدلّة في الفروع والاُصول تقوم لدى المجتهد ، ولم تكن مختصّة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قوله في رواية ابن الجهم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تعلم فموسّع عليك بأيّهما أخذت</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أنّ الحكم الكلّي لكلّ مكلّف هو جواز العمل على طبق أحدهما ، وأنّ هذه التوسعة حكم لجميع المكلّفين ، كما أنّ الحال كذلك في جميع أخبار العلاج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يكون نظر المجتهد متّبعاً في تشخيص موارد الترجيح والتكافؤ ؛ لقصور نظر العامّي عنه ، وأمّا حكم المتعادلين أو ذي المزيّة فلم يكن مختصّاً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بالمجتهد هو الاجتهاد وبذل الجهد في تشخيص الترجيح والتعادل ، لا الحكم الكلّي ؛ فإنّه مشترك بين العباد ، وهذا هو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عدم اختصاص التخيير بالمجتهد ، فهل تجب عليه الفتوى بالتخيير ، أو يتخيّر بين ذلك وبين الأخذ بأحدهما والفتوى على طبقه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الثاني ؛ أمّا جواز الأخذ بأحدهما والفتوى على طبقه فلأ نّه من شؤون التوسعة في الأخذ بأحدهما ، فكما أنّ له الأخذ بأحدهما للعمل ، له الأخذ به للفتوى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أحد الخبرين حجّة على المجتهد في عمل نفسه بناءً على وجوب الأخذ ، وحجّة له بناءً على جوازه ، يكون حجّة له في جواز الإفتاء به ، فتكون فتواه على طبق أحدهما فتوى بالحجّة وعن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المسألة كالمسائل الفرعية ؛ حيث تجب عليه الفتوى بالتخيير لا التعيين؛ لأ نّه في هذه المسألة يكون مأموراً بالأخذ بأحدهما ، أو يكون الأخذ موسّعاً عليه ، والأخذ بأحدهما حكمه جواز الإفتاء ، كجواز العمل ، وفي الحكم الفرعي يكون التخيير الواقعي مشتركاً بين العباد ؛ أي إنّ المكلّفين مشتركون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التفرقة ، جاءت من التفرقة بين المسألة الاُصولية والفرعية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الإفتاء بالتخيير ؛ فلأنّ المجتهد لمّا رأى أنّ الحكم المشترك بين العباد وجوب العمل على طبق أحد الخبرين ، أو التوسعة لهم في الأخذ بأحدهما ، يفتي بهذا الأمر ؛ أي التخيير بين الإتيان بصلاة الظهر أو الجمعة ؛ لأنّ التخيير في الأخذ بأحد الخبرين ليس إلاّ التخيير في إتيان مضمونهما ، ولا فرق من هذه الجهة بين المسألة الاُصولية والفرعية ، ولا يجب عليه إعلام المقلّدين بأ نّهم مخيّرون في المسألة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يجوز له الإفتاء بالمسألة الاُصولية أيضاً ؛ بأن يفتي بجواز العمل على طبق أحد الخبرين بعد إحراز التعادل بينهما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العمل لا بدّ وأن يكون بعنوان الأخذ بأحد الخبرين ، فلا بدّ للمجتهد إمّا أن يأخذ بأحدهما ويفتي على مضمونه ، ويكون المعوّل عليه للمقلّد </w:t>
      </w:r>
      <w:bookmarkStart w:id="200" w:name="pg15088_161836"/>
    </w:p>
    <w:p>
      <w:pPr>
        <w:pStyle w:val="BookText"/>
        <w:rPr/>
      </w:pPr>
      <w:bookmarkEnd w:id="200"/>
      <w:r>
        <w:rPr>
          <w:rFonts w:ascii="Amiri" w:hAnsi="Amiri" w:eastAsia="Amiri" w:cs="Amiri"/>
          <w:color w:val="111111"/>
          <w:sz w:val="28"/>
          <w:sz w:val="28"/>
          <w:szCs w:val="28"/>
          <w:rtl w:val="true"/>
          <w:lang w:bidi="ar-SA"/>
        </w:rPr>
        <w:t xml:space="preserve">هو فتوى المجتهد ، وله أدلّة التخيير ، أو يفتي بالمسألة الاُصولية حتّى يكون المعوّل عليه للمقلّد في وجوب الأخذ بأحدهما فتوى المجتهد ، وفي العمل هو أحد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الفتوى بالتخيير ، فلا تجوز إلاّ في التخيير في المسألة الفرعية التي يكون المأمور به فيها هو نفس الواقع ، لا الأخذ بأحد الخبرين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بأحد الخبرين ليس إلاّ العمل على مضمونه ، فيرجع إلى جواز إتيان صلاة الظهر أو صلاة الجمعة مثلاً ، وللمفتي أن يفتي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الأخذ بالخبر طريقي لا نفسي ، والفتوى بالواقع لوجوبه الطريقي </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995291_2142443653"/>
      <w:bookmarkStart w:id="202" w:name="_Toc72"/>
      <w:bookmarkEnd w:id="201"/>
      <w:r>
        <w:rPr>
          <w:rtl w:val="true"/>
        </w:rPr>
        <w:t>الأمر الثالث</w:t>
      </w:r>
      <w:r>
        <w:rPr>
          <w:rtl w:val="true"/>
        </w:rPr>
        <w:t xml:space="preserve">: </w:t>
      </w:r>
      <w:r>
        <w:rPr>
          <w:rtl w:val="true"/>
        </w:rPr>
        <w:t>في أنّ التخيير بدوي أو استمراري</w:t>
      </w:r>
      <w:bookmarkEnd w:id="202"/>
    </w:p>
    <w:p>
      <w:pPr>
        <w:pStyle w:val="Heading6"/>
        <w:numPr>
          <w:ilvl w:val="5"/>
          <w:numId w:val="1"/>
        </w:numPr>
        <w:rPr/>
      </w:pPr>
      <w:bookmarkStart w:id="203" w:name="__RefHeading___Toc995293_2142443653"/>
      <w:bookmarkStart w:id="204" w:name="_Toc73"/>
      <w:bookmarkEnd w:id="203"/>
      <w:r>
        <w:rPr>
          <w:rtl w:val="true"/>
        </w:rPr>
        <w:t>في التمسّك بأدلّة التخيير على كونه استمرارياً</w:t>
      </w:r>
      <w:bookmarkEnd w:id="204"/>
    </w:p>
    <w:p>
      <w:pPr>
        <w:pStyle w:val="BookText"/>
        <w:rPr/>
      </w:pPr>
      <w:r>
        <w:rPr>
          <w:rFonts w:ascii="Amiri" w:hAnsi="Amiri" w:eastAsia="Amiri" w:cs="Amiri"/>
          <w:color w:val="111111"/>
          <w:sz w:val="28"/>
          <w:sz w:val="28"/>
          <w:szCs w:val="28"/>
          <w:rtl w:val="true"/>
          <w:lang w:bidi="ar-SA"/>
        </w:rPr>
        <w:t>هل التخيير استمراري ، أو بدوي ؟ اختار الشيخ الأعظم ثانيهما ، واستشكل في إطلاق أدلّة التخيير واستصحابه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هو الأوّل ؛ لإطلاق الدليل وجريان الاستصحاب ، لأنّ غاية ما يمكن أن يقال في بيان إهماله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للمكلّف شكّين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وظيفته عند مجيء الخبرين المتعادلين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خصوصياتها بعد تعيين أصل الوظيفة ؛ من كون الأخذ بدوياً ، أو استمرارياً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 السائل في أدلّة التخيير كان شاكّاً في أصل الوظيفة ، وأ نّه لدى تعادل الخبرين ما يصنع ؟ فإذا اُجيب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 مخيّر في الأخذ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عنده شكّ آخر في كيفية التخيير ؛ وأ نّه دائمي أو لا ، وهذا موضوع آخر وشكّ آخر مسكوت عنه في أدلّة التخيير سؤالاً وجواباً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روايات التخيير في مقام بيان أصل الوظيفة ، لا كيفيتها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ابن الجهم</w:t>
      </w:r>
      <w:r>
        <w:rPr>
          <w:rStyle w:val="FootnoteAnchor"/>
          <w:rtl w:val="true"/>
        </w:rPr>
        <w:footnoteReference w:id="173"/>
      </w:r>
      <w:r>
        <w:rPr>
          <w:rFonts w:ascii="Amiri" w:hAnsi="Amiri" w:eastAsia="Amiri" w:cs="Amiri"/>
          <w:color w:val="111111"/>
          <w:sz w:val="28"/>
          <w:sz w:val="28"/>
          <w:szCs w:val="28"/>
          <w:rtl w:val="true"/>
          <w:lang w:bidi="ar-SA"/>
        </w:rPr>
        <w:t xml:space="preserve">التي هي المعوّل عليها في الباب ، تدلّ على أنّ المكلّف ما لم يعلم فموسّع عليه بأيّهما أخذ ، فعلّق فيها التوسعة على عدم العلم بحقّية أحدهما ، والظاهر منها أنّ غاية التوسعة والتخيير هو حصول العلم بحقّية أحدهما ، لا الأخذ بأحدهما مع بقاء الجهل بالواقع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الجهم وإن كان شاكّاً في أصل الوظيفة ، لكن الإمام علیه السلام أجاب بما تفهم منه الوظيفة وكيفيتها جميعاً ؛ لتعليقه التوسعة على عدم العلم بالواقع وحقّية أحدهما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لفرض السائل عدم العلم بالحقّ، فجرى كلامه على طبق السؤال من غير نظر إلى بيان الغاية، فكلام شعري واحتمال لا يصادم ظهور الشرطية، ولا يجوز رفع اليد عن ظاهر الكلام لأجله</w:t>
      </w:r>
      <w:r>
        <w:rPr>
          <w:rFonts w:eastAsia="Amiri" w:cs="Amiri" w:ascii="Amiri" w:hAnsi="Amiri"/>
          <w:color w:val="111111"/>
          <w:sz w:val="28"/>
          <w:szCs w:val="28"/>
          <w:rtl w:val="true"/>
          <w:lang w:bidi="ar-SA"/>
        </w:rPr>
        <w:t xml:space="preserve">. </w:t>
      </w:r>
      <w:bookmarkStart w:id="205" w:name="pg15088_161838"/>
    </w:p>
    <w:p>
      <w:pPr>
        <w:pStyle w:val="BookText"/>
        <w:rPr/>
      </w:pPr>
      <w:bookmarkEnd w:id="205"/>
      <w:r>
        <w:rPr>
          <w:rFonts w:ascii="Amiri" w:hAnsi="Amiri" w:eastAsia="Amiri" w:cs="Amiri"/>
          <w:color w:val="111111"/>
          <w:sz w:val="28"/>
          <w:sz w:val="28"/>
          <w:szCs w:val="28"/>
          <w:rtl w:val="true"/>
          <w:lang w:bidi="ar-SA"/>
        </w:rPr>
        <w:t xml:space="preserve">ومثلها أو أظهر منها في ذلك رواية الحارث بن المغيرة ؛ حيث قال ابتداءً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من أصحابك الحديث وكلّهم ثقة ، فموسّع عليك حتّى ترى القائم فتردّ إليه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بناءً على كونها من روايات الباب ؛ حيث جعل غاية التوسعة لقاء الإمام والردّ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التوسعة إلى لقائه فيها ، أو التوسعة ما لم يعلم في رواية ابن الجهم ، إنّما هي التوسعة في الأخذ ابتداءً ، لا بعد الأخذ ، كما ترى مخالف لظاهرهما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التخيير تقتضي كونه استمرارياً ، وعلى فرض عدم إطلاقها ، فهل يجوز التمسّك بالاستصحاب أم لا ؟</w:t>
      </w:r>
    </w:p>
    <w:p>
      <w:pPr>
        <w:pStyle w:val="Heading6"/>
        <w:numPr>
          <w:ilvl w:val="5"/>
          <w:numId w:val="1"/>
        </w:numPr>
        <w:rPr/>
      </w:pPr>
      <w:bookmarkStart w:id="206" w:name="__RefHeading___Toc995295_2142443653"/>
      <w:bookmarkStart w:id="207" w:name="_Toc74"/>
      <w:bookmarkEnd w:id="206"/>
      <w:r>
        <w:rPr>
          <w:rtl w:val="true"/>
        </w:rPr>
        <w:t>في التمسّك بالاستصحاب على كون التخيير استمرارياً</w:t>
      </w:r>
      <w:bookmarkEnd w:id="207"/>
    </w:p>
    <w:p>
      <w:pPr>
        <w:pStyle w:val="BookText"/>
        <w:rPr/>
      </w:pPr>
      <w:r>
        <w:rPr>
          <w:rFonts w:ascii="Amiri" w:hAnsi="Amiri" w:eastAsia="Amiri" w:cs="Amiri"/>
          <w:color w:val="111111"/>
          <w:sz w:val="28"/>
          <w:sz w:val="28"/>
          <w:szCs w:val="28"/>
          <w:rtl w:val="true"/>
          <w:lang w:bidi="ar-SA"/>
        </w:rPr>
        <w:t>استشكل شيخنا المرتضى فيه بدعوى تغيّر الموضوع ؛ لأنّ الثابت سابقاً ثبوت الاختيار لمن لم يختر ، فإثباته لمن اختار والتزم ، إثبات للحكم في غير موضعه الأوّل</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الحاصل للمكلّف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جهة الشكّ في كون التخيير استمرارياً أو لا ، بعد البناء على أنّ المسألة اُصولية ، وأنّ في المسألة الاُصولية يجوز أن يكون التخيير بدوياً واستمرارياً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كون المسألة اُصولية أو فقهية ، بعد البناء على أنّها </w:t>
      </w:r>
    </w:p>
    <w:p>
      <w:pPr>
        <w:pStyle w:val="BookText"/>
        <w:rPr/>
      </w:pPr>
      <w:r>
        <w:rPr>
          <w:rFonts w:ascii="Amiri" w:hAnsi="Amiri" w:eastAsia="Amiri" w:cs="Amiri"/>
          <w:color w:val="111111"/>
          <w:sz w:val="28"/>
          <w:sz w:val="28"/>
          <w:szCs w:val="28"/>
          <w:rtl w:val="true"/>
          <w:lang w:bidi="ar-SA"/>
        </w:rPr>
        <w:t xml:space="preserve">إن كانت اُصولية يكون التخيير بدوياً ، وإن كانت فقهية يكون استمرارياً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كون الخطاب في المسألة الاُصولية عامّاً ، أو خاصّاً بالمجتهد ، بعد البناء على أ نّه لو كان عامّاً يكون التخيير استمرارياً ، بخلاف ما لو كان خاصّاً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كون الموضوع في أدلّة التخيير هو ذات المكلّف إذا لم يعلم الحقّ ، كما هو مفاد رواية ابن الجهم ؛ فإنّ ظاهرها أنّ الحكم بالتوسعة</w:t>
      </w:r>
    </w:p>
    <w:p>
      <w:pPr>
        <w:pStyle w:val="BookText"/>
        <w:rPr/>
      </w:pPr>
      <w:r>
        <w:rPr>
          <w:rFonts w:ascii="Amiri" w:hAnsi="Amiri" w:eastAsia="Amiri" w:cs="Amiri"/>
          <w:color w:val="111111"/>
          <w:sz w:val="28"/>
          <w:sz w:val="28"/>
          <w:szCs w:val="28"/>
          <w:rtl w:val="true"/>
          <w:lang w:bidi="ar-SA"/>
        </w:rPr>
        <w:t xml:space="preserve">لذات المكلّف ، وعدم العلم بالحقّ واسطة لثبوت الحكم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العالم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العنواني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 في وظيفته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يختر أحدهما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جميع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الصورتين الاُوليين فواضح ولو فرض أخذ موضوع الاستصحاب من الدليل ؛ لبقائه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ذات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العالم بأنّ أيّهما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الأخذ بأحدهما لا يجعله عالماً بحقّية أحدهما ؛ ضرورة أنّ حكمه بأخذ أحدهما ليس من باب حقّيته أو التعبّد بذلك ، بل إنّما هو من باب بيان الوظيفة في صورة الشكّ على ما ذكرنا في بعض الاُمور المتقدّمة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الصورتين الأخيرتين ؛ فلأنّ الموضوع فيهما عرفي ، وعنوان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بحسب المفهوم الكلّي مخالفاً لعنوان مقابله ، لكن مصداقه إذا وجد في الخارج وصدق عليه العنوان يثبت له الحكم ، فإذا زال العنوان بقي الموضوع قطعاً ؛ لأنّ المكلّف الموجود في الخارج ، إذا زال عنه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ينقلب عمّا هو عليه عرفاً ، فيكون إثبات حكم التخيير له بالاستصحاب إبقاءً للحكم السابق ، لا إسراءً من موضوع إلى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اُريد إثبات الحكم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 يكون من إسرائه إلى موضوع آخر ، لكن لا نريد إلاّ إثبات التخيير لزيد وعمرو بعد كونه ثابتاً لهما ؛ لأجل تطبيق العنوان عليهما ، نظير كافّة الأحكام الثابتة للعناوين الكلّية السارية منها إلى المعنونات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الأخيرتين ؛ أي فيما إذا كان منشأ الشكّ دوران الأمر بين مقطوع الزوال ومقطوع البقاء ، فجريانه أيضاً بلا مانع ؛ لأ نّه إمّا من جهة بقاء الموضوع ، فقد تقدّم الجواب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دوران المستصحب بين مقطوعين ، فقد تقدّم الجواب عنه في استصحاب القسم الثاني من الكلّي</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من جهة الشكّ في المقتضي ، فقد مرّ الجواب عنه في محلّه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208" w:name="pg15088_161841"/>
    </w:p>
    <w:p>
      <w:pPr>
        <w:pStyle w:val="Heading6"/>
        <w:numPr>
          <w:ilvl w:val="5"/>
          <w:numId w:val="1"/>
        </w:numPr>
        <w:rPr/>
      </w:pPr>
      <w:bookmarkStart w:id="209" w:name="__RefHeading___Toc995297_2142443653"/>
      <w:bookmarkStart w:id="210" w:name="_Toc75"/>
      <w:bookmarkEnd w:id="208"/>
      <w:bookmarkEnd w:id="209"/>
      <w:r>
        <w:rPr>
          <w:rtl w:val="true"/>
        </w:rPr>
        <w:t>الأمر الرابع</w:t>
      </w:r>
      <w:r>
        <w:rPr>
          <w:rtl w:val="true"/>
        </w:rPr>
        <w:t xml:space="preserve">: </w:t>
      </w:r>
      <w:r>
        <w:rPr>
          <w:rtl w:val="true"/>
        </w:rPr>
        <w:t>في شمول أخبار التخيير لجميع صور الخبرين المختلفين</w:t>
      </w:r>
      <w:bookmarkEnd w:id="210"/>
    </w:p>
    <w:p>
      <w:pPr>
        <w:pStyle w:val="BookText"/>
        <w:rPr/>
      </w:pPr>
      <w:r>
        <w:rPr>
          <w:rFonts w:ascii="Amiri" w:hAnsi="Amiri" w:eastAsia="Amiri" w:cs="Amiri"/>
          <w:color w:val="111111"/>
          <w:sz w:val="28"/>
          <w:sz w:val="28"/>
          <w:szCs w:val="28"/>
          <w:rtl w:val="true"/>
          <w:lang w:bidi="ar-SA"/>
        </w:rPr>
        <w:t xml:space="preserve">إنّ أدلّة التخيير والترجيح مختصّة بالخبرين المختلفين ، وصور مجيء الخبرين ووصولهما إلينا كثيرة حاصلة من الإخبار مع الواسطة ، فربّما يرد علينا خبران ممتازان في جميع سلسلة السند ، كما لو كان لنا طريق إلى الكليني ، وهو إلى الإمام ، عن علي بن إبراهيم ، عن أبيه ، عن حمّاد ، عن حَريز ، عن زرارة ، عن أبي عبداللّه ، وطريق آخر إلى الشيخ ، وهو إلى أبي عبداللّه بطريق آخر غير طريق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يرد علينا خبران مشتركان في جميع السلسلة ، فحدّثنا الكليني بطريقه المتقدّم بحديث وبما يخالفه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يشتركان في بعض ويمتازان في بعض ، وله صور كثيرة ، كالاشتراك في أوّل السلسلة ، أو وسطها ، أو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يحرز بالقرائن أنّ ما صدر من الإمام هو أحدهما ، وإنّما وقع الاختلاف من بعض النقلة ، وقد لا يحرز ذلك ، ويحتمل صدورهما ، وقد يحرز صدورهما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الاختلاف من جهة اختلاف نسخ الكتب ؛ لأجل اشتباه الناسخين ، لا النقلة ، وهذا قد يكون في الجوامع المتأخّرة ، كالكتب الأربعة ، وقد يكون في الجوامع والاُصول الأوّلية ، كما لو حدّثنا الشيخ بإسناده عن </w:t>
      </w:r>
    </w:p>
    <w:p>
      <w:pPr>
        <w:pStyle w:val="BookText"/>
        <w:rPr/>
      </w:pPr>
      <w:r>
        <w:rPr>
          <w:rFonts w:ascii="Amiri" w:hAnsi="Amiri" w:eastAsia="Amiri" w:cs="Amiri"/>
          <w:color w:val="111111"/>
          <w:sz w:val="28"/>
          <w:sz w:val="28"/>
          <w:szCs w:val="28"/>
          <w:rtl w:val="true"/>
          <w:lang w:bidi="ar-SA"/>
        </w:rPr>
        <w:t xml:space="preserve">كتاب الحسين بن سعيد حديثاً ، وروى الصدوق هذا الحديث عنه بزيادة أو نقيصة ، واُحرز كونهما من اختلاف النسخ ، وقد لا يحرز ذلك ، ويحتمل كونهما مختلفين لأجل السماع من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إشكال في شمول أخبار العلاج للإخبار مع الواسطة ، كما أنّه لا إشكال في 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بإلغاء الخصوصية وفهم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للخبرين مع اشتراكهما في جميع السلسلة ، أو بعضها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يجيئنا الرجلان وكلاهما ثقة بحديثين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مورده مجيء الرجلين ، لكنّ المتفاهم منه عرفاً أنّ الحديثين المختلفين بما هما مختلفان موضوع الحكم وإن أتى بهما شخص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إطلاقات أدلّة التراجيح تقتضي ذلك ، كقوله في صحيحة عبد الرحمان بن أبي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فاعرضوهما على كتاب اللّه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رواية محمّد بن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خبران مختلفان فانظروا إلى ما يخالف منهما العامّة</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إلى غير ذلك</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أخبار الترجيح والتخيير واحد ، فإذا حدّثنا الكليني ، عن علي بن إبراهيم ، عن أبيه ، عن حمّاد ، عن حَريز ، عن زرارة بحديثين </w:t>
      </w:r>
    </w:p>
    <w:p>
      <w:pPr>
        <w:pStyle w:val="BookText"/>
        <w:rPr/>
      </w:pPr>
      <w:r>
        <w:rPr>
          <w:rFonts w:ascii="Amiri" w:hAnsi="Amiri" w:eastAsia="Amiri" w:cs="Amiri"/>
          <w:color w:val="111111"/>
          <w:sz w:val="28"/>
          <w:sz w:val="28"/>
          <w:szCs w:val="28"/>
          <w:rtl w:val="true"/>
          <w:lang w:bidi="ar-SA"/>
        </w:rPr>
        <w:t xml:space="preserve">مختلفين ، يصدق عليهما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اختلاف نقل الشيخ والصدوق مثلاً عن الجوامع الأوّلية ، فالظاهر أ نّه أيضاً من اختلاف الحديثين ؛ لأنّ بناء السلف كان على قراءة الحديث والسماع من المشايخ ، لا الأخذ من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اختلاف نسخ الجوامع المتأخّرة إنّما هو من اشتباه النسّاخ ، ولا يندرج في أخبار العلاج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اُحرز كون الصادر من الإمام علیه السلام حديثاً واحداً ، وكان الاشتباه من النقلة ، يشكل الاندراج ، وإن لم يبعد ببعض المناسبات المرتكزة في ذهن العرف ، بل إطلاق بعض أدلّة الترجيح مع وحدة الموضوع يقتضي الشمول ، فتدبّر جيّداً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أحكام المتكافئين </w:t>
      </w:r>
      <w:r>
        <w:rPr>
          <w:rFonts w:eastAsia="Amiri" w:cs="Amiri" w:ascii="Amiri" w:hAnsi="Amiri"/>
          <w:color w:val="111111"/>
          <w:sz w:val="28"/>
          <w:szCs w:val="28"/>
          <w:rtl w:val="true"/>
          <w:lang w:bidi="ar-SA"/>
        </w:rPr>
        <w:t xml:space="preserve">. </w:t>
      </w:r>
      <w:bookmarkStart w:id="211" w:name="pg15088_161844"/>
    </w:p>
    <w:p>
      <w:pPr>
        <w:pStyle w:val="Heading3"/>
        <w:numPr>
          <w:ilvl w:val="2"/>
          <w:numId w:val="1"/>
        </w:numPr>
        <w:rPr/>
      </w:pPr>
      <w:bookmarkStart w:id="212" w:name="__RefHeading___Toc995299_2142443653"/>
      <w:bookmarkStart w:id="213" w:name="_Toc76"/>
      <w:bookmarkEnd w:id="211"/>
      <w:bookmarkEnd w:id="212"/>
      <w:r>
        <w:rPr>
          <w:rtl w:val="true"/>
        </w:rPr>
        <w:t>المقصد الثاني</w:t>
      </w:r>
      <w:r>
        <w:rPr>
          <w:rtl w:val="true"/>
        </w:rPr>
        <w:t xml:space="preserve">: </w:t>
      </w:r>
      <w:r>
        <w:rPr>
          <w:rtl w:val="true"/>
        </w:rPr>
        <w:t>فيما إذا كانت لأحد الخبرين مزيّة</w:t>
      </w:r>
      <w:bookmarkEnd w:id="213"/>
    </w:p>
    <w:p>
      <w:pPr>
        <w:pStyle w:val="Heading4"/>
        <w:numPr>
          <w:ilvl w:val="3"/>
          <w:numId w:val="1"/>
        </w:numPr>
        <w:rPr/>
      </w:pPr>
      <w:bookmarkStart w:id="214" w:name="__RefHeading___Toc995301_2142443653"/>
      <w:bookmarkStart w:id="215" w:name="_Toc77"/>
      <w:bookmarkEnd w:id="214"/>
      <w:r>
        <w:rPr>
          <w:rtl w:val="true"/>
        </w:rPr>
        <w:t xml:space="preserve">ويتمّ البحث فيه في ضمن اُمور </w:t>
      </w:r>
      <w:r>
        <w:rPr>
          <w:rtl w:val="true"/>
        </w:rPr>
        <w:t>:</w:t>
      </w:r>
      <w:bookmarkEnd w:id="21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6" w:name="__RefHeading___Toc995303_2142443653"/>
      <w:bookmarkStart w:id="217" w:name="_Toc78"/>
      <w:bookmarkEnd w:id="216"/>
      <w:r>
        <w:rPr>
          <w:rtl w:val="true"/>
        </w:rPr>
        <w:t>اشارة</w:t>
      </w:r>
      <w:bookmarkEnd w:id="21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5088_161846"/>
      <w:bookmarkStart w:id="219" w:name="pg15088_161846"/>
      <w:bookmarkEnd w:id="219"/>
    </w:p>
    <w:p>
      <w:pPr>
        <w:pStyle w:val="Heading5"/>
        <w:numPr>
          <w:ilvl w:val="4"/>
          <w:numId w:val="1"/>
        </w:numPr>
        <w:rPr/>
      </w:pPr>
      <w:bookmarkStart w:id="220" w:name="pg15088_161846"/>
      <w:bookmarkStart w:id="221" w:name="__RefHeading___Toc995305_2142443653"/>
      <w:bookmarkStart w:id="222" w:name="_Toc79"/>
      <w:bookmarkEnd w:id="220"/>
      <w:bookmarkEnd w:id="221"/>
      <w:r>
        <w:rPr>
          <w:rtl w:val="true"/>
        </w:rPr>
        <w:t>الأمر الأوّل</w:t>
      </w:r>
      <w:r>
        <w:rPr>
          <w:rtl w:val="true"/>
        </w:rPr>
        <w:t xml:space="preserve">: </w:t>
      </w:r>
      <w:r>
        <w:rPr>
          <w:rtl w:val="true"/>
        </w:rPr>
        <w:t>في مقتضى الأصل في المقام</w:t>
      </w:r>
      <w:bookmarkEnd w:id="222"/>
    </w:p>
    <w:p>
      <w:pPr>
        <w:pStyle w:val="BookText"/>
        <w:rPr/>
      </w:pPr>
      <w:r>
        <w:rPr>
          <w:rFonts w:ascii="Amiri" w:hAnsi="Amiri" w:eastAsia="Amiri" w:cs="Amiri"/>
          <w:color w:val="111111"/>
          <w:sz w:val="28"/>
          <w:sz w:val="28"/>
          <w:szCs w:val="28"/>
          <w:rtl w:val="true"/>
          <w:lang w:bidi="ar-SA"/>
        </w:rPr>
        <w:t>قد عرفت مقتضى الأصل الأوّلي على الطريقية والسببية في المتعادلين</w:t>
      </w:r>
      <w:r>
        <w:rPr>
          <w:rStyle w:val="FootnoteAnchor"/>
          <w:rtl w:val="true"/>
        </w:rPr>
        <w:footnoteReference w:id="182"/>
      </w:r>
      <w:r>
        <w:rPr>
          <w:rFonts w:ascii="Amiri" w:hAnsi="Amiri" w:eastAsia="Amiri" w:cs="Amiri"/>
          <w:color w:val="111111"/>
          <w:sz w:val="28"/>
          <w:sz w:val="28"/>
          <w:szCs w:val="28"/>
          <w:rtl w:val="true"/>
          <w:lang w:bidi="ar-SA"/>
        </w:rPr>
        <w:t>وأمّا مع المزيّة إن لم تكن مرجّحة عقلائية ، فالأصل فيهما على الطريقية هو سقوطهما ؛ لأنّ المزيّة غير العقلائية لا توجب الخروج عن الأصل الأوّلي ، لكنّ الكلام في المقام بعد الفراغ عن لزوم الخروج عن الأصل الأوّلي بواسطة الإجماع أو الأخبار ؛ وأنّ الأصل مع قطع النظر عن أخبار العلاج ما هو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ورود الدليل على لزوم الخروج عن الأصل الأوّلي ، ودوران الأمر بين وجوب الأخذ بأحد المتعارضين على سبيل التخيير ، أو الأخذ بذي المزيّة على سبيل التعيين ، هل الأصل يقتضي التخيير أو التعيين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يقع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الطريقية ، وقد استقصينا </w:t>
      </w:r>
    </w:p>
    <w:p>
      <w:pPr>
        <w:pStyle w:val="BookText"/>
        <w:rPr/>
      </w:pPr>
      <w:r>
        <w:rPr>
          <w:rFonts w:ascii="Amiri" w:hAnsi="Amiri" w:eastAsia="Amiri" w:cs="Amiri"/>
          <w:color w:val="111111"/>
          <w:sz w:val="28"/>
          <w:sz w:val="28"/>
          <w:szCs w:val="28"/>
          <w:rtl w:val="true"/>
          <w:lang w:bidi="ar-SA"/>
        </w:rPr>
        <w:t>الكلام في أقسام الدوران بينهما في مباحث البراءة</w:t>
      </w:r>
      <w:r>
        <w:rPr>
          <w:rStyle w:val="FootnoteAnchor"/>
          <w:rtl w:val="true"/>
        </w:rPr>
        <w:footnoteReference w:id="183"/>
      </w:r>
      <w:r>
        <w:rPr>
          <w:rFonts w:ascii="Amiri" w:hAnsi="Amiri" w:eastAsia="Amiri" w:cs="Amiri"/>
          <w:color w:val="111111"/>
          <w:sz w:val="28"/>
          <w:sz w:val="28"/>
          <w:szCs w:val="28"/>
          <w:rtl w:val="true"/>
          <w:lang w:bidi="ar-SA"/>
        </w:rPr>
        <w:t xml:space="preserve">ولهذا نطوي الكلام هاهنا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مقتضى الأصل على الطريقية هو التعيين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في الدوران في غير ذلك ؛ لأنّ مقتضى الأصل الأوّلي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الحجّية وسقوط المتعارضين ، ولا بدّ من قيام دليل قطعي الاعتبار على جواز العمل أو وجوبه على طبق أحدهما معيّناً أو مخيّراً حتّى نخرج عن 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الشكّ في قيام دليل على اعتبار أمارة ، مساوق للقطع بعدم حجّيتها ؛ لأنّ الحجّية لا تكون إلاّ مع قيام دليل ، ولا يمكن أن يدخلها الشكّ ، فإذا شكّ في قيام دليل على وجوب العمل أو جوازه بأحد الخبرين تخييراً أو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الدليل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اعتبار ذي المزيّة متيقّناً ، وغيره مشكوكاً فيه ، وهو مساوق للقطع بعدم حجّيته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السببية ، فلعلّه يختلف حسب اختلاف معاني السببية ، فقد يكونان من قبيل المتزاحمين ، وقد لا يكونان كذلك ، والأمر سهل بعد بطلان المبنى </w:t>
      </w:r>
      <w:r>
        <w:rPr>
          <w:rFonts w:eastAsia="Amiri" w:cs="Amiri" w:ascii="Amiri" w:hAnsi="Amiri"/>
          <w:color w:val="111111"/>
          <w:sz w:val="28"/>
          <w:szCs w:val="28"/>
          <w:rtl w:val="true"/>
          <w:lang w:bidi="ar-SA"/>
        </w:rPr>
        <w:t xml:space="preserve">. </w:t>
      </w:r>
      <w:bookmarkStart w:id="223" w:name="pg15088_161848"/>
    </w:p>
    <w:p>
      <w:pPr>
        <w:pStyle w:val="Heading5"/>
        <w:numPr>
          <w:ilvl w:val="4"/>
          <w:numId w:val="1"/>
        </w:numPr>
        <w:rPr/>
      </w:pPr>
      <w:bookmarkStart w:id="224" w:name="__RefHeading___Toc995307_2142443653"/>
      <w:bookmarkStart w:id="225" w:name="_Toc80"/>
      <w:bookmarkEnd w:id="223"/>
      <w:bookmarkEnd w:id="224"/>
      <w:r>
        <w:rPr>
          <w:rtl w:val="true"/>
        </w:rPr>
        <w:t>الأمر الثاني</w:t>
      </w:r>
      <w:r>
        <w:rPr>
          <w:rtl w:val="true"/>
        </w:rPr>
        <w:t xml:space="preserve">: </w:t>
      </w:r>
      <w:r>
        <w:rPr>
          <w:rtl w:val="true"/>
        </w:rPr>
        <w:t>في حال أخبار العلاج</w:t>
      </w:r>
      <w:bookmarkEnd w:id="225"/>
    </w:p>
    <w:p>
      <w:pPr>
        <w:pStyle w:val="Heading6"/>
        <w:numPr>
          <w:ilvl w:val="5"/>
          <w:numId w:val="1"/>
        </w:numPr>
        <w:rPr/>
      </w:pPr>
      <w:bookmarkStart w:id="226" w:name="__RefHeading___Toc995309_2142443653"/>
      <w:bookmarkStart w:id="227" w:name="_Toc81"/>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بعد 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مع احتمال المزيّة هو التعيين ، قد استدلّ على وجوب الأخذ بذي المزيّة بوجوه ، عمدتها الأخبار الواردة في العلاج</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على تمامية دلالتها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الاختلافات الكثيرة في نفس تلك الأخبار ، شاهدة على عدم وجوب الترجيح</w:t>
      </w:r>
      <w:r>
        <w:rPr>
          <w:rStyle w:val="FootnoteAnchor"/>
          <w:rtl w:val="true"/>
        </w:rPr>
        <w:footnoteReference w:id="185"/>
      </w:r>
      <w:r>
        <w:rPr>
          <w:rFonts w:ascii="Amiri" w:hAnsi="Amiri" w:eastAsia="Amiri" w:cs="Amiri"/>
          <w:color w:val="111111"/>
          <w:sz w:val="28"/>
          <w:sz w:val="28"/>
          <w:szCs w:val="28"/>
          <w:rtl w:val="true"/>
          <w:lang w:bidi="ar-SA"/>
        </w:rPr>
        <w:t>، فإنّ في بعضها يكون الترجيح بالأعدلية والأفقهية أوّلَ المرجّحات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 الاشتهار بين الأصحاب أوّلَها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كثير منها جعل الترجيح بمخالفة العامّة بنحو الإطلاق</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بموافقة الكتاب كذلك</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اُمر بالإرجاء بعد عدم المرجّح</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اُمر بالاحتياط ثمّ التخيير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فنفس هذه الاختلافات الكثيرة تمنع عن حمل الأوامر فيها على الوجوب ، فلا بدّ من حملها على الاستحباب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دائر بين تقييد إطلاقات كثيرة في مقام البيان في أخبار التخيير ، وحملِ الأوامر على الوجوب</w:t>
      </w:r>
      <w:r>
        <w:rPr>
          <w:rStyle w:val="FootnoteAnchor"/>
          <w:rtl w:val="true"/>
        </w:rPr>
        <w:footnoteReference w:id="192"/>
      </w:r>
      <w:r>
        <w:rPr>
          <w:rFonts w:ascii="Amiri" w:hAnsi="Amiri" w:eastAsia="Amiri" w:cs="Amiri"/>
          <w:color w:val="111111"/>
          <w:sz w:val="28"/>
          <w:sz w:val="28"/>
          <w:szCs w:val="28"/>
          <w:rtl w:val="true"/>
          <w:lang w:bidi="ar-SA"/>
        </w:rPr>
        <w:t xml:space="preserve">، ولا يمكن تقييدها ؛ لأ نّه قلّما يتّفق أن يخلو أحد الخبرين عن إحدى المرجّحات على كثرتها ؛ لأنّ كون الخبرين في جميع سلسلة سندهما متساويين في العدالة والفقاهة والورع والأوثقية في النفس ، ومضمونِهما موافقاً للكتاب والسنّة أو مخالفاً لهما ، ومشهوراً بين الأصحاب أو غير مشهور ، نادر جدّاً ، خصوصاً إذا تعدّينا إلى المرجّحات الغير </w:t>
      </w:r>
    </w:p>
    <w:p>
      <w:pPr>
        <w:pStyle w:val="BookText"/>
        <w:rPr/>
      </w:pPr>
      <w:r>
        <w:rPr>
          <w:rFonts w:ascii="Amiri" w:hAnsi="Amiri" w:eastAsia="Amiri" w:cs="Amiri"/>
          <w:color w:val="111111"/>
          <w:sz w:val="28"/>
          <w:sz w:val="28"/>
          <w:szCs w:val="28"/>
          <w:rtl w:val="true"/>
          <w:lang w:bidi="ar-SA"/>
        </w:rPr>
        <w:t xml:space="preserve">المنصوصة ، فلا بدّ من حمل الأوامر الواردة في الترجيحات على الاستحباب ؛ حفظاً لإطلاق أخبار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الإشكالين ، ومنشأ توهّم ورودهما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اعتبار المرفوعة ولو لأجل اشتهارها بين الأصحاب ، وعدِّها من أخبار العلاج ، وقد تقدّم</w:t>
      </w:r>
      <w:r>
        <w:rPr>
          <w:rStyle w:val="FootnoteAnchor"/>
          <w:rtl w:val="true"/>
        </w:rPr>
        <w:footnoteReference w:id="193"/>
      </w:r>
      <w:r>
        <w:rPr>
          <w:rFonts w:ascii="Amiri" w:hAnsi="Amiri" w:eastAsia="Amiri" w:cs="Amiri"/>
          <w:color w:val="111111"/>
          <w:sz w:val="28"/>
          <w:sz w:val="28"/>
          <w:szCs w:val="28"/>
          <w:rtl w:val="true"/>
          <w:lang w:bidi="ar-SA"/>
        </w:rPr>
        <w:t xml:space="preserve">أ نّها غير صالحة للتمسّك ، ولا يمكن إثبات حكم بها ، والاشتهار من زمن ابن أبي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جابراً ، فهي مرسلة في غاية الضعف والوهن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الأعدلية والأفقهية والأصدقية في الحديث والأورعية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وقعت في المقبولة</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للحديثين المتعارضين ، مع أنّ المقبولة</w:t>
      </w:r>
    </w:p>
    <w:p>
      <w:pPr>
        <w:pStyle w:val="BookText"/>
        <w:rPr/>
      </w:pPr>
      <w:r>
        <w:rPr>
          <w:rFonts w:ascii="Amiri" w:hAnsi="Amiri" w:eastAsia="Amiri" w:cs="Amiri"/>
          <w:color w:val="111111"/>
          <w:sz w:val="28"/>
          <w:sz w:val="28"/>
          <w:szCs w:val="28"/>
          <w:rtl w:val="true"/>
          <w:lang w:bidi="ar-SA"/>
        </w:rPr>
        <w:t xml:space="preserve">آبية عنه ،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ندّع أنّه صريح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من مرجّحات حكم الحَكَمين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وورود الإشكال أو الإشكالات عليها 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صحّة التمسّك بها لترجيح الخبرين ، وسيأتي مزيد توضيح لذلك</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كون الاشتهار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مرجّحات الخبرين كسائر المرجّحات وفي عرضها ، مع أنّ الاشتهار فيها هو الاشتهار في الفتوى كما سيأتي بيانه</w:t>
      </w:r>
      <w:r>
        <w:rPr>
          <w:rStyle w:val="FootnoteAnchor"/>
          <w:rtl w:val="true"/>
        </w:rPr>
        <w:footnoteReference w:id="196"/>
      </w:r>
      <w:r>
        <w:rPr>
          <w:rFonts w:ascii="Amiri" w:hAnsi="Amiri" w:eastAsia="Amiri" w:cs="Amiri"/>
          <w:color w:val="111111"/>
          <w:sz w:val="28"/>
          <w:sz w:val="28"/>
          <w:szCs w:val="28"/>
          <w:rtl w:val="true"/>
          <w:lang w:bidi="ar-SA"/>
        </w:rPr>
        <w:t xml:space="preserve">وفي مقابله النادر الشاذّ ، وهو يجعل </w:t>
      </w:r>
      <w:bookmarkStart w:id="228" w:name="pg15088_161851"/>
    </w:p>
    <w:p>
      <w:pPr>
        <w:pStyle w:val="BookText"/>
        <w:rPr/>
      </w:pPr>
      <w:bookmarkEnd w:id="228"/>
      <w:r>
        <w:rPr>
          <w:rFonts w:ascii="Amiri" w:hAnsi="Amiri" w:eastAsia="Amiri" w:cs="Amiri"/>
          <w:color w:val="111111"/>
          <w:sz w:val="28"/>
          <w:sz w:val="28"/>
          <w:szCs w:val="28"/>
          <w:rtl w:val="true"/>
          <w:lang w:bidi="ar-SA"/>
        </w:rPr>
        <w:t xml:space="preserve">الخبر بيّن الرشد ، ومقابله بيّن الغيّ ، بل نفس كون الخبر مجمعاً عليه بين الأصحاب بهذا المعنى يجعله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نفس هذا الإجماع والاشتهار حجّة ، ومقابله الشاذّ النادر الذي أعرض عنه الأصحاب ، وهو يسقطه عن الحجّية ، ويجعله بيّن الغيّ ، مع أنّ ظاهر المقبولة كون الاشتهار بين الأصحاب في مدرك حكم أحد الحكمين من مرجّحات حكمه ، لا من مرجّحات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ظاهر ذيله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الخبران عنكم 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السائل إلى السؤال عن الخبرين ، وأجاب عن مرجّحاتهما ، وإن كان الأقرب كونه من مدرك الحكمين أيضاً ؛ لوحدة السياق ، وكون السؤال قبل هذه الفقرة وبعدها عن حكم الحكمين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المقبولة غير مربوطة بما نحن فيه ، فالواجب بسط الكلام في فقه الحديث بعد نقله بتمامه ؛ لأ نّه من المهمّات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المسائل من أهمّ المسائل الاُصولية </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995311_2142443653"/>
      <w:bookmarkStart w:id="230" w:name="_Toc82"/>
      <w:bookmarkEnd w:id="229"/>
      <w:r>
        <w:rPr>
          <w:rtl w:val="true"/>
        </w:rPr>
        <w:t>الكلام حول مقبولة عمر بن حنظلة</w:t>
      </w:r>
      <w:bookmarkEnd w:id="230"/>
    </w:p>
    <w:p>
      <w:pPr>
        <w:pStyle w:val="BookText"/>
        <w:rPr/>
      </w:pPr>
      <w:r>
        <w:rPr>
          <w:rFonts w:ascii="IRNazanin" w:hAnsi="IRNazanin" w:eastAsia="IRNazanin"/>
          <w:color w:val="111111"/>
          <w:sz w:val="28"/>
          <w:sz w:val="28"/>
          <w:szCs w:val="28"/>
          <w:rtl w:val="true"/>
          <w:lang w:bidi="fa-IR"/>
        </w:rPr>
        <w:t xml:space="preserve">فنقول وعلى اللّه التكلان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المشايخ الثلاثة بإسنادهم 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رجلين من أصحابنا ، يكون بينهما منازعة في دَين أو ميراث ، فتحاكما إلى السلطان أو إلى القضاة ، أيحلّ ذلك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تحاكم إليهم في حقّ أو باطل فإنّما تحاكم إلى الطاغوت ، وما يحكم له فإنّما يأخذه سحتاً وإن كان حقّه ثابتاً ؛ لأ نّه أخذه بحكم الطاغوت ، </w:t>
      </w:r>
    </w:p>
    <w:p>
      <w:pPr>
        <w:pStyle w:val="BookText"/>
        <w:rPr/>
      </w:pPr>
      <w:r>
        <w:rPr>
          <w:rFonts w:ascii="Amiri" w:hAnsi="Amiri" w:eastAsia="Amiri" w:cs="Amiri"/>
          <w:color w:val="111111"/>
          <w:sz w:val="28"/>
          <w:sz w:val="28"/>
          <w:szCs w:val="28"/>
          <w:rtl w:val="true"/>
          <w:lang w:bidi="ar-SA"/>
        </w:rPr>
        <w:t xml:space="preserve">وإنّما أمر اللّه أن يكفر به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ممّن قد روى حديثنا ، ونظر في حلالنا وحرامنا ، وعرف أحكامنا ، فليرضوا به حكماً ؛ فإنّي قد جعلته عليكم حاكماً ، فإذا حكم بحكمنا فلم يقبل منه فإنّما استخفّ بحكم اللّه ، وعلينا ردّ ، والرادّ علينا الرادّ على اللّه ، وهو على حدّ الشرك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واحد اختار رجلاً من أصحابنا ، فرضيا أن يكونا ناظرين في حقّهما ، فاختلفا فيما حكما فيه ، وكلاهما اختلفا في حديثكم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 ، ولا يلتفت إلى ما يحكم به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عند أصحابنا ، لا يفضل واحد منهما على الآخر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w:t>
      </w:r>
      <w:r>
        <w:rPr>
          <w:rStyle w:val="FootnoteAnchor"/>
          <w:rtl w:val="true"/>
        </w:rPr>
        <w:footnoteReference w:id="198"/>
      </w:r>
      <w:r>
        <w:rPr>
          <w:rFonts w:ascii="Amiri" w:hAnsi="Amiri" w:eastAsia="Amiri" w:cs="Amiri"/>
          <w:color w:val="111111"/>
          <w:sz w:val="28"/>
          <w:sz w:val="28"/>
          <w:szCs w:val="28"/>
          <w:rtl w:val="true"/>
          <w:lang w:bidi="ar-SA"/>
        </w:rPr>
        <w:t>عنّا في ذلك الذي حكما به المجمع عليه بين أصحابك ، فيؤخذ به من حكمنا</w:t>
      </w:r>
      <w:r>
        <w:rPr>
          <w:rStyle w:val="FootnoteAnchor"/>
          <w:rtl w:val="true"/>
        </w:rPr>
        <w:footnoteReference w:id="199"/>
      </w:r>
      <w:r>
        <w:rPr>
          <w:rFonts w:ascii="Amiri" w:hAnsi="Amiri" w:eastAsia="Amiri" w:cs="Amiri"/>
          <w:color w:val="111111"/>
          <w:sz w:val="28"/>
          <w:sz w:val="28"/>
          <w:szCs w:val="28"/>
          <w:rtl w:val="true"/>
          <w:lang w:bidi="ar-SA"/>
        </w:rPr>
        <w:t xml:space="preserve">ويترك الشاذّ الذي ليس بمشهور عند أصحابك ؛ فإنّ المجمع عليه لا ريب فيه ، وإنّما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 وأمر بيّن غيّه فيجتنب ، وأمر مشكل يردّ حكمه إلى اللّه وإلى </w:t>
      </w:r>
    </w:p>
    <w:p>
      <w:pPr>
        <w:pStyle w:val="BookText"/>
        <w:rPr/>
      </w:pPr>
      <w:r>
        <w:rPr>
          <w:rFonts w:ascii="Amiri" w:hAnsi="Amiri" w:eastAsia="Amiri" w:cs="Amiri"/>
          <w:color w:val="111111"/>
          <w:sz w:val="28"/>
          <w:sz w:val="28"/>
          <w:szCs w:val="28"/>
          <w:rtl w:val="true"/>
          <w:lang w:bidi="ar-SA"/>
        </w:rPr>
        <w:t xml:space="preserve">رسوله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 وحرام بيّن ، وشبهات بين ذلك ، فمن ترك الشبهات نجا من المحرّمات ، ومن أخذ بالشبهات ارتكب المحرّمات ، وهلك من حيث لا يعلم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w:t>
      </w:r>
      <w:r>
        <w:rPr>
          <w:rStyle w:val="FootnoteAnchor"/>
          <w:rtl w:val="true"/>
        </w:rPr>
        <w:footnoteReference w:id="200"/>
      </w:r>
      <w:r>
        <w:rPr>
          <w:rFonts w:ascii="Amiri" w:hAnsi="Amiri" w:eastAsia="Amiri" w:cs="Amiri"/>
          <w:color w:val="111111"/>
          <w:sz w:val="28"/>
          <w:sz w:val="28"/>
          <w:szCs w:val="28"/>
          <w:rtl w:val="true"/>
          <w:lang w:bidi="ar-SA"/>
        </w:rPr>
        <w:t>مشهورين ، قد رواهما الثقات عنكم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ما وافق حكمه حكم الكتاب والسنّة وخالف العامّة فيؤخذ به ، ويترك ما خالف الكتاب والسنّة ووافق العامّة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أرأيت إن كان الفقيهان عرفا حكمه من الكتاب والسنّة ، فوجدنا أحد الخبرين موافقاً للعامّة ، والآخر مخالفاً لهم ، بأيّ الخبرين يؤخذ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فإن وافقها</w:t>
      </w:r>
      <w:r>
        <w:rPr>
          <w:rStyle w:val="FootnoteAnchor"/>
          <w:rtl w:val="true"/>
        </w:rPr>
        <w:footnoteReference w:id="201"/>
      </w:r>
      <w:r>
        <w:rPr>
          <w:rFonts w:ascii="Amiri" w:hAnsi="Amiri" w:eastAsia="Amiri" w:cs="Amiri"/>
          <w:color w:val="111111"/>
          <w:sz w:val="28"/>
          <w:sz w:val="28"/>
          <w:szCs w:val="28"/>
          <w:rtl w:val="true"/>
          <w:lang w:bidi="ar-SA"/>
        </w:rPr>
        <w:t>الخبران جميعاً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هم أميل إليه حكّامهم وقضاتهم فيترك ، ويؤخذ بالآخر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فأرجه حتّى تلقى إمامك ؛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أ نّه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منازعة بينهما في دَين أو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ناظراً إلى خصوصيتهما ، بل ذكرهما من باب المثال ، وإنّما نظره إلى جواز الرجوع إلى السلطان والقضاة في المحاكمات ، فأجاب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التحاكم عندهم تحاكم إلى الطاغوت ، وما يأخذه بحكمهم سحت وإن كان حقّه ثابتاً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بعد بيان حكم المسألة سأل عن الوظيفة في المنازعات ، فأجاب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ينظران إلى من كان منكم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إشكال في قوّة ظهور هذه الجمل كلّ واحدة عقيب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منكم ممّن روى حديثنا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والرادّ علينا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الحكم الفاصل للخصومة كما هو واضح ، وجعله علیه السلام من كان بهذه الأوصاف حاكماً ؛ إنّما هو لأجل منصبه المجعول من قبل اللّه ، أي من حيث كونه إماماً منصوباً من قبل اللّه ، وحاكماً وسلطاناً على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فحينئذٍ يكون ردّ الحاكم المنصوب من قبلهم في حكمه ، ردّاً عليهم وعلى اللّه تعالى حقيقة ؛ لأنّ لازم نصب الحاكم هو الأمر بلزوم طاعته ، فاللّه تعالى نصب رسول اللّه والأئمّة علیهم السلام سلاطين على العباد ، وأوجب طاعتهم ، وأبو عبداللّه علیه السلام نصب الفقهاء حكّاماً عليهم من حيث كونه سلطاناً ، فحينئذٍ يكون ردّ الحاكم المنصوب من قبله ردّاً عليهم ، وردّهم ردّاً على اللّه تعالى ، ولا إشكال في الرواية إلى هاهنا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سأل عن اختيار كلّ منهما رجلاً من أصحابنا ليكونا ناظرين في حقّهما ، ومراده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الحكمين ، كما هو المتعارف بين الناس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فاختلفا فيما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منهما حكم في القضيّة بما يخالف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اختلفا في حديثكم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منشأ اختلافهما اختلافَ رأيهما في حديثكم ، ويمكن أن يكون الاختلاف في حديثهم لأجل اختلافهما في معنى حديث واحد أو في حديثين ؛ بأن استند كلّ منهما إلى حديث وأنكره الآخر ، أو رجّحه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ما حكم به أعدلهما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أي النافذ من الحكمين هو حكم الأعدل ، ولا يلتفت إلى حكم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ولهاتين الجملتين أيضاً ظهور قويّ في أنّ الترجيح مربوط بحكم الحاكمين ، لا بالفتوى والرأي ، ولا بالرواية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له ما رواه الصدوق بإسناده عن داود بن الحصين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اتّفقا على عدلين جعلاهما بينهما في حكمٍ وقع بينهما فيه خلاف ، فرضيا بالعدلين ، فاختلف العدلان بينهما ، عن قول أيّهما يمضي الحكم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أفقههما وأعلمهما بأحاديثنا وأورعهما فينفذ حكمه ، ولا يلتفت إلى الآخر</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بناءً على كونها رواية مستقلّة ، لا قطعة من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الشيخ بإسناده عن موسى بن أكيل</w:t>
      </w:r>
      <w:r>
        <w:rPr>
          <w:rStyle w:val="FootnoteAnchor"/>
          <w:rtl w:val="true"/>
        </w:rPr>
        <w:footnoteReference w:id="204"/>
      </w:r>
      <w:r>
        <w:rPr>
          <w:rFonts w:ascii="IRNazanin" w:hAnsi="IRNazanin" w:eastAsia="IRNazanin"/>
          <w:color w:val="111111"/>
          <w:sz w:val="28"/>
          <w:sz w:val="28"/>
          <w:szCs w:val="28"/>
          <w:rtl w:val="true"/>
          <w:lang w:bidi="fa-IR"/>
        </w:rPr>
        <w:t xml:space="preserve">،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يكون بينه وبين أخ له منازعة في حقّ ، فيتّفقان على رجلين يكونان بينهما ، فحكما فاختلفا فيما حكما </w:t>
      </w:r>
      <w:r>
        <w:rPr>
          <w:rFonts w:eastAsia="IRNazanin" w:cs="IRNazanin"/>
          <w:color w:val="111111"/>
          <w:sz w:val="28"/>
          <w:szCs w:val="28"/>
          <w:rtl w:val="true"/>
          <w:lang w:bidi="fa-IR"/>
        </w:rPr>
        <w:t xml:space="preserve">. </w:t>
      </w:r>
      <w:bookmarkStart w:id="231" w:name="pg15088_161856"/>
    </w:p>
    <w:p>
      <w:pPr>
        <w:pStyle w:val="BookText"/>
        <w:rPr/>
      </w:pPr>
      <w:bookmarkEnd w:id="23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يختلفان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كلّ واحد منهما للذي اختاره الخصمان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أعدلهما وأفقههما في دين اللّه فيمضي حكمه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تدلّ على نفوذ حكم الأعدل الأفقه ، ومضمونهما عين مضمون المقبولة ، ومع ذلك لم يستدلّوا بهما على الترجيح في باب تعارض الروايتين ، وليس ذلك إلاّ لعدم ربطهما بما نحن فيه ، وكذا الحال في المقبولة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المجمع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بعد فرض تساوي الحَكَمين في الفقه والعدالة ، أرجعه إلى النظر لمدرك حكمهما ؛ أي الروايتين اللتين كان حكمهما مستنداً إليهما ، فما كان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يؤخذ به من الحكمين ، ويترك الشاذّ </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995313_2142443653"/>
      <w:bookmarkStart w:id="233" w:name="_Toc83"/>
      <w:bookmarkEnd w:id="232"/>
      <w:r>
        <w:rPr>
          <w:rtl w:val="true"/>
        </w:rPr>
        <w:t xml:space="preserve">في معنى </w:t>
      </w:r>
      <w:r>
        <w:rPr>
          <w:rtl w:val="true"/>
        </w:rPr>
        <w:t>«</w:t>
      </w:r>
      <w:r>
        <w:rPr>
          <w:rtl w:val="true"/>
        </w:rPr>
        <w:t>المجمع عليه بين الأصحاب</w:t>
      </w:r>
      <w:r>
        <w:rPr>
          <w:rtl w:val="true"/>
        </w:rPr>
        <w:t>»</w:t>
      </w:r>
      <w:bookmarkEnd w:id="233"/>
    </w:p>
    <w:p>
      <w:pPr>
        <w:pStyle w:val="BookText"/>
        <w:rPr/>
      </w:pPr>
      <w:r>
        <w:rPr>
          <w:rFonts w:ascii="Amiri" w:hAnsi="Amiri" w:eastAsia="Amiri" w:cs="Amiri"/>
          <w:color w:val="111111"/>
          <w:sz w:val="28"/>
          <w:sz w:val="28"/>
          <w:szCs w:val="28"/>
          <w:rtl w:val="true"/>
          <w:lang w:bidi="ar-SA"/>
        </w:rPr>
        <w:t xml:space="preserve">والظاهر أنّ المراد من المجمع عليه بين الأصحاب والمشهور الواضح بينهم ، هو الشهرة الفتوائية ، لا الروائية ؛ فإنّ معنى المجمع عليه بينهم والمشهور لديهم ليس إلاّ هي ، كما أنّ الموصوف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عليه الشهرة الفتوائية ؛ بحيث كان مقابله الشاذّ النادر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نفس شهرة الرواية مجرّدة عن الفتوى فهي مورثة للريب ، بل للاطمئنان أو اليقين بخلل فيها ، بخلاف ما إذا اشتهرت رواية بين الأصحاب </w:t>
      </w:r>
    </w:p>
    <w:p>
      <w:pPr>
        <w:pStyle w:val="BookText"/>
        <w:rPr/>
      </w:pPr>
      <w:r>
        <w:rPr>
          <w:rFonts w:ascii="Amiri" w:hAnsi="Amiri" w:eastAsia="Amiri" w:cs="Amiri"/>
          <w:color w:val="111111"/>
          <w:sz w:val="28"/>
          <w:sz w:val="28"/>
          <w:szCs w:val="28"/>
          <w:rtl w:val="true"/>
          <w:lang w:bidi="ar-SA"/>
        </w:rPr>
        <w:t xml:space="preserve">بحسب الفتوى ؛ بحيث صار مقابلها من الشاذّ النادر ؛ فإنّها تصير لأجله ممّا لا ريب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جعل التعبّد بذلك ، بل تنبيه بأمر عقلائي ارتكازي بين العقلاء ؛ فإنّ الإجماع والاشتهار بين بِطانة كلّ رئيس يكشف عن رضاه به ، فإحدى الروايتين إذا كانت بهذه الصفة يؤخذ بها وبالحكم المستند إليها ، ويترك الشاذّ المقابل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الاُمور ثلاثة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كالتعليل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بالمجمع عليه ، ويترك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الاُمور مطلقاً لا تخلو من بيّن الرشد فيتّبع ، والمجمع عليه كذلك ، وبيّنِ الغيّ فيجتنب ، والشاذّ النادر كذلك ، وأمرٍ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بقوله هذا إلى ترتيب قياس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المجمع عليه لا ريب فيه ، وكلّ ما كان كذلك بيّن رشده ، فهو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تجعل النتيجة صغرى لكبرى اُخرى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المجمع عليه بيّن رشده ، وكلّ ما كان كذلك يجب اتّباعه ، فالمجمع عليه يجب اتّباعه ، وعليك بترتيب قياسين آخرين ؛ لاستنتاج وجوب الاجتناب عمّا هو بيّن غيّه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إدراج مقابل المجمع عليه في الأمر المشكل ؛ ضرورة أنّ شيئاً إذا كان لا ريب فيه وبيّنَ الرشد ، يكون مقابله ومعارضه ممّا لا ريب في بطلانه ، وبيّناً غيّه ، ولا يمكن أن يكون أحد طرفي النقيضين واضح الصحّة وبيّنَ الرشد ، وطرفه الآخر مشكوكاً فيه ومريباً ، فلا يمكن أن تكون إحدى الروايتين المتعارضتين ، لا ريب فيها ومعلومةَ الصحّة ، والاُخرى ممّا فيها ريب ، بل لا بدّ وأن تندرج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بأدنى تأمّل </w:t>
      </w:r>
      <w:r>
        <w:rPr>
          <w:rFonts w:eastAsia="Amiri" w:cs="Amiri" w:ascii="Amiri" w:hAnsi="Amiri"/>
          <w:color w:val="111111"/>
          <w:sz w:val="28"/>
          <w:szCs w:val="28"/>
          <w:rtl w:val="true"/>
          <w:lang w:bidi="ar-SA"/>
        </w:rPr>
        <w:t xml:space="preserve">. </w:t>
      </w:r>
      <w:bookmarkStart w:id="234" w:name="pg15088_161858"/>
    </w:p>
    <w:p>
      <w:pPr>
        <w:pStyle w:val="Heading6"/>
        <w:numPr>
          <w:ilvl w:val="5"/>
          <w:numId w:val="1"/>
        </w:numPr>
        <w:rPr/>
      </w:pPr>
      <w:bookmarkStart w:id="235" w:name="__RefHeading___Toc995315_2142443653"/>
      <w:bookmarkStart w:id="236" w:name="_Toc84"/>
      <w:bookmarkEnd w:id="234"/>
      <w:bookmarkEnd w:id="235"/>
      <w:r>
        <w:rPr>
          <w:rtl w:val="true"/>
        </w:rPr>
        <w:t>عدم كون الأعدلية وما يتلوها والشهرة من المرجّحات</w:t>
      </w:r>
      <w:bookmarkEnd w:id="236"/>
    </w:p>
    <w:p>
      <w:pPr>
        <w:pStyle w:val="BookText"/>
        <w:rPr/>
      </w:pPr>
      <w:r>
        <w:rPr>
          <w:rFonts w:ascii="Amiri" w:hAnsi="Amiri" w:eastAsia="Amiri" w:cs="Amiri"/>
          <w:color w:val="111111"/>
          <w:sz w:val="28"/>
          <w:sz w:val="28"/>
          <w:szCs w:val="28"/>
          <w:rtl w:val="true"/>
          <w:lang w:bidi="ar-SA"/>
        </w:rPr>
        <w:t xml:space="preserve">ثمّ على فرض ورود الإشكالات على الأخذ بظاهر هاتين الفقرتين من المقبولة ، لا يوجب ذلك صرفَهما عن هذا الظهور القويّ المعتضد بالتكرار مرّة بعد اُخرى ، والمعتضد بالروايتين المتقدّمتين ، وإدراجَهما في أخبار العلاج حتّى تكون أعدلية الراوي وأفقهيته وقرينيهما ،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روايات العلاج على كثرتها وتظافرها ، خالية من التعرّض لها مع شيوعها وكثرتها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المذكورات ليست من مرجّحات الخبرين المتعارضين رأساً؛ لعدم الدليل عليه إلاّ المرفوعة التي عرفت حالها ، والمقبولة التي عرفت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الاشتهار بين الأصحاب بما صرّحت به المقبولة فهو ليس من المرجّحات لإحدى الحجّتين ؛ لما عرفت من أنّ المراد به الاشتهار بحسب الفتوى ، وكون الطرف المقابل شاذّاً معرضاً عنه ، وما كان حاله كذلك يسقط عن الحجّية ، سواء كان في مقابله معارض أو لا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كثرة الرواية واشتهار النقل مجرّداً عن الفتوى فلا دليل على كونها مرجّحة ، بل لو دلّ دليل على وجوب الأخذ بالرواية التي اشتهرت روايتها ، وترك الشاذّة روايةً ، لا يدلّ على الاشتهار بحسب الرواية دون الفتوى ؛ لأنّ المتعارف لدى قدماء أصحابنا هو نقل الرواية في مقام الفتوى ، وكانت متون الروايات فتاويهم ، فنقل الرواية وشهرتها كانت مساوقة للشهرة الفتوائية، كما يتّضح ذلك بالرجوع إلى الروايات ، خصوصاً باب وجوب الرجوع في القضاء والفتوى إلى رواة الحديث من كتاب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كتب قدماء أصحابنا </w:t>
      </w:r>
    </w:p>
    <w:p>
      <w:pPr>
        <w:pStyle w:val="BookText"/>
        <w:rPr/>
      </w:pPr>
      <w:r>
        <w:rPr>
          <w:rFonts w:ascii="Amiri" w:hAnsi="Amiri" w:eastAsia="Amiri" w:cs="Amiri"/>
          <w:color w:val="111111"/>
          <w:sz w:val="28"/>
          <w:sz w:val="28"/>
          <w:szCs w:val="28"/>
          <w:rtl w:val="true"/>
          <w:lang w:bidi="ar-SA"/>
        </w:rPr>
        <w:t xml:space="preserve">كالصدوقين ، ومن في طبقتهما ، أو يقرب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أصحاب الاُصول المتقدّمة والمتأخّرة كانوا يضبطون مطلق الروايات الواصلة إليهم ، لكن كانت فتاويهم أيضاً بصورة نقل الرواية ، بل الفقهاء إلى زمان شيخ الطائفة لم يكونوا يتعدّون في فتاويهم عن متون الروايات ، على ما صرّح به الشيخ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فاتّضح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الخبران عنكم مشهورين ، قد رواهما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ذكرناه؛ من أنّ المراد بالاشتهار هو الشهرة الفتوائية، لا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الأعدلية وما يتلوها ليست من المرجّحات ، وكذا الاشتهار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يمكن أن يعدّ منها في فقرات المقبولة ، هو موافقة الكتاب ومخالفة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الفقرات الاُولى منها ممحّضة في حكم الحَكَمين حتّى انتهى الأمر إلى السؤال عن الخبرين،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الخبران عنكم 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من تتمّة السؤال عن حكم الحَكَمين، والسياق يقتضي أن يكون راجعاً إليه ، لكن لا تبعد استفادة حكم ما نحن فيه منه ؛ فإنّ السائل كأ نّه انتقل من حكم الحاكم إلى مستنده ، ونظر إلى تعارض نفس الخبرين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الجواب ذلك أيضاً؛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ما وافق حكمه حكم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بالموصول الخبر ، لا حكم الحاكم ، ولكن مع ذلك لا يخلو من إشكال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التمسّك بالمقبولة لجعل الأعدلية وما يتلوها وكذا الشهرة من المرجّحات ، ولا نحتاج في جعل موافقة الكتاب ومخالفة العامّة منها إليها ؛ لورود الأخبار الكثيرة فيهما ، وسيأتي التعرّض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من أوّل البحث إلى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الإشكالين المتقدّمين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قضيّة شهادة اختلاف نفس الأخبار على الحمل على الاستحباب ؛ فلأ نّه بعد عدم اعتبار المرفوعة ، وعدمِ كون المقبولة من أخبار العلاج ، وانحصارِ المرجّح بموافقة الكتاب ومخالفة العامّة ، تنحلّ هذه الشبهة ؛ فإنّ تقييد إطلاق أخبار العلاج بعد ذلك ، بصحيحة عبدالرحمان بن أبي عبداللّه من أهون التصرّفات ، وسنرجع إليه إن شاء اللّه‌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قضيّة تقدّم حمل الأوامر على الاستحباب على تقييد إطلاق الأخبار الكثيرة الواردة في التخيير ؛ لكونه تقييداً بالفرد النادر ، فلما ظهر سابقاً ؛ من أنّ ما دلّ على التخيير منحصر برواية ابن الجهم</w:t>
      </w:r>
      <w:r>
        <w:rPr>
          <w:rStyle w:val="FootnoteAnchor"/>
          <w:rtl w:val="true"/>
        </w:rPr>
        <w:footnoteReference w:id="209"/>
      </w:r>
      <w:r>
        <w:rPr>
          <w:rFonts w:ascii="Amiri" w:hAnsi="Amiri" w:eastAsia="Amiri" w:cs="Amiri"/>
          <w:color w:val="111111"/>
          <w:sz w:val="28"/>
          <w:sz w:val="28"/>
          <w:szCs w:val="28"/>
          <w:rtl w:val="true"/>
          <w:lang w:bidi="ar-SA"/>
        </w:rPr>
        <w:t>وإن ادّعى الشيخ تواترها بملاحظة عدّه ما لم يكن من هذا الباب منه</w:t>
      </w:r>
      <w:r>
        <w:rPr>
          <w:rStyle w:val="FootnoteAnchor"/>
          <w:rtl w:val="true"/>
        </w:rPr>
        <w:footnoteReference w:id="210"/>
      </w:r>
      <w:r>
        <w:rPr>
          <w:rFonts w:ascii="Amiri" w:hAnsi="Amiri" w:eastAsia="Amiri" w:cs="Amiri"/>
          <w:color w:val="111111"/>
          <w:sz w:val="28"/>
          <w:sz w:val="28"/>
          <w:szCs w:val="28"/>
          <w:rtl w:val="true"/>
          <w:lang w:bidi="ar-SA"/>
        </w:rPr>
        <w:t xml:space="preserve">وهي بملاحظة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جاءك عنّا فقس على كتاب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ذيلها على ما إذا لم تكن الروايتان مخالفتين للكتاب والسنّة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عرفت وستعرف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المرجّح في باب التعارض منحصر بموافقة الكتاب ومخالفة العامّة ، يكون تقييد إطلاق رواية ابن الجهم من أسهل التصرّفات ، ولا يكون تقييداً بالفرد النادر ؛ فإنّه لم يرد عليها إلاّ تقييد واحد هو كون التخيير فيما إذا لم يكن أحدهما موافقاً للعامّة والآخر مخالفاً لهم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واحد كسائر التقييدات الشائعة المتعارفة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مع حكومة بعض الأخبار الآمرة بالأخذ بخلاف العامّة على رواية ابن الجهم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بناءً على كون ذيل المقبولة من أخبار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مرسلة الكليني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ما وافق القوم ؛ فإنّ الرشد في خلافهم</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بل وغيرهما</w:t>
      </w:r>
      <w:r>
        <w:rPr>
          <w:rStyle w:val="FootnoteAnchor"/>
          <w:rtl w:val="true"/>
        </w:rPr>
        <w:footnoteReference w:id="213"/>
      </w:r>
      <w:r>
        <w:rPr>
          <w:rFonts w:ascii="Amiri" w:hAnsi="Amiri" w:eastAsia="Amiri" w:cs="Amiri"/>
          <w:color w:val="111111"/>
          <w:sz w:val="28"/>
          <w:sz w:val="28"/>
          <w:szCs w:val="28"/>
          <w:rtl w:val="true"/>
          <w:lang w:bidi="ar-SA"/>
        </w:rPr>
        <w:t xml:space="preserve">فإنّ الناظر في أخبار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موافقة الكتاب ومخالفة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الترجيح بهما ليس بمحض التعبّد ، بل لكون الموافقة له والمخالفة لهم طريقاً إلى الواقع ، وأنّ الحقّ والرشد في موافقته ومخالفتهم ، فتكون أدلّة الترجيح حاكمة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تعلم أيّهما الحقّ فموسّع عليك</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فالمسألة خالية من الإشكال من هذه الجهة ، فلا محيص من الأخذ بظاهر الأوامر الواردة في الترجيح </w:t>
      </w:r>
      <w:r>
        <w:rPr>
          <w:rFonts w:eastAsia="Amiri" w:cs="Amiri" w:ascii="Amiri" w:hAnsi="Amiri"/>
          <w:color w:val="111111"/>
          <w:sz w:val="28"/>
          <w:szCs w:val="28"/>
          <w:rtl w:val="true"/>
          <w:lang w:bidi="ar-SA"/>
        </w:rPr>
        <w:t xml:space="preserve">. </w:t>
      </w:r>
      <w:bookmarkStart w:id="237" w:name="pg15088_161862"/>
    </w:p>
    <w:p>
      <w:pPr>
        <w:pStyle w:val="Heading6"/>
        <w:numPr>
          <w:ilvl w:val="5"/>
          <w:numId w:val="1"/>
        </w:numPr>
        <w:rPr/>
      </w:pPr>
      <w:bookmarkStart w:id="238" w:name="__RefHeading___Toc995317_2142443653"/>
      <w:bookmarkStart w:id="239" w:name="_Toc85"/>
      <w:bookmarkEnd w:id="237"/>
      <w:bookmarkEnd w:id="238"/>
      <w:r>
        <w:rPr>
          <w:rtl w:val="true"/>
        </w:rPr>
        <w:t>انحصار المرجّحات المنصوصة في موافقة الكتاب ومخالفة العامّة</w:t>
      </w:r>
      <w:bookmarkEnd w:id="239"/>
    </w:p>
    <w:p>
      <w:pPr>
        <w:pStyle w:val="Heading6"/>
        <w:numPr>
          <w:ilvl w:val="5"/>
          <w:numId w:val="1"/>
        </w:numPr>
        <w:rPr/>
      </w:pPr>
      <w:bookmarkStart w:id="240" w:name="__RefHeading___Toc995319_2142443653"/>
      <w:bookmarkStart w:id="241" w:name="_Toc86"/>
      <w:bookmarkEnd w:id="240"/>
      <w:r>
        <w:rPr>
          <w:rtl w:val="true"/>
        </w:rPr>
        <w:t xml:space="preserve">ولا بدّ لاستقصاء البحث فيها من عقد بحثين </w:t>
      </w:r>
      <w:r>
        <w:rPr>
          <w:rtl w:val="true"/>
        </w:rPr>
        <w:t>:</w:t>
      </w:r>
      <w:bookmarkEnd w:id="241"/>
    </w:p>
    <w:p>
      <w:pPr>
        <w:pStyle w:val="Heading6"/>
        <w:numPr>
          <w:ilvl w:val="5"/>
          <w:numId w:val="1"/>
        </w:numPr>
        <w:rPr/>
      </w:pPr>
      <w:bookmarkStart w:id="242" w:name="__RefHeading___Toc995321_2142443653"/>
      <w:bookmarkStart w:id="243" w:name="_Toc87"/>
      <w:bookmarkEnd w:id="242"/>
      <w:r>
        <w:rPr>
          <w:rtl w:val="true"/>
        </w:rPr>
        <w:t xml:space="preserve">البحث الأوّل </w:t>
      </w:r>
      <w:r>
        <w:rPr>
          <w:rtl w:val="true"/>
        </w:rPr>
        <w:t xml:space="preserve">: </w:t>
      </w:r>
      <w:r>
        <w:rPr>
          <w:rtl w:val="true"/>
        </w:rPr>
        <w:t>في حال الأخبار الواردة في موافقة الكتاب ومخالفته</w:t>
      </w:r>
      <w:bookmarkEnd w:id="243"/>
    </w:p>
    <w:p>
      <w:pPr>
        <w:pStyle w:val="Heading6"/>
        <w:numPr>
          <w:ilvl w:val="5"/>
          <w:numId w:val="1"/>
        </w:numPr>
        <w:rPr/>
      </w:pPr>
      <w:bookmarkStart w:id="244" w:name="__RefHeading___Toc995323_2142443653"/>
      <w:bookmarkStart w:id="245" w:name="_Toc88"/>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مطلق ما وافق الكتاب وخالفه ، من غير تعرّض لتعارض الحديثين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الحديثين المتعارضين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214"/>
      </w:r>
      <w:r>
        <w:rPr>
          <w:rFonts w:ascii="IRNazanin" w:hAnsi="IRNazanin" w:eastAsia="IRNazanin"/>
          <w:color w:val="111111"/>
          <w:sz w:val="28"/>
          <w:sz w:val="28"/>
          <w:szCs w:val="28"/>
          <w:rtl w:val="true"/>
          <w:lang w:bidi="fa-IR"/>
        </w:rPr>
        <w:t xml:space="preserve">عن الكليني بإسناده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كلّ حقّ حقيقة ، وعلى كلّ صواب نوراً ، فما وافق كتاب اللّه فخذوه ، وما خالف كتاب اللّه فدعوه</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منها رواية جميل ، عن أبي عبداللّه علیه السلام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يوافق من الحديث القرآن فهو زخرف</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وبإسناده</w:t>
      </w:r>
      <w:r>
        <w:rPr>
          <w:rStyle w:val="FootnoteAnchor"/>
          <w:rtl w:val="true"/>
        </w:rPr>
        <w:footnoteReference w:id="219"/>
      </w:r>
      <w:r>
        <w:rPr>
          <w:rFonts w:ascii="IRNazanin" w:hAnsi="IRNazanin" w:eastAsia="IRNazanin"/>
          <w:color w:val="111111"/>
          <w:sz w:val="28"/>
          <w:sz w:val="28"/>
          <w:szCs w:val="28"/>
          <w:rtl w:val="true"/>
          <w:lang w:bidi="fa-IR"/>
        </w:rPr>
        <w:t xml:space="preserve">عن أيّوب بن الحرّ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مردود إلى الكتاب والسنّة ، وكلّ حديث لا يوافق كتاب اللّه فهو زخرف</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النبي بمنى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ما جاءكم عنّي يوافق كتاب اللّه فأنا قلته ، وما جاءكم يخالف كتاب اللّه فلم أقله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 في حديث</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عنّا حديث ، فوجدتم عليه شاهداً أو شاهدين من كتاب اللّه فخذوا به ، وإلاّ فقفوا عنده ، ثمّ ردّوه إلينا حتّى يستبين لكم</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الميثمي المتقدّمة</w:t>
      </w:r>
      <w:r>
        <w:rPr>
          <w:rStyle w:val="FootnoteAnchor"/>
          <w:rtl w:val="true"/>
        </w:rPr>
        <w:footnoteReference w:id="226"/>
      </w:r>
      <w:r>
        <w:rPr>
          <w:rFonts w:ascii="IRNazanin" w:hAnsi="IRNazanin" w:eastAsia="IRNazanin"/>
          <w:color w:val="111111"/>
          <w:sz w:val="28"/>
          <w:sz w:val="28"/>
          <w:szCs w:val="28"/>
          <w:rtl w:val="true"/>
          <w:lang w:bidi="fa-IR"/>
        </w:rPr>
        <w:t>ومصحّحة عبدالرحمان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عليكم حديثان مختلفان </w:t>
      </w:r>
    </w:p>
    <w:p>
      <w:pPr>
        <w:pStyle w:val="BookText"/>
        <w:rPr/>
      </w:pPr>
      <w:r>
        <w:rPr>
          <w:rFonts w:ascii="Amiri" w:hAnsi="Amiri" w:eastAsia="Amiri" w:cs="Amiri"/>
          <w:color w:val="111111"/>
          <w:sz w:val="28"/>
          <w:sz w:val="28"/>
          <w:szCs w:val="28"/>
          <w:rtl w:val="true"/>
          <w:lang w:bidi="ar-SA"/>
        </w:rPr>
        <w:t xml:space="preserve">فاعرضوهما على كتاب اللّه ، فما وافق كتاب اللّه فخذوه ، وما خالف كتاب اللّه فردّوه </w:t>
      </w:r>
      <w:r>
        <w:rPr>
          <w:rFonts w:eastAsia="Amiri" w:cs="Amiri" w:ascii="Amiri" w:hAnsi="Amiri"/>
          <w:color w:val="111111"/>
          <w:sz w:val="28"/>
          <w:szCs w:val="28"/>
          <w:rtl w:val="true"/>
          <w:lang w:bidi="ar-SA"/>
        </w:rPr>
        <w:t>. .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اختلاف الحديث ، يرويه من نثق به ، ومنهم من لا نثق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 فوجدتم له شاهداً من كتاب اللّه أو من قول رسول اللّه ، وإلاّ فالذي جاءكم به أولى به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ولعلّها من الطائفة الاُولى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الطبرسي ، عن الحسن بن الجهم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تجيئنا الأحاديث عنكم مختلفة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جاءك عنّا فقس على كتاب اللّه عزّ وجلّ وأحاديثنا ، فإن كان يشبههما فهو منّا ، وإن لم يكن يشبههما فليس منّا </w:t>
      </w:r>
      <w:r>
        <w:rPr>
          <w:rFonts w:eastAsia="Amiri" w:cs="Amiri" w:ascii="Amiri" w:hAnsi="Amiri"/>
          <w:color w:val="111111"/>
          <w:sz w:val="28"/>
          <w:szCs w:val="28"/>
          <w:rtl w:val="true"/>
          <w:lang w:bidi="ar-SA"/>
        </w:rPr>
        <w:t>. .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العيّاشي عنه ، عن العبد الصالح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 الحديثان المختلفان فقسهما على كتاب اللّه وأحاديثنا ، فإن أشبههما فهو حقّ ، وإن لم يشبههما فهو باطل</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46" w:name="pg15088_161865"/>
    </w:p>
    <w:p>
      <w:pPr>
        <w:pStyle w:val="Heading6"/>
        <w:numPr>
          <w:ilvl w:val="5"/>
          <w:numId w:val="1"/>
        </w:numPr>
        <w:rPr/>
      </w:pPr>
      <w:bookmarkStart w:id="247" w:name="__RefHeading___Toc995325_2142443653"/>
      <w:bookmarkStart w:id="248" w:name="_Toc89"/>
      <w:bookmarkEnd w:id="246"/>
      <w:bookmarkEnd w:id="247"/>
      <w:r>
        <w:rPr>
          <w:rtl w:val="true"/>
        </w:rPr>
        <w:t>في التوفيق بين الأخبار</w:t>
      </w:r>
      <w:bookmarkEnd w:id="248"/>
    </w:p>
    <w:p>
      <w:pPr>
        <w:pStyle w:val="BookText"/>
        <w:rPr/>
      </w:pPr>
      <w:r>
        <w:rPr>
          <w:rFonts w:ascii="Amiri" w:hAnsi="Amiri" w:eastAsia="Amiri" w:cs="Amiri"/>
          <w:color w:val="111111"/>
          <w:sz w:val="28"/>
          <w:sz w:val="28"/>
          <w:szCs w:val="28"/>
          <w:rtl w:val="true"/>
          <w:lang w:bidi="ar-SA"/>
        </w:rPr>
        <w:t>وقد استشكل في التوفيق بين الطائفتين ؛ لأجل أنّ الترجيح بموافقة الكتاب فرع حجّية الخبرين ؛ لأنّ الترجيحات إنّما وردت لترجيح إحدى الحجّتين على الاُخرى ، وعدم المخالفة للكتاب من شرائط حجّية الخبر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فقيل في التوفيق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الاُولى محمولة على مخالفة الخبر للكتاب بالتباين الكلّي ، فما كان كذلك زخرف وباطل ، والثانية محمولة على المخالفة بالعموم من وجه</w:t>
      </w:r>
      <w:r>
        <w:rPr>
          <w:rStyle w:val="FootnoteAnchor"/>
          <w:rtl w:val="true"/>
        </w:rPr>
        <w:footnoteReference w:id="232"/>
      </w:r>
      <w:r>
        <w:rPr>
          <w:rFonts w:ascii="Amiri" w:hAnsi="Amiri" w:eastAsia="Amiri" w:cs="Amiri"/>
          <w:color w:val="111111"/>
          <w:sz w:val="28"/>
          <w:sz w:val="28"/>
          <w:szCs w:val="28"/>
          <w:rtl w:val="true"/>
          <w:lang w:bidi="ar-SA"/>
        </w:rPr>
        <w:t xml:space="preserve">، أو هو مع العموم المطلق ، فالذي يكون مرجّحاً هو المخالفة بأحد النحوين ، والذي يكون من شرائط الحجّية هو عدم المخالفة بالتباين ، وبهذا يجمع بين الطائفتين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الناظر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شاهد لهذا الجمع ، بل الأخبار آبية عنه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خبر الميثمي الوارد في المتعارضين فلأنّ المتأمّل في صدره وما فرّع عليه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ورد عليكم من خبرين مختلفين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يرى أنّ لسانه عين لسان الأخبار الواردة في الطائفة الاُولى ، وأنّ المفروض فيه هو ما ورد من الأخبار في تحليل ما حرّم اللّه ورسوله ، أو تحريم ما أحلّ اللّه ورسوله ، وأنّ الخبرين المختلفين إذا كان أحدهما كذلك ترفع اليد عنه ، ويؤخذ بالآخر ، </w:t>
      </w:r>
    </w:p>
    <w:p>
      <w:pPr>
        <w:pStyle w:val="BookText"/>
        <w:rPr/>
      </w:pPr>
      <w:r>
        <w:rPr>
          <w:rFonts w:ascii="Amiri" w:hAnsi="Amiri" w:eastAsia="Amiri" w:cs="Amiri"/>
          <w:color w:val="111111"/>
          <w:sz w:val="28"/>
          <w:sz w:val="28"/>
          <w:szCs w:val="28"/>
          <w:rtl w:val="true"/>
          <w:lang w:bidi="ar-SA"/>
        </w:rPr>
        <w:t xml:space="preserve">فلا يمكن الجمع بينه وبين الطائفة الاُولى بما 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خبر ابن الجهم عن الرضا علیه السلام فالظاهر منه أ نّه أجاب عن مطلق الخبر ، سواء كان له معارض أو لا ؛ فإنّ السؤال مع كونه عن الأحاديث المختلفة ، إلاّ أ نّه غيّر علیه السلام اُسلوب الجواب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جاءك عنّا فقس على كتاب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وظاهره أ نّه بصدد بيان ميزان كلّي لكلّ ما جاء منهم ، فلا يمكن التفرقة في مضمونه بين حال التعارض وغير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كذا فهو منّا ، وإلاّ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لسانه لسان الطائفة الاُولى ، وكذا رواية ابن الجهم عن العبد الصالح علیه السلام ورواية ابن أبي يعفور ، فإنّه مع سؤاله عن اختلاف الحديثين ، أجاب كلّياً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عليكم حديث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ومضمونها عين مضمون الطائفة الاُولى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التأمّل في الأخبار حقّه ، يقطع بأنّ الجمع المتقدّم غير صحيح ، والأخبار آبية عنه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الطائفتين واحد ، وإنّهما بصدد تمييز الحجّة عن غيرها ، وليست موافقة الكتاب أيضاً من مرجّحات إحدى الحجّتين ، وتحمل جميع روايات الباب على المخالفة بالتباين ؛ بقرينة صدور ما يخالف الكتاب بالعموم والخصوص والإطلاق والتقييد منهم بضرورة الفقه ، وإباء هذه الأخبار عن التخصيص والتقييد</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فالترجيح بعموم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النسبة بينهما والكتاب والسنّة العمومَ من وجه أو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 فسقط هذا المرجّح عن المرجّحية </w:t>
      </w:r>
      <w:r>
        <w:rPr>
          <w:rFonts w:eastAsia="Amiri" w:cs="Amiri" w:ascii="Amiri" w:hAnsi="Amiri"/>
          <w:color w:val="111111"/>
          <w:sz w:val="28"/>
          <w:szCs w:val="28"/>
          <w:rtl w:val="true"/>
          <w:lang w:bidi="ar-SA"/>
        </w:rPr>
        <w:t xml:space="preserve">. </w:t>
      </w:r>
      <w:bookmarkStart w:id="249" w:name="pg15088_161867"/>
    </w:p>
    <w:p>
      <w:pPr>
        <w:pStyle w:val="Heading6"/>
        <w:numPr>
          <w:ilvl w:val="5"/>
          <w:numId w:val="1"/>
        </w:numPr>
        <w:rPr/>
      </w:pPr>
      <w:bookmarkStart w:id="250" w:name="__RefHeading___Toc995327_2142443653"/>
      <w:bookmarkStart w:id="251" w:name="_Toc90"/>
      <w:bookmarkEnd w:id="249"/>
      <w:bookmarkEnd w:id="250"/>
      <w:r>
        <w:rPr>
          <w:rtl w:val="true"/>
        </w:rPr>
        <w:t>تحقيق المقام</w:t>
      </w:r>
      <w:bookmarkEnd w:id="251"/>
    </w:p>
    <w:p>
      <w:pPr>
        <w:pStyle w:val="BookText"/>
        <w:rPr/>
      </w:pPr>
      <w:r>
        <w:rPr>
          <w:rFonts w:ascii="Amiri" w:hAnsi="Amiri" w:eastAsia="Amiri" w:cs="Amiri"/>
          <w:color w:val="111111"/>
          <w:sz w:val="28"/>
          <w:sz w:val="28"/>
          <w:szCs w:val="28"/>
          <w:rtl w:val="true"/>
          <w:lang w:bidi="ar-SA"/>
        </w:rPr>
        <w:t xml:space="preserve">هذا ، 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بين الخبرين بحسب مفهومها ، أعمّ من التباين والأعمّ من وجه والمطلق ، فهي بمفهومها شاملة لجميع أنواع التخالف ، لكن قد ذكرنا في أوّل مبحث التعارض</w:t>
      </w:r>
      <w:r>
        <w:rPr>
          <w:rStyle w:val="FootnoteAnchor"/>
          <w:rtl w:val="true"/>
        </w:rPr>
        <w:footnoteReference w:id="234"/>
      </w:r>
      <w:r>
        <w:rPr>
          <w:rFonts w:ascii="Amiri" w:hAnsi="Amiri" w:eastAsia="Amiri" w:cs="Amiri"/>
          <w:color w:val="111111"/>
          <w:sz w:val="28"/>
          <w:sz w:val="28"/>
          <w:szCs w:val="28"/>
          <w:rtl w:val="true"/>
          <w:lang w:bidi="ar-SA"/>
        </w:rPr>
        <w:t xml:space="preserve">أنّ المتخالفين اللذين بينهما جمع عقلائي خارجان عن محطّ السؤال والجواب ، وأ نّهما منزّلان على مورد تحيّر العرف في العمل وعدم طريق عقلائي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تجيئنا الأحاديث عنكم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الحديثان 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 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القرائن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يكون بينهما جمع 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الأحاديث الواردة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القرآن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 محمولة على المخالفة بغير ما له جمع 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فالاختلاف بالعموم والخصوص ، والإطلاق والتقييد ، خارج عن محطّها ؛ بقرينة ورود أمثالها عنهم بضرورة الفقه ، ولا يمكن ارتكاب التخصيص في هذه الروايات ؛ لإبائها عنه ، فبمقتضى القرينة الخارجية القطعية تحمل تلك الأخبار على المخالفة بالتباين ، أو الأعمّ منه ومن العموم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تكن قرينة داخلية أو خارجية صارفة ، فلا يجوز رفع اليد عن ظهور المخالفة في المعنى الأعمّ وإطلاقها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في مصحّحة عبدالرحمان بن أبي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وافق </w:t>
      </w:r>
    </w:p>
    <w:p>
      <w:pPr>
        <w:pStyle w:val="BookText"/>
        <w:rPr/>
      </w:pPr>
      <w:r>
        <w:rPr>
          <w:rFonts w:ascii="Amiri" w:hAnsi="Amiri" w:eastAsia="Amiri" w:cs="Amiri"/>
          <w:color w:val="111111"/>
          <w:sz w:val="28"/>
          <w:sz w:val="28"/>
          <w:szCs w:val="28"/>
          <w:rtl w:val="true"/>
          <w:lang w:bidi="ar-SA"/>
        </w:rPr>
        <w:t>كتاب اللّه فخذوه ، وما خالف كتاب اللّه فردّوه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مطلق في مقام البيان ، فيجب أن يؤخذ به ، فالخبران المختلفان إذا لم يكن بينهما جمع عرفي ، إذا وافق أحدهما كتاب اللّه ، وخالفه الآخر ، يجب أخذ الموافق وترك المخالف ، سواء كانت المخالفة بالتباين ، أو الأعمّ من وجه ، أو الأعمّ مطلقاً ، ولا وجه لرفع اليد عن هذا الإطلاق بلا قرينة صارفة ودليل 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القرينة صدر الرواية ؛ فإنّه ورد في الحديثين المختلفين ، والمفروض أنّ المخالفة بين الحديثين محمولة على المخالفة بغير ما يكون بينهما جمع عرفي ، فوحدة السياق تقتضي أن تكون المخالفة في الذيل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التفكيك بين الصدر والذيل في رواية واحدة ؛ بحمل الصدر على نوع منها ، والذيل على مطلقها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التفكيك بينهما إنّما هو إذا تعرّضا لموضوع واحد ، كما لو تعرّضا لاختلاف الخبرين ، وأمّا إذا كان الاختلاف في الصدر هو اختلاف الخبرين ، وفي الذيل هو اختلاف الخبر والكتاب ، فلا وجه لرفع اليد عن إطلاق الثاني لقرينة قائمة في الأوّل ، وهذا ليس من التفكيك الممنوع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الاُخرى غير هذه المصحّحة ، مفادها مطابق للطائفة الاُولى ، فتحمل هذه أيضاً على غيرها ؛ ليتّحد مفاد جميعها ، وتحمل المخالفة على غير مورد الجمع العرفي ؛ للقرينة القائمة في الطائفة الاُولى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الأخبار ؛ فإنّها مثبتات ، فلا وجه لرفع اليد عن إطلاق </w:t>
      </w:r>
      <w:bookmarkStart w:id="252" w:name="pg15088_161869"/>
    </w:p>
    <w:p>
      <w:pPr>
        <w:pStyle w:val="BookText"/>
        <w:rPr/>
      </w:pPr>
      <w:bookmarkEnd w:id="252"/>
      <w:r>
        <w:rPr>
          <w:rFonts w:ascii="Amiri" w:hAnsi="Amiri" w:eastAsia="Amiri" w:cs="Amiri"/>
          <w:color w:val="111111"/>
          <w:sz w:val="28"/>
          <w:sz w:val="28"/>
          <w:szCs w:val="28"/>
          <w:rtl w:val="true"/>
          <w:lang w:bidi="ar-SA"/>
        </w:rPr>
        <w:t xml:space="preserve">المصحّحة ، ولا سيّما مع كون غير واحدة من تلك الروايات ، واردةً في أصل الخبر المخالف ، بخلاف المصحّحة </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995329_2142443653"/>
      <w:bookmarkStart w:id="254" w:name="_Toc91"/>
      <w:bookmarkEnd w:id="253"/>
      <w:r>
        <w:rPr>
          <w:rtl w:val="true"/>
        </w:rPr>
        <w:t>في مرجّحية موافقة الكتاب والثمرة بين المرجعية والمرجّحية</w:t>
      </w:r>
      <w:bookmarkEnd w:id="254"/>
    </w:p>
    <w:p>
      <w:pPr>
        <w:pStyle w:val="BookText"/>
        <w:rPr/>
      </w:pPr>
      <w:r>
        <w:rPr>
          <w:rFonts w:ascii="Amiri" w:hAnsi="Amiri" w:eastAsia="Amiri" w:cs="Amiri"/>
          <w:color w:val="111111"/>
          <w:sz w:val="28"/>
          <w:sz w:val="28"/>
          <w:szCs w:val="28"/>
          <w:rtl w:val="true"/>
          <w:lang w:bidi="ar-SA"/>
        </w:rPr>
        <w:t xml:space="preserve">ثمّ إنّه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بموافق الكتاب والسنّة القطعية ، ليس من باب الترجيح ، بل من باب الرجوع إلى الدليل القطعي الصدور ، فيكون الكتاب والسنّة مرجعين ، لا مرجّحين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فاسد ؛ لكونه مخالفاً لظواهر الأخبار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وافق كتاب اللّه فخذوه</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فإنّ الظاهر منه هو وجوب الأخذ بالخبر ، لا العمل بالكتاب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بين المرجّحية والمرجعية فيما إذا كانت النسبة بين الكتاب والسنّة وأحد الخبرين أعمّ مطلقاً ، وعلمت وحدة الحكم ، فيصير الخبر مقيّداً أو مخصّصاً لهما بعد ترجيحه بموافقتهما ،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يحرم عليك 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الكتاب أو السنّة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تعارض الخاصّين وترجيح الموافق لهما يصير حجّة ، ومع العلم بوحدة الحكم يحمل مطلق الكتاب أو السنّة على المقيّد ، ويحكم بوجوب عتق رقبة مؤمنة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يكون كلا الخاصّين مخالفين لهما ؛ ضرورة مخالفة المقيّد للمطلق </w:t>
      </w:r>
      <w:r>
        <w:rPr>
          <w:rFonts w:eastAsia="Amiri" w:cs="Amiri" w:ascii="Amiri" w:hAnsi="Amiri"/>
          <w:color w:val="111111"/>
          <w:sz w:val="28"/>
          <w:szCs w:val="28"/>
          <w:rtl w:val="true"/>
          <w:lang w:bidi="ar-SA"/>
        </w:rPr>
        <w:t xml:space="preserve">. </w:t>
      </w:r>
      <w:bookmarkStart w:id="255" w:name="pg15088_161870"/>
    </w:p>
    <w:p>
      <w:pPr>
        <w:pStyle w:val="BookText"/>
        <w:rPr/>
      </w:pPr>
      <w:bookmarkEnd w:id="255"/>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لكن الكتاب والسنّة موافقان للمقيّد في محلّ تعارضه للخبر المخالف له ، وهو المناط في ترجيح أحد الخبرين ، وفي مورد مخالفته لهما لم يكن مخالفاً للخبر الآخر المخالف له ، فتدبّر </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995331_2142443653"/>
      <w:bookmarkStart w:id="257" w:name="_Toc92"/>
      <w:bookmarkEnd w:id="256"/>
      <w:r>
        <w:rPr>
          <w:rtl w:val="true"/>
        </w:rPr>
        <w:t xml:space="preserve">البحث الثاني </w:t>
      </w:r>
      <w:r>
        <w:rPr>
          <w:rtl w:val="true"/>
        </w:rPr>
        <w:t xml:space="preserve">: </w:t>
      </w:r>
      <w:r>
        <w:rPr>
          <w:rtl w:val="true"/>
        </w:rPr>
        <w:t>في حال الأخبار الواردة في مخالفة العامّة</w:t>
      </w:r>
      <w:bookmarkEnd w:id="257"/>
    </w:p>
    <w:p>
      <w:pPr>
        <w:pStyle w:val="Heading6"/>
        <w:numPr>
          <w:ilvl w:val="5"/>
          <w:numId w:val="1"/>
        </w:numPr>
        <w:rPr/>
      </w:pPr>
      <w:bookmarkStart w:id="258" w:name="__RefHeading___Toc995333_2142443653"/>
      <w:bookmarkStart w:id="259" w:name="_Toc93"/>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وهي أيضاً طائفتان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خصوص الخبرين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منها لزوم مخالفتهم ، وترك الخبر الموافق لهم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عبدالرحمان بن أبي عبداللّه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تجدوهما في كتاب اللّه فاعرضوهما على أخبار العامّة ، فما وافق أخبارهم فذروه ، وما خالف أخبارهم فخذوه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بسند فيه إرسال ، عن الحسن بن السري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عليكم حديثان مختلفان فخذوا بما خالف القوم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وعنها بإسناده عن الحسن 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يسعنا فيما ورد علينا منكم إلاّ التسليم لكم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 لا يسعكم إلاّ التسليم لنا</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فيروى عن أبي عبداللّه علیه السلام شيء ، ويروى عنه خلافه ، فبأيّهما نأخذ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خالف القوم ، وما وافق القوم فاجتنبه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وبسنده عن محمّد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نصنع بالخبرين المختلفين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عليكم خبران مختلفان فانظروا إلى ما يخالف منهما العامّة فخذوه ، وانظروا إلى ما يوافق أخبارهم فدعوه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الطبرسي ، عن سَماعة بن مهران ، عن أبي عبداللّه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علينا حديثان ، واحد يأمرنا بالأخذ به ، والآخر ينهانا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بواحد منهما حتّى تلقى صاحبك فتسأله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نعمل بواحد منهما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فيه خلاف العامّة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المقبولة المتقدّمة</w:t>
      </w:r>
      <w:r>
        <w:rPr>
          <w:rStyle w:val="FootnoteAnchor"/>
          <w:rtl w:val="true"/>
        </w:rPr>
        <w:footnoteReference w:id="242"/>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الفقيهان عرفا حكمه من الكتاب والسنّة ، فوجدنا أحد الخبرين موافقاً للعامّة ، والآخر مخالفاً ، بأيّ الخبرين يؤخذ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دلالة هذه الأخبار على أنّ مخالفة العامّة مرجّحة في الخبرين المتعارضين ، مع اعتبار سند بعضها ، بل صحّة بعضها على الظاهر ، </w:t>
      </w:r>
    </w:p>
    <w:p>
      <w:pPr>
        <w:pStyle w:val="BookText"/>
        <w:rPr/>
      </w:pPr>
      <w:r>
        <w:rPr>
          <w:rFonts w:ascii="Amiri" w:hAnsi="Amiri" w:eastAsia="Amiri" w:cs="Amiri"/>
          <w:color w:val="111111"/>
          <w:sz w:val="28"/>
          <w:sz w:val="28"/>
          <w:szCs w:val="28"/>
          <w:rtl w:val="true"/>
          <w:lang w:bidi="ar-SA"/>
        </w:rPr>
        <w:t xml:space="preserve">واشتهار مضمونها بين الأصحاب ، بل هذا المرجّح هو المتداول العامّ الشائع في جميع أبواب الفقه وألسنة الفقهاء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بن أسباط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الأمر لا أجد بدّاً من معرفته ، وليس في البلد الذي أنا فيه أحد أستفتيه من مواليك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فقيه البلد فاستفته من أمرك ، فإذا أفتاك بشيء فخذ بخلافه ؛ فإنّ الحقّ فيه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وموردها صورة الاضطرار وعدم طريق إلى الواقع ، فأرشده إلى طريق يرجع إليه لدى سدّ الطرق ، ولا يستفاد منها جواز ردّ الخبر من طريقنا إذا كان موافقاً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بإسناده عن أبي إسحاق الأرجاني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لِمَ اُمرتم بالأخذ بخلاف ما تقول العامّة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لم يكن يدين اللّه بدين إلاّ خالف عليه الاُمّة إلى غيره ؛ إرادة لإبطال أمره ، وكانوا يسألون أمير المؤمنين عن الشيء الذي لا يعلمونه ، فإذا أفتاهم جعلوا له ضدّاً من عندهم ؛ ليلبسوا على الناس</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واردة في مقام بيان علّة الأمر بالأخذ بخلافهم ، ولا تدلّ على وجوبه مطلقاً ، فيمكن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الأوامر الواردة في الخبرين المتعارضين ، ولا تدلّ على ورود أمر بالأخذ بخلافهم ابتداءً وفي غير صورة التعارض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الشيخ بإسناده عن عبيد بن زرارة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سمعته منّي يشبه قول الناس فيه التقيّة ، وما سمعت منّي لا يشبه قول الناس فلا تقيّة فيه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مراده من شباهة قول الناس هي الشباهة في آرائهم وأهوائهم ؛ كالقول بالجبر ، والقياس ، والفتاوى الباطلة المعروفة منهم ، كالقول بالعول ، والتعصيب ، فلا تدلّ على ترك ما خالف العامّة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المسلّمون لأمرنا ، الآخذون بقولنا ، المخالفون لأعدائنا ، فمن لم يكن كذلك فليس منّا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واللّه على شيء ممّا هم فيه ، ولا هم على شيء ممّا أنتم فيه ، فخالفوهم ، فما هم من الحنفية على شيء</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منهما المخالفة في عقائدهم وفي أمر الإمامة وما يرتبط بها ، ولا تدلاّن على ردّ الخبر الموافق لهم </w:t>
      </w:r>
      <w:r>
        <w:rPr>
          <w:rFonts w:eastAsia="Amiri" w:cs="Amiri" w:ascii="Amiri" w:hAnsi="Amiri"/>
          <w:color w:val="111111"/>
          <w:sz w:val="28"/>
          <w:szCs w:val="28"/>
          <w:rtl w:val="true"/>
          <w:lang w:bidi="ar-SA"/>
        </w:rPr>
        <w:t xml:space="preserve">. </w:t>
      </w:r>
      <w:bookmarkStart w:id="260" w:name="pg15088_161874"/>
    </w:p>
    <w:p>
      <w:pPr>
        <w:pStyle w:val="BookText"/>
        <w:rPr/>
      </w:pPr>
      <w:bookmarkEnd w:id="260"/>
      <w:r>
        <w:rPr>
          <w:rFonts w:ascii="Amiri" w:hAnsi="Amiri" w:eastAsia="Amiri" w:cs="Amiri"/>
          <w:color w:val="111111"/>
          <w:sz w:val="28"/>
          <w:sz w:val="28"/>
          <w:szCs w:val="28"/>
          <w:rtl w:val="true"/>
          <w:lang w:bidi="ar-SA"/>
        </w:rPr>
        <w:t xml:space="preserve">وأمّا قوله في صحيحة محمّد بن إسماعيل بن بَزيع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الناس يقبلون على شيء فاجتنبه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فيدلّ على أنّ إقبالهم على شيء وإصرارهم عليه يدلّ</w:t>
      </w:r>
    </w:p>
    <w:p>
      <w:pPr>
        <w:pStyle w:val="BookText"/>
        <w:rPr/>
      </w:pPr>
      <w:r>
        <w:rPr>
          <w:rFonts w:ascii="Amiri" w:hAnsi="Amiri" w:eastAsia="Amiri" w:cs="Amiri"/>
          <w:color w:val="111111"/>
          <w:sz w:val="28"/>
          <w:sz w:val="28"/>
          <w:szCs w:val="28"/>
          <w:rtl w:val="true"/>
          <w:lang w:bidi="ar-SA"/>
        </w:rPr>
        <w:t xml:space="preserve">على بطلانه ، ولا ربط له بما نحن فيه ، ولو فرض إطلاقه فلا بدّ من رفع اليد عنه ؛ لعدم الفتوى على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مخالفة العامّة من مرجّحات باب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من أوّل البحث إلى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المرجّح المنصوص ينحصر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والسنّة ، ومخالفة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نظر الشيخ الأقدم محمّد بن يعقوب الكليني إلى ما ذكرنا ؛ حيث لم يذكر عند ذكر المرجّحات الأعدلية وما يتلوها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ذَكَر الأخذ بالمجمع عليه الذي لا ريب فيه</w:t>
      </w:r>
      <w:r>
        <w:rPr>
          <w:rStyle w:val="FootnoteAnchor"/>
          <w:rtl w:val="true"/>
        </w:rPr>
        <w:footnoteReference w:id="249"/>
      </w:r>
      <w:r>
        <w:rPr>
          <w:rFonts w:ascii="Amiri" w:hAnsi="Amiri" w:eastAsia="Amiri" w:cs="Amiri"/>
          <w:color w:val="111111"/>
          <w:sz w:val="28"/>
          <w:sz w:val="28"/>
          <w:szCs w:val="28"/>
          <w:rtl w:val="true"/>
          <w:lang w:bidi="ar-SA"/>
        </w:rPr>
        <w:t>، وقد عرفت الكلام فيه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1" w:name="__RefHeading___Toc995335_2142443653"/>
      <w:bookmarkStart w:id="262" w:name="_Toc94"/>
      <w:bookmarkEnd w:id="261"/>
      <w:r>
        <w:rPr>
          <w:rtl w:val="true"/>
        </w:rPr>
        <w:t>في الترتيب بين الترجيح بموافقة الكتاب ومخالفة العامّة</w:t>
      </w:r>
      <w:bookmarkEnd w:id="26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مصحّحة عبدالرحمان</w:t>
      </w:r>
      <w:r>
        <w:rPr>
          <w:rStyle w:val="FootnoteAnchor"/>
          <w:rtl w:val="true"/>
        </w:rPr>
        <w:footnoteReference w:id="251"/>
      </w:r>
      <w:r>
        <w:rPr>
          <w:rFonts w:ascii="Amiri" w:hAnsi="Amiri" w:eastAsia="Amiri" w:cs="Amiri"/>
          <w:color w:val="111111"/>
          <w:sz w:val="28"/>
          <w:sz w:val="28"/>
          <w:szCs w:val="28"/>
          <w:rtl w:val="true"/>
          <w:lang w:bidi="ar-SA"/>
        </w:rPr>
        <w:t xml:space="preserve">هو وجوب العرض على كتاب اللّه أوّلاً ، ومع عدم وجدان الحكم فيه وجوب العرض على أخبار العامّة ، فمقتضاها الترتيب بينهما ، فيجب تقييد إطلاق سائر الروايات ، فصارت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الجمع المقبول العرفي بين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أوّلاً بموافقة الكتاب والسنّة ، ومع </w:t>
      </w:r>
      <w:bookmarkStart w:id="263" w:name="pg15088_161875"/>
    </w:p>
    <w:p>
      <w:pPr>
        <w:pStyle w:val="BookText"/>
        <w:rPr/>
      </w:pPr>
      <w:bookmarkEnd w:id="263"/>
      <w:r>
        <w:rPr>
          <w:rFonts w:ascii="Amiri" w:hAnsi="Amiri" w:eastAsia="Amiri" w:cs="Amiri"/>
          <w:color w:val="111111"/>
          <w:sz w:val="28"/>
          <w:sz w:val="28"/>
          <w:szCs w:val="28"/>
          <w:rtl w:val="true"/>
          <w:lang w:bidi="ar-SA"/>
        </w:rPr>
        <w:t xml:space="preserve">عدم وجدان الحكم فيهما يرجّح بمخالفة العامّة ، ومع فقدان ذلك فالتخيير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في المقبولة ترك ما يكون حكّامهم وقضاتهم أميل إليه ، والأخذ بالآخر ، ولكن يشكل رفع اليد عن إطلاق دليل التخيير بها ؛ للإشكال في كون المقبولة من أدلّة الترجيح ، وطريق الاحتياط واضح ، وهو طريق النجاة </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995337_2142443653"/>
      <w:bookmarkStart w:id="265" w:name="_Toc95"/>
      <w:bookmarkEnd w:id="264"/>
      <w:r>
        <w:rPr>
          <w:rtl w:val="true"/>
        </w:rPr>
        <w:t xml:space="preserve">تتميم </w:t>
      </w:r>
      <w:r>
        <w:rPr>
          <w:rtl w:val="true"/>
        </w:rPr>
        <w:t xml:space="preserve">: </w:t>
      </w:r>
      <w:r>
        <w:rPr>
          <w:rtl w:val="true"/>
        </w:rPr>
        <w:t>في عدم الترجيح بالأحدثية</w:t>
      </w:r>
      <w:bookmarkEnd w:id="265"/>
    </w:p>
    <w:p>
      <w:pPr>
        <w:pStyle w:val="BookText"/>
        <w:rPr/>
      </w:pPr>
      <w:r>
        <w:rPr>
          <w:rFonts w:ascii="Amiri" w:hAnsi="Amiri" w:eastAsia="Amiri" w:cs="Amiri"/>
          <w:color w:val="111111"/>
          <w:sz w:val="28"/>
          <w:sz w:val="28"/>
          <w:szCs w:val="28"/>
          <w:rtl w:val="true"/>
          <w:lang w:bidi="ar-SA"/>
        </w:rPr>
        <w:t>قد ورد في بعض الروايات كمرسلة الحسين بن المختار</w:t>
      </w:r>
      <w:r>
        <w:rPr>
          <w:rStyle w:val="FootnoteAnchor"/>
          <w:rtl w:val="true"/>
        </w:rPr>
        <w:footnoteReference w:id="252"/>
      </w:r>
      <w:r>
        <w:rPr>
          <w:rFonts w:ascii="Amiri" w:hAnsi="Amiri" w:eastAsia="Amiri" w:cs="Amiri"/>
          <w:color w:val="111111"/>
          <w:sz w:val="28"/>
          <w:sz w:val="28"/>
          <w:szCs w:val="28"/>
          <w:rtl w:val="true"/>
          <w:lang w:bidi="ar-SA"/>
        </w:rPr>
        <w:t>ورواية المعلّى ابن خنيس</w:t>
      </w:r>
      <w:r>
        <w:rPr>
          <w:rStyle w:val="FootnoteAnchor"/>
          <w:rtl w:val="true"/>
        </w:rPr>
        <w:footnoteReference w:id="253"/>
      </w:r>
      <w:r>
        <w:rPr>
          <w:rFonts w:ascii="Amiri" w:hAnsi="Amiri" w:eastAsia="Amiri" w:cs="Amiri"/>
          <w:color w:val="111111"/>
          <w:sz w:val="28"/>
          <w:sz w:val="28"/>
          <w:szCs w:val="28"/>
          <w:rtl w:val="true"/>
          <w:lang w:bidi="ar-SA"/>
        </w:rPr>
        <w:t>وأبي عمرو الكِناني</w:t>
      </w:r>
      <w:r>
        <w:rPr>
          <w:rStyle w:val="FootnoteAnchor"/>
          <w:rtl w:val="true"/>
        </w:rPr>
        <w:footnoteReference w:id="254"/>
      </w:r>
      <w:r>
        <w:rPr>
          <w:rFonts w:ascii="Amiri" w:hAnsi="Amiri" w:eastAsia="Amiri" w:cs="Amiri"/>
          <w:color w:val="111111"/>
          <w:sz w:val="28"/>
          <w:sz w:val="28"/>
          <w:szCs w:val="28"/>
          <w:rtl w:val="true"/>
          <w:lang w:bidi="ar-SA"/>
        </w:rPr>
        <w:t xml:space="preserve">الأخذ بأحدث الخبرين ، وأخيرهما ، وما بلغ عن الحيّ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المتأمّل فيها يرى أ نّها ليست في عداد المرجّحات ، بل مفادها مخصوص بزمان حضور الأئمّة ، وأ نّهم علیهم السلام كانوا يفتون بحسب المصالح المقتضية لصلاح حالهم وحال شيعتهم ، وبحسب اقتضاء التقيّة وغيرها ، كما يشهد له قوله في ذيل رواية المعلّى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واللّه لا ندخلكم إلاّ فيما يسعكم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ذيل رواية الكِناني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إلاّ أن يعبد سرّاً ، أما واللّه لإنْ فعلتم ذلك إنّه لخير لي ولكم ، أبى اللّه عزّ وجلّ لنا في دينه إلاّ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وتدبّر </w:t>
      </w:r>
      <w:r>
        <w:rPr>
          <w:rFonts w:eastAsia="IRNazanin" w:cs="IRNazanin"/>
          <w:color w:val="111111"/>
          <w:sz w:val="28"/>
          <w:szCs w:val="28"/>
          <w:rtl w:val="true"/>
          <w:lang w:bidi="fa-IR"/>
        </w:rPr>
        <w:t xml:space="preserve">. </w:t>
      </w:r>
      <w:bookmarkStart w:id="266" w:name="pg15088_161876"/>
    </w:p>
    <w:p>
      <w:pPr>
        <w:pStyle w:val="Heading5"/>
        <w:numPr>
          <w:ilvl w:val="4"/>
          <w:numId w:val="1"/>
        </w:numPr>
        <w:rPr/>
      </w:pPr>
      <w:bookmarkStart w:id="267" w:name="__RefHeading___Toc995339_2142443653"/>
      <w:bookmarkStart w:id="268" w:name="_Toc96"/>
      <w:bookmarkEnd w:id="266"/>
      <w:bookmarkEnd w:id="267"/>
      <w:r>
        <w:rPr>
          <w:rtl w:val="true"/>
        </w:rPr>
        <w:t>الأمر الثالث</w:t>
      </w:r>
      <w:r>
        <w:rPr>
          <w:rtl w:val="true"/>
        </w:rPr>
        <w:t xml:space="preserve">: </w:t>
      </w:r>
      <w:r>
        <w:rPr>
          <w:rtl w:val="true"/>
        </w:rPr>
        <w:t>في التعدّي عن المرجّحات المنصوصة</w:t>
      </w:r>
      <w:bookmarkEnd w:id="268"/>
    </w:p>
    <w:p>
      <w:pPr>
        <w:pStyle w:val="Heading6"/>
        <w:numPr>
          <w:ilvl w:val="5"/>
          <w:numId w:val="1"/>
        </w:numPr>
        <w:rPr/>
      </w:pPr>
      <w:bookmarkStart w:id="269" w:name="__RefHeading___Toc995341_2142443653"/>
      <w:bookmarkStart w:id="270" w:name="_Toc97"/>
      <w:bookmarkEnd w:id="269"/>
      <w:r>
        <w:rPr>
          <w:rtl w:val="true"/>
        </w:rPr>
        <w:t>كلام الشيخ الأعظم في المقام</w:t>
      </w:r>
      <w:bookmarkEnd w:id="270"/>
    </w:p>
    <w:p>
      <w:pPr>
        <w:pStyle w:val="BookText"/>
        <w:rPr/>
      </w:pPr>
      <w:r>
        <w:rPr>
          <w:rFonts w:ascii="Amiri" w:hAnsi="Amiri" w:eastAsia="Amiri" w:cs="Amiri"/>
          <w:color w:val="111111"/>
          <w:sz w:val="28"/>
          <w:sz w:val="28"/>
          <w:szCs w:val="28"/>
          <w:rtl w:val="true"/>
          <w:lang w:bidi="ar-SA"/>
        </w:rPr>
        <w:t xml:space="preserve">هل يتعدّى من المرجّح المنصوص إلى غيره أم لا ؟ ذهب الشيخ المرتضى قدّس سرّه إلى التعدّي ، مدّعياً أنّ التأمّل الصادق في أدلّة التخيير يقتضي استظهار الاختصاص بصورة التكافؤ من جميع الوجوه ، كما أنّ تدقيق النظر في أخبار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بمعونة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استنباط وجوب العمل بكلّ مزيّة توجب أقربية ذيها إلى الواقع</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ينبّه على طريق الاستظهار المدّعى من أدلّة التخيير ، وقد اتّضح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فيها هي رواية الحسن بن الجهم</w:t>
      </w:r>
      <w:r>
        <w:rPr>
          <w:rStyle w:val="FootnoteAnchor"/>
          <w:rtl w:val="true"/>
        </w:rPr>
        <w:footnoteReference w:id="256"/>
      </w:r>
      <w:r>
        <w:rPr>
          <w:rFonts w:ascii="Amiri" w:hAnsi="Amiri" w:eastAsia="Amiri" w:cs="Amiri"/>
          <w:color w:val="111111"/>
          <w:sz w:val="28"/>
          <w:sz w:val="28"/>
          <w:szCs w:val="28"/>
          <w:rtl w:val="true"/>
          <w:lang w:bidi="ar-SA"/>
        </w:rPr>
        <w:t xml:space="preserve">، ولا إشكال في إطلاقها ، وعدم إمكان ذلك الاستظهار منها ، بل ولا من سائر الأخبار على فرض عدّها من أخبار التخيير </w:t>
      </w:r>
      <w:r>
        <w:rPr>
          <w:rFonts w:eastAsia="Amiri" w:cs="Amiri" w:ascii="Amiri" w:hAnsi="Amiri"/>
          <w:color w:val="111111"/>
          <w:sz w:val="28"/>
          <w:szCs w:val="28"/>
          <w:rtl w:val="true"/>
          <w:lang w:bidi="ar-SA"/>
        </w:rPr>
        <w:t xml:space="preserve">. </w:t>
      </w:r>
      <w:bookmarkStart w:id="271" w:name="pg15088_161877"/>
    </w:p>
    <w:p>
      <w:pPr>
        <w:pStyle w:val="BookText"/>
        <w:rPr/>
      </w:pPr>
      <w:bookmarkEnd w:id="271"/>
      <w:r>
        <w:rPr>
          <w:rFonts w:ascii="Amiri" w:hAnsi="Amiri" w:eastAsia="Amiri" w:cs="Amiri"/>
          <w:color w:val="111111"/>
          <w:sz w:val="28"/>
          <w:sz w:val="28"/>
          <w:szCs w:val="28"/>
          <w:rtl w:val="true"/>
          <w:lang w:bidi="ar-SA"/>
        </w:rPr>
        <w:t xml:space="preserve">نعم ، لو كانت دعواه إهمال أدلّة التخيير ، والقدر المتيقّن منها هو صورة التكافؤ من جميع الجهات ، أو أنّ الذهاب إلى التخيير ليس لأجل الأدلّة اللفظية ؛ لقصور ما دلّ منها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وجه ، لكن قد عرفت بيان 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قصور سندها فالظاهر جبره بعمل الأصحاب ، بناءً على أنّ مبنى حكمهم بالتخيير إنّما هو هذه الروايات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 التعدّي إلى مطلق المرجّحات ، لا بدّ من رفع اليد عن وجوب التخيير ؛ لندرة مورد لا يكون مرجّح ما لأحد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فتوى الأصحاب بوجوب التخيير ليس مثل رواية ابن الجهم ، كما سيأتي بيانه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 w:name="__RefHeading___Toc995343_2142443653"/>
      <w:bookmarkStart w:id="273" w:name="_Toc98"/>
      <w:bookmarkEnd w:id="272"/>
      <w:r>
        <w:rPr>
          <w:rtl w:val="true"/>
        </w:rPr>
        <w:t>الوجوه التي استدلّ بها الشيخ الأعظم على التعدّي من المنصوص</w:t>
      </w:r>
      <w:bookmarkEnd w:id="273"/>
    </w:p>
    <w:p>
      <w:pPr>
        <w:pStyle w:val="BookText"/>
        <w:rPr/>
      </w:pPr>
      <w:r>
        <w:rPr>
          <w:rFonts w:ascii="Amiri" w:hAnsi="Amiri" w:eastAsia="Amiri" w:cs="Amiri"/>
          <w:color w:val="111111"/>
          <w:sz w:val="28"/>
          <w:sz w:val="28"/>
          <w:szCs w:val="28"/>
          <w:rtl w:val="true"/>
          <w:lang w:bidi="ar-SA"/>
        </w:rPr>
        <w:t xml:space="preserve">وأمّا قضيّة استفادة التعدّي من أدلّة المرجّحات ، فقد استَدلّ عليه باُمور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المقبولة</w:t>
      </w:r>
      <w:r>
        <w:rPr>
          <w:rStyle w:val="FootnoteAnchor"/>
          <w:rtl w:val="true"/>
        </w:rPr>
        <w:footnoteReference w:id="258"/>
      </w:r>
      <w:r>
        <w:rPr>
          <w:rFonts w:ascii="Amiri" w:hAnsi="Amiri" w:eastAsia="Amiri" w:cs="Amiri"/>
          <w:color w:val="111111"/>
          <w:sz w:val="28"/>
          <w:sz w:val="28"/>
          <w:szCs w:val="28"/>
          <w:rtl w:val="true"/>
          <w:lang w:bidi="ar-SA"/>
        </w:rPr>
        <w:t>والمرفوعة</w:t>
      </w:r>
      <w:r>
        <w:rPr>
          <w:rStyle w:val="FootnoteAnchor"/>
          <w:rtl w:val="true"/>
        </w:rPr>
        <w:footnoteReference w:id="259"/>
      </w:r>
      <w:r>
        <w:rPr>
          <w:rFonts w:ascii="Amiri" w:hAnsi="Amiri" w:eastAsia="Amiri" w:cs="Amiri"/>
          <w:color w:val="111111"/>
          <w:sz w:val="28"/>
          <w:sz w:val="28"/>
          <w:szCs w:val="28"/>
          <w:rtl w:val="true"/>
          <w:lang w:bidi="ar-SA"/>
        </w:rPr>
        <w:t xml:space="preserve">من الترجيح بالأصدقية والأوثقية ؛ فإنّ الترجيح بهما ليس إلاّ من حيث الأقربية إلى الواقع ، من دون دخالة سبب خاصّ فيه ، وليستا كالأعدلية والأفقهية ؛ حيث يحتمل فيهما اعتبار الأقربية من السبب الخاصّ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فحينئذٍ يتعدّى منهما إلى كلّ صفة في الراوي تكون من أجلها كذلك ، ومنها يتعدّى إلى صفة الرواية ؛ لأنّ أصدقية الراوي وأوثقيته إنّما تعتبران من أجل حصول صفة الوثوق والصدق في نفس الرواية ، فإذا كانت إحدى الروايتين منقولة باللفظ ، والاُخرى بالمعنى ، كانت الاُولى أقرب إلى الصدق</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ويمكن أن يقال في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الأورعية والأعدلية والأفقهية أيضاً ، تكون معتبرة لأجل الأقربية إلى الواقع ، من غير دخالة سبب خاصّ ؛ فإنّ صفة الأورعية والأعدلية تقتضي أن يكون الراوي دقيقاً في حفظ كلمات الحديث ، والتورّع عن التغيير والتبديل ولو بكلمات مرادفة بنظره ، وعن النقل بالمعنى ، فتكون روايته أقرب إلى الواقع نوعاً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صفة الأفقهية تقتضي الأقربية ؛ لأجل كون الأفقه أعرف بمذاق الأئمّة علیهم السلام وطريقتهم ، وأعرف بتمييز ما صدر منهم لأجل إفادة الحكم الواقعي من غيره ، فلا ينقل في مقام العمل والفتوى إلاّ ما هو أقرب إلى الواقع ، بخلاف غير الأفقه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فجميع الصفات المذكورة في المقبولة والمرفوعة ، مشتركة في حيثية ، وممتازة في حيثيات ، وإنّما جعلت مرجّحة من حيثيتها المشتركة ؛ وهي أقربية ذيها إلى الواقع ، دون الجهات الممتازة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ما استكشفنا منها كون تمام الملاك والموضوع لوجوب الترجيح هو حيثية الأقربية إلى الواقع ، نتعدّى إلى كلّ ما كان كذلك ، هذا غاية تقريب هذا الدليل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أيّد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الراوي بعد سماع الترجيح بمجموع الصفات لم يسأل عن صورة وجود بعضها وتخالفها في الروايتين ، ولولا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وأمثاله مزيّة مستقلّة ، لم يكن وقع للسؤال عن صورة عدم المزيّة رأساً ، بل ناسبه السؤال عن حكم عدم اجتماع الصفات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ولكن بعد اللتيّا والتي ، وإتعاب النفس في تقريب الدليل ، لا يجوز التعدّي إلى غير ما في النصّ ؛ لأ نّه بعد ذلك لم يخرج عن التخرّص الظنّي ، ولم يستند إلى ظهور لفظي قابل للاعتداد به والاحتجاج ، ولم يخرج عن الاستحسان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التعدّي عن مرجّح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مرجّح الرواية ، ثمّ التعدّي من المنصوص إلى غيره بهذه التقريبات الظنّية الخطابية ، خارج عن مذاقنا ، ولعلّ اعتماد الشيخ رحمه الله علیه كان على الشهرة والإجماع المنقولين</w:t>
      </w:r>
      <w:r>
        <w:rPr>
          <w:rStyle w:val="FootnoteAnchor"/>
          <w:rtl w:val="true"/>
        </w:rPr>
        <w:footnoteReference w:id="262"/>
      </w:r>
      <w:r>
        <w:rPr>
          <w:rFonts w:ascii="Amiri" w:hAnsi="Amiri" w:eastAsia="Amiri" w:cs="Amiri"/>
          <w:color w:val="111111"/>
          <w:sz w:val="28"/>
          <w:sz w:val="28"/>
          <w:szCs w:val="28"/>
          <w:rtl w:val="true"/>
          <w:lang w:bidi="ar-SA"/>
        </w:rPr>
        <w:t xml:space="preserve">وأراد الاستدلال عليه بالأدلّة اللفظية ؛ لئلاّ تخلو الواقعة من دليل لفظي ، وإلاّ فهذا النحو من الاستدلال خلاف مسلكه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الغريب تأييد مرامه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سؤال الراوي عن حال تخالفها دليل على فهمه الاستقلال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بعكس ما أفاده ؛ فإنّه لو فهم استقلال الصفات المذكورة في الترجيح لكان عليه السؤال عن مورد افتراقها ؛ لاحتمال كون </w:t>
      </w:r>
    </w:p>
    <w:p>
      <w:pPr>
        <w:pStyle w:val="BookText"/>
        <w:rPr/>
      </w:pPr>
      <w:r>
        <w:rPr>
          <w:rFonts w:ascii="Amiri" w:hAnsi="Amiri" w:eastAsia="Amiri" w:cs="Amiri"/>
          <w:color w:val="111111"/>
          <w:sz w:val="28"/>
          <w:sz w:val="28"/>
          <w:szCs w:val="28"/>
          <w:rtl w:val="true"/>
          <w:lang w:bidi="ar-SA"/>
        </w:rPr>
        <w:t xml:space="preserve">إحدى الصفات مع استقلال الجميع أرجح في نظر الشارع ، بخلاف ما إذا فهم كون المجموع مرجّحاً واحداً ؛ فإنّه معه لا وقع للسؤال عن مورد افتراقها ؛ لمعلومية عدم الترجيح بها متفرّقة بعد كون المرجّح مجموعها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تعليله الأخذ بالمشهور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اشتهار الرواية كونها معروفة عند الكلّ ، كما يدلّ عليه فرض كونهما مشهورين ، 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يعرفه إلاّ القليل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ليس قطعياً من جميع الجهات حتّى يصير ممّا لا ريب فيه حقيقة ، وإلاّ لم يمكن فرضهما مشهورين ؛ لامتناع تحقّقها فيهما ، ولا الرجوع إلى صفات الراوي قبل ملاحظة الشهرة ؛ ضرورة أنّ الإرجاع بالأمارة الظنّية لا يجوز إلاّ مع فقدان الأمارة القطعية ، ولا الحكم بالرجوع مع شهرتهما إلى المرجّحات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بنفي الريب نفيه بالإضافة إلى الشاذّ ، ومعناه أنّ الريب المحتمل في الشاذّ غير محتمل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حاصل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كان أقلّ احتمالاً يجب ترجيحه على غيره ، ومقتضى التعليل التعدّي إلى كلّ ما كان كذلك</w:t>
      </w:r>
      <w:r>
        <w:rPr>
          <w:rStyle w:val="FootnoteAnchor"/>
          <w:rtl w:val="true"/>
        </w:rPr>
        <w:footnoteReference w:id="264"/>
      </w:r>
      <w:r>
        <w:rPr>
          <w:rFonts w:ascii="Amiri" w:hAnsi="Amiri" w:eastAsia="Amiri" w:cs="Amiri"/>
          <w:color w:val="111111"/>
          <w:sz w:val="28"/>
          <w:sz w:val="28"/>
          <w:szCs w:val="28"/>
          <w:rtl w:val="true"/>
          <w:lang w:bidi="ar-SA"/>
        </w:rPr>
        <w:t xml:space="preserve">، انتهى بتوضيح منّا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عرفت</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 الذي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الشهرة الفتوائية ، وعدم الريب هو الحقيقي منه ؛ ضرورة استهجان سلب الريب عن المجمع عليه مع ذكر الكبرى الكلّية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الاُمور </w:t>
      </w:r>
    </w:p>
    <w:p>
      <w:pPr>
        <w:pStyle w:val="BookText"/>
        <w:rPr/>
      </w:pP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 وأمر بيّن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الإضافي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من القرائن على ذلك ، فمنظور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قضيّة عدم جواز الرجوع إلى صفات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الأفقهية والأصدقية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ملاحظة الشهرة ؛ فلأنّ المقبولة بصدد بيان ترجيح حكم أحد الحَكَمين ، والظاهر منها أنّ حكم غير الأفقه وغير الأعدل ، غير نافذ مع وجود الأفقه الأعدل ، فحينئذٍ يكون الترجيح بصفات القاضي مقدّماً على الترجيح بالشهرة ؛ لأنّ الترجيح بالصفات لتشخيص صلاحيته للحكم ، وبعد إحرازها ينظر إلى حكمهما ، فإذا كان أحد الحكمين مخالفاً للمجمع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مستنده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 ونقض الحكم في صورة مخالفته للإجماع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جواز الحكم بالرجوع إلى سائر المرجّحات مع شهرتهما ؛ فإنّما هو فيما إذا كانتا من المجمع عليه ، وهو غير معقول ، فالاشتهار الحاصل فيهما مقابل الشذوذ ، ففرض السائل عدم كون واحد منهما شاذّاً والآخر مجمعاً عليه ، في مقابل أمره بالأخذ بالمجمع عليه وترك الشاذّ الذي ليس بمشهور عند الأصحاب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مشتهر بين الأصحاب ، وتكون الفتوى بكلّ واحد منهما فتوى ظاهرة مشهورة ، وليس واحد منهما شاذّاً نادراً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حال استشهاده بامتناع كون الروايتين مشهورتين ؛ لأنّ المشهور في مقابل الشاذّ وهو ممكن ، ولو سلّم ظهور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مشهوران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الشهرة بالمعنى المتقدّم فيهما ، ترفع اليد عن هذا الظهور السياقي الضعيف ؛ لأجل الظهور القويّ المستند إلى اللفظ ، مؤيّداً بالتعليل وإقامة البرهان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الاُمور ثلاثة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الإضافي في نفسه ممّا ينبؤ عنه الطبع السليم ، فضلاً عن احتفافه بما ذكر من التعليل والبرهان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تعليلهم لتقديم الخبر المخالف للعامّة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الحقّ والرشد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وافقهم فيه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قضايا غالبية لا دائمية ، فيدلّ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ترجيح كلّ ما كانت معه أمارة الحقّ والرشد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التعليل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في خلافهم</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إنّما ورد في رواية علي بن أسباط ، وموردها إنّما هو في الجهل بالحكم ابتداءً من دون تعارض الروايتين ، والأخذ بعموم تعليله ممّا لا يجوز ، فهي محمولة على موردها ؛ وهو كون العمل ممّا لا بدّ منه مع فقد طريق إلى الواقع ، كما هو مفروض السائل ، وأنّ ما ورد في المقبولة ليس إلاّ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والظاهر كون الموصول إشارة إلى خصوص الخبر المذكور قبله ، فلا تستفاد العلّية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نّه مع تسليمه يستفاد منه أنّ مخالفة العامّة تكون بمرتبة من الإصابة حتّى يكون الحقّ والرشد فيها ، وهو لا يدلّ على أنّ كلّ ما كان بنظرنا أقرب إلى الواقع يكون فيه الرشد ولو نوعاً وغالبياً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يحرز كون مزيّة بمرتبة مخالفة العامّة في الإيصال إلى الحقّ ، </w:t>
      </w:r>
    </w:p>
    <w:p>
      <w:pPr>
        <w:pStyle w:val="BookText"/>
        <w:rPr/>
      </w:pPr>
      <w:r>
        <w:rPr>
          <w:rFonts w:ascii="Amiri" w:hAnsi="Amiri" w:eastAsia="Amiri" w:cs="Amiri"/>
          <w:color w:val="111111"/>
          <w:sz w:val="28"/>
          <w:sz w:val="28"/>
          <w:szCs w:val="28"/>
          <w:rtl w:val="true"/>
          <w:lang w:bidi="ar-SA"/>
        </w:rPr>
        <w:t>لا يجوز الأخذ بها ، وأ نّى لنا بإثباته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يريبك إلى ما لا يريبك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على أ نّه إذا دار الأمر بين أمرين ، في أحدهما ريب ليس في الآخر ذلك الريب ، يجب الأخذ به ، وليس المراد نفي مطلق الريب كما لا يخفى</w:t>
      </w:r>
      <w:r>
        <w:rPr>
          <w:rStyle w:val="FootnoteAnchor"/>
          <w:rtl w:val="true"/>
        </w:rPr>
        <w:footnoteReference w:id="26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الحقيقي منه ؛ ضرورة أ نّه إذا دار الأمر بين متناقضين وكان أحدهما لا ريب فيه حقيقةً ، يكون الطرف المقابل ممّا لا ريب فيه أيضاً ، إلاّ أ نّه إذا كان أحدهما ممّا لا ريب في حقيقته يكون مقابله ممّا لا ريب في بطلانه ، لا أ نّه ممّا فيه ريب ، فإذا جعل مقابله ممّا فيه ريب ، يكون ما لا ريب فيه هو الإضافي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محصّل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ورد أمران ، أحدهما فيه ريب ، والآخر ليس فيه هذا الريب ، يجب الأخذ بالثاني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كون الرواية مرسلة ضعيفة لا يمكن إثبات حكم بها ؛ لكونها مرويّة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يريبك إلى ما لا يريبك</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يريبك إلى ما لا يريبك ؛ فإنّك لن تجد فقد شيء تركته للّه عزّ وجلّ</w:t>
      </w:r>
      <w:r>
        <w:rPr>
          <w:rFonts w:eastAsia="IRNazanin" w:cs="IRNazanin"/>
          <w:color w:val="111111"/>
          <w:sz w:val="28"/>
          <w:szCs w:val="28"/>
          <w:rtl w:val="true"/>
          <w:lang w:bidi="fa-IR"/>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احتمالاً أقرب </w:t>
      </w:r>
      <w:bookmarkStart w:id="274" w:name="pg15088_161884"/>
    </w:p>
    <w:p>
      <w:pPr>
        <w:pStyle w:val="BookText"/>
        <w:rPr/>
      </w:pPr>
      <w:bookmarkEnd w:id="274"/>
      <w:r>
        <w:rPr>
          <w:rFonts w:ascii="Amiri" w:hAnsi="Amiri" w:eastAsia="Amiri" w:cs="Amiri"/>
          <w:color w:val="111111"/>
          <w:sz w:val="28"/>
          <w:sz w:val="28"/>
          <w:szCs w:val="28"/>
          <w:rtl w:val="true"/>
          <w:lang w:bidi="ar-SA"/>
        </w:rPr>
        <w:t xml:space="preserve">ممّا ذكر ؛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الشبهة البدوية التحريمية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ثواب اللّه تعالى ؛ فإنّه المناسب للتعليل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 لن تجد فقد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فيه ريب لأجل ثواب اللّه الذي لا ريب فيه ؛ فإنّك لن تجد فقد ما تركته للّه ، لأ نّك ترى ثوابه في دار الثواب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حمله على ما ذكره فلا يناسب التعليل ، مع أنّ فيما ذكرنا يكون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الحقيقي الظاهر فيه ، ولو منع من ظهورها فيما ذكرنا يكون احتمالاً مساوياً لما ذكر ، فلا يصحّ الاستدلال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المرجّح المنصوص في خصوص موافقة الكتاب ومخالفة العامّة ، ولا يستفاد من الأدلّة التعميم </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995345_2142443653"/>
      <w:bookmarkStart w:id="276" w:name="_Toc99"/>
      <w:bookmarkEnd w:id="275"/>
      <w:r>
        <w:rPr>
          <w:rtl w:val="true"/>
        </w:rPr>
        <w:t>في تقريب الترجيح بكلّ ذي مزيّة</w:t>
      </w:r>
      <w:bookmarkEnd w:id="276"/>
    </w:p>
    <w:p>
      <w:pPr>
        <w:pStyle w:val="BookText"/>
        <w:rPr/>
      </w:pPr>
      <w:r>
        <w:rPr>
          <w:rFonts w:ascii="Amiri" w:hAnsi="Amiri" w:eastAsia="Amiri" w:cs="Amiri"/>
          <w:color w:val="111111"/>
          <w:sz w:val="28"/>
          <w:sz w:val="28"/>
          <w:szCs w:val="28"/>
          <w:rtl w:val="true"/>
          <w:lang w:bidi="ar-SA"/>
        </w:rPr>
        <w:t xml:space="preserve">لكن هاهنا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دليل التخيير الذي عرفت انحصاره تقريباً برواية ابن الجهم</w:t>
      </w:r>
      <w:r>
        <w:rPr>
          <w:rStyle w:val="FootnoteAnchor"/>
          <w:rtl w:val="true"/>
        </w:rPr>
        <w:footnoteReference w:id="272"/>
      </w:r>
      <w:r>
        <w:rPr>
          <w:rFonts w:ascii="Amiri" w:hAnsi="Amiri" w:eastAsia="Amiri" w:cs="Amiri"/>
          <w:color w:val="111111"/>
          <w:sz w:val="28"/>
          <w:sz w:val="28"/>
          <w:szCs w:val="28"/>
          <w:rtl w:val="true"/>
          <w:lang w:bidi="ar-SA"/>
        </w:rPr>
        <w:t xml:space="preserve">إنّما يمكن التمسّك بإطلاقها لو تمّ اعتبارها سنداً ، وإنّا وإن احتملنا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رجّحنا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سندها</w:t>
      </w:r>
      <w:r>
        <w:rPr>
          <w:rStyle w:val="FootnoteAnchor"/>
          <w:rtl w:val="true"/>
        </w:rPr>
        <w:footnoteReference w:id="273"/>
      </w:r>
      <w:r>
        <w:rPr>
          <w:rFonts w:ascii="Amiri" w:hAnsi="Amiri" w:eastAsia="Amiri" w:cs="Amiri"/>
          <w:color w:val="111111"/>
          <w:sz w:val="28"/>
          <w:sz w:val="28"/>
          <w:szCs w:val="28"/>
          <w:rtl w:val="true"/>
          <w:lang w:bidi="ar-SA"/>
        </w:rPr>
        <w:t xml:space="preserve">، لكنّه محلّ إشكال ؛ لأنّ مبنى الأصحاب في وجوب الأخذ بأحد الخبرين تخييراً لا يمكن أن يكون تلك الرواية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مفادها كما أشرنا إليه سابقاً</w:t>
      </w:r>
      <w:r>
        <w:rPr>
          <w:rStyle w:val="FootnoteAnchor"/>
          <w:rtl w:val="true"/>
        </w:rPr>
        <w:footnoteReference w:id="274"/>
      </w:r>
      <w:r>
        <w:rPr>
          <w:rFonts w:ascii="Amiri" w:hAnsi="Amiri" w:eastAsia="Amiri" w:cs="Amiri"/>
          <w:color w:val="111111"/>
          <w:sz w:val="28"/>
          <w:sz w:val="28"/>
          <w:szCs w:val="28"/>
          <w:rtl w:val="true"/>
          <w:lang w:bidi="ar-SA"/>
        </w:rPr>
        <w:t xml:space="preserve">ليس إلاّ التوسعة وجواز الأخذ بأحد الخبرين ، مع أنّ فتوى الأصحاب إنّما هي بوجوب الأخذ </w:t>
      </w:r>
    </w:p>
    <w:p>
      <w:pPr>
        <w:pStyle w:val="BookText"/>
        <w:rPr/>
      </w:pPr>
      <w:r>
        <w:rPr>
          <w:rFonts w:ascii="Amiri" w:hAnsi="Amiri" w:eastAsia="Amiri" w:cs="Amiri"/>
          <w:color w:val="111111"/>
          <w:sz w:val="28"/>
          <w:sz w:val="28"/>
          <w:szCs w:val="28"/>
          <w:rtl w:val="true"/>
          <w:lang w:bidi="ar-SA"/>
        </w:rPr>
        <w:t xml:space="preserve">بأحدهما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مستندهم في التخيير تلك الرواية ، لا في عدم التساقط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العمل بكلّ ذي مزيّة ، بل عن جماعة الإجماع وعدم ظهور الخلاف فيه</w:t>
      </w:r>
      <w:r>
        <w:rPr>
          <w:rStyle w:val="FootnoteAnchor"/>
          <w:rtl w:val="true"/>
        </w:rPr>
        <w:footnoteReference w:id="276"/>
      </w:r>
      <w:r>
        <w:rPr>
          <w:rFonts w:ascii="Amiri" w:hAnsi="Amiri" w:eastAsia="Amiri" w:cs="Amiri"/>
          <w:color w:val="111111"/>
          <w:sz w:val="28"/>
          <w:sz w:val="28"/>
          <w:szCs w:val="28"/>
          <w:rtl w:val="true"/>
          <w:lang w:bidi="ar-SA"/>
        </w:rPr>
        <w:t xml:space="preserve">مع أنّ إطلاق رواية ابن الجهم يقتضي الاقتصار على المنصوص من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بنينا على استفادة التعميم من المرجّحات المنصوصة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الشيخ</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التقييد الكثير المستهجن في دليل التخيير ؛ لندرة تساوي الروايتين من جميع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المحتمل أن يكون مبنى المشهور في الترجيح بكلّ ذي مزيّة هو أصالة التعيين في الدوران بين التعيين والتخيير ، لا لدليل تعبّدي ، أو لفهم التعميم من أخبار العلاج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فينقدح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اليد عن مقتضى القاعدة في دوران الأمر بين التعيين والتخيير ، لا يجوز إلاّ بدليل معتبر ، ولا دليل على التخيير إلاّ رواية ابن الجهم ، وهي لا تصلح للاستناد ، فالقاعدة مقتضية للأخذ بكلّ ذي مزيّة ، وهو في النتيجة كما أفاد الشيخ ، وإن اختلف في الاستدلال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بعد تسليم عدم جواز رفع اليد عن كلا المتعارضين والعمل بمقتضى </w:t>
      </w:r>
    </w:p>
    <w:p>
      <w:pPr>
        <w:pStyle w:val="BookText"/>
        <w:rPr/>
      </w:pPr>
      <w:r>
        <w:rPr>
          <w:rFonts w:ascii="Amiri" w:hAnsi="Amiri" w:eastAsia="Amiri" w:cs="Amiri"/>
          <w:color w:val="111111"/>
          <w:sz w:val="28"/>
          <w:sz w:val="28"/>
          <w:szCs w:val="28"/>
          <w:rtl w:val="true"/>
          <w:lang w:bidi="ar-SA"/>
        </w:rPr>
        <w:t xml:space="preserve">الاُصول ، كما هو كذلك ؛ للتسالم بين الأصحاب بل كأ نّه ضروري في الفقه ، فإذن يجب في المتعارضين الترجيح بكلّ ذي مزيّة توجب الأقربية إلى الواقع ، بل لو ظنّ أقربية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دار الأمر بين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الأخذ به تعييناً ؛ بمقتضى القاعدة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اخترناه سابقاً</w:t>
      </w:r>
      <w:r>
        <w:rPr>
          <w:rStyle w:val="FootnoteAnchor"/>
          <w:rtl w:val="true"/>
        </w:rPr>
        <w:footnoteReference w:id="278"/>
      </w:r>
      <w:r>
        <w:rPr>
          <w:rFonts w:ascii="Amiri" w:hAnsi="Amiri" w:eastAsia="Amiri" w:cs="Amiri"/>
          <w:color w:val="111111"/>
          <w:sz w:val="28"/>
          <w:sz w:val="28"/>
          <w:szCs w:val="28"/>
          <w:rtl w:val="true"/>
          <w:lang w:bidi="ar-SA"/>
        </w:rPr>
        <w:t xml:space="preserve">في وجه الجمع بين أخبار الإرجاء وأخبار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حمل الظاهر على النصّ هو حمل أخبار الإرجاء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مع قطع النظر عن سند أخبار التخيير ، أو البناء على الانجبار بعمل الأصحاب ، وإلاّ فمع ضعف سندها ودلالة غالبها ، فلا تصلح للقرينية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حينئذٍ إمّا من حملها على إمكان ملاقاة الإمام ؛ بدعوى ظهور الغاية في الممكنة ، كما صنع شيخنا المرتضى</w:t>
      </w:r>
      <w:r>
        <w:rPr>
          <w:rStyle w:val="FootnoteAnchor"/>
          <w:rtl w:val="true"/>
        </w:rPr>
        <w:footnoteReference w:id="279"/>
      </w:r>
      <w:r>
        <w:rPr>
          <w:rFonts w:ascii="Amiri" w:hAnsi="Amiri" w:eastAsia="Amiri" w:cs="Amiri"/>
          <w:color w:val="111111"/>
          <w:sz w:val="28"/>
          <w:sz w:val="28"/>
          <w:szCs w:val="28"/>
          <w:rtl w:val="true"/>
          <w:lang w:bidi="ar-SA"/>
        </w:rPr>
        <w:t>وقد عرفت ما فيه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رفع اليد عن ظهورها في الوجوب ؛ بدعوى إعراض المشهور عن ظاهرها ؛ لذهابهم إلى وجوب ترجيح كلّ ذي مزيّة منصوصة وغيرها </w:t>
      </w:r>
      <w:r>
        <w:rPr>
          <w:rFonts w:eastAsia="Amiri" w:cs="Amiri" w:ascii="Amiri" w:hAnsi="Amiri"/>
          <w:color w:val="111111"/>
          <w:sz w:val="28"/>
          <w:szCs w:val="28"/>
          <w:rtl w:val="true"/>
          <w:lang w:bidi="ar-SA"/>
        </w:rPr>
        <w:t xml:space="preserve">. </w:t>
      </w:r>
      <w:bookmarkStart w:id="277" w:name="pg15088_161887"/>
    </w:p>
    <w:p>
      <w:pPr>
        <w:pStyle w:val="Heading5"/>
        <w:numPr>
          <w:ilvl w:val="4"/>
          <w:numId w:val="1"/>
        </w:numPr>
        <w:rPr/>
      </w:pPr>
      <w:bookmarkStart w:id="278" w:name="__RefHeading___Toc995347_2142443653"/>
      <w:bookmarkStart w:id="279" w:name="_Toc100"/>
      <w:bookmarkEnd w:id="277"/>
      <w:bookmarkEnd w:id="278"/>
      <w:r>
        <w:rPr>
          <w:rtl w:val="true"/>
        </w:rPr>
        <w:t>الأمر الرابع</w:t>
      </w:r>
      <w:r>
        <w:rPr>
          <w:rtl w:val="true"/>
        </w:rPr>
        <w:t xml:space="preserve">: </w:t>
      </w:r>
      <w:r>
        <w:rPr>
          <w:rtl w:val="true"/>
        </w:rPr>
        <w:t>في إمكان كون كلّ من المرجّحين مرجّحاً للصدور أو لجهته</w:t>
      </w:r>
      <w:bookmarkEnd w:id="279"/>
    </w:p>
    <w:p>
      <w:pPr>
        <w:pStyle w:val="BookText"/>
        <w:rPr/>
      </w:pPr>
      <w:r>
        <w:rPr>
          <w:rFonts w:ascii="Amiri" w:hAnsi="Amiri" w:eastAsia="Amiri" w:cs="Amiri"/>
          <w:color w:val="111111"/>
          <w:sz w:val="28"/>
          <w:sz w:val="28"/>
          <w:szCs w:val="28"/>
          <w:rtl w:val="true"/>
          <w:lang w:bidi="ar-SA"/>
        </w:rPr>
        <w:t xml:space="preserve">قد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المرجّح المنصوص منحصر في موافقة الكتاب ومخالفة العامّة ، فكلّ واحد منهما يمكن أن يكون ثبوتاً مرجّحاً لأصل الصدور ، أو لجهته ، ويمكن أن يكون كلّ لجهة ؛ لأنّ الأخبار المخالفة للكتاب والسنّة ، يمكن أن تكون غير صادرة منهم نوعاً ، فجعلت المخالفة أمارة على عدم الصدور ، أو صادرة لا لبيان الحكم الواقعي ، بل للاحتشام عن ولاة الجور وتقيّة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الأخبار الموافقة للعامّة ، يمكن أن لا تكون صادرة منهم ، وإنّما دسّها الدسّاسون في أخبارهم ، ويمكن أن تكون صادرة منهم لأجل التقيّة ، فلا يتمحّض شيء منهما بحسب الثبوت في ترجيح الصدور أو جهته ، بل يمكن إرجاع الترجيح بالأعدلية وما يتلوها وكذا الاشتهار إلى جهة الصدور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مقام الإثبات ، فالأخبار الواردة في الترجيح بموافقة الكتاب مختلفة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منها أ نّها مرجّحة لأصل الصدور ، كرواية ابن الجهم؛ حيث </w:t>
      </w:r>
    </w:p>
    <w:p>
      <w:pPr>
        <w:pStyle w:val="BookText"/>
        <w:rPr/>
      </w:pPr>
      <w:r>
        <w:rPr>
          <w:rFonts w:ascii="Amiri" w:hAnsi="Amiri" w:eastAsia="Amiri" w:cs="Amiri"/>
          <w:color w:val="111111"/>
          <w:sz w:val="28"/>
          <w:sz w:val="28"/>
          <w:szCs w:val="28"/>
          <w:rtl w:val="true"/>
          <w:lang w:bidi="ar-SA"/>
        </w:rPr>
        <w:t xml:space="preserve">قال في الجواب عن ورود الأحاديث المختلفة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يشبه كتاب اللّه وأحاديثنا فهو منّا ، وما لا يشبههما فليس منّا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يصدر منّا ، لا أ نّه صدر للتقيّة ، وكذا روايته الاُخرى عن العبد الصالح</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منها أ نّها مرجّحة لجهة الصدور ، كقوله في رواية الميثمي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 نّا لا نرخّص فيما لم يرخّص فيه رسول اللّه ، ولا نأمر بخلاف ما أمر به رسول اللّه إلاّ لعلّة خوف ضرورة </w:t>
      </w:r>
      <w:r>
        <w:rPr>
          <w:rFonts w:eastAsia="Amiri" w:cs="Amiri" w:ascii="Amiri" w:hAnsi="Amiri"/>
          <w:color w:val="111111"/>
          <w:sz w:val="28"/>
          <w:szCs w:val="28"/>
          <w:rtl w:val="true"/>
          <w:lang w:bidi="ar-SA"/>
        </w:rPr>
        <w:t>. . .»</w:t>
      </w:r>
      <w:r>
        <w:rPr>
          <w:rStyle w:val="FootnoteAnchor"/>
          <w:rtl w:val="true"/>
        </w:rPr>
        <w:footnoteReference w:id="283"/>
      </w:r>
      <w:r>
        <w:rPr>
          <w:rFonts w:ascii="Amiri" w:hAnsi="Amiri" w:eastAsia="Amiri" w:cs="Amiri"/>
          <w:color w:val="111111"/>
          <w:sz w:val="28"/>
          <w:sz w:val="28"/>
          <w:szCs w:val="28"/>
          <w:rtl w:val="true"/>
          <w:lang w:bidi="ar-SA"/>
        </w:rPr>
        <w:t xml:space="preserve">، فإنّ الظاهر منه أنّ ما خالف رسول اللّه قد يصدر منهم تقيّة وخوفاً ، فأمر في أخبار العلاج بردّ ما خالف السنّة من المتعارضين لأجله أو للأعمّ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الواردة في الترجيح بمخالفة العامّة ، فلا يظهر منها أ نّها للترجيح الصدوري أو الجهتي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ربّما يرجّح من بعض الأخبار الاُخر كونها من مرجّح أصل الصدور ، كأخبار الدسّ</w:t>
      </w:r>
      <w:r>
        <w:rPr>
          <w:rStyle w:val="FootnoteAnchor"/>
          <w:rtl w:val="true"/>
        </w:rPr>
        <w:footnoteReference w:id="284"/>
      </w:r>
      <w:r>
        <w:rPr>
          <w:rFonts w:ascii="Amiri" w:hAnsi="Amiri" w:eastAsia="Amiri" w:cs="Amiri"/>
          <w:color w:val="111111"/>
          <w:sz w:val="28"/>
          <w:sz w:val="28"/>
          <w:szCs w:val="28"/>
          <w:rtl w:val="true"/>
          <w:lang w:bidi="ar-SA"/>
        </w:rPr>
        <w:t xml:space="preserve">كما أنّ كثرة صدور الأخبار تقيّة ممّا يرجّح كونها مرجّحة لجهة الصدور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الاحتمالين ممكن ، والجزم بأحدهما لا يخلو من جزاف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مصحّحة عبدالرحمان بن أبي عبداللّه أنّ الترجيح بموافقة الكتاب مقدّم على الترجيح بمخالفة العامّة</w:t>
      </w:r>
      <w:r>
        <w:rPr>
          <w:rStyle w:val="FootnoteAnchor"/>
          <w:rtl w:val="true"/>
        </w:rPr>
        <w:footnoteReference w:id="285"/>
      </w:r>
      <w:r>
        <w:rPr>
          <w:rFonts w:ascii="Amiri" w:hAnsi="Amiri" w:eastAsia="Amiri" w:cs="Amiri"/>
          <w:color w:val="111111"/>
          <w:sz w:val="28"/>
          <w:sz w:val="28"/>
          <w:szCs w:val="28"/>
          <w:rtl w:val="true"/>
          <w:lang w:bidi="ar-SA"/>
        </w:rPr>
        <w:t xml:space="preserve">؛ ولا وجه لرفع اليد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المرجّحات الصدورية مقدّمة على المرجّحات الجهتية ، وهي على المرجّحات المضمونية ؛ لتقدّم التعبّد بأصل الصدور على التعبّد بجهته ، وهي على التعبّد بالمضمون</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تقدّم التعبّد بالصدور على جهته وهو على مضمونه ممّا لا أصل له ولا دليل عليه ؛ لأنّ بناء العقلاء على العمل بخبر الثقة بعد تمامية أصل الصدور وجهته وظهوره وسائر الاُصول العقلائية ، ومع عدم جريان واحد منها لا يعملون به ، ولا معنى للتعبّد بالصدور إلاّ العمل به ، وما لا عمل له بوجه لا يكون مورداً للاُصول العقلائية ولا للأدلّة الشرعية على فرضها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التعبّد بالصدور مقدّم على التعبّد بجهته ، إن كان مراده هو التعبّد العملي شرعاً ، أو البناء العملي لدى العقلاء ، فلا معنى له ، وهو واضح ، وإن كان غير ذلك فلا محصّل له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لو سلّم ، فإنّما هو في غير باب التعارض ؛ ضرورة أنّ كافّة </w:t>
      </w:r>
    </w:p>
    <w:p>
      <w:pPr>
        <w:pStyle w:val="BookText"/>
        <w:rPr/>
      </w:pPr>
      <w:r>
        <w:rPr>
          <w:rFonts w:ascii="Amiri" w:hAnsi="Amiri" w:eastAsia="Amiri" w:cs="Amiri"/>
          <w:color w:val="111111"/>
          <w:sz w:val="28"/>
          <w:sz w:val="28"/>
          <w:szCs w:val="28"/>
          <w:rtl w:val="true"/>
          <w:lang w:bidi="ar-SA"/>
        </w:rPr>
        <w:t xml:space="preserve">الاُصول اللفظية والعقلية تسقط بالمعارضة ، وتكون الروايتان ساقطتين رأساً ، فلا بدّ في العمل بواحدة منهما تعييناً أو تخييراً من التماس دليل ، وليس إلاّ أخبار العلاج ، وهي تدلّ على تقدّم الترجيح بموافقة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كلّ ذلك ، فلا يقاوم بناءُ العقلاء المصحّحةَ المصرّحة بتقدّم الترجيح بموافقة الكتاب على الترجيح بمخالفة العامّة ؛ لأنّ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والاُصولَ العقلائية كلّها قابلة للتخصيص والردع فلا تغفل ، هذا كلّه في المرجّح المنصوص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 ، فبناءً على أنّ الترجيح بمطلقه إنّما هو لأجل دوران الأمر بين التعيين والتخيير ، فلا ترجيح لمرجّح على مرجّح إلاّ ما هو أتمّ ملاكاً وأقرب إلى الواقع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الكلام في مهمّات باب التعادل والتراجيح ، والحمد للّه أوّلاً وآخراً ، وظاهراً وباطناً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الفراغ من تأليفه ليلة الجمعة ، تاسع شهر جمادي الاُولى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أهل البيت علیهم السلام ومن إخراجه إلى المبيضّة يوم الثالث والعشرين من شهر رمضان المبارك ، سنة ألف وثلاثمائة وسبعين هجرية قمرية ، على هاجرها الصلاة والسلام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w:t>
      </w:r>
      <w:r>
        <w:rPr>
          <w:rFonts w:eastAsia="IRNazanin" w:cs="IRNazanin"/>
          <w:color w:val="111111"/>
          <w:sz w:val="28"/>
          <w:szCs w:val="28"/>
          <w:rtl w:val="true"/>
          <w:lang w:bidi="fa-IR"/>
        </w:rPr>
        <w:t xml:space="preserve">» .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5088_161892"/>
      <w:bookmarkStart w:id="281" w:name="pg15088_161892"/>
      <w:bookmarkEnd w:id="281"/>
    </w:p>
    <w:p>
      <w:pPr>
        <w:pStyle w:val="Heading2"/>
        <w:numPr>
          <w:ilvl w:val="1"/>
          <w:numId w:val="1"/>
        </w:numPr>
        <w:rPr/>
      </w:pPr>
      <w:bookmarkStart w:id="282" w:name="pg15088_161892"/>
      <w:bookmarkStart w:id="283" w:name="__RefHeading___Toc995349_2142443653"/>
      <w:bookmarkStart w:id="284" w:name="_Toc101"/>
      <w:bookmarkEnd w:id="282"/>
      <w:bookmarkEnd w:id="283"/>
      <w:r>
        <w:rPr>
          <w:rtl w:val="true"/>
        </w:rPr>
        <w:t>الفهارس العامّة</w:t>
      </w:r>
      <w:bookmarkEnd w:id="284"/>
    </w:p>
    <w:p>
      <w:pPr>
        <w:pStyle w:val="Heading3"/>
        <w:numPr>
          <w:ilvl w:val="2"/>
          <w:numId w:val="1"/>
        </w:numPr>
        <w:rPr/>
      </w:pPr>
      <w:bookmarkStart w:id="285" w:name="__RefHeading___Toc995351_2142443653"/>
      <w:bookmarkStart w:id="286" w:name="_Toc102"/>
      <w:bookmarkEnd w:id="285"/>
      <w:r>
        <w:rPr>
          <w:rtl w:val="true"/>
        </w:rPr>
        <w:t>اشارة</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5088_161894"/>
      <w:bookmarkStart w:id="288" w:name="pg15088_161894"/>
      <w:bookmarkEnd w:id="288"/>
    </w:p>
    <w:p>
      <w:pPr>
        <w:pStyle w:val="Heading3"/>
        <w:numPr>
          <w:ilvl w:val="2"/>
          <w:numId w:val="1"/>
        </w:numPr>
        <w:rPr/>
      </w:pPr>
      <w:bookmarkStart w:id="289" w:name="pg15088_161894"/>
      <w:bookmarkStart w:id="290" w:name="__RefHeading___Toc995353_2142443653"/>
      <w:bookmarkStart w:id="291" w:name="_Toc103"/>
      <w:bookmarkEnd w:id="289"/>
      <w:bookmarkEnd w:id="290"/>
      <w:r>
        <w:rPr/>
        <w:t>1</w:t>
      </w:r>
      <w:r>
        <w:rPr>
          <w:rtl w:val="true"/>
        </w:rPr>
        <w:t xml:space="preserve"> - </w:t>
      </w:r>
      <w:r>
        <w:rPr>
          <w:rtl w:val="true"/>
        </w:rPr>
        <w:t>فهرس الآيات الكريمة</w:t>
      </w:r>
      <w:bookmarkEnd w:id="291"/>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وَأَخَاهُ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292" w:name="pg15088_161896"/>
    </w:p>
    <w:p>
      <w:pPr>
        <w:pStyle w:val="Heading3"/>
        <w:numPr>
          <w:ilvl w:val="2"/>
          <w:numId w:val="1"/>
        </w:numPr>
        <w:rPr/>
      </w:pPr>
      <w:bookmarkStart w:id="293" w:name="__RefHeading___Toc995355_2142443653"/>
      <w:bookmarkStart w:id="294" w:name="_Toc104"/>
      <w:bookmarkEnd w:id="292"/>
      <w:bookmarkEnd w:id="293"/>
      <w:r>
        <w:rPr/>
        <w:t>2</w:t>
      </w:r>
      <w:r>
        <w:rPr>
          <w:rtl w:val="true"/>
        </w:rPr>
        <w:t xml:space="preserve"> - </w:t>
      </w:r>
      <w:r>
        <w:rPr>
          <w:rtl w:val="true"/>
        </w:rPr>
        <w:t>فهرس الأحاديث الشريفة</w:t>
      </w:r>
      <w:bookmarkEnd w:id="294"/>
    </w:p>
    <w:p>
      <w:pPr>
        <w:pStyle w:val="BookText"/>
        <w:rPr/>
      </w:pPr>
      <w:r>
        <w:rPr>
          <w:rFonts w:ascii="Amiri" w:hAnsi="Amiri" w:eastAsia="Amiri" w:cs="Amiri"/>
          <w:color w:val="111111"/>
          <w:sz w:val="28"/>
          <w:sz w:val="28"/>
          <w:szCs w:val="28"/>
          <w:rtl w:val="true"/>
          <w:lang w:bidi="ar-SA"/>
        </w:rPr>
        <w:t xml:space="preserve">ائت فقيه البلد فاستفته من أمرك ، فإذا أفتاك بشيء فخذ بخلافه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أبى اللّه إلاّ أن يعبد سرّاً ، أما واللّه لإنْ فعلتم ذلك إنّه لخير لي ولكم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أتدري لِمَ اُمرتم بالأخذ بخلاف ما تقول العامّة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إذا جاءك الحديثان المختلفان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إذا جاءك الحديثان المختلفان فقسهما على كتاب اللّه وأحاديثنا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إذا جاءكم عنّا حديث ، فوجدتم عليه شاهداً أو شاهدين من كتاب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إذا رأيت الناس يقبلون على شيء فاجتنبه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إذا سمعت من أصحابك الحديثَ وكلّهم ثقة ، فموسّع عليك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إذا كان ذلك فأرجئه حتّى تلقى إمامك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إذا كان ذلك فأرجه حتّى تلقى إمامك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إذا لم تعلم أيّهما الحقّ فموسّع عليك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إذا لم تعلم فموسّع عليك بأيّهما أخذت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إذا ورد عليكم حديث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إذا ورد عليكم حديثان مختلفان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إذا ورد عليكم حديثان مختلفان فاعرضوهما على كتاب اللّه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 عليكم حديثان مختلفان فخذوا بما خالف القوم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ورد عليكم حديث فوجدتم له شاهداً من كتاب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إذا ورد عليكم خبران مختلفان فانظروا إلى ما يخالف منهما العامّة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إذن فأرجه حتّى تلقى إمامك فتسأله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إذن فتخيّر أحدهما فتأخذ به ، وتدع الآخر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أرجئه حتّى تلقى إمامك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أنّ الحقّ في خلافهم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أنّ الحقّ والرشد في خلافهم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إنّ اللّه حرّم حراماً ، وأحلّ حلالاً ، وفرض فرائض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إنّا واللّه لا ندخلكم إلاّ فيما يسعكم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إنّ علياً لم يكن يدين اللّه بدين إلاّ خالف عليه الاُمّة إلى غيره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إنّما الاُمور ثلاثة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إنّما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 وأمر بيّن غيّه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أنّ ما وافقهم فيه التقيّة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إنّ ما يشبه كتاب اللّه وأحاديثنا فهو منّا ، وما لا يشبههما فليس منّا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بأنّ التحاكم عندهم تحاكم إلى الطاغوت ، وما يأخذه بحكمهم سحت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بأيّهما أخذت من باب التسليم وسعك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بيّن غيّه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الحكم ما حكم به أعدلهما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حكمي على الأوّلين حكمي على الآخرين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حلال محمّد صلی الله علیه و آله وسلم حلال إلى يوم القيامة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الخبران المتعارضان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بما اشتهر بين أصحابك ، ودع الشاذّ النادر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خذ بما خالف القوم ، وما وافق القوم فاجتنبه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خذ بما فيه خلاف العامّة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خطب النبي بمنى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جاءكم عنّي يوافق كتاب اللّه فأنا قلته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دع ما يريبك إلى ما لا يريبك ؛ فإنّك لن تجد فقد شيء تركته للّه عزّ وجلّ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دعوا ما وافق القوم ؛ فإنّ الرشد في خلافهم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شيعتنا المسلّمون لأمرنا ، الآخذون بقولنا ، المخالفون لأعدائنا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صلّها في المحمل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العَمْري وابنه ثقتان ، فما أدّيا إليك عنّي فعنّي يؤدّيان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فإذا لم تعلم فموسّع عليك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فإذا لم تعلم فموسّع عليك بأيّهما أخذت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فإنّ المجمع عليه لا ريب فيه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فإنّ الوقوف عند الشبهات خير من الاقتحام في الهلكات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فإنّك لن تجد فقد شيء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فإن لم تجدوهما في كتاب اللّه فاعرضوهما على أخبار العامّة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فتخيّر أحدهما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فما وافق كتاب اللّه فخذوه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فما وافق كتاب اللّه فخذوه ، وما خالف كتاب اللّه فدعوه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فما ورد عليكم من خبرين مختلفين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فمن ترك الشبهات نجا من المحرّمات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فموسّع عليك بأيّهما أخذت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فهو في سعة حتّى يلقاه </w:t>
      </w:r>
      <w:r>
        <w:rPr>
          <w:rFonts w:eastAsia="Amiri" w:cs="Amiri" w:ascii="Amiri" w:hAnsi="Amiri"/>
          <w:color w:val="111111"/>
          <w:sz w:val="28"/>
          <w:szCs w:val="28"/>
          <w:lang w:bidi="ar-SA"/>
        </w:rPr>
        <w:t>84</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الجواب عن ذلك حديثان، 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انتقل من حالة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كلّ حقّ حقيقة ، وعلى كلّ صواب نوراً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كذلك قد نهى رسول اللّه عن أشياء نهي حرام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كلّ شيء مردود إلى الكتاب والسنّة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كلّهم ثقة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لا تصلّها إلاّ على الأرض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لا تعمل بواحد منهما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لا تعمل بواحد منهما حتّى تلقى صاحبك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لا تعمل بواحد منهما حتّى تلقى صاحبك فتسأله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لأ نّا لا نرخّص فيما لم يرخّص فيه رسول اللّه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لا واللّه ، لا يسعكم إلاّ التسليم لنا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ليس منّا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ما أنتم واللّه على شيء ممّا هم فيه ، ولا هم على شيء ممّا أنتم فيه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ما جاءك عنّا فقس على كتاب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ما خالف العامّة ففيه الرشاد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ما خالف قول ربّنا زخرف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ما سمعته منّي يشبه قول الناس فيه التقيّة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ما علمتم أ نّه قولنا فالزموه ، وما لم تعلموا فردّوه إلينا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ما لا يريبك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ما لم يوافق من الحديث القرآن فهو زخرف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ما يربيك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المجمع عليه الذي لا ريب فيه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ما من شيء يقرّبكم من الجنّة ويباعدكم من النار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تحاكم إليهم في حقّ أو باطل فإنّما تحاكم إلى الطاغوت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من كان منكم ممّن روى حديثنا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موسّع عليك بأيّة عملت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الناس في سعة ما لا يعلمون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والرادّ علينا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يرجئه حتّى يلقى من يخبره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يرجئه حتّى يلقى من يخبره ، فهو في سعة حتّى يلقاه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ينظر إلى أعدلهما وأفقههما في دين اللّه فيمضي حكمه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ينظر إلى أفقههما وأعلمهما بأحاديثنا وأورعهما فينفذ حكمه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ينظر إلى ما هم أميل إليه حكّامهم وقضاتهم فيترك ، ويؤخذ بالآخر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ينظران إلى من كان منكم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ينظران إلى من كان منكم ممّن قد روى حديثنا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فليرضوا به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ينظر ما وافق حكمه حكم الكتاب والسنّة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ينظر ما وافق حكمه حكم الكتاب والسنّة وخالف العامّة فيؤخذ به </w:t>
      </w:r>
      <w:r>
        <w:rPr>
          <w:rFonts w:eastAsia="Amiri" w:cs="Amiri" w:ascii="Amiri" w:hAnsi="Amiri"/>
          <w:color w:val="111111"/>
          <w:sz w:val="28"/>
          <w:szCs w:val="28"/>
          <w:lang w:bidi="ar-SA"/>
        </w:rPr>
        <w:t>118</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يؤخذ بالمجمع عليه ، ويترك الشاذّ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5088_161902"/>
      <w:bookmarkStart w:id="296" w:name="pg15088_161902"/>
      <w:bookmarkEnd w:id="296"/>
    </w:p>
    <w:p>
      <w:pPr>
        <w:pStyle w:val="Heading3"/>
        <w:numPr>
          <w:ilvl w:val="2"/>
          <w:numId w:val="1"/>
        </w:numPr>
        <w:rPr/>
      </w:pPr>
      <w:bookmarkStart w:id="297" w:name="pg15088_161902"/>
      <w:bookmarkStart w:id="298" w:name="__RefHeading___Toc995357_2142443653"/>
      <w:bookmarkStart w:id="299" w:name="_Toc105"/>
      <w:bookmarkEnd w:id="297"/>
      <w:bookmarkEnd w:id="298"/>
      <w:r>
        <w:rPr/>
        <w:t>3</w:t>
      </w:r>
      <w:r>
        <w:rPr>
          <w:rtl w:val="true"/>
        </w:rPr>
        <w:t xml:space="preserve"> - </w:t>
      </w:r>
      <w:r>
        <w:rPr>
          <w:rtl w:val="true"/>
        </w:rPr>
        <w:t>فهرس أسماء المعصومين علیهم السلام</w:t>
      </w:r>
      <w:bookmarkEnd w:id="299"/>
    </w:p>
    <w:p>
      <w:pPr>
        <w:pStyle w:val="BookText"/>
        <w:rPr/>
      </w:pPr>
      <w:r>
        <w:rPr>
          <w:rFonts w:ascii="IRNazanin" w:hAnsi="IRNazanin" w:eastAsia="IRNazanin"/>
          <w:color w:val="111111"/>
          <w:sz w:val="28"/>
          <w:sz w:val="28"/>
          <w:szCs w:val="28"/>
          <w:rtl w:val="true"/>
          <w:lang w:bidi="fa-IR"/>
        </w:rPr>
        <w:t xml:space="preserve">النبي ، محمّد ،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علي، أمير المؤمنين علیه السلام علي بن أبي 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علیه السلام ، 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الصادق، أبو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الكاظم، العبد الصالح علیه السلام موسى بن جعفر علیه السلام ، الإمام السابع </w:t>
      </w:r>
    </w:p>
    <w:p>
      <w:pPr>
        <w:pStyle w:val="BookText"/>
        <w:rPr/>
      </w:pPr>
      <w:r>
        <w:rPr>
          <w:rFonts w:ascii="IRNazanin" w:hAnsi="IRNazanin" w:eastAsia="IRNazanin"/>
          <w:color w:val="111111"/>
          <w:sz w:val="28"/>
          <w:sz w:val="28"/>
          <w:szCs w:val="28"/>
          <w:rtl w:val="true"/>
          <w:lang w:bidi="fa-IR"/>
        </w:rPr>
        <w:t xml:space="preserve">موسى بن جعفر علیه السلام ، الإمام السابع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الرضا، أبو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موسى علیه السلام ، الإمام الثامن</w:t>
      </w:r>
    </w:p>
    <w:p>
      <w:pPr>
        <w:pStyle w:val="BookText"/>
        <w:rPr/>
      </w:pPr>
      <w:r>
        <w:rPr>
          <w:rFonts w:ascii="IRNazanin" w:hAnsi="IRNazanin" w:eastAsia="IRNazanin"/>
          <w:color w:val="111111"/>
          <w:sz w:val="28"/>
          <w:sz w:val="28"/>
          <w:szCs w:val="28"/>
          <w:rtl w:val="true"/>
          <w:lang w:bidi="fa-IR"/>
        </w:rPr>
        <w:t xml:space="preserve">علي بن موسى علیه السلام ، الإمام الثامن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الصادقين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الإمام الهادي، علي بن محمّد علیه السلام علي بن محمّد علیه السلام ، الإمام العاشر</w:t>
      </w:r>
    </w:p>
    <w:p>
      <w:pPr>
        <w:pStyle w:val="BookText"/>
        <w:rPr/>
      </w:pPr>
      <w:r>
        <w:rPr>
          <w:rFonts w:ascii="IRNazanin" w:hAnsi="IRNazanin" w:eastAsia="IRNazanin"/>
          <w:color w:val="111111"/>
          <w:sz w:val="28"/>
          <w:sz w:val="28"/>
          <w:szCs w:val="28"/>
          <w:rtl w:val="true"/>
          <w:lang w:bidi="fa-IR"/>
        </w:rPr>
        <w:t xml:space="preserve">علي بن محمّد علیه السلام ، الإمام العاشر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القائم، الحجّة علیه السلام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 الثاني عشر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300" w:name="pg15088_161904"/>
    </w:p>
    <w:p>
      <w:pPr>
        <w:pStyle w:val="Heading3"/>
        <w:numPr>
          <w:ilvl w:val="2"/>
          <w:numId w:val="1"/>
        </w:numPr>
        <w:rPr/>
      </w:pPr>
      <w:bookmarkStart w:id="301" w:name="__RefHeading___Toc995359_2142443653"/>
      <w:bookmarkStart w:id="302" w:name="_Toc106"/>
      <w:bookmarkEnd w:id="300"/>
      <w:bookmarkEnd w:id="301"/>
      <w:r>
        <w:rPr/>
        <w:t>4</w:t>
      </w:r>
      <w:r>
        <w:rPr>
          <w:rtl w:val="true"/>
        </w:rPr>
        <w:t xml:space="preserve"> - </w:t>
      </w:r>
      <w:r>
        <w:rPr>
          <w:rtl w:val="true"/>
        </w:rPr>
        <w:t>فهرس الأعلام</w:t>
      </w:r>
      <w:bookmarkEnd w:id="302"/>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ابن أبي جمهور، محمّد بن زين الدين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يعفور</w:t>
      </w:r>
    </w:p>
    <w:p>
      <w:pPr>
        <w:pStyle w:val="BookText"/>
        <w:rPr/>
      </w:pPr>
      <w:r>
        <w:rPr>
          <w:rFonts w:ascii="IRNazanin" w:hAnsi="IRNazanin" w:eastAsia="IRNazanin"/>
          <w:color w:val="111111"/>
          <w:sz w:val="28"/>
          <w:sz w:val="28"/>
          <w:szCs w:val="28"/>
          <w:rtl w:val="true"/>
          <w:lang w:bidi="fa-IR"/>
        </w:rPr>
        <w:t>ابن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الجهم</w:t>
      </w:r>
    </w:p>
    <w:p>
      <w:pPr>
        <w:pStyle w:val="BookText"/>
        <w:rPr/>
      </w:pPr>
      <w:r>
        <w:rPr>
          <w:rFonts w:ascii="Amiri" w:hAnsi="Amiri" w:eastAsia="Amiri" w:cs="Amiri"/>
          <w:color w:val="111111"/>
          <w:sz w:val="28"/>
          <w:sz w:val="28"/>
          <w:szCs w:val="28"/>
          <w:rtl w:val="true"/>
          <w:lang w:bidi="ar-SA"/>
        </w:rPr>
        <w:t>ابن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ابن بكير، عبداللّه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ابن طاوس، علي بن موسى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ابن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w:t>
      </w:r>
    </w:p>
    <w:p>
      <w:pPr>
        <w:pStyle w:val="BookText"/>
        <w:rPr/>
      </w:pPr>
      <w:r>
        <w:rPr>
          <w:rFonts w:ascii="Amiri" w:hAnsi="Amiri" w:eastAsia="Amiri" w:cs="Amiri"/>
          <w:color w:val="111111"/>
          <w:sz w:val="28"/>
          <w:sz w:val="28"/>
          <w:szCs w:val="28"/>
          <w:rtl w:val="true"/>
          <w:lang w:bidi="ar-SA"/>
        </w:rPr>
        <w:t>أبو إسحاق الأرجاني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الأرجاني، أبو إسحاق</w:t>
      </w:r>
    </w:p>
    <w:p>
      <w:pPr>
        <w:pStyle w:val="BookText"/>
        <w:rPr/>
      </w:pPr>
      <w:r>
        <w:rPr>
          <w:rFonts w:ascii="Amiri" w:hAnsi="Amiri" w:eastAsia="Amiri" w:cs="Amiri"/>
          <w:color w:val="111111"/>
          <w:sz w:val="28"/>
          <w:sz w:val="28"/>
          <w:szCs w:val="28"/>
          <w:rtl w:val="true"/>
          <w:lang w:bidi="ar-SA"/>
        </w:rPr>
        <w:t>أبو عمرو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 أبو عمرو</w:t>
      </w:r>
    </w:p>
    <w:p>
      <w:pPr>
        <w:pStyle w:val="BookText"/>
        <w:rPr/>
      </w:pPr>
      <w:r>
        <w:rPr>
          <w:rFonts w:ascii="Amiri" w:hAnsi="Amiri" w:eastAsia="Amiri" w:cs="Amiri"/>
          <w:color w:val="111111"/>
          <w:sz w:val="28"/>
          <w:sz w:val="28"/>
          <w:szCs w:val="28"/>
          <w:rtl w:val="true"/>
          <w:lang w:bidi="ar-SA"/>
        </w:rPr>
        <w:t>أحمد بن الحسن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 أحمد بن الحسن بن إسماعيل</w:t>
      </w:r>
    </w:p>
    <w:p>
      <w:pPr>
        <w:pStyle w:val="BookText"/>
        <w:rPr/>
      </w:pPr>
      <w:r>
        <w:rPr>
          <w:rFonts w:ascii="Amiri" w:hAnsi="Amiri" w:eastAsia="Amiri" w:cs="Amiri"/>
          <w:color w:val="111111"/>
          <w:sz w:val="28"/>
          <w:sz w:val="28"/>
          <w:szCs w:val="28"/>
          <w:rtl w:val="true"/>
          <w:lang w:bidi="ar-SA"/>
        </w:rPr>
        <w:t xml:space="preserve">الأرجاني، أبو إسحاق </w:t>
      </w:r>
      <w:r>
        <w:rPr>
          <w:rFonts w:eastAsia="Amiri" w:cs="Amiri" w:ascii="Amiri" w:hAnsi="Amiri"/>
          <w:color w:val="111111"/>
          <w:sz w:val="28"/>
          <w:szCs w:val="28"/>
          <w:lang w:bidi="ar-SA"/>
        </w:rPr>
        <w:t>137</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الأهوازي، الحسين بن سعيد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أيّوب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أيّوب الحرّ</w:t>
      </w:r>
    </w:p>
    <w:p>
      <w:pPr>
        <w:pStyle w:val="BookText"/>
        <w:rPr/>
      </w:pPr>
      <w:r>
        <w:rPr>
          <w:rFonts w:ascii="Amiri" w:hAnsi="Amiri" w:eastAsia="Amiri" w:cs="Amiri"/>
          <w:color w:val="111111"/>
          <w:sz w:val="28"/>
          <w:sz w:val="28"/>
          <w:szCs w:val="28"/>
          <w:rtl w:val="true"/>
          <w:lang w:bidi="ar-SA"/>
        </w:rPr>
        <w:t>بعض أعاظم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الأعاظم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 xml:space="preserve">الجعفي، أيّوب الحرّ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الحائري، عبدالكريم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الحارث بن المغيرة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 حريز بن عبداللّه</w:t>
      </w:r>
    </w:p>
    <w:p>
      <w:pPr>
        <w:pStyle w:val="BookText"/>
        <w:rPr/>
      </w:pPr>
      <w:r>
        <w:rPr>
          <w:rFonts w:ascii="IRNazanin" w:hAnsi="IRNazanin" w:eastAsia="IRNazanin"/>
          <w:color w:val="111111"/>
          <w:sz w:val="28"/>
          <w:sz w:val="28"/>
          <w:szCs w:val="28"/>
          <w:rtl w:val="true"/>
          <w:lang w:bidi="fa-IR"/>
        </w:rPr>
        <w:t xml:space="preserve">الحسن بن الجهم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الحسن بن السري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 الحسين بن سعيد</w:t>
      </w:r>
    </w:p>
    <w:p>
      <w:pPr>
        <w:pStyle w:val="BookText"/>
        <w:rPr/>
      </w:pPr>
      <w:r>
        <w:rPr>
          <w:rFonts w:ascii="Amiri" w:hAnsi="Amiri" w:eastAsia="Amiri" w:cs="Amiri"/>
          <w:color w:val="111111"/>
          <w:sz w:val="28"/>
          <w:sz w:val="28"/>
          <w:szCs w:val="28"/>
          <w:rtl w:val="true"/>
          <w:lang w:bidi="ar-SA"/>
        </w:rPr>
        <w:t xml:space="preserve">الحسين بن مختار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الحلبي، يحيى بن عمران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الحميري، عبداللّه بن جعفر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الحميري، محمّد بن عبداللّه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 xml:space="preserve">داود بن الحصين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السجستاني، حريز بن عبداللّه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السكوني، إسماعيل بن أبي زياد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 إسماعيل بن أبي زياد</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الشيخ الطوسي، محمّد بن الحسن</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 محمّد بن الحسن</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 xml:space="preserve">الصدوقان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الصفّار، محمّد بن الحسن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الطبرسي، أحمد بن علي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عبدالرحمان بن أبي عبداللّه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عبداللّه بن أبي يعفور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عبداللّه بن محمّد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العلاّمه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علي بن إبراهيم</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العمري، عثمان بن سعيد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العمري، محمّد بن عثمان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القطب الراوندي، سعيد بن هبة اللّه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القمّي، علي بن إبراهيم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الكراجكي، محمّد بن علي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الكناني، أبو عمرو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المحقّق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 xml:space="preserve">محمّد بن إدريس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lang w:bidi="ar-SA"/>
        </w:rPr>
        <w:t>139</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عيسى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 xml:space="preserve">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موسى بن أكيل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الميثمي، أحمد بن الحسن بن إسماعيل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5088_161910"/>
      <w:bookmarkStart w:id="304" w:name="pg15088_161910"/>
      <w:bookmarkEnd w:id="304"/>
    </w:p>
    <w:p>
      <w:pPr>
        <w:pStyle w:val="Heading3"/>
        <w:numPr>
          <w:ilvl w:val="2"/>
          <w:numId w:val="1"/>
        </w:numPr>
        <w:rPr/>
      </w:pPr>
      <w:bookmarkStart w:id="305" w:name="pg15088_161910"/>
      <w:bookmarkStart w:id="306" w:name="__RefHeading___Toc995361_2142443653"/>
      <w:bookmarkStart w:id="307" w:name="_Toc107"/>
      <w:bookmarkEnd w:id="305"/>
      <w:bookmarkEnd w:id="306"/>
      <w:r>
        <w:rPr/>
        <w:t>5</w:t>
      </w:r>
      <w:r>
        <w:rPr>
          <w:rtl w:val="true"/>
        </w:rPr>
        <w:t xml:space="preserve"> - </w:t>
      </w:r>
      <w:r>
        <w:rPr>
          <w:rtl w:val="true"/>
        </w:rPr>
        <w:t>فهرس الكتب الواردة في المتن</w:t>
      </w:r>
      <w:bookmarkEnd w:id="307"/>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تعليقة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 في الحاشية على الفرائد</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درر الفوائد في الحاشية على الفرائد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الشيعة</w:t>
      </w:r>
    </w:p>
    <w:p>
      <w:pPr>
        <w:pStyle w:val="BookText"/>
        <w:rPr/>
      </w:pP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p>
    <w:p>
      <w:pPr>
        <w:pStyle w:val="BookText"/>
        <w:rPr/>
      </w:pPr>
      <w:r>
        <w:rPr>
          <w:rFonts w:ascii="Amiri" w:hAnsi="Amiri" w:eastAsia="Amiri" w:cs="Amiri"/>
          <w:color w:val="111111"/>
          <w:sz w:val="28"/>
          <w:sz w:val="28"/>
          <w:szCs w:val="28"/>
          <w:rtl w:val="true"/>
          <w:lang w:bidi="ar-SA"/>
        </w:rPr>
        <w:t xml:space="preserve">رسالة القطب الراوندي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علیه السلام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الفقه الرضوي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للإمام الرضا علیه السلام</w:t>
      </w:r>
    </w:p>
    <w:p>
      <w:pPr>
        <w:pStyle w:val="BookText"/>
        <w:rPr/>
      </w:pP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الاُصول</w:t>
      </w:r>
    </w:p>
    <w:p>
      <w:pPr>
        <w:pStyle w:val="BookText"/>
        <w:rPr/>
      </w:pP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كتاب الرحمة لسعد بن عبداللّه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كتاب حسين بن سعيد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كتاب عبداللّه بن محمّد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مسائل الرجال لعلي بن محمّد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308" w:name="pg15088_161912"/>
    </w:p>
    <w:p>
      <w:pPr>
        <w:pStyle w:val="Heading3"/>
        <w:numPr>
          <w:ilvl w:val="2"/>
          <w:numId w:val="1"/>
        </w:numPr>
        <w:rPr/>
      </w:pPr>
      <w:bookmarkStart w:id="309" w:name="__RefHeading___Toc995363_2142443653"/>
      <w:bookmarkStart w:id="310" w:name="_Toc108"/>
      <w:bookmarkEnd w:id="308"/>
      <w:bookmarkEnd w:id="309"/>
      <w:r>
        <w:rPr/>
        <w:t>6</w:t>
      </w:r>
      <w:r>
        <w:rPr>
          <w:rtl w:val="true"/>
        </w:rPr>
        <w:t xml:space="preserve"> - </w:t>
      </w:r>
      <w:r>
        <w:rPr>
          <w:rtl w:val="true"/>
        </w:rPr>
        <w:t>فهرس مصادر التحقيق</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أجود التقريرات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المحقّق النائيني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الموسوي الخوئي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مطبعة ستارة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إبراهيم البهادري ومحمّد هادي به ، الطبعة الاُولى ، مجلّدان ، قم ، منشورات اُسوة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حسن المصطفوي ، جامعة مشهد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التعليقة على الكفاية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الفوائد في شرح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حسن الآشتياني ، الطبعة الحجرية ، مكتبة آية اللّه المرعشي ، قم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الميرزا محسن كوچه باغي ، قم ، مكتبة آية اللّه المرعشي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خراسان ، الطبعة الاُولى ، قم ، مكتب الإعلام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التقوي الاشتهاردي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تنظيم ونشر آثار الإمام الخميني قدّس سرّه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تنظيم ونشر آثار الإمام الخميني قدّس سرّه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السبحاني التبريزي ، تحقيق مؤسّسة تنظيم ونشر آثار الإمام الخميني قدّس سرّه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تنظيم ونشر آثار الإمام الخميني قدّس سرّه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بن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فرائد الاُصول أو الفوائد الرضوية على الفرائد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رضا بن محمّد هادي الهمداني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محمّد رضا الأنصاري القميّ ، الطبعة الاُولى ، قم ، 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الإيرواني ، الطبعة الاُولى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عبدالكريم الحائري اليزدي ، تعليق آية اللّه الشيخ محمّد علي الأراكي والمؤلّف ، تحقيق الشيخ محمّد المؤمن القمّي ، الطبعة الخامسة ، جزءان في مجلّد واحد ، قم ، مؤسّسة النشر الإسلامي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في الحاشية على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محمّد كاظم الهروي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شمس الدين ، الطبعة الاُولى ، طهران ، مؤسّسة الطبع والنشر التابعة لوزارة الثقافة والإرشاد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ذكرى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شمس الدين محمّد بن 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محمود البدري ، الطبعة الاُولى ، قم ، مؤسّسة المعارف الإسلامية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رضا الأنصاري القمّي ، الطبعة الاُولى ، مجلّدان ، قم ، مطبعة ستارة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 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السيّد مهديّ الحسيني اللاجوردي ، الطبعة الثانية ، 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الغروية في الاُصول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عبدالرحيم الطهراني الأصفهاني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دار إحياء العلوم الإسلامية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بالاُفست عن الطبعة الحجرية</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مشهد المقدّس ، المؤتمر العالمي للإمام الرضا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ميرزا أبو القاسم القمّي 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الطبعة الحجرية ، المجلّد الأوّل ، طهران ، المكتبة العلمية الإسلامية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والمجلّد الثاني ، طهران ، المستنسخة سنة</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قم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الشيخ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عبداللّه نعمة ، الطبعة الاُولى ، جزءان ، قم ، منشورات دار الذخائر ،</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تقي الكشفي ، الطبعة الثانية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المكتبة المرتضوية لإحياء الآثار الجعفرية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 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 الصلاة ، الزكاة ، الخمس ، الصوم ، الرهن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آقا رضا بن محمّد هادي الهمداني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المؤسّسة الجعفرية لإحياء التراث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 مؤسّسة 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الزكاة والخمس والصوم والرهن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 ترتيب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جزءان في مجلّد واحد ، قم ، دار الهجرة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معتمد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الفاضل اللنكراني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تنظيم ونشر آثار الإمام الخميني قدّس سرّه ، الطبعة الاُولى ، جزءان ، طهران ، مؤسّسة تنظيم ونشر آثار الإمام الخميني قدّس سرّه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مفاتيح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 قم ، مؤسّسة آل البيت علیهم السلام لإحياء التراث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الوصول إلى علم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آغا ضياء الدين العراقي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السعادات المبارك بن محمّد بن محمّد الجزري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طاهر أحمد التراوي ومحمود محمّد الطناحي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إسماعيليان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5088_161920"/>
      <w:bookmarkStart w:id="312" w:name="pg15088_161920"/>
      <w:bookmarkEnd w:id="312"/>
    </w:p>
    <w:p>
      <w:pPr>
        <w:pStyle w:val="Heading3"/>
        <w:numPr>
          <w:ilvl w:val="2"/>
          <w:numId w:val="1"/>
        </w:numPr>
        <w:rPr/>
      </w:pPr>
      <w:bookmarkStart w:id="313" w:name="pg15088_161920"/>
      <w:bookmarkStart w:id="314" w:name="__RefHeading___Toc995365_2142443653"/>
      <w:bookmarkStart w:id="315" w:name="_Toc109"/>
      <w:bookmarkEnd w:id="313"/>
      <w:bookmarkEnd w:id="314"/>
      <w:r>
        <w:rPr/>
        <w:t>7</w:t>
      </w:r>
      <w:r>
        <w:rPr>
          <w:rtl w:val="true"/>
        </w:rPr>
        <w:t xml:space="preserve"> - </w:t>
      </w:r>
      <w:r>
        <w:rPr>
          <w:rtl w:val="true"/>
        </w:rPr>
        <w:t>فهرس الموضوعات</w:t>
      </w:r>
      <w:bookmarkEnd w:id="315"/>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مبحث التعارض واختلاف الأدلّة</w:t>
      </w:r>
    </w:p>
    <w:p>
      <w:pPr>
        <w:pStyle w:val="BookText"/>
        <w:rPr/>
      </w:pPr>
      <w:r>
        <w:rPr>
          <w:rFonts w:ascii="Amiri" w:hAnsi="Amiri" w:eastAsia="Amiri" w:cs="Amiri"/>
          <w:color w:val="111111"/>
          <w:sz w:val="28"/>
          <w:sz w:val="28"/>
          <w:szCs w:val="28"/>
          <w:rtl w:val="true"/>
          <w:lang w:bidi="ar-SA"/>
        </w:rPr>
        <w:t xml:space="preserve">وقبل الورود في المقصد لا بدّ من ذكر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تنقيح موضوع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اختصاص الكلام في هذا الباب بتعارض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لزوم فرض التعارض في محيط 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سرّ عدم التعارض بين العامّ والخاصّ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كلام المحقّقين في وجه تقديم الخاصّ على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كلام الشيخ الأنصاري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الإشكال على الشيخ الأعظم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كلام مع بعض أعاظم العصر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كلام مع شيخنا العلاّمة أعلى اللّه مقامه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كلام مع المحقّق الخراساني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أصالتي الحقيقة والجدّ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شمول أخبار العلاج لموارد الجمع العرفي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دعوى المحقّقين الخراساني والحائري شمول أخبار العلاج للمقام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الإيراد على المحقّق الخراساني رحمه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كلام مع شيخنا الاُستاذ رحمه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الجمع مهما أمكن ، أولى من الطرح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الشيخ في موضوع الترجيح بحسب الدلالة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الخارجة عن أخبار العلاج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يمكن أن يقال أو قيل بأ نّهما من قبيل النصّ والظاهر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وجود قدر المتيقّن في مقام التخاطب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لزوم استهجان 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لزوم إخراج المورد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ورود أحد الدليلين مورد التحديدات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 من المرجّحات النوعية الدلالية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وهي موارد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تعارض العموم والإطلاق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وجه تقدّم العامّ على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دوران الأمر بين النسخ والتخصيص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الإشارة إلى حال المخصّصات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علل الاختلاف بين العامّة والخاصّة وتأخير بيان المخصّصات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وجوه ورود العامّ والخاصّ والدوران بين النسخ والتخصيص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الدوران بين التقييد وحمل الأمر على الاستحباب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التعارض بين أكثر من 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كثيرة نذكر مهمّاتها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ورد عامّ وخاصّان بينهما التباين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إذا ورد عامّ وخاصّان بينهما عموم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إذا ورد عامّ وخاصّان بينهما عموم من 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إذا ورد عامّان من وجه وخاصّ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إذا ورد عامّان متباينان وخاصّ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العامّين من وجه هل يندرجان في أخبار العلاج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هل المرجّحات الصدورية جارية في العامّين من 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المتكافئين</w:t>
      </w:r>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الأصل في المتكافئين مع قطع النظر عن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مقتضى الأصل على الطريقية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مقتضى الأصل على السببية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المتكافئين بمقتضى الأخبار الواردة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نقل أخبار 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مفاد أخبار 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نقل أخبار التوقّف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أنظار المحقّقين في الجمع بين أخبار التخيير والتوقّف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بقي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التخيير في المسألة الاُصولية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تخيير القاضي والمفتي في عمله وعمل مقلّديه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التخيير بدوي أو استمراري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التمسّك بأدلّة التخيير على كونه استمرارياً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التمسّك بالاستصحاب على كون التخيير استمرارياً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أخبار التخيير لجميع صور الخبرين المختلفين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لأحد الخبرين مزيّة</w:t>
      </w:r>
    </w:p>
    <w:p>
      <w:pPr>
        <w:pStyle w:val="BookText"/>
        <w:rPr/>
      </w:pPr>
      <w:r>
        <w:rPr>
          <w:rFonts w:ascii="Amiri" w:hAnsi="Amiri" w:eastAsia="Amiri" w:cs="Amiri"/>
          <w:color w:val="111111"/>
          <w:sz w:val="28"/>
          <w:sz w:val="28"/>
          <w:szCs w:val="28"/>
          <w:rtl w:val="true"/>
          <w:lang w:bidi="ar-SA"/>
        </w:rPr>
        <w:t xml:space="preserve">ويتمّ البحث فيه في ضمن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الأصل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أخبار العلاج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الكلام حول مقبولة عمر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 بين الأصحاب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عدم كون الأعدلية وما يتلوها والشهرة من المرجّحات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انحصار المرجّحات المنصوصة في موافقة الكتاب ومخالفة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ولابدّ لاستقصاء البحث فيها من عقد 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الأخبار الواردة في موافقة الكتاب ومخالفته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 التوفيق بين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تحقيق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مرجّحية موافقة الكتاب والثمرة بين المرجعية والمرجّحية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الأخبار الواردة في مخالفة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الترتيب بين الترجيح بموافقة الكتاب ومخالفة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الترجيح بالأحدثية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التعدّي عن المرجّحات المنصوصة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كلام الشيخ الأعظم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الوجوه التي استدلّ بها الشيخ الأعظم على التعدّي من المنصوص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تقريب الترجيح بكلّ ذي مزيّة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كون كلّ من المرجّحين مرجّحاً للصدور أو لجهته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كما استقرّ رأينا عليه في مباحث الألفاظأ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موضوع الاحتجاج وإن كان هو ظاهر كلام المتكلّم ، لكن مبنى الحجّة ليس أصالة عدم القرينة ، أو أصالة الظهور في شيء من الموارد ، بل مبناها أصالة عدم الخطأ والغلط وإلغاء احتمال تعمّد الكذب والخيانة ؛ ببناء العقلاء في الإخبار مع الواسطة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فأصالة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رجعت إلى أصالة حجّية الظهور ، فهي تعبير غير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رجعت إلى أصالة بقائه فهي تعبير بملازم الشيء ، كما أ نّها كذلك لو رجعت إلى أصالة كون الظاهر مراداً استعمالاً أو جدّاً ، فلا معنى لأصالة الظهور بهذا التعبير ، إلاّ أن ترجع إلى أحد ما تقدّم ونظائره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تهذيب الاُصول عدول عمّا اختاره سماحته قدس سره في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الصلاة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ويأتي بعض هذه الأخبار في المباحث الآتية أيضاً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مقدّماتها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تفاوت يسير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حكم اللّه في الأوّلين والآخرين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ذكرنا في المتن هو الذي اخترناه في الدورة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والآن نقول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إذا كان العامّ مقدّماً ، وقلنا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شموله للأفراد في الطبقات المتأخّرة عن الطبقة الاُولى بالإطلاق ، ودار الأمر بين النسخ والتخصيص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ترجيح بينهما ؛ لأنّ ما ذكرناه من تقديم التقييد على التخصيص ، إنّما هو في فرض تعارض الدليلين في مورد الاجتماع وكون أحدهما مطلقاً والآخر 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دار الأمر بين تقييد مطلق وتخصيص عامّ بدليل ثالث ، فلا ترجيح بينهما ، والمقام كذلك ؛ لأنّ الأمر دائر بين كون الخاصّ مخصّصاً لعموم العامّ ، أو إطلاقه المقامي ، ولا ترجيح ؛ لأنّ التصرّف في كلّ منهما خلاف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يكون سرّ التقدّم في الدوران المتقدّم في العامّين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كون العامّ بياناً للمطلق ، وعدم صلاحية المطلق للتخصيص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موجوداً في المقام ؛ لصلاحية الخاصّ للتصرّف في كليهما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التخصيص مستلزم للتصرّف في المطلق أيضاً بخلاف العكس ، كما ترى ؛ فإنّ التخصيص رافع لموضوع الإطلاق ، لا تصرّف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العلم التفصيلي بخروج الأفراد المتأخّرة إمّا نسخاً أو تخصيصاً ، يوجب انحلال العلم ، فيؤخذ بأصالة العموم في الأفراد المتقدّمة ؛ فإنّ العلم التفصيلي المتقوّم بالعلم الإجمالي ، لا يعقل أن يصير موجباً للانحلال ؛ للزوم رافعية الشيء لعلّته ، بل لنفسه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ذكرناه يظهر الحال فيما إذا كان دليل الشمول مثلَ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 محمّد صلى الله عليه و آله حلال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بكونه من قبيل المطلق ؛ لدوران الأمر بين تقييده أو تخصيص دليل آخر ، ولا ترجيح ، فضلاً عمّا إذا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 نّه من قبيل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لو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باستفادة شمول الحكم للأفراد مطلقاً من نفس القضايا ، فدار الأمر بين الأقلّ والأكثر في التخصيص ، يقتصر على الأقلّ ، ويتمسّك بأصالة العموم في الأفراد المتقدّمة المشكوك في خروجها ، هذا حال العامّ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مع تقدّم الخاصّ وحضور وقت عمله ، ودوران الأمر بين كون الخاصّ مخصّصاً أو العامّ ناسخاً ، وأخذنا بالإطلاق المقامي في شمول الخاصّ للأفراد المتأخّرة ، ووقع التعارض بين العامّ والمطلق ، فيقدّم العامّ ، ويحكم بالنسخ إذا كان بينهما عموم من وجه ؛ من حيث شمول الأفراد في عمود الزمان ، دون ما إذا كان بينهما العموم المطلق ؛ للإشكال في بيانية العامّ للمطلق الأخصّ أو تقديم الأخصّ عليه ؛ لضعف أصالة الجدّ في العموم ، وبالتأمّل فيما ذكر يعلم حال سائر الصور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صرف العمر في مثل 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ثمرة فيه ؛ لعدم العلم بتواريخ العمومات والخصوصات غالباً أو دائماً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ينبغي ، أسأل اللّه العفو عنّي بفضله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المحقّق الحائري رحمه الله في مجلس بحث فقهه ، وهو عدول عمّا في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ما ذكره الإمام الخميني قدس سره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معتمد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بعضها في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هو قريب منه في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هو قريب منه في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مذكور في ذيل الصفحة ، ولعلّه للمقرّر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 القسم الثاني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العمل بخبر الثقة واجب وليس بموسّع ، فلا بدّ من حمله على مورد التعارض ، فيكون من أخبار الباب ، فتأمّل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الاُصول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الأوّل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 القسم الثاني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 أبواب مقدّمات الحدود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 المحقّق النائيني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 أبواب صفات القاضي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مقبولة عمر بن حنظلة ،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مرفوعة زرارة ،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الحسين بن السري والحسن بن الجهم ومحمّد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السكوني وابن أبي يعفور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مرفوعة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روايتهما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نسخة المستدرك عن الطبرسي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 أبواب صفات القاضي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كمصحّحة عبد الرحمان بن أبي عبداللّه ، يأتي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سكوني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 أبواب صفات القاضي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 أبواب صفات القاضي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نّها صحيحة؛ لقوّة الظنّ بأنّ ما وقع في سندها يحيى بن عمران الحلبي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ابن بكير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 أبواب صفات القاضي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 أبواب صفات القاضي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 أبواب صفات القاضي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 أبواب صفات القاضي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الطواف ،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 أبواب صفات القاضي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 أبواب صفات القاضي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في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 أبواب صفات القاضي ،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وقد تقدّمت في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3.jpeg"/><Relationship Id="rId18" Type="http://schemas.openxmlformats.org/officeDocument/2006/relationships/image" Target="media/image3.jpeg"/><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image" Target="media/image5.jpeg"/><Relationship Id="rId24" Type="http://schemas.openxmlformats.org/officeDocument/2006/relationships/image" Target="media/image5.jpeg"/><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04.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208</Pages>
  <Words>38446</Words>
  <Characters>151259</Characters>
  <CharactersWithSpaces>188363</CharactersWithSpaces>
  <Paragraphs>1921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2026-08-24T20:48:20Z</dcterms:created>
  <dc:creator>ghaemiyeh.com</dc:creator>
  <dc:description/>
  <dc:language>en-US</dc:language>
  <cp:lastModifiedBy/>
  <dcterms:modified xsi:type="dcterms:W3CDTF">2026-08-25T00:18:26Z</dcterms:modified>
  <cp:revision>1</cp:revision>
  <dc:subject/>
  <dc:title>موسوعة الامام الخمینی قدس سرة الشریف المجلد 6 التعادل و الترجیح و الاجتهاد والتقلید جلد 1</dc:title>
</cp:coreProperties>
</file>

<file path=docProps/custom.xml><?xml version="1.0" encoding="utf-8"?>
<Properties xmlns="http://schemas.openxmlformats.org/officeDocument/2006/custom-properties" xmlns:vt="http://schemas.openxmlformats.org/officeDocument/2006/docPropsVTypes"/>
</file>