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مقباس الهدایة فی علم الدرایة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233_2142443653">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403235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03237_2142443653">
            <w:r>
              <w:rPr>
                <w:webHidden/>
                <w:rStyle w:val="IndexLink"/>
                <w:rtl w:val="true"/>
              </w:rPr>
              <w:t>تتمة الفصل السادس فى من تقبل روايته و من ترد</w:t>
            </w:r>
            <w:r>
              <w:rPr>
                <w:rStyle w:val="IndexLink"/>
                <w:rtl w:val="true"/>
              </w:rPr>
              <w:tab/>
            </w:r>
            <w:r>
              <w:rPr>
                <w:rStyle w:val="IndexLink"/>
              </w:rPr>
              <w:t>16</w:t>
            </w:r>
          </w:hyperlink>
        </w:p>
        <w:p>
          <w:pPr>
            <w:pStyle w:val="Contents3"/>
            <w:tabs>
              <w:tab w:val="clear" w:pos="8459"/>
              <w:tab w:val="right" w:pos="9026" w:leader="dot"/>
            </w:tabs>
            <w:rPr/>
          </w:pPr>
          <w:hyperlink w:anchor="__RefHeading___Toc403239_2142443653">
            <w:r>
              <w:rPr>
                <w:webHidden/>
                <w:rStyle w:val="IndexLink"/>
                <w:rtl w:val="true"/>
              </w:rPr>
              <w:t>المقام الخامس في التعرض لألفاظ مستعملة في أحوال الرجال لا تفيد مدحا و لا قدحا</w:t>
            </w:r>
            <w:r>
              <w:rPr>
                <w:rStyle w:val="IndexLink"/>
                <w:rtl w:val="true"/>
              </w:rPr>
              <w:tab/>
            </w:r>
            <w:r>
              <w:rPr>
                <w:rStyle w:val="IndexLink"/>
              </w:rPr>
              <w:t>16</w:t>
            </w:r>
          </w:hyperlink>
        </w:p>
        <w:p>
          <w:pPr>
            <w:pStyle w:val="Contents4"/>
            <w:tabs>
              <w:tab w:val="clear" w:pos="8176"/>
              <w:tab w:val="right" w:pos="9026" w:leader="dot"/>
            </w:tabs>
            <w:rPr/>
          </w:pPr>
          <w:hyperlink w:anchor="__RefHeading___Toc403241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03243_2142443653">
            <w:r>
              <w:rPr>
                <w:webHidden/>
                <w:rStyle w:val="IndexLink"/>
                <w:rtl w:val="true"/>
              </w:rPr>
              <w:t>مولى</w:t>
            </w:r>
            <w:r>
              <w:rPr>
                <w:rStyle w:val="IndexLink"/>
                <w:rtl w:val="true"/>
              </w:rPr>
              <w:tab/>
            </w:r>
            <w:r>
              <w:rPr>
                <w:rStyle w:val="IndexLink"/>
              </w:rPr>
              <w:t>16</w:t>
            </w:r>
          </w:hyperlink>
        </w:p>
        <w:p>
          <w:pPr>
            <w:pStyle w:val="Contents4"/>
            <w:tabs>
              <w:tab w:val="clear" w:pos="8176"/>
              <w:tab w:val="right" w:pos="9026" w:leader="dot"/>
            </w:tabs>
            <w:rPr/>
          </w:pPr>
          <w:hyperlink w:anchor="__RefHeading___Toc403245_2142443653">
            <w:r>
              <w:rPr>
                <w:webHidden/>
                <w:rStyle w:val="IndexLink"/>
                <w:rtl w:val="true"/>
              </w:rPr>
              <w:t>منها</w:t>
            </w:r>
            <w:r>
              <w:rPr>
                <w:rStyle w:val="IndexLink"/>
                <w:rtl w:val="true"/>
              </w:rPr>
              <w:t xml:space="preserve">: </w:t>
            </w:r>
            <w:r>
              <w:rPr>
                <w:rStyle w:val="IndexLink"/>
                <w:rtl w:val="true"/>
              </w:rPr>
              <w:t>الغلام</w:t>
            </w:r>
            <w:r>
              <w:rPr>
                <w:rStyle w:val="IndexLink"/>
                <w:rtl w:val="true"/>
              </w:rPr>
              <w:tab/>
            </w:r>
            <w:r>
              <w:rPr>
                <w:rStyle w:val="IndexLink"/>
              </w:rPr>
              <w:t>22</w:t>
            </w:r>
          </w:hyperlink>
        </w:p>
        <w:p>
          <w:pPr>
            <w:pStyle w:val="Contents4"/>
            <w:tabs>
              <w:tab w:val="clear" w:pos="8176"/>
              <w:tab w:val="right" w:pos="9026" w:leader="dot"/>
            </w:tabs>
            <w:rPr/>
          </w:pPr>
          <w:hyperlink w:anchor="__RefHeading___Toc403247_2142443653">
            <w:r>
              <w:rPr>
                <w:webHidden/>
                <w:rStyle w:val="IndexLink"/>
                <w:rtl w:val="true"/>
              </w:rPr>
              <w:t>منها</w:t>
            </w:r>
            <w:r>
              <w:rPr>
                <w:rStyle w:val="IndexLink"/>
                <w:rtl w:val="true"/>
              </w:rPr>
              <w:t xml:space="preserve">: </w:t>
            </w:r>
            <w:r>
              <w:rPr>
                <w:rStyle w:val="IndexLink"/>
                <w:rtl w:val="true"/>
              </w:rPr>
              <w:t>الشاعر</w:t>
            </w:r>
            <w:r>
              <w:rPr>
                <w:rStyle w:val="IndexLink"/>
                <w:rtl w:val="true"/>
              </w:rPr>
              <w:tab/>
            </w:r>
            <w:r>
              <w:rPr>
                <w:rStyle w:val="IndexLink"/>
              </w:rPr>
              <w:t>24</w:t>
            </w:r>
          </w:hyperlink>
        </w:p>
        <w:p>
          <w:pPr>
            <w:pStyle w:val="Contents4"/>
            <w:tabs>
              <w:tab w:val="clear" w:pos="8176"/>
              <w:tab w:val="right" w:pos="9026" w:leader="dot"/>
            </w:tabs>
            <w:rPr/>
          </w:pPr>
          <w:hyperlink w:anchor="__RefHeading___Toc403249_2142443653">
            <w:r>
              <w:rPr>
                <w:webHidden/>
                <w:rStyle w:val="IndexLink"/>
                <w:rtl w:val="true"/>
              </w:rPr>
              <w:t>منها</w:t>
            </w:r>
            <w:r>
              <w:rPr>
                <w:rStyle w:val="IndexLink"/>
                <w:rtl w:val="true"/>
              </w:rPr>
              <w:t xml:space="preserve">: </w:t>
            </w:r>
            <w:r>
              <w:rPr>
                <w:rStyle w:val="IndexLink"/>
                <w:rtl w:val="true"/>
              </w:rPr>
              <w:t>كوفي</w:t>
            </w:r>
            <w:r>
              <w:rPr>
                <w:rStyle w:val="IndexLink"/>
                <w:rtl w:val="true"/>
              </w:rPr>
              <w:tab/>
            </w:r>
            <w:r>
              <w:rPr>
                <w:rStyle w:val="IndexLink"/>
              </w:rPr>
              <w:t>25</w:t>
            </w:r>
          </w:hyperlink>
        </w:p>
        <w:p>
          <w:pPr>
            <w:pStyle w:val="Contents4"/>
            <w:tabs>
              <w:tab w:val="clear" w:pos="8176"/>
              <w:tab w:val="right" w:pos="9026" w:leader="dot"/>
            </w:tabs>
            <w:rPr/>
          </w:pPr>
          <w:hyperlink w:anchor="__RefHeading___Toc403251_2142443653">
            <w:r>
              <w:rPr>
                <w:webHidden/>
                <w:rStyle w:val="IndexLink"/>
                <w:rtl w:val="true"/>
              </w:rPr>
              <w:t>منها</w:t>
            </w:r>
            <w:r>
              <w:rPr>
                <w:rStyle w:val="IndexLink"/>
                <w:rtl w:val="true"/>
              </w:rPr>
              <w:t xml:space="preserve">: </w:t>
            </w:r>
            <w:r>
              <w:rPr>
                <w:rStyle w:val="IndexLink"/>
                <w:rtl w:val="true"/>
              </w:rPr>
              <w:t>القطعي</w:t>
            </w:r>
            <w:r>
              <w:rPr>
                <w:rStyle w:val="IndexLink"/>
                <w:rtl w:val="true"/>
              </w:rPr>
              <w:tab/>
            </w:r>
            <w:r>
              <w:rPr>
                <w:rStyle w:val="IndexLink"/>
              </w:rPr>
              <w:t>26</w:t>
            </w:r>
          </w:hyperlink>
        </w:p>
        <w:p>
          <w:pPr>
            <w:pStyle w:val="Contents4"/>
            <w:tabs>
              <w:tab w:val="clear" w:pos="8176"/>
              <w:tab w:val="right" w:pos="9026" w:leader="dot"/>
            </w:tabs>
            <w:rPr/>
          </w:pPr>
          <w:hyperlink w:anchor="__RefHeading___Toc403253_2142443653">
            <w:r>
              <w:rPr>
                <w:webHidden/>
                <w:rStyle w:val="IndexLink"/>
                <w:rtl w:val="true"/>
              </w:rPr>
              <w:t>منها</w:t>
            </w:r>
            <w:r>
              <w:rPr>
                <w:rStyle w:val="IndexLink"/>
                <w:rtl w:val="true"/>
              </w:rPr>
              <w:t xml:space="preserve">: </w:t>
            </w:r>
            <w:r>
              <w:rPr>
                <w:rStyle w:val="IndexLink"/>
                <w:rtl w:val="true"/>
              </w:rPr>
              <w:t>له اصل</w:t>
            </w:r>
            <w:r>
              <w:rPr>
                <w:rStyle w:val="IndexLink"/>
                <w:rtl w:val="true"/>
              </w:rPr>
              <w:tab/>
            </w:r>
            <w:r>
              <w:rPr>
                <w:rStyle w:val="IndexLink"/>
              </w:rPr>
              <w:t>27</w:t>
            </w:r>
          </w:hyperlink>
        </w:p>
        <w:p>
          <w:pPr>
            <w:pStyle w:val="Contents5"/>
            <w:tabs>
              <w:tab w:val="clear" w:pos="7892"/>
              <w:tab w:val="right" w:pos="9026" w:leader="dot"/>
            </w:tabs>
            <w:rPr/>
          </w:pPr>
          <w:hyperlink w:anchor="__RefHeading___Toc403255_2142443653">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403257_2142443653">
            <w:r>
              <w:rPr>
                <w:webHidden/>
                <w:rStyle w:val="IndexLink"/>
                <w:rtl w:val="true"/>
              </w:rPr>
              <w:t>بحث في الاصول الأربعمائة</w:t>
            </w:r>
            <w:r>
              <w:rPr>
                <w:rStyle w:val="IndexLink"/>
                <w:rtl w:val="true"/>
              </w:rPr>
              <w:tab/>
            </w:r>
            <w:r>
              <w:rPr>
                <w:rStyle w:val="IndexLink"/>
              </w:rPr>
              <w:t>27</w:t>
            </w:r>
          </w:hyperlink>
        </w:p>
        <w:p>
          <w:pPr>
            <w:pStyle w:val="Contents5"/>
            <w:tabs>
              <w:tab w:val="clear" w:pos="7892"/>
              <w:tab w:val="right" w:pos="9026" w:leader="dot"/>
            </w:tabs>
            <w:rPr/>
          </w:pPr>
          <w:hyperlink w:anchor="__RefHeading___Toc403259_2142443653">
            <w:r>
              <w:rPr>
                <w:webHidden/>
                <w:rStyle w:val="IndexLink"/>
                <w:rtl w:val="true"/>
              </w:rPr>
              <w:t>الفرق بين له اصل و له كتاب</w:t>
            </w:r>
            <w:r>
              <w:rPr>
                <w:rStyle w:val="IndexLink"/>
                <w:rtl w:val="true"/>
              </w:rPr>
              <w:tab/>
            </w:r>
            <w:r>
              <w:rPr>
                <w:rStyle w:val="IndexLink"/>
              </w:rPr>
              <w:t>31</w:t>
            </w:r>
          </w:hyperlink>
        </w:p>
        <w:p>
          <w:pPr>
            <w:pStyle w:val="Contents5"/>
            <w:tabs>
              <w:tab w:val="clear" w:pos="7892"/>
              <w:tab w:val="right" w:pos="9026" w:leader="dot"/>
            </w:tabs>
            <w:rPr/>
          </w:pPr>
          <w:hyperlink w:anchor="__RefHeading___Toc403261_2142443653">
            <w:r>
              <w:rPr>
                <w:webHidden/>
                <w:rStyle w:val="IndexLink"/>
                <w:rtl w:val="true"/>
              </w:rPr>
              <w:t>معنى النوادر</w:t>
            </w:r>
            <w:r>
              <w:rPr>
                <w:rStyle w:val="IndexLink"/>
                <w:rtl w:val="true"/>
              </w:rPr>
              <w:tab/>
            </w:r>
            <w:r>
              <w:rPr>
                <w:rStyle w:val="IndexLink"/>
              </w:rPr>
              <w:t>37</w:t>
            </w:r>
          </w:hyperlink>
        </w:p>
        <w:p>
          <w:pPr>
            <w:pStyle w:val="Contents5"/>
            <w:tabs>
              <w:tab w:val="clear" w:pos="7892"/>
              <w:tab w:val="right" w:pos="9026" w:leader="dot"/>
            </w:tabs>
            <w:rPr/>
          </w:pPr>
          <w:hyperlink w:anchor="__RefHeading___Toc403263_2142443653">
            <w:r>
              <w:rPr>
                <w:webHidden/>
                <w:rStyle w:val="IndexLink"/>
                <w:rtl w:val="true"/>
              </w:rPr>
              <w:t>معنى له كتاب أو مصنف</w:t>
            </w:r>
            <w:r>
              <w:rPr>
                <w:rStyle w:val="IndexLink"/>
                <w:rtl w:val="true"/>
              </w:rPr>
              <w:t>...</w:t>
              <w:tab/>
            </w:r>
            <w:r>
              <w:rPr>
                <w:rStyle w:val="IndexLink"/>
              </w:rPr>
              <w:t>39</w:t>
            </w:r>
          </w:hyperlink>
        </w:p>
        <w:p>
          <w:pPr>
            <w:pStyle w:val="Contents5"/>
            <w:tabs>
              <w:tab w:val="clear" w:pos="7892"/>
              <w:tab w:val="right" w:pos="9026" w:leader="dot"/>
            </w:tabs>
            <w:rPr/>
          </w:pPr>
          <w:hyperlink w:anchor="__RefHeading___Toc403265_2142443653">
            <w:r>
              <w:rPr>
                <w:webHidden/>
                <w:rStyle w:val="IndexLink"/>
                <w:rtl w:val="true"/>
              </w:rPr>
              <w:t>دلالة لفظ له كتاب او ذا مصنف او ذا أصل أو نوادر</w:t>
            </w:r>
            <w:r>
              <w:rPr>
                <w:rStyle w:val="IndexLink"/>
                <w:rtl w:val="true"/>
              </w:rPr>
              <w:t>...</w:t>
              <w:tab/>
            </w:r>
            <w:r>
              <w:rPr>
                <w:rStyle w:val="IndexLink"/>
              </w:rPr>
              <w:t>40</w:t>
            </w:r>
          </w:hyperlink>
        </w:p>
        <w:p>
          <w:pPr>
            <w:pStyle w:val="Contents4"/>
            <w:tabs>
              <w:tab w:val="clear" w:pos="8176"/>
              <w:tab w:val="right" w:pos="9026" w:leader="dot"/>
            </w:tabs>
            <w:rPr/>
          </w:pPr>
          <w:hyperlink w:anchor="__RefHeading___Toc403267_2142443653">
            <w:r>
              <w:rPr>
                <w:webHidden/>
                <w:rStyle w:val="IndexLink"/>
                <w:rtl w:val="true"/>
              </w:rPr>
              <w:t>تذييل</w:t>
            </w:r>
            <w:r>
              <w:rPr>
                <w:rStyle w:val="IndexLink"/>
                <w:rtl w:val="true"/>
              </w:rPr>
              <w:t xml:space="preserve">: </w:t>
            </w:r>
            <w:r>
              <w:rPr>
                <w:rStyle w:val="IndexLink"/>
                <w:rtl w:val="true"/>
              </w:rPr>
              <w:t>في الالفاظ المستعملة في كتب الرجال لا ربط لها بعالم المدح و الذم</w:t>
            </w:r>
            <w:r>
              <w:rPr>
                <w:rStyle w:val="IndexLink"/>
                <w:rtl w:val="true"/>
              </w:rPr>
              <w:tab/>
            </w:r>
            <w:r>
              <w:rPr>
                <w:rStyle w:val="IndexLink"/>
              </w:rPr>
              <w:t>46</w:t>
            </w:r>
          </w:hyperlink>
        </w:p>
        <w:p>
          <w:pPr>
            <w:pStyle w:val="Contents5"/>
            <w:tabs>
              <w:tab w:val="clear" w:pos="7892"/>
              <w:tab w:val="right" w:pos="9026" w:leader="dot"/>
            </w:tabs>
            <w:rPr/>
          </w:pPr>
          <w:hyperlink w:anchor="__RefHeading___Toc403269_2142443653">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403271_2142443653">
            <w:r>
              <w:rPr>
                <w:webHidden/>
                <w:rStyle w:val="IndexLink"/>
                <w:rtl w:val="true"/>
              </w:rPr>
              <w:t>منها</w:t>
            </w:r>
            <w:r>
              <w:rPr>
                <w:rStyle w:val="IndexLink"/>
                <w:rtl w:val="true"/>
              </w:rPr>
              <w:t xml:space="preserve">: </w:t>
            </w:r>
            <w:r>
              <w:rPr>
                <w:rStyle w:val="IndexLink"/>
                <w:rtl w:val="true"/>
              </w:rPr>
              <w:t>الفهرست</w:t>
            </w:r>
            <w:r>
              <w:rPr>
                <w:rStyle w:val="IndexLink"/>
                <w:rtl w:val="true"/>
              </w:rPr>
              <w:tab/>
            </w:r>
            <w:r>
              <w:rPr>
                <w:rStyle w:val="IndexLink"/>
              </w:rPr>
              <w:t>46</w:t>
            </w:r>
          </w:hyperlink>
        </w:p>
        <w:p>
          <w:pPr>
            <w:pStyle w:val="Contents5"/>
            <w:tabs>
              <w:tab w:val="clear" w:pos="7892"/>
              <w:tab w:val="right" w:pos="9026" w:leader="dot"/>
            </w:tabs>
            <w:rPr/>
          </w:pPr>
          <w:hyperlink w:anchor="__RefHeading___Toc403273_2142443653">
            <w:r>
              <w:rPr>
                <w:webHidden/>
                <w:rStyle w:val="IndexLink"/>
                <w:rtl w:val="true"/>
              </w:rPr>
              <w:t>و منها</w:t>
            </w:r>
            <w:r>
              <w:rPr>
                <w:rStyle w:val="IndexLink"/>
                <w:rtl w:val="true"/>
              </w:rPr>
              <w:t xml:space="preserve">: </w:t>
            </w:r>
            <w:r>
              <w:rPr>
                <w:rStyle w:val="IndexLink"/>
                <w:rtl w:val="true"/>
              </w:rPr>
              <w:t>الترجمة</w:t>
            </w:r>
            <w:r>
              <w:rPr>
                <w:rStyle w:val="IndexLink"/>
                <w:rtl w:val="true"/>
              </w:rPr>
              <w:tab/>
            </w:r>
            <w:r>
              <w:rPr>
                <w:rStyle w:val="IndexLink"/>
              </w:rPr>
              <w:t>47</w:t>
            </w:r>
          </w:hyperlink>
        </w:p>
        <w:p>
          <w:pPr>
            <w:pStyle w:val="Contents5"/>
            <w:tabs>
              <w:tab w:val="clear" w:pos="7892"/>
              <w:tab w:val="right" w:pos="9026" w:leader="dot"/>
            </w:tabs>
            <w:rPr/>
          </w:pPr>
          <w:hyperlink w:anchor="__RefHeading___Toc403275_2142443653">
            <w:r>
              <w:rPr>
                <w:webHidden/>
                <w:rStyle w:val="IndexLink"/>
                <w:rtl w:val="true"/>
              </w:rPr>
              <w:t>و منها</w:t>
            </w:r>
            <w:r>
              <w:rPr>
                <w:rStyle w:val="IndexLink"/>
                <w:rtl w:val="true"/>
              </w:rPr>
              <w:t xml:space="preserve">: </w:t>
            </w:r>
            <w:r>
              <w:rPr>
                <w:rStyle w:val="IndexLink"/>
                <w:rtl w:val="true"/>
              </w:rPr>
              <w:t>النموذج</w:t>
            </w:r>
            <w:r>
              <w:rPr>
                <w:rStyle w:val="IndexLink"/>
                <w:rtl w:val="true"/>
              </w:rPr>
              <w:tab/>
            </w:r>
            <w:r>
              <w:rPr>
                <w:rStyle w:val="IndexLink"/>
              </w:rPr>
              <w:t>48</w:t>
            </w:r>
          </w:hyperlink>
        </w:p>
        <w:p>
          <w:pPr>
            <w:pStyle w:val="Contents5"/>
            <w:tabs>
              <w:tab w:val="clear" w:pos="7892"/>
              <w:tab w:val="right" w:pos="9026" w:leader="dot"/>
            </w:tabs>
            <w:rPr/>
          </w:pPr>
          <w:hyperlink w:anchor="__RefHeading___Toc403277_2142443653">
            <w:r>
              <w:rPr>
                <w:webHidden/>
                <w:rStyle w:val="IndexLink"/>
                <w:rtl w:val="true"/>
              </w:rPr>
              <w:t>و منها</w:t>
            </w:r>
            <w:r>
              <w:rPr>
                <w:rStyle w:val="IndexLink"/>
                <w:rtl w:val="true"/>
              </w:rPr>
              <w:t xml:space="preserve">: </w:t>
            </w:r>
            <w:r>
              <w:rPr>
                <w:rStyle w:val="IndexLink"/>
                <w:rtl w:val="true"/>
              </w:rPr>
              <w:t>الشيخ</w:t>
            </w:r>
            <w:r>
              <w:rPr>
                <w:rStyle w:val="IndexLink"/>
                <w:rtl w:val="true"/>
              </w:rPr>
              <w:t>:</w:t>
              <w:tab/>
            </w:r>
            <w:r>
              <w:rPr>
                <w:rStyle w:val="IndexLink"/>
              </w:rPr>
              <w:t>49</w:t>
            </w:r>
          </w:hyperlink>
        </w:p>
        <w:p>
          <w:pPr>
            <w:pStyle w:val="Contents5"/>
            <w:tabs>
              <w:tab w:val="clear" w:pos="7892"/>
              <w:tab w:val="right" w:pos="9026" w:leader="dot"/>
            </w:tabs>
            <w:rPr/>
          </w:pPr>
          <w:hyperlink w:anchor="__RefHeading___Toc403279_2142443653">
            <w:r>
              <w:rPr>
                <w:webHidden/>
                <w:rStyle w:val="IndexLink"/>
                <w:rtl w:val="true"/>
              </w:rPr>
              <w:t>و منها</w:t>
            </w:r>
            <w:r>
              <w:rPr>
                <w:rStyle w:val="IndexLink"/>
                <w:rtl w:val="true"/>
              </w:rPr>
              <w:t xml:space="preserve">: </w:t>
            </w:r>
            <w:r>
              <w:rPr>
                <w:rStyle w:val="IndexLink"/>
                <w:rtl w:val="true"/>
              </w:rPr>
              <w:t>المشيخة</w:t>
            </w:r>
            <w:r>
              <w:rPr>
                <w:rStyle w:val="IndexLink"/>
                <w:rtl w:val="true"/>
              </w:rPr>
              <w:t>:</w:t>
              <w:tab/>
            </w:r>
            <w:r>
              <w:rPr>
                <w:rStyle w:val="IndexLink"/>
              </w:rPr>
              <w:t>50</w:t>
            </w:r>
          </w:hyperlink>
        </w:p>
        <w:p>
          <w:pPr>
            <w:pStyle w:val="Contents5"/>
            <w:tabs>
              <w:tab w:val="clear" w:pos="7892"/>
              <w:tab w:val="right" w:pos="9026" w:leader="dot"/>
            </w:tabs>
            <w:rPr/>
          </w:pPr>
          <w:hyperlink w:anchor="__RefHeading___Toc403281_2142443653">
            <w:r>
              <w:rPr>
                <w:webHidden/>
                <w:rStyle w:val="IndexLink"/>
                <w:rtl w:val="true"/>
              </w:rPr>
              <w:t>و منها</w:t>
            </w:r>
            <w:r>
              <w:rPr>
                <w:rStyle w:val="IndexLink"/>
                <w:rtl w:val="true"/>
              </w:rPr>
              <w:t xml:space="preserve">: </w:t>
            </w:r>
            <w:r>
              <w:rPr>
                <w:rStyle w:val="IndexLink"/>
                <w:rtl w:val="true"/>
              </w:rPr>
              <w:t>الاستاذ</w:t>
            </w:r>
            <w:r>
              <w:rPr>
                <w:rStyle w:val="IndexLink"/>
                <w:rtl w:val="true"/>
              </w:rPr>
              <w:t>:</w:t>
              <w:tab/>
            </w:r>
            <w:r>
              <w:rPr>
                <w:rStyle w:val="IndexLink"/>
              </w:rPr>
              <w:t>51</w:t>
            </w:r>
          </w:hyperlink>
        </w:p>
        <w:p>
          <w:pPr>
            <w:pStyle w:val="Contents5"/>
            <w:tabs>
              <w:tab w:val="clear" w:pos="7892"/>
              <w:tab w:val="right" w:pos="9026" w:leader="dot"/>
            </w:tabs>
            <w:rPr/>
          </w:pPr>
          <w:hyperlink w:anchor="__RefHeading___Toc403283_2142443653">
            <w:r>
              <w:rPr>
                <w:webHidden/>
                <w:rStyle w:val="IndexLink"/>
                <w:rtl w:val="true"/>
              </w:rPr>
              <w:t>و منها</w:t>
            </w:r>
            <w:r>
              <w:rPr>
                <w:rStyle w:val="IndexLink"/>
                <w:rtl w:val="true"/>
              </w:rPr>
              <w:t xml:space="preserve">: </w:t>
            </w:r>
            <w:r>
              <w:rPr>
                <w:rStyle w:val="IndexLink"/>
                <w:rtl w:val="true"/>
              </w:rPr>
              <w:t>التلميذ</w:t>
            </w:r>
            <w:r>
              <w:rPr>
                <w:rStyle w:val="IndexLink"/>
                <w:rtl w:val="true"/>
              </w:rPr>
              <w:t>:</w:t>
              <w:tab/>
            </w:r>
            <w:r>
              <w:rPr>
                <w:rStyle w:val="IndexLink"/>
              </w:rPr>
              <w:t>53</w:t>
            </w:r>
          </w:hyperlink>
        </w:p>
        <w:p>
          <w:pPr>
            <w:pStyle w:val="Contents5"/>
            <w:tabs>
              <w:tab w:val="clear" w:pos="7892"/>
              <w:tab w:val="right" w:pos="9026" w:leader="dot"/>
            </w:tabs>
            <w:rPr/>
          </w:pPr>
          <w:hyperlink w:anchor="__RefHeading___Toc403285_2142443653">
            <w:r>
              <w:rPr>
                <w:webHidden/>
                <w:rStyle w:val="IndexLink"/>
                <w:rtl w:val="true"/>
              </w:rPr>
              <w:t>و منها</w:t>
            </w:r>
            <w:r>
              <w:rPr>
                <w:rStyle w:val="IndexLink"/>
                <w:rtl w:val="true"/>
              </w:rPr>
              <w:t xml:space="preserve">: </w:t>
            </w:r>
            <w:r>
              <w:rPr>
                <w:rStyle w:val="IndexLink"/>
                <w:rtl w:val="true"/>
              </w:rPr>
              <w:t>المملي و المستملي</w:t>
            </w:r>
            <w:r>
              <w:rPr>
                <w:rStyle w:val="IndexLink"/>
                <w:rtl w:val="true"/>
              </w:rPr>
              <w:t>:</w:t>
              <w:tab/>
            </w:r>
            <w:r>
              <w:rPr>
                <w:rStyle w:val="IndexLink"/>
              </w:rPr>
              <w:t>53</w:t>
            </w:r>
          </w:hyperlink>
        </w:p>
        <w:p>
          <w:pPr>
            <w:pStyle w:val="Contents5"/>
            <w:tabs>
              <w:tab w:val="clear" w:pos="7892"/>
              <w:tab w:val="right" w:pos="9026" w:leader="dot"/>
            </w:tabs>
            <w:rPr/>
          </w:pPr>
          <w:hyperlink w:anchor="__RefHeading___Toc403287_2142443653">
            <w:r>
              <w:rPr>
                <w:webHidden/>
                <w:rStyle w:val="IndexLink"/>
                <w:rtl w:val="true"/>
              </w:rPr>
              <w:t>و منها</w:t>
            </w:r>
            <w:r>
              <w:rPr>
                <w:rStyle w:val="IndexLink"/>
                <w:rtl w:val="true"/>
              </w:rPr>
              <w:t xml:space="preserve">: </w:t>
            </w:r>
            <w:r>
              <w:rPr>
                <w:rStyle w:val="IndexLink"/>
                <w:rtl w:val="true"/>
              </w:rPr>
              <w:t>العدّة</w:t>
            </w:r>
            <w:r>
              <w:rPr>
                <w:rStyle w:val="IndexLink"/>
                <w:rtl w:val="true"/>
              </w:rPr>
              <w:t>:</w:t>
              <w:tab/>
            </w:r>
            <w:r>
              <w:rPr>
                <w:rStyle w:val="IndexLink"/>
              </w:rPr>
              <w:t>54</w:t>
            </w:r>
          </w:hyperlink>
        </w:p>
        <w:p>
          <w:pPr>
            <w:pStyle w:val="Contents5"/>
            <w:tabs>
              <w:tab w:val="clear" w:pos="7892"/>
              <w:tab w:val="right" w:pos="9026" w:leader="dot"/>
            </w:tabs>
            <w:rPr/>
          </w:pPr>
          <w:hyperlink w:anchor="__RefHeading___Toc403289_2142443653">
            <w:r>
              <w:rPr>
                <w:webHidden/>
                <w:rStyle w:val="IndexLink"/>
                <w:rtl w:val="true"/>
              </w:rPr>
              <w:t>و منها</w:t>
            </w:r>
            <w:r>
              <w:rPr>
                <w:rStyle w:val="IndexLink"/>
                <w:rtl w:val="true"/>
              </w:rPr>
              <w:t xml:space="preserve">: </w:t>
            </w:r>
            <w:r>
              <w:rPr>
                <w:rStyle w:val="IndexLink"/>
                <w:rtl w:val="true"/>
              </w:rPr>
              <w:t>الرهط</w:t>
            </w:r>
            <w:r>
              <w:rPr>
                <w:rStyle w:val="IndexLink"/>
                <w:rtl w:val="true"/>
              </w:rPr>
              <w:t>:</w:t>
              <w:tab/>
            </w:r>
            <w:r>
              <w:rPr>
                <w:rStyle w:val="IndexLink"/>
              </w:rPr>
              <w:t>54</w:t>
            </w:r>
          </w:hyperlink>
        </w:p>
        <w:p>
          <w:pPr>
            <w:pStyle w:val="Contents5"/>
            <w:tabs>
              <w:tab w:val="clear" w:pos="7892"/>
              <w:tab w:val="right" w:pos="9026" w:leader="dot"/>
            </w:tabs>
            <w:rPr/>
          </w:pPr>
          <w:hyperlink w:anchor="__RefHeading___Toc403291_2142443653">
            <w:r>
              <w:rPr>
                <w:webHidden/>
                <w:rStyle w:val="IndexLink"/>
                <w:rtl w:val="true"/>
              </w:rPr>
              <w:t>و منها</w:t>
            </w:r>
            <w:r>
              <w:rPr>
                <w:rStyle w:val="IndexLink"/>
                <w:rtl w:val="true"/>
              </w:rPr>
              <w:t xml:space="preserve">: </w:t>
            </w:r>
            <w:r>
              <w:rPr>
                <w:rStyle w:val="IndexLink"/>
                <w:rtl w:val="true"/>
              </w:rPr>
              <w:t>الطبقة</w:t>
            </w:r>
            <w:r>
              <w:rPr>
                <w:rStyle w:val="IndexLink"/>
                <w:rtl w:val="true"/>
              </w:rPr>
              <w:t>:</w:t>
              <w:tab/>
            </w:r>
            <w:r>
              <w:rPr>
                <w:rStyle w:val="IndexLink"/>
              </w:rPr>
              <w:t>55</w:t>
            </w:r>
          </w:hyperlink>
        </w:p>
        <w:p>
          <w:pPr>
            <w:pStyle w:val="Contents5"/>
            <w:tabs>
              <w:tab w:val="clear" w:pos="7892"/>
              <w:tab w:val="right" w:pos="9026" w:leader="dot"/>
            </w:tabs>
            <w:rPr/>
          </w:pPr>
          <w:hyperlink w:anchor="__RefHeading___Toc403293_2142443653">
            <w:r>
              <w:rPr>
                <w:webHidden/>
                <w:rStyle w:val="IndexLink"/>
                <w:rtl w:val="true"/>
              </w:rPr>
              <w:t>و منها</w:t>
            </w:r>
            <w:r>
              <w:rPr>
                <w:rStyle w:val="IndexLink"/>
                <w:rtl w:val="true"/>
              </w:rPr>
              <w:t xml:space="preserve">: </w:t>
            </w:r>
            <w:r>
              <w:rPr>
                <w:rStyle w:val="IndexLink"/>
                <w:rtl w:val="true"/>
              </w:rPr>
              <w:t>الصحابي، و التابعي، و المخضرمي</w:t>
            </w:r>
            <w:r>
              <w:rPr>
                <w:rStyle w:val="IndexLink"/>
                <w:rtl w:val="true"/>
              </w:rPr>
              <w:t>:</w:t>
              <w:tab/>
            </w:r>
            <w:r>
              <w:rPr>
                <w:rStyle w:val="IndexLink"/>
              </w:rPr>
              <w:t>56</w:t>
            </w:r>
          </w:hyperlink>
        </w:p>
        <w:p>
          <w:pPr>
            <w:pStyle w:val="Contents5"/>
            <w:tabs>
              <w:tab w:val="clear" w:pos="7892"/>
              <w:tab w:val="right" w:pos="9026" w:leader="dot"/>
            </w:tabs>
            <w:rPr/>
          </w:pPr>
          <w:hyperlink w:anchor="__RefHeading___Toc403295_2142443653">
            <w:r>
              <w:rPr>
                <w:webHidden/>
                <w:rStyle w:val="IndexLink"/>
                <w:rtl w:val="true"/>
              </w:rPr>
              <w:t>و منها</w:t>
            </w:r>
            <w:r>
              <w:rPr>
                <w:rStyle w:val="IndexLink"/>
                <w:rtl w:val="true"/>
              </w:rPr>
              <w:t xml:space="preserve">: </w:t>
            </w:r>
            <w:r>
              <w:rPr>
                <w:rStyle w:val="IndexLink"/>
                <w:rtl w:val="true"/>
              </w:rPr>
              <w:t>الراوي، و المسند، و المحدث، و الحافظ</w:t>
            </w:r>
            <w:r>
              <w:rPr>
                <w:rStyle w:val="IndexLink"/>
                <w:rtl w:val="true"/>
              </w:rPr>
              <w:tab/>
            </w:r>
            <w:r>
              <w:rPr>
                <w:rStyle w:val="IndexLink"/>
              </w:rPr>
              <w:t>56</w:t>
            </w:r>
          </w:hyperlink>
        </w:p>
        <w:p>
          <w:pPr>
            <w:pStyle w:val="Contents2"/>
            <w:tabs>
              <w:tab w:val="clear" w:pos="8743"/>
              <w:tab w:val="right" w:pos="9026" w:leader="dot"/>
            </w:tabs>
            <w:rPr/>
          </w:pPr>
          <w:hyperlink w:anchor="__RefHeading___Toc403297_2142443653">
            <w:r>
              <w:rPr>
                <w:webHidden/>
                <w:rStyle w:val="IndexLink"/>
                <w:rtl w:val="true"/>
              </w:rPr>
              <w:t>الفصل السابع في شرف علم الحديث، و كيفية تحمّله، و طرق نقله و آدابه</w:t>
            </w:r>
            <w:r>
              <w:rPr>
                <w:rStyle w:val="IndexLink"/>
                <w:rtl w:val="true"/>
              </w:rPr>
              <w:t>:</w:t>
              <w:tab/>
            </w:r>
            <w:r>
              <w:rPr>
                <w:rStyle w:val="IndexLink"/>
              </w:rPr>
              <w:t>62</w:t>
            </w:r>
          </w:hyperlink>
        </w:p>
        <w:p>
          <w:pPr>
            <w:pStyle w:val="Contents3"/>
            <w:tabs>
              <w:tab w:val="clear" w:pos="8459"/>
              <w:tab w:val="right" w:pos="9026" w:leader="dot"/>
            </w:tabs>
            <w:rPr/>
          </w:pPr>
          <w:hyperlink w:anchor="__RefHeading___Toc403299_2142443653">
            <w:r>
              <w:rPr>
                <w:webHidden/>
                <w:rStyle w:val="IndexLink"/>
                <w:rtl w:val="true"/>
              </w:rPr>
              <w:t>اشارة</w:t>
            </w:r>
            <w:r>
              <w:rPr>
                <w:rStyle w:val="IndexLink"/>
                <w:rtl w:val="true"/>
              </w:rPr>
              <w:tab/>
            </w:r>
            <w:r>
              <w:rPr>
                <w:rStyle w:val="IndexLink"/>
              </w:rPr>
              <w:t>62</w:t>
            </w:r>
          </w:hyperlink>
        </w:p>
        <w:p>
          <w:pPr>
            <w:pStyle w:val="Contents3"/>
            <w:tabs>
              <w:tab w:val="clear" w:pos="8459"/>
              <w:tab w:val="right" w:pos="9026" w:leader="dot"/>
            </w:tabs>
            <w:rPr/>
          </w:pPr>
          <w:hyperlink w:anchor="__RefHeading___Toc403301_2142443653">
            <w:r>
              <w:rPr>
                <w:webHidden/>
                <w:rStyle w:val="IndexLink"/>
                <w:rtl w:val="true"/>
              </w:rPr>
              <w:t>المقام الأول</w:t>
            </w:r>
            <w:r>
              <w:rPr>
                <w:rStyle w:val="IndexLink"/>
                <w:rtl w:val="true"/>
              </w:rPr>
              <w:t xml:space="preserve">: </w:t>
            </w:r>
            <w:r>
              <w:rPr>
                <w:rStyle w:val="IndexLink"/>
                <w:rtl w:val="true"/>
              </w:rPr>
              <w:t>في أهلية التحمل</w:t>
            </w:r>
            <w:r>
              <w:rPr>
                <w:rStyle w:val="IndexLink"/>
                <w:rtl w:val="true"/>
              </w:rPr>
              <w:t xml:space="preserve">. </w:t>
            </w:r>
            <w:r>
              <w:rPr>
                <w:rStyle w:val="IndexLink"/>
                <w:rtl w:val="true"/>
              </w:rPr>
              <w:t>و فيه مطالب</w:t>
            </w:r>
            <w:r>
              <w:rPr>
                <w:rStyle w:val="IndexLink"/>
                <w:rtl w:val="true"/>
              </w:rPr>
              <w:t>:</w:t>
              <w:tab/>
            </w:r>
            <w:r>
              <w:rPr>
                <w:rStyle w:val="IndexLink"/>
              </w:rPr>
              <w:t>64</w:t>
            </w:r>
          </w:hyperlink>
        </w:p>
        <w:p>
          <w:pPr>
            <w:pStyle w:val="Contents4"/>
            <w:tabs>
              <w:tab w:val="clear" w:pos="8176"/>
              <w:tab w:val="right" w:pos="9026" w:leader="dot"/>
            </w:tabs>
            <w:rPr/>
          </w:pPr>
          <w:hyperlink w:anchor="__RefHeading___Toc403303_2142443653">
            <w:r>
              <w:rPr>
                <w:webHidden/>
                <w:rStyle w:val="IndexLink"/>
                <w:rtl w:val="true"/>
              </w:rPr>
              <w:t>الاول</w:t>
            </w:r>
            <w:r>
              <w:rPr>
                <w:rStyle w:val="IndexLink"/>
                <w:rtl w:val="true"/>
              </w:rPr>
              <w:t xml:space="preserve">: </w:t>
            </w:r>
            <w:r>
              <w:rPr>
                <w:rStyle w:val="IndexLink"/>
                <w:rtl w:val="true"/>
              </w:rPr>
              <w:t>اشتراط العقل و التمييز في التحمل بالسماع</w:t>
            </w:r>
            <w:r>
              <w:rPr>
                <w:rStyle w:val="IndexLink"/>
                <w:rtl w:val="true"/>
              </w:rPr>
              <w:tab/>
            </w:r>
            <w:r>
              <w:rPr>
                <w:rStyle w:val="IndexLink"/>
              </w:rPr>
              <w:t>64</w:t>
            </w:r>
          </w:hyperlink>
        </w:p>
        <w:p>
          <w:pPr>
            <w:pStyle w:val="Contents4"/>
            <w:tabs>
              <w:tab w:val="clear" w:pos="8176"/>
              <w:tab w:val="right" w:pos="9026" w:leader="dot"/>
            </w:tabs>
            <w:rPr/>
          </w:pPr>
          <w:hyperlink w:anchor="__RefHeading___Toc403305_2142443653">
            <w:r>
              <w:rPr>
                <w:webHidden/>
                <w:rStyle w:val="IndexLink"/>
                <w:rtl w:val="true"/>
              </w:rPr>
              <w:t>الثاني</w:t>
            </w:r>
            <w:r>
              <w:rPr>
                <w:rStyle w:val="IndexLink"/>
                <w:rtl w:val="true"/>
              </w:rPr>
              <w:t xml:space="preserve">: </w:t>
            </w:r>
            <w:r>
              <w:rPr>
                <w:rStyle w:val="IndexLink"/>
                <w:rtl w:val="true"/>
              </w:rPr>
              <w:t>عدم اشتراط الاسلام و لا الايمان و لا البلوغ و لا العدالة في تحمل الحديث</w:t>
            </w:r>
            <w:r>
              <w:rPr>
                <w:rStyle w:val="IndexLink"/>
                <w:rtl w:val="true"/>
              </w:rPr>
              <w:tab/>
            </w:r>
            <w:r>
              <w:rPr>
                <w:rStyle w:val="IndexLink"/>
              </w:rPr>
              <w:t>65</w:t>
            </w:r>
          </w:hyperlink>
        </w:p>
        <w:p>
          <w:pPr>
            <w:pStyle w:val="Contents5"/>
            <w:tabs>
              <w:tab w:val="clear" w:pos="7892"/>
              <w:tab w:val="right" w:pos="9026" w:leader="dot"/>
            </w:tabs>
            <w:rPr/>
          </w:pPr>
          <w:hyperlink w:anchor="__RefHeading___Toc403307_2142443653">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03309_2142443653">
            <w:r>
              <w:rPr>
                <w:webHidden/>
                <w:rStyle w:val="IndexLink"/>
                <w:rtl w:val="true"/>
              </w:rPr>
              <w:t>تحديد السن لمن يتحمل الرواية في الابتداء و الانتهاء</w:t>
            </w:r>
            <w:r>
              <w:rPr>
                <w:rStyle w:val="IndexLink"/>
                <w:rtl w:val="true"/>
              </w:rPr>
              <w:tab/>
            </w:r>
            <w:r>
              <w:rPr>
                <w:rStyle w:val="IndexLink"/>
              </w:rPr>
              <w:t>69</w:t>
            </w:r>
          </w:hyperlink>
        </w:p>
        <w:p>
          <w:pPr>
            <w:pStyle w:val="Contents4"/>
            <w:tabs>
              <w:tab w:val="clear" w:pos="8176"/>
              <w:tab w:val="right" w:pos="9026" w:leader="dot"/>
            </w:tabs>
            <w:rPr/>
          </w:pPr>
          <w:hyperlink w:anchor="__RefHeading___Toc403311_2142443653">
            <w:r>
              <w:rPr>
                <w:webHidden/>
                <w:rStyle w:val="IndexLink"/>
                <w:rtl w:val="true"/>
              </w:rPr>
              <w:t>الثالث</w:t>
            </w:r>
            <w:r>
              <w:rPr>
                <w:rStyle w:val="IndexLink"/>
                <w:rtl w:val="true"/>
              </w:rPr>
              <w:t xml:space="preserve">: </w:t>
            </w:r>
            <w:r>
              <w:rPr>
                <w:rStyle w:val="IndexLink"/>
                <w:rtl w:val="true"/>
              </w:rPr>
              <w:t>لا يشترط في المروي عنه إن يكون اكبر من الراوي سنا و لا رتبة</w:t>
            </w:r>
            <w:r>
              <w:rPr>
                <w:rStyle w:val="IndexLink"/>
                <w:rtl w:val="true"/>
              </w:rPr>
              <w:tab/>
            </w:r>
            <w:r>
              <w:rPr>
                <w:rStyle w:val="IndexLink"/>
              </w:rPr>
              <w:t>70</w:t>
            </w:r>
          </w:hyperlink>
        </w:p>
        <w:p>
          <w:pPr>
            <w:pStyle w:val="Contents3"/>
            <w:tabs>
              <w:tab w:val="clear" w:pos="8459"/>
              <w:tab w:val="right" w:pos="9026" w:leader="dot"/>
            </w:tabs>
            <w:rPr/>
          </w:pPr>
          <w:hyperlink w:anchor="__RefHeading___Toc403313_2142443653">
            <w:r>
              <w:rPr>
                <w:webHidden/>
                <w:rStyle w:val="IndexLink"/>
                <w:rtl w:val="true"/>
              </w:rPr>
              <w:t>المقام الثاني في طرق التحمل للحديث</w:t>
            </w:r>
            <w:r>
              <w:rPr>
                <w:rStyle w:val="IndexLink"/>
                <w:rtl w:val="true"/>
              </w:rPr>
              <w:tab/>
            </w:r>
            <w:r>
              <w:rPr>
                <w:rStyle w:val="IndexLink"/>
              </w:rPr>
              <w:t>72</w:t>
            </w:r>
          </w:hyperlink>
        </w:p>
        <w:p>
          <w:pPr>
            <w:pStyle w:val="Contents4"/>
            <w:tabs>
              <w:tab w:val="clear" w:pos="8176"/>
              <w:tab w:val="right" w:pos="9026" w:leader="dot"/>
            </w:tabs>
            <w:rPr/>
          </w:pPr>
          <w:hyperlink w:anchor="__RefHeading___Toc403315_2142443653">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403317_2142443653">
            <w:r>
              <w:rPr>
                <w:webHidden/>
                <w:rStyle w:val="IndexLink"/>
                <w:rtl w:val="true"/>
              </w:rPr>
              <w:t>اولها</w:t>
            </w:r>
            <w:r>
              <w:rPr>
                <w:rStyle w:val="IndexLink"/>
                <w:rtl w:val="true"/>
              </w:rPr>
              <w:t xml:space="preserve">: </w:t>
            </w:r>
            <w:r>
              <w:rPr>
                <w:rStyle w:val="IndexLink"/>
                <w:rtl w:val="true"/>
              </w:rPr>
              <w:t>السماع من لفظ الشيخ</w:t>
            </w:r>
            <w:r>
              <w:rPr>
                <w:rStyle w:val="IndexLink"/>
                <w:rtl w:val="true"/>
              </w:rPr>
              <w:t xml:space="preserve">. </w:t>
            </w:r>
            <w:r>
              <w:rPr>
                <w:rStyle w:val="IndexLink"/>
                <w:rtl w:val="true"/>
              </w:rPr>
              <w:t>و فيه مطالب</w:t>
            </w:r>
            <w:r>
              <w:rPr>
                <w:rStyle w:val="IndexLink"/>
                <w:rtl w:val="true"/>
              </w:rPr>
              <w:tab/>
            </w:r>
            <w:r>
              <w:rPr>
                <w:rStyle w:val="IndexLink"/>
              </w:rPr>
              <w:t>73</w:t>
            </w:r>
          </w:hyperlink>
        </w:p>
        <w:p>
          <w:pPr>
            <w:pStyle w:val="Contents5"/>
            <w:tabs>
              <w:tab w:val="clear" w:pos="7892"/>
              <w:tab w:val="right" w:pos="9026" w:leader="dot"/>
            </w:tabs>
            <w:rPr/>
          </w:pPr>
          <w:hyperlink w:anchor="__RefHeading___Toc403319_2142443653">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03321_2142443653">
            <w:r>
              <w:rPr>
                <w:webHidden/>
                <w:rStyle w:val="IndexLink"/>
                <w:rtl w:val="true"/>
              </w:rPr>
              <w:t>الاول</w:t>
            </w:r>
            <w:r>
              <w:rPr>
                <w:rStyle w:val="IndexLink"/>
                <w:rtl w:val="true"/>
              </w:rPr>
              <w:t xml:space="preserve">: </w:t>
            </w:r>
            <w:r>
              <w:rPr>
                <w:rStyle w:val="IndexLink"/>
                <w:rtl w:val="true"/>
              </w:rPr>
              <w:t>كون هذا الطريق اعلى طرق التحمل و أرفع اقسامه</w:t>
            </w:r>
            <w:r>
              <w:rPr>
                <w:rStyle w:val="IndexLink"/>
                <w:rtl w:val="true"/>
              </w:rPr>
              <w:tab/>
            </w:r>
            <w:r>
              <w:rPr>
                <w:rStyle w:val="IndexLink"/>
              </w:rPr>
              <w:t>73</w:t>
            </w:r>
          </w:hyperlink>
        </w:p>
        <w:p>
          <w:pPr>
            <w:pStyle w:val="Contents5"/>
            <w:tabs>
              <w:tab w:val="clear" w:pos="7892"/>
              <w:tab w:val="right" w:pos="9026" w:leader="dot"/>
            </w:tabs>
            <w:rPr/>
          </w:pPr>
          <w:hyperlink w:anchor="__RefHeading___Toc403323_2142443653">
            <w:r>
              <w:rPr>
                <w:webHidden/>
                <w:rStyle w:val="IndexLink"/>
                <w:rtl w:val="true"/>
              </w:rPr>
              <w:t>الثاني</w:t>
            </w:r>
            <w:r>
              <w:rPr>
                <w:rStyle w:val="IndexLink"/>
                <w:rtl w:val="true"/>
              </w:rPr>
              <w:t xml:space="preserve">: </w:t>
            </w:r>
            <w:r>
              <w:rPr>
                <w:rStyle w:val="IndexLink"/>
                <w:rtl w:val="true"/>
              </w:rPr>
              <w:t>اقسام هذا الوجه</w:t>
            </w:r>
            <w:r>
              <w:rPr>
                <w:rStyle w:val="IndexLink"/>
                <w:rtl w:val="true"/>
              </w:rPr>
              <w:tab/>
            </w:r>
            <w:r>
              <w:rPr>
                <w:rStyle w:val="IndexLink"/>
              </w:rPr>
              <w:t>75</w:t>
            </w:r>
          </w:hyperlink>
        </w:p>
        <w:p>
          <w:pPr>
            <w:pStyle w:val="Contents5"/>
            <w:tabs>
              <w:tab w:val="clear" w:pos="7892"/>
              <w:tab w:val="right" w:pos="9026" w:leader="dot"/>
            </w:tabs>
            <w:rPr/>
          </w:pPr>
          <w:hyperlink w:anchor="__RefHeading___Toc403325_2142443653">
            <w:r>
              <w:rPr>
                <w:webHidden/>
                <w:rStyle w:val="IndexLink"/>
                <w:rtl w:val="true"/>
              </w:rPr>
              <w:t>الثالث</w:t>
            </w:r>
            <w:r>
              <w:rPr>
                <w:rStyle w:val="IndexLink"/>
                <w:rtl w:val="true"/>
              </w:rPr>
              <w:t xml:space="preserve">: </w:t>
            </w:r>
            <w:r>
              <w:rPr>
                <w:rStyle w:val="IndexLink"/>
                <w:rtl w:val="true"/>
              </w:rPr>
              <w:t>كيفية اداء الحديث المتحمل بالسماع أو الاستماع من الشيخ العبارات الواردة و بيان اعلاها في التأدية</w:t>
            </w:r>
            <w:r>
              <w:rPr>
                <w:rStyle w:val="IndexLink"/>
                <w:rtl w:val="true"/>
              </w:rPr>
              <w:tab/>
            </w:r>
            <w:r>
              <w:rPr>
                <w:rStyle w:val="IndexLink"/>
              </w:rPr>
              <w:t>76</w:t>
            </w:r>
          </w:hyperlink>
        </w:p>
        <w:p>
          <w:pPr>
            <w:pStyle w:val="Contents5"/>
            <w:tabs>
              <w:tab w:val="clear" w:pos="7892"/>
              <w:tab w:val="right" w:pos="9026" w:leader="dot"/>
            </w:tabs>
            <w:rPr/>
          </w:pPr>
          <w:hyperlink w:anchor="__RefHeading___Toc403327_2142443653">
            <w:r>
              <w:rPr>
                <w:webHidden/>
                <w:rStyle w:val="IndexLink"/>
                <w:rtl w:val="true"/>
              </w:rPr>
              <w:t>الرابع</w:t>
            </w:r>
            <w:r>
              <w:rPr>
                <w:rStyle w:val="IndexLink"/>
                <w:rtl w:val="true"/>
              </w:rPr>
              <w:t xml:space="preserve">: </w:t>
            </w:r>
            <w:r>
              <w:rPr>
                <w:rStyle w:val="IndexLink"/>
                <w:rtl w:val="true"/>
              </w:rPr>
              <w:t>بعد قوله حدثني و حدثنا في المرتبة</w:t>
            </w:r>
            <w:r>
              <w:rPr>
                <w:rStyle w:val="IndexLink"/>
                <w:rtl w:val="true"/>
              </w:rPr>
              <w:t xml:space="preserve">: </w:t>
            </w:r>
            <w:r>
              <w:rPr>
                <w:rStyle w:val="IndexLink"/>
                <w:rtl w:val="true"/>
              </w:rPr>
              <w:t>أخبرنا ثم انبانا</w:t>
            </w:r>
            <w:r>
              <w:rPr>
                <w:rStyle w:val="IndexLink"/>
                <w:rtl w:val="true"/>
              </w:rPr>
              <w:tab/>
            </w:r>
            <w:r>
              <w:rPr>
                <w:rStyle w:val="IndexLink"/>
              </w:rPr>
              <w:t>79</w:t>
            </w:r>
          </w:hyperlink>
        </w:p>
        <w:p>
          <w:pPr>
            <w:pStyle w:val="Contents5"/>
            <w:tabs>
              <w:tab w:val="clear" w:pos="7892"/>
              <w:tab w:val="right" w:pos="9026" w:leader="dot"/>
            </w:tabs>
            <w:rPr/>
          </w:pPr>
          <w:hyperlink w:anchor="__RefHeading___Toc403329_2142443653">
            <w:r>
              <w:rPr>
                <w:webHidden/>
                <w:rStyle w:val="IndexLink"/>
                <w:rtl w:val="true"/>
              </w:rPr>
              <w:t>الخامس</w:t>
            </w:r>
            <w:r>
              <w:rPr>
                <w:rStyle w:val="IndexLink"/>
                <w:rtl w:val="true"/>
              </w:rPr>
              <w:t xml:space="preserve">: </w:t>
            </w:r>
            <w:r>
              <w:rPr>
                <w:rStyle w:val="IndexLink"/>
                <w:rtl w:val="true"/>
              </w:rPr>
              <w:t>بيان ادنى العبارات الواقعة في هذا الطريق</w:t>
            </w:r>
            <w:r>
              <w:rPr>
                <w:rStyle w:val="IndexLink"/>
                <w:rtl w:val="true"/>
              </w:rPr>
              <w:tab/>
            </w:r>
            <w:r>
              <w:rPr>
                <w:rStyle w:val="IndexLink"/>
              </w:rPr>
              <w:t>81</w:t>
            </w:r>
          </w:hyperlink>
        </w:p>
        <w:p>
          <w:pPr>
            <w:pStyle w:val="Contents5"/>
            <w:tabs>
              <w:tab w:val="clear" w:pos="7892"/>
              <w:tab w:val="right" w:pos="9026" w:leader="dot"/>
            </w:tabs>
            <w:rPr/>
          </w:pPr>
          <w:hyperlink w:anchor="__RefHeading___Toc403331_2142443653">
            <w:r>
              <w:rPr>
                <w:webHidden/>
                <w:rStyle w:val="IndexLink"/>
                <w:rtl w:val="true"/>
              </w:rPr>
              <w:t>السادس</w:t>
            </w:r>
            <w:r>
              <w:rPr>
                <w:rStyle w:val="IndexLink"/>
                <w:rtl w:val="true"/>
              </w:rPr>
              <w:t xml:space="preserve">: </w:t>
            </w:r>
            <w:r>
              <w:rPr>
                <w:rStyle w:val="IndexLink"/>
                <w:rtl w:val="true"/>
              </w:rPr>
              <w:t>عدم صحة التحمل و السماع و الرواية لمن لا يفهم المقروء</w:t>
            </w:r>
            <w:r>
              <w:rPr>
                <w:rStyle w:val="IndexLink"/>
                <w:rtl w:val="true"/>
              </w:rPr>
              <w:tab/>
            </w:r>
            <w:r>
              <w:rPr>
                <w:rStyle w:val="IndexLink"/>
              </w:rPr>
              <w:t>82</w:t>
            </w:r>
          </w:hyperlink>
        </w:p>
        <w:p>
          <w:pPr>
            <w:pStyle w:val="Contents5"/>
            <w:tabs>
              <w:tab w:val="clear" w:pos="7892"/>
              <w:tab w:val="right" w:pos="9026" w:leader="dot"/>
            </w:tabs>
            <w:rPr/>
          </w:pPr>
          <w:hyperlink w:anchor="__RefHeading___Toc403333_2142443653">
            <w:r>
              <w:rPr>
                <w:webHidden/>
                <w:rStyle w:val="IndexLink"/>
                <w:rtl w:val="true"/>
              </w:rPr>
              <w:t>السابع</w:t>
            </w:r>
            <w:r>
              <w:rPr>
                <w:rStyle w:val="IndexLink"/>
                <w:rtl w:val="true"/>
              </w:rPr>
              <w:t xml:space="preserve">: </w:t>
            </w:r>
            <w:r>
              <w:rPr>
                <w:rStyle w:val="IndexLink"/>
                <w:rtl w:val="true"/>
              </w:rPr>
              <w:t>كيفية اجازة الشيخ للسامعين</w:t>
            </w:r>
            <w:r>
              <w:rPr>
                <w:rStyle w:val="IndexLink"/>
                <w:rtl w:val="true"/>
              </w:rPr>
              <w:tab/>
            </w:r>
            <w:r>
              <w:rPr>
                <w:rStyle w:val="IndexLink"/>
              </w:rPr>
              <w:t>85</w:t>
            </w:r>
          </w:hyperlink>
        </w:p>
        <w:p>
          <w:pPr>
            <w:pStyle w:val="Contents5"/>
            <w:tabs>
              <w:tab w:val="clear" w:pos="7892"/>
              <w:tab w:val="right" w:pos="9026" w:leader="dot"/>
            </w:tabs>
            <w:rPr/>
          </w:pPr>
          <w:hyperlink w:anchor="__RefHeading___Toc403335_2142443653">
            <w:r>
              <w:rPr>
                <w:webHidden/>
                <w:rStyle w:val="IndexLink"/>
                <w:rtl w:val="true"/>
              </w:rPr>
              <w:t>الثامن</w:t>
            </w:r>
            <w:r>
              <w:rPr>
                <w:rStyle w:val="IndexLink"/>
                <w:rtl w:val="true"/>
              </w:rPr>
              <w:t xml:space="preserve">: </w:t>
            </w:r>
            <w:r>
              <w:rPr>
                <w:rStyle w:val="IndexLink"/>
                <w:rtl w:val="true"/>
              </w:rPr>
              <w:t>من احكام المستملي و كيفية الرواية عنه</w:t>
            </w:r>
            <w:r>
              <w:rPr>
                <w:rStyle w:val="IndexLink"/>
                <w:rtl w:val="true"/>
              </w:rPr>
              <w:tab/>
            </w:r>
            <w:r>
              <w:rPr>
                <w:rStyle w:val="IndexLink"/>
              </w:rPr>
              <w:t>86</w:t>
            </w:r>
          </w:hyperlink>
        </w:p>
        <w:p>
          <w:pPr>
            <w:pStyle w:val="Contents5"/>
            <w:tabs>
              <w:tab w:val="clear" w:pos="7892"/>
              <w:tab w:val="right" w:pos="9026" w:leader="dot"/>
            </w:tabs>
            <w:rPr/>
          </w:pPr>
          <w:hyperlink w:anchor="__RefHeading___Toc403337_2142443653">
            <w:r>
              <w:rPr>
                <w:webHidden/>
                <w:rStyle w:val="IndexLink"/>
                <w:rtl w:val="true"/>
              </w:rPr>
              <w:t>التاسع</w:t>
            </w:r>
            <w:r>
              <w:rPr>
                <w:rStyle w:val="IndexLink"/>
                <w:rtl w:val="true"/>
              </w:rPr>
              <w:t xml:space="preserve">: </w:t>
            </w:r>
            <w:r>
              <w:rPr>
                <w:rStyle w:val="IndexLink"/>
                <w:rtl w:val="true"/>
              </w:rPr>
              <w:t>لا يشترط علم المحدث بالسامعين</w:t>
            </w:r>
            <w:r>
              <w:rPr>
                <w:rStyle w:val="IndexLink"/>
                <w:rtl w:val="true"/>
              </w:rPr>
              <w:tab/>
            </w:r>
            <w:r>
              <w:rPr>
                <w:rStyle w:val="IndexLink"/>
              </w:rPr>
              <w:t>89</w:t>
            </w:r>
          </w:hyperlink>
        </w:p>
        <w:p>
          <w:pPr>
            <w:pStyle w:val="Contents4"/>
            <w:tabs>
              <w:tab w:val="clear" w:pos="8176"/>
              <w:tab w:val="right" w:pos="9026" w:leader="dot"/>
            </w:tabs>
            <w:rPr/>
          </w:pPr>
          <w:hyperlink w:anchor="__RefHeading___Toc403339_2142443653">
            <w:r>
              <w:rPr>
                <w:webHidden/>
                <w:rStyle w:val="IndexLink"/>
                <w:rtl w:val="true"/>
              </w:rPr>
              <w:t>ثانيها</w:t>
            </w:r>
            <w:r>
              <w:rPr>
                <w:rStyle w:val="IndexLink"/>
                <w:rtl w:val="true"/>
              </w:rPr>
              <w:t xml:space="preserve">: </w:t>
            </w:r>
            <w:r>
              <w:rPr>
                <w:rStyle w:val="IndexLink"/>
                <w:rtl w:val="true"/>
              </w:rPr>
              <w:t>القراءة على الشيخ</w:t>
            </w:r>
            <w:r>
              <w:rPr>
                <w:rStyle w:val="IndexLink"/>
                <w:rtl w:val="true"/>
              </w:rPr>
              <w:tab/>
            </w:r>
            <w:r>
              <w:rPr>
                <w:rStyle w:val="IndexLink"/>
              </w:rPr>
              <w:t>90</w:t>
            </w:r>
          </w:hyperlink>
        </w:p>
        <w:p>
          <w:pPr>
            <w:pStyle w:val="Contents5"/>
            <w:tabs>
              <w:tab w:val="clear" w:pos="7892"/>
              <w:tab w:val="right" w:pos="9026" w:leader="dot"/>
            </w:tabs>
            <w:rPr/>
          </w:pPr>
          <w:hyperlink w:anchor="__RefHeading___Toc403341_2142443653">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03343_2142443653">
            <w:r>
              <w:rPr>
                <w:webHidden/>
                <w:rStyle w:val="IndexLink"/>
                <w:rtl w:val="true"/>
              </w:rPr>
              <w:t>ثم ان هنا مطالب</w:t>
            </w:r>
            <w:r>
              <w:rPr>
                <w:rStyle w:val="IndexLink"/>
                <w:rtl w:val="true"/>
              </w:rPr>
              <w:t>:</w:t>
              <w:tab/>
            </w:r>
            <w:r>
              <w:rPr>
                <w:rStyle w:val="IndexLink"/>
              </w:rPr>
              <w:t>91</w:t>
            </w:r>
          </w:hyperlink>
        </w:p>
        <w:p>
          <w:pPr>
            <w:pStyle w:val="Contents6"/>
            <w:tabs>
              <w:tab w:val="clear" w:pos="7609"/>
              <w:tab w:val="right" w:pos="9026" w:leader="dot"/>
            </w:tabs>
            <w:rPr/>
          </w:pPr>
          <w:hyperlink w:anchor="__RefHeading___Toc403345_2142443653">
            <w:r>
              <w:rPr>
                <w:webHidden/>
                <w:rStyle w:val="IndexLink"/>
                <w:rtl w:val="true"/>
              </w:rPr>
              <w:t>الاول</w:t>
            </w:r>
            <w:r>
              <w:rPr>
                <w:rStyle w:val="IndexLink"/>
                <w:rtl w:val="true"/>
              </w:rPr>
              <w:t xml:space="preserve">: </w:t>
            </w:r>
            <w:r>
              <w:rPr>
                <w:rStyle w:val="IndexLink"/>
                <w:rtl w:val="true"/>
              </w:rPr>
              <w:t>انحاء هذا الطريق</w:t>
            </w:r>
            <w:r>
              <w:rPr>
                <w:rStyle w:val="IndexLink"/>
                <w:rtl w:val="true"/>
              </w:rPr>
              <w:tab/>
            </w:r>
            <w:r>
              <w:rPr>
                <w:rStyle w:val="IndexLink"/>
              </w:rPr>
              <w:t>91</w:t>
            </w:r>
          </w:hyperlink>
        </w:p>
        <w:p>
          <w:pPr>
            <w:pStyle w:val="Contents6"/>
            <w:tabs>
              <w:tab w:val="clear" w:pos="7609"/>
              <w:tab w:val="right" w:pos="9026" w:leader="dot"/>
            </w:tabs>
            <w:rPr/>
          </w:pPr>
          <w:hyperlink w:anchor="__RefHeading___Toc403347_2142443653">
            <w:r>
              <w:rPr>
                <w:webHidden/>
                <w:rStyle w:val="IndexLink"/>
                <w:rtl w:val="true"/>
              </w:rPr>
              <w:t>الثاني</w:t>
            </w:r>
            <w:r>
              <w:rPr>
                <w:rStyle w:val="IndexLink"/>
                <w:rtl w:val="true"/>
              </w:rPr>
              <w:t xml:space="preserve">: </w:t>
            </w:r>
            <w:r>
              <w:rPr>
                <w:rStyle w:val="IndexLink"/>
                <w:rtl w:val="true"/>
              </w:rPr>
              <w:t>ما يتحمل بهذا الطريق من الاخبار رواية صحيحة</w:t>
            </w:r>
            <w:r>
              <w:rPr>
                <w:rStyle w:val="IndexLink"/>
                <w:rtl w:val="true"/>
              </w:rPr>
              <w:tab/>
            </w:r>
            <w:r>
              <w:rPr>
                <w:rStyle w:val="IndexLink"/>
              </w:rPr>
              <w:t>92</w:t>
            </w:r>
          </w:hyperlink>
        </w:p>
        <w:p>
          <w:pPr>
            <w:pStyle w:val="Contents6"/>
            <w:tabs>
              <w:tab w:val="clear" w:pos="7609"/>
              <w:tab w:val="right" w:pos="9026" w:leader="dot"/>
            </w:tabs>
            <w:rPr/>
          </w:pPr>
          <w:hyperlink w:anchor="__RefHeading___Toc403349_2142443653">
            <w:r>
              <w:rPr>
                <w:webHidden/>
                <w:rStyle w:val="IndexLink"/>
                <w:rtl w:val="true"/>
              </w:rPr>
              <w:t>الثالث</w:t>
            </w:r>
            <w:r>
              <w:rPr>
                <w:rStyle w:val="IndexLink"/>
                <w:rtl w:val="true"/>
              </w:rPr>
              <w:t xml:space="preserve">: </w:t>
            </w:r>
            <w:r>
              <w:rPr>
                <w:rStyle w:val="IndexLink"/>
                <w:rtl w:val="true"/>
              </w:rPr>
              <w:t>هل هذا الطريق يساوي السماع أو يرجح عليه؟</w:t>
            </w:r>
            <w:r>
              <w:rPr>
                <w:rStyle w:val="IndexLink"/>
                <w:rtl w:val="true"/>
              </w:rPr>
              <w:tab/>
            </w:r>
            <w:r>
              <w:rPr>
                <w:rStyle w:val="IndexLink"/>
              </w:rPr>
              <w:t>93</w:t>
            </w:r>
          </w:hyperlink>
        </w:p>
        <w:p>
          <w:pPr>
            <w:pStyle w:val="Contents6"/>
            <w:tabs>
              <w:tab w:val="clear" w:pos="7609"/>
              <w:tab w:val="right" w:pos="9026" w:leader="dot"/>
            </w:tabs>
            <w:rPr/>
          </w:pPr>
          <w:hyperlink w:anchor="__RefHeading___Toc403351_2142443653">
            <w:r>
              <w:rPr>
                <w:webHidden/>
                <w:rStyle w:val="IndexLink"/>
                <w:rtl w:val="true"/>
              </w:rPr>
              <w:t>الرابع</w:t>
            </w:r>
            <w:r>
              <w:rPr>
                <w:rStyle w:val="IndexLink"/>
                <w:rtl w:val="true"/>
              </w:rPr>
              <w:t xml:space="preserve">: </w:t>
            </w:r>
            <w:r>
              <w:rPr>
                <w:rStyle w:val="IndexLink"/>
                <w:rtl w:val="true"/>
              </w:rPr>
              <w:t>كيفية اداء المتحمل بالقراءة اذا اراد رواية ذلك الحديث</w:t>
            </w:r>
            <w:r>
              <w:rPr>
                <w:rStyle w:val="IndexLink"/>
                <w:rtl w:val="true"/>
              </w:rPr>
              <w:tab/>
            </w:r>
            <w:r>
              <w:rPr>
                <w:rStyle w:val="IndexLink"/>
              </w:rPr>
              <w:t>100</w:t>
            </w:r>
          </w:hyperlink>
        </w:p>
        <w:p>
          <w:pPr>
            <w:pStyle w:val="Contents6"/>
            <w:tabs>
              <w:tab w:val="clear" w:pos="7609"/>
              <w:tab w:val="right" w:pos="9026" w:leader="dot"/>
            </w:tabs>
            <w:rPr/>
          </w:pPr>
          <w:hyperlink w:anchor="__RefHeading___Toc403353_2142443653">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403355_2142443653">
            <w:r>
              <w:rPr>
                <w:webHidden/>
                <w:rStyle w:val="IndexLink"/>
                <w:rtl w:val="true"/>
              </w:rPr>
              <w:t>هل يجوز اطلاق حدثنا و اخبرنا و انبانا في هذا الطريق</w:t>
            </w:r>
            <w:r>
              <w:rPr>
                <w:rStyle w:val="IndexLink"/>
                <w:rtl w:val="true"/>
              </w:rPr>
              <w:tab/>
            </w:r>
            <w:r>
              <w:rPr>
                <w:rStyle w:val="IndexLink"/>
              </w:rPr>
              <w:t>101</w:t>
            </w:r>
          </w:hyperlink>
        </w:p>
        <w:p>
          <w:pPr>
            <w:pStyle w:val="Contents6"/>
            <w:tabs>
              <w:tab w:val="clear" w:pos="7609"/>
              <w:tab w:val="right" w:pos="9026" w:leader="dot"/>
            </w:tabs>
            <w:rPr/>
          </w:pPr>
          <w:hyperlink w:anchor="__RefHeading___Toc403357_2142443653">
            <w:r>
              <w:rPr>
                <w:webHidden/>
                <w:rStyle w:val="IndexLink"/>
                <w:rtl w:val="true"/>
              </w:rPr>
              <w:t>الخامس</w:t>
            </w:r>
            <w:r>
              <w:rPr>
                <w:rStyle w:val="IndexLink"/>
                <w:rtl w:val="true"/>
              </w:rPr>
              <w:t xml:space="preserve">: </w:t>
            </w:r>
            <w:r>
              <w:rPr>
                <w:rStyle w:val="IndexLink"/>
                <w:rtl w:val="true"/>
              </w:rPr>
              <w:t>كيفية القراءة على الشيخ و السماع منه</w:t>
            </w:r>
            <w:r>
              <w:rPr>
                <w:rStyle w:val="IndexLink"/>
                <w:rtl w:val="true"/>
              </w:rPr>
              <w:tab/>
            </w:r>
            <w:r>
              <w:rPr>
                <w:rStyle w:val="IndexLink"/>
              </w:rPr>
              <w:t>104</w:t>
            </w:r>
          </w:hyperlink>
        </w:p>
        <w:p>
          <w:pPr>
            <w:pStyle w:val="Contents6"/>
            <w:tabs>
              <w:tab w:val="clear" w:pos="7609"/>
              <w:tab w:val="right" w:pos="9026" w:leader="dot"/>
            </w:tabs>
            <w:rPr/>
          </w:pPr>
          <w:hyperlink w:anchor="__RefHeading___Toc403359_2142443653">
            <w:r>
              <w:rPr>
                <w:webHidden/>
                <w:rStyle w:val="IndexLink"/>
                <w:rtl w:val="true"/>
              </w:rPr>
              <w:t>السادس</w:t>
            </w:r>
            <w:r>
              <w:rPr>
                <w:rStyle w:val="IndexLink"/>
                <w:rtl w:val="true"/>
              </w:rPr>
              <w:t xml:space="preserve">: </w:t>
            </w:r>
            <w:r>
              <w:rPr>
                <w:rStyle w:val="IndexLink"/>
                <w:rtl w:val="true"/>
              </w:rPr>
              <w:t>اذا قرى على الشيخ و لم ينكر و لم يتكلم بما يقتضي الاقرار به، فهل يصح السماع و تجوز الرواية؟</w:t>
            </w:r>
            <w:r>
              <w:rPr>
                <w:rStyle w:val="IndexLink"/>
                <w:rtl w:val="true"/>
              </w:rPr>
              <w:tab/>
            </w:r>
            <w:r>
              <w:rPr>
                <w:rStyle w:val="IndexLink"/>
              </w:rPr>
              <w:t>105</w:t>
            </w:r>
          </w:hyperlink>
        </w:p>
        <w:p>
          <w:pPr>
            <w:pStyle w:val="Contents6"/>
            <w:tabs>
              <w:tab w:val="clear" w:pos="7609"/>
              <w:tab w:val="right" w:pos="9026" w:leader="dot"/>
            </w:tabs>
            <w:rPr/>
          </w:pPr>
          <w:hyperlink w:anchor="__RefHeading___Toc403361_2142443653">
            <w:r>
              <w:rPr>
                <w:webHidden/>
                <w:rStyle w:val="IndexLink"/>
                <w:rtl w:val="true"/>
              </w:rPr>
              <w:t>السابع</w:t>
            </w:r>
            <w:r>
              <w:rPr>
                <w:rStyle w:val="IndexLink"/>
                <w:rtl w:val="true"/>
              </w:rPr>
              <w:t xml:space="preserve">: </w:t>
            </w:r>
            <w:r>
              <w:rPr>
                <w:rStyle w:val="IndexLink"/>
                <w:rtl w:val="true"/>
              </w:rPr>
              <w:t>ما اصطلحه عدة من المحدثين في السماع</w:t>
            </w:r>
            <w:r>
              <w:rPr>
                <w:rStyle w:val="IndexLink"/>
                <w:rtl w:val="true"/>
              </w:rPr>
              <w:tab/>
            </w:r>
            <w:r>
              <w:rPr>
                <w:rStyle w:val="IndexLink"/>
              </w:rPr>
              <w:t>107</w:t>
            </w:r>
          </w:hyperlink>
        </w:p>
        <w:p>
          <w:pPr>
            <w:pStyle w:val="Contents6"/>
            <w:tabs>
              <w:tab w:val="clear" w:pos="7609"/>
              <w:tab w:val="right" w:pos="9026" w:leader="dot"/>
            </w:tabs>
            <w:rPr/>
          </w:pPr>
          <w:hyperlink w:anchor="__RefHeading___Toc403363_2142443653">
            <w:r>
              <w:rPr>
                <w:webHidden/>
                <w:rStyle w:val="IndexLink"/>
                <w:rtl w:val="true"/>
              </w:rPr>
              <w:t>الثامن</w:t>
            </w:r>
            <w:r>
              <w:rPr>
                <w:rStyle w:val="IndexLink"/>
                <w:rtl w:val="true"/>
              </w:rPr>
              <w:t xml:space="preserve">: </w:t>
            </w:r>
            <w:r>
              <w:rPr>
                <w:rStyle w:val="IndexLink"/>
                <w:rtl w:val="true"/>
              </w:rPr>
              <w:t>لا يشترط الترائي في صحة التحمل بالسماع</w:t>
            </w:r>
            <w:r>
              <w:rPr>
                <w:rStyle w:val="IndexLink"/>
                <w:rtl w:val="true"/>
              </w:rPr>
              <w:tab/>
            </w:r>
            <w:r>
              <w:rPr>
                <w:rStyle w:val="IndexLink"/>
              </w:rPr>
              <w:t>109</w:t>
            </w:r>
          </w:hyperlink>
        </w:p>
        <w:p>
          <w:pPr>
            <w:pStyle w:val="Contents6"/>
            <w:tabs>
              <w:tab w:val="clear" w:pos="7609"/>
              <w:tab w:val="right" w:pos="9026" w:leader="dot"/>
            </w:tabs>
            <w:rPr/>
          </w:pPr>
          <w:hyperlink w:anchor="__RefHeading___Toc403365_2142443653">
            <w:r>
              <w:rPr>
                <w:webHidden/>
                <w:rStyle w:val="IndexLink"/>
                <w:rtl w:val="true"/>
              </w:rPr>
              <w:t>ثالثها</w:t>
            </w:r>
            <w:r>
              <w:rPr>
                <w:rStyle w:val="IndexLink"/>
                <w:rtl w:val="true"/>
              </w:rPr>
              <w:t xml:space="preserve">: </w:t>
            </w:r>
            <w:r>
              <w:rPr>
                <w:rStyle w:val="IndexLink"/>
                <w:rtl w:val="true"/>
              </w:rPr>
              <w:t xml:space="preserve">الإجازة </w:t>
            </w:r>
            <w:r>
              <w:rPr>
                <w:rStyle w:val="IndexLink"/>
                <w:rtl w:val="true"/>
              </w:rPr>
              <w:t>:</w:t>
              <w:tab/>
            </w:r>
            <w:r>
              <w:rPr>
                <w:rStyle w:val="IndexLink"/>
              </w:rPr>
              <w:t>112</w:t>
            </w:r>
          </w:hyperlink>
        </w:p>
        <w:p>
          <w:pPr>
            <w:pStyle w:val="Contents6"/>
            <w:tabs>
              <w:tab w:val="clear" w:pos="7609"/>
              <w:tab w:val="right" w:pos="9026" w:leader="dot"/>
            </w:tabs>
            <w:rPr/>
          </w:pPr>
          <w:hyperlink w:anchor="__RefHeading___Toc403367_2142443653">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403369_2142443653">
            <w:r>
              <w:rPr>
                <w:webHidden/>
                <w:rStyle w:val="IndexLink"/>
                <w:rtl w:val="true"/>
              </w:rPr>
              <w:t>و إذ قد عرفت ذلك فهنا مطالب</w:t>
            </w:r>
            <w:r>
              <w:rPr>
                <w:rStyle w:val="IndexLink"/>
                <w:rtl w:val="true"/>
              </w:rPr>
              <w:t>:</w:t>
              <w:tab/>
            </w:r>
            <w:r>
              <w:rPr>
                <w:rStyle w:val="IndexLink"/>
              </w:rPr>
              <w:t>114</w:t>
            </w:r>
          </w:hyperlink>
        </w:p>
        <w:p>
          <w:pPr>
            <w:pStyle w:val="Contents6"/>
            <w:tabs>
              <w:tab w:val="clear" w:pos="7609"/>
              <w:tab w:val="right" w:pos="9026" w:leader="dot"/>
            </w:tabs>
            <w:rPr/>
          </w:pPr>
          <w:hyperlink w:anchor="__RefHeading___Toc403371_2142443653">
            <w:r>
              <w:rPr>
                <w:webHidden/>
                <w:rStyle w:val="IndexLink"/>
                <w:rtl w:val="true"/>
              </w:rPr>
              <w:t>الاول</w:t>
            </w:r>
            <w:r>
              <w:rPr>
                <w:rStyle w:val="IndexLink"/>
                <w:rtl w:val="true"/>
              </w:rPr>
              <w:t xml:space="preserve">: </w:t>
            </w:r>
            <w:r>
              <w:rPr>
                <w:rStyle w:val="IndexLink"/>
                <w:rtl w:val="true"/>
              </w:rPr>
              <w:t>هل يجوز تحمل الرواية بالاجازة؟</w:t>
            </w:r>
            <w:r>
              <w:rPr>
                <w:rStyle w:val="IndexLink"/>
                <w:rtl w:val="true"/>
              </w:rPr>
              <w:tab/>
            </w:r>
            <w:r>
              <w:rPr>
                <w:rStyle w:val="IndexLink"/>
              </w:rPr>
              <w:t>114</w:t>
            </w:r>
          </w:hyperlink>
        </w:p>
        <w:p>
          <w:pPr>
            <w:pStyle w:val="Contents6"/>
            <w:tabs>
              <w:tab w:val="clear" w:pos="7609"/>
              <w:tab w:val="right" w:pos="9026" w:leader="dot"/>
            </w:tabs>
            <w:rPr/>
          </w:pPr>
          <w:hyperlink w:anchor="__RefHeading___Toc403373_2142443653">
            <w:r>
              <w:rPr>
                <w:webHidden/>
                <w:rStyle w:val="IndexLink"/>
                <w:rtl w:val="true"/>
              </w:rPr>
              <w:t>الثاني</w:t>
            </w:r>
            <w:r>
              <w:rPr>
                <w:rStyle w:val="IndexLink"/>
                <w:rtl w:val="true"/>
              </w:rPr>
              <w:t xml:space="preserve">: </w:t>
            </w:r>
            <w:r>
              <w:rPr>
                <w:rStyle w:val="IndexLink"/>
                <w:rtl w:val="true"/>
              </w:rPr>
              <w:t>اقسام الإجازة</w:t>
            </w:r>
            <w:r>
              <w:rPr>
                <w:rStyle w:val="IndexLink"/>
                <w:rtl w:val="true"/>
              </w:rPr>
              <w:tab/>
            </w:r>
            <w:r>
              <w:rPr>
                <w:rStyle w:val="IndexLink"/>
              </w:rPr>
              <w:t>121</w:t>
            </w:r>
          </w:hyperlink>
        </w:p>
        <w:p>
          <w:pPr>
            <w:pStyle w:val="Contents6"/>
            <w:tabs>
              <w:tab w:val="clear" w:pos="7609"/>
              <w:tab w:val="right" w:pos="9026" w:leader="dot"/>
            </w:tabs>
            <w:rPr/>
          </w:pPr>
          <w:hyperlink w:anchor="__RefHeading___Toc403375_2142443653">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403377_2142443653">
            <w:r>
              <w:rPr>
                <w:webHidden/>
                <w:rStyle w:val="IndexLink"/>
                <w:rtl w:val="true"/>
              </w:rPr>
              <w:t>الضرب الاول</w:t>
            </w:r>
            <w:r>
              <w:rPr>
                <w:rStyle w:val="IndexLink"/>
                <w:rtl w:val="true"/>
              </w:rPr>
              <w:t xml:space="preserve">: </w:t>
            </w:r>
            <w:r>
              <w:rPr>
                <w:rStyle w:val="IndexLink"/>
                <w:rtl w:val="true"/>
              </w:rPr>
              <w:t>اجازه معين لمعين</w:t>
            </w:r>
            <w:r>
              <w:rPr>
                <w:rStyle w:val="IndexLink"/>
                <w:rtl w:val="true"/>
              </w:rPr>
              <w:tab/>
            </w:r>
            <w:r>
              <w:rPr>
                <w:rStyle w:val="IndexLink"/>
              </w:rPr>
              <w:t>123</w:t>
            </w:r>
          </w:hyperlink>
        </w:p>
        <w:p>
          <w:pPr>
            <w:pStyle w:val="Contents6"/>
            <w:tabs>
              <w:tab w:val="clear" w:pos="7609"/>
              <w:tab w:val="right" w:pos="9026" w:leader="dot"/>
            </w:tabs>
            <w:rPr/>
          </w:pPr>
          <w:hyperlink w:anchor="__RefHeading___Toc403379_2142443653">
            <w:r>
              <w:rPr>
                <w:webHidden/>
                <w:rStyle w:val="IndexLink"/>
                <w:rtl w:val="true"/>
              </w:rPr>
              <w:t>الضرب الثاني</w:t>
            </w:r>
            <w:r>
              <w:rPr>
                <w:rStyle w:val="IndexLink"/>
                <w:rtl w:val="true"/>
              </w:rPr>
              <w:t xml:space="preserve">: </w:t>
            </w:r>
            <w:r>
              <w:rPr>
                <w:rStyle w:val="IndexLink"/>
                <w:rtl w:val="true"/>
              </w:rPr>
              <w:t>اجازه معين بغير معين</w:t>
            </w:r>
            <w:r>
              <w:rPr>
                <w:rStyle w:val="IndexLink"/>
                <w:rtl w:val="true"/>
              </w:rPr>
              <w:tab/>
            </w:r>
            <w:r>
              <w:rPr>
                <w:rStyle w:val="IndexLink"/>
              </w:rPr>
              <w:t>124</w:t>
            </w:r>
          </w:hyperlink>
        </w:p>
        <w:p>
          <w:pPr>
            <w:pStyle w:val="Contents6"/>
            <w:tabs>
              <w:tab w:val="clear" w:pos="7609"/>
              <w:tab w:val="right" w:pos="9026" w:leader="dot"/>
            </w:tabs>
            <w:rPr/>
          </w:pPr>
          <w:hyperlink w:anchor="__RefHeading___Toc403381_2142443653">
            <w:r>
              <w:rPr>
                <w:webHidden/>
                <w:rStyle w:val="IndexLink"/>
                <w:rtl w:val="true"/>
              </w:rPr>
              <w:t>الضرب الثالث</w:t>
            </w:r>
            <w:r>
              <w:rPr>
                <w:rStyle w:val="IndexLink"/>
                <w:rtl w:val="true"/>
              </w:rPr>
              <w:t xml:space="preserve">: </w:t>
            </w:r>
            <w:r>
              <w:rPr>
                <w:rStyle w:val="IndexLink"/>
                <w:rtl w:val="true"/>
              </w:rPr>
              <w:t>اجازه لغير معين</w:t>
            </w:r>
            <w:r>
              <w:rPr>
                <w:rStyle w:val="IndexLink"/>
                <w:rtl w:val="true"/>
              </w:rPr>
              <w:tab/>
            </w:r>
            <w:r>
              <w:rPr>
                <w:rStyle w:val="IndexLink"/>
              </w:rPr>
              <w:t>125</w:t>
            </w:r>
          </w:hyperlink>
        </w:p>
        <w:p>
          <w:pPr>
            <w:pStyle w:val="Contents6"/>
            <w:tabs>
              <w:tab w:val="clear" w:pos="7609"/>
              <w:tab w:val="right" w:pos="9026" w:leader="dot"/>
            </w:tabs>
            <w:rPr/>
          </w:pPr>
          <w:hyperlink w:anchor="__RefHeading___Toc403383_2142443653">
            <w:r>
              <w:rPr>
                <w:webHidden/>
                <w:rStyle w:val="IndexLink"/>
                <w:rtl w:val="true"/>
              </w:rPr>
              <w:t>الضرب الرابع</w:t>
            </w:r>
            <w:r>
              <w:rPr>
                <w:rStyle w:val="IndexLink"/>
                <w:rtl w:val="true"/>
              </w:rPr>
              <w:t xml:space="preserve">: </w:t>
            </w:r>
            <w:r>
              <w:rPr>
                <w:rStyle w:val="IndexLink"/>
                <w:rtl w:val="true"/>
              </w:rPr>
              <w:t>إن يكون المجاز أو المجاز فيه مجهولا</w:t>
            </w:r>
            <w:r>
              <w:rPr>
                <w:rStyle w:val="IndexLink"/>
                <w:rtl w:val="true"/>
              </w:rPr>
              <w:tab/>
            </w:r>
            <w:r>
              <w:rPr>
                <w:rStyle w:val="IndexLink"/>
              </w:rPr>
              <w:t>127</w:t>
            </w:r>
          </w:hyperlink>
        </w:p>
        <w:p>
          <w:pPr>
            <w:pStyle w:val="Contents6"/>
            <w:tabs>
              <w:tab w:val="clear" w:pos="7609"/>
              <w:tab w:val="right" w:pos="9026" w:leader="dot"/>
            </w:tabs>
            <w:rPr/>
          </w:pPr>
          <w:hyperlink w:anchor="__RefHeading___Toc403385_2142443653">
            <w:r>
              <w:rPr>
                <w:webHidden/>
                <w:rStyle w:val="IndexLink"/>
                <w:rtl w:val="true"/>
              </w:rPr>
              <w:t>الضرب الخامس</w:t>
            </w:r>
            <w:r>
              <w:rPr>
                <w:rStyle w:val="IndexLink"/>
                <w:rtl w:val="true"/>
              </w:rPr>
              <w:t xml:space="preserve">: </w:t>
            </w:r>
            <w:r>
              <w:rPr>
                <w:rStyle w:val="IndexLink"/>
                <w:rtl w:val="true"/>
              </w:rPr>
              <w:t>تعليق الاجازة على الشرط</w:t>
            </w:r>
            <w:r>
              <w:rPr>
                <w:rStyle w:val="IndexLink"/>
                <w:rtl w:val="true"/>
              </w:rPr>
              <w:tab/>
            </w:r>
            <w:r>
              <w:rPr>
                <w:rStyle w:val="IndexLink"/>
              </w:rPr>
              <w:t>128</w:t>
            </w:r>
          </w:hyperlink>
        </w:p>
        <w:p>
          <w:pPr>
            <w:pStyle w:val="Contents6"/>
            <w:tabs>
              <w:tab w:val="clear" w:pos="7609"/>
              <w:tab w:val="right" w:pos="9026" w:leader="dot"/>
            </w:tabs>
            <w:rPr/>
          </w:pPr>
          <w:hyperlink w:anchor="__RefHeading___Toc403387_2142443653">
            <w:r>
              <w:rPr>
                <w:webHidden/>
                <w:rStyle w:val="IndexLink"/>
                <w:rtl w:val="true"/>
              </w:rPr>
              <w:t>الضرب السادس</w:t>
            </w:r>
            <w:r>
              <w:rPr>
                <w:rStyle w:val="IndexLink"/>
                <w:rtl w:val="true"/>
              </w:rPr>
              <w:t xml:space="preserve">: </w:t>
            </w:r>
            <w:r>
              <w:rPr>
                <w:rStyle w:val="IndexLink"/>
                <w:rtl w:val="true"/>
              </w:rPr>
              <w:t>الاجازة للمعدوم</w:t>
            </w:r>
            <w:r>
              <w:rPr>
                <w:rStyle w:val="IndexLink"/>
                <w:rtl w:val="true"/>
              </w:rPr>
              <w:tab/>
            </w:r>
            <w:r>
              <w:rPr>
                <w:rStyle w:val="IndexLink"/>
              </w:rPr>
              <w:t>131</w:t>
            </w:r>
          </w:hyperlink>
        </w:p>
        <w:p>
          <w:pPr>
            <w:pStyle w:val="Contents6"/>
            <w:tabs>
              <w:tab w:val="clear" w:pos="7609"/>
              <w:tab w:val="right" w:pos="9026" w:leader="dot"/>
            </w:tabs>
            <w:rPr/>
          </w:pPr>
          <w:hyperlink w:anchor="__RefHeading___Toc403389_2142443653">
            <w:r>
              <w:rPr>
                <w:webHidden/>
                <w:rStyle w:val="IndexLink"/>
                <w:rtl w:val="true"/>
              </w:rPr>
              <w:t>الضرب السابع</w:t>
            </w:r>
            <w:r>
              <w:rPr>
                <w:rStyle w:val="IndexLink"/>
                <w:rtl w:val="true"/>
              </w:rPr>
              <w:t xml:space="preserve">: </w:t>
            </w:r>
            <w:r>
              <w:rPr>
                <w:rStyle w:val="IndexLink"/>
                <w:rtl w:val="true"/>
              </w:rPr>
              <w:t>الاجازة لموجود فاقد لأحد شروط اداء الرواية</w:t>
            </w:r>
            <w:r>
              <w:rPr>
                <w:rStyle w:val="IndexLink"/>
                <w:rtl w:val="true"/>
              </w:rPr>
              <w:tab/>
            </w:r>
            <w:r>
              <w:rPr>
                <w:rStyle w:val="IndexLink"/>
              </w:rPr>
              <w:t>134</w:t>
            </w:r>
          </w:hyperlink>
        </w:p>
        <w:p>
          <w:pPr>
            <w:pStyle w:val="Contents6"/>
            <w:tabs>
              <w:tab w:val="clear" w:pos="7609"/>
              <w:tab w:val="right" w:pos="9026" w:leader="dot"/>
            </w:tabs>
            <w:rPr/>
          </w:pPr>
          <w:hyperlink w:anchor="__RefHeading___Toc403391_2142443653">
            <w:r>
              <w:rPr>
                <w:webHidden/>
                <w:rStyle w:val="IndexLink"/>
                <w:rtl w:val="true"/>
              </w:rPr>
              <w:t>الضرب الثامن</w:t>
            </w:r>
            <w:r>
              <w:rPr>
                <w:rStyle w:val="IndexLink"/>
                <w:rtl w:val="true"/>
              </w:rPr>
              <w:t xml:space="preserve">: </w:t>
            </w:r>
            <w:r>
              <w:rPr>
                <w:rStyle w:val="IndexLink"/>
                <w:rtl w:val="true"/>
              </w:rPr>
              <w:t>الاجازة بما لم يتحمله المجيز من الحديث بعد بوجه ليرويه عنه المجاز</w:t>
            </w:r>
            <w:r>
              <w:rPr>
                <w:rStyle w:val="IndexLink"/>
                <w:rtl w:val="true"/>
              </w:rPr>
              <w:tab/>
            </w:r>
            <w:r>
              <w:rPr>
                <w:rStyle w:val="IndexLink"/>
              </w:rPr>
              <w:t>137</w:t>
            </w:r>
          </w:hyperlink>
        </w:p>
        <w:p>
          <w:pPr>
            <w:pStyle w:val="Contents6"/>
            <w:tabs>
              <w:tab w:val="clear" w:pos="7609"/>
              <w:tab w:val="right" w:pos="9026" w:leader="dot"/>
            </w:tabs>
            <w:rPr/>
          </w:pPr>
          <w:hyperlink w:anchor="__RefHeading___Toc403393_2142443653">
            <w:r>
              <w:rPr>
                <w:webHidden/>
                <w:rStyle w:val="IndexLink"/>
                <w:rtl w:val="true"/>
              </w:rPr>
              <w:t>الضرب التاسع</w:t>
            </w:r>
            <w:r>
              <w:rPr>
                <w:rStyle w:val="IndexLink"/>
                <w:rtl w:val="true"/>
              </w:rPr>
              <w:t xml:space="preserve">: </w:t>
            </w:r>
            <w:r>
              <w:rPr>
                <w:rStyle w:val="IndexLink"/>
                <w:rtl w:val="true"/>
              </w:rPr>
              <w:t>اجازة المجاز لغيره بما تحمله بالاجازة</w:t>
            </w:r>
            <w:r>
              <w:rPr>
                <w:rStyle w:val="IndexLink"/>
                <w:rtl w:val="true"/>
              </w:rPr>
              <w:tab/>
            </w:r>
            <w:r>
              <w:rPr>
                <w:rStyle w:val="IndexLink"/>
              </w:rPr>
              <w:t>138</w:t>
            </w:r>
          </w:hyperlink>
        </w:p>
        <w:p>
          <w:pPr>
            <w:pStyle w:val="Contents6"/>
            <w:tabs>
              <w:tab w:val="clear" w:pos="7609"/>
              <w:tab w:val="right" w:pos="9026" w:leader="dot"/>
            </w:tabs>
            <w:rPr/>
          </w:pPr>
          <w:hyperlink w:anchor="__RefHeading___Toc403395_2142443653">
            <w:r>
              <w:rPr>
                <w:webHidden/>
                <w:rStyle w:val="IndexLink"/>
                <w:rtl w:val="true"/>
              </w:rPr>
              <w:t>و بقي هنا أمور ينبغي التعرض لها</w:t>
            </w:r>
            <w:r>
              <w:rPr>
                <w:rStyle w:val="IndexLink"/>
                <w:rtl w:val="true"/>
              </w:rPr>
              <w:t>:</w:t>
              <w:tab/>
            </w:r>
            <w:r>
              <w:rPr>
                <w:rStyle w:val="IndexLink"/>
              </w:rPr>
              <w:t>139</w:t>
            </w:r>
          </w:hyperlink>
        </w:p>
        <w:p>
          <w:pPr>
            <w:pStyle w:val="Contents6"/>
            <w:tabs>
              <w:tab w:val="clear" w:pos="7609"/>
              <w:tab w:val="right" w:pos="9026" w:leader="dot"/>
            </w:tabs>
            <w:rPr/>
          </w:pPr>
          <w:hyperlink w:anchor="__RefHeading___Toc403397_2142443653">
            <w:r>
              <w:rPr>
                <w:webHidden/>
                <w:rStyle w:val="IndexLink"/>
                <w:rtl w:val="true"/>
              </w:rPr>
              <w:t>الاول</w:t>
            </w:r>
            <w:r>
              <w:rPr>
                <w:rStyle w:val="IndexLink"/>
                <w:rtl w:val="true"/>
              </w:rPr>
              <w:t xml:space="preserve">: </w:t>
            </w:r>
            <w:r>
              <w:rPr>
                <w:rStyle w:val="IndexLink"/>
                <w:rtl w:val="true"/>
              </w:rPr>
              <w:t>ما يلزم من يروي بالاجازة عن الإجازة</w:t>
            </w:r>
            <w:r>
              <w:rPr>
                <w:rStyle w:val="IndexLink"/>
                <w:rtl w:val="true"/>
              </w:rPr>
              <w:tab/>
            </w:r>
            <w:r>
              <w:rPr>
                <w:rStyle w:val="IndexLink"/>
              </w:rPr>
              <w:t>139</w:t>
            </w:r>
          </w:hyperlink>
        </w:p>
        <w:p>
          <w:pPr>
            <w:pStyle w:val="Contents6"/>
            <w:tabs>
              <w:tab w:val="clear" w:pos="7609"/>
              <w:tab w:val="right" w:pos="9026" w:leader="dot"/>
            </w:tabs>
            <w:rPr/>
          </w:pPr>
          <w:hyperlink w:anchor="__RefHeading___Toc403399_2142443653">
            <w:r>
              <w:rPr>
                <w:webHidden/>
                <w:rStyle w:val="IndexLink"/>
                <w:rtl w:val="true"/>
              </w:rPr>
              <w:t>الثاني</w:t>
            </w:r>
            <w:r>
              <w:rPr>
                <w:rStyle w:val="IndexLink"/>
                <w:rtl w:val="true"/>
              </w:rPr>
              <w:t xml:space="preserve">: </w:t>
            </w:r>
            <w:r>
              <w:rPr>
                <w:rStyle w:val="IndexLink"/>
                <w:rtl w:val="true"/>
              </w:rPr>
              <w:t>هل يشترط من صحة الإجازة العلم؟</w:t>
            </w:r>
            <w:r>
              <w:rPr>
                <w:rStyle w:val="IndexLink"/>
                <w:rtl w:val="true"/>
              </w:rPr>
              <w:tab/>
            </w:r>
            <w:r>
              <w:rPr>
                <w:rStyle w:val="IndexLink"/>
              </w:rPr>
              <w:t>140</w:t>
            </w:r>
          </w:hyperlink>
        </w:p>
        <w:p>
          <w:pPr>
            <w:pStyle w:val="Contents6"/>
            <w:tabs>
              <w:tab w:val="clear" w:pos="7609"/>
              <w:tab w:val="right" w:pos="9026" w:leader="dot"/>
            </w:tabs>
            <w:rPr/>
          </w:pPr>
          <w:hyperlink w:anchor="__RefHeading___Toc403401_2142443653">
            <w:r>
              <w:rPr>
                <w:webHidden/>
                <w:rStyle w:val="IndexLink"/>
                <w:rtl w:val="true"/>
              </w:rPr>
              <w:t>الثالث</w:t>
            </w:r>
            <w:r>
              <w:rPr>
                <w:rStyle w:val="IndexLink"/>
                <w:rtl w:val="true"/>
              </w:rPr>
              <w:t xml:space="preserve">: </w:t>
            </w:r>
            <w:r>
              <w:rPr>
                <w:rStyle w:val="IndexLink"/>
                <w:rtl w:val="true"/>
              </w:rPr>
              <w:t>ينبغي للمجيز بالكتابة إن يتلفظ بالاجازة</w:t>
            </w:r>
            <w:r>
              <w:rPr>
                <w:rStyle w:val="IndexLink"/>
                <w:rtl w:val="true"/>
              </w:rPr>
              <w:tab/>
            </w:r>
            <w:r>
              <w:rPr>
                <w:rStyle w:val="IndexLink"/>
              </w:rPr>
              <w:t>141</w:t>
            </w:r>
          </w:hyperlink>
        </w:p>
        <w:p>
          <w:pPr>
            <w:pStyle w:val="Contents6"/>
            <w:tabs>
              <w:tab w:val="clear" w:pos="7609"/>
              <w:tab w:val="right" w:pos="9026" w:leader="dot"/>
            </w:tabs>
            <w:rPr/>
          </w:pPr>
          <w:hyperlink w:anchor="__RefHeading___Toc403403_2142443653">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403405_2142443653">
            <w:r>
              <w:rPr>
                <w:webHidden/>
                <w:rStyle w:val="IndexLink"/>
                <w:rtl w:val="true"/>
              </w:rPr>
              <w:t>تذييل</w:t>
            </w:r>
            <w:r>
              <w:rPr>
                <w:rStyle w:val="IndexLink"/>
                <w:rtl w:val="true"/>
              </w:rPr>
              <w:t xml:space="preserve">: </w:t>
            </w:r>
            <w:r>
              <w:rPr>
                <w:rStyle w:val="IndexLink"/>
                <w:rtl w:val="true"/>
              </w:rPr>
              <w:t>لا يشترط في الإجازة القبول</w:t>
            </w:r>
            <w:r>
              <w:rPr>
                <w:rStyle w:val="IndexLink"/>
                <w:rtl w:val="true"/>
              </w:rPr>
              <w:tab/>
            </w:r>
            <w:r>
              <w:rPr>
                <w:rStyle w:val="IndexLink"/>
              </w:rPr>
              <w:t>142</w:t>
            </w:r>
          </w:hyperlink>
        </w:p>
        <w:p>
          <w:pPr>
            <w:pStyle w:val="Contents6"/>
            <w:tabs>
              <w:tab w:val="clear" w:pos="7609"/>
              <w:tab w:val="right" w:pos="9026" w:leader="dot"/>
            </w:tabs>
            <w:rPr/>
          </w:pPr>
          <w:hyperlink w:anchor="__RefHeading___Toc403407_2142443653">
            <w:r>
              <w:rPr>
                <w:webHidden/>
                <w:rStyle w:val="IndexLink"/>
                <w:rtl w:val="true"/>
              </w:rPr>
              <w:t>رابعها</w:t>
            </w:r>
            <w:r>
              <w:rPr>
                <w:rStyle w:val="IndexLink"/>
                <w:rtl w:val="true"/>
              </w:rPr>
              <w:t xml:space="preserve">: </w:t>
            </w:r>
            <w:r>
              <w:rPr>
                <w:rStyle w:val="IndexLink"/>
                <w:rtl w:val="true"/>
              </w:rPr>
              <w:t>المناولة</w:t>
            </w:r>
            <w:r>
              <w:rPr>
                <w:rStyle w:val="IndexLink"/>
                <w:rtl w:val="true"/>
              </w:rPr>
              <w:t>:</w:t>
              <w:tab/>
            </w:r>
            <w:r>
              <w:rPr>
                <w:rStyle w:val="IndexLink"/>
              </w:rPr>
              <w:t>142</w:t>
            </w:r>
          </w:hyperlink>
        </w:p>
        <w:p>
          <w:pPr>
            <w:pStyle w:val="Contents6"/>
            <w:tabs>
              <w:tab w:val="clear" w:pos="7609"/>
              <w:tab w:val="right" w:pos="9026" w:leader="dot"/>
            </w:tabs>
            <w:rPr/>
          </w:pPr>
          <w:hyperlink w:anchor="__RefHeading___Toc403409_2142443653">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403411_2142443653">
            <w:r>
              <w:rPr>
                <w:webHidden/>
                <w:rStyle w:val="IndexLink"/>
                <w:rtl w:val="true"/>
              </w:rPr>
              <w:t>و هي ضربان</w:t>
            </w:r>
            <w:r>
              <w:rPr>
                <w:rStyle w:val="IndexLink"/>
                <w:rtl w:val="true"/>
              </w:rPr>
              <w:t xml:space="preserve">: </w:t>
            </w:r>
            <w:r>
              <w:rPr>
                <w:rStyle w:val="IndexLink"/>
                <w:rtl w:val="true"/>
              </w:rPr>
              <w:t xml:space="preserve">مقرونة بالإجازة، و مجردة عنها </w:t>
            </w:r>
            <w:r>
              <w:rPr>
                <w:rStyle w:val="IndexLink"/>
                <w:rtl w:val="true"/>
              </w:rPr>
              <w:t>.</w:t>
              <w:tab/>
            </w:r>
            <w:r>
              <w:rPr>
                <w:rStyle w:val="IndexLink"/>
              </w:rPr>
              <w:t>143</w:t>
            </w:r>
          </w:hyperlink>
        </w:p>
        <w:p>
          <w:pPr>
            <w:pStyle w:val="Contents6"/>
            <w:tabs>
              <w:tab w:val="clear" w:pos="7609"/>
              <w:tab w:val="right" w:pos="9026" w:leader="dot"/>
            </w:tabs>
            <w:rPr/>
          </w:pPr>
          <w:hyperlink w:anchor="__RefHeading___Toc403413_2142443653">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403415_2142443653">
            <w:r>
              <w:rPr>
                <w:webHidden/>
                <w:rStyle w:val="IndexLink"/>
                <w:rtl w:val="true"/>
              </w:rPr>
              <w:t>الاول</w:t>
            </w:r>
            <w:r>
              <w:rPr>
                <w:rStyle w:val="IndexLink"/>
                <w:rtl w:val="true"/>
              </w:rPr>
              <w:t xml:space="preserve">: </w:t>
            </w:r>
            <w:r>
              <w:rPr>
                <w:rStyle w:val="IndexLink"/>
                <w:rtl w:val="true"/>
              </w:rPr>
              <w:t>المناولة المقرونة بالإجازة، و لها مراتب</w:t>
            </w:r>
            <w:r>
              <w:rPr>
                <w:rStyle w:val="IndexLink"/>
                <w:rtl w:val="true"/>
              </w:rPr>
              <w:tab/>
            </w:r>
            <w:r>
              <w:rPr>
                <w:rStyle w:val="IndexLink"/>
              </w:rPr>
              <w:t>144</w:t>
            </w:r>
          </w:hyperlink>
        </w:p>
        <w:p>
          <w:pPr>
            <w:pStyle w:val="Contents6"/>
            <w:tabs>
              <w:tab w:val="clear" w:pos="7609"/>
              <w:tab w:val="right" w:pos="9026" w:leader="dot"/>
            </w:tabs>
            <w:rPr/>
          </w:pPr>
          <w:hyperlink w:anchor="__RefHeading___Toc403417_2142443653">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403419_2142443653">
            <w:r>
              <w:rPr>
                <w:webHidden/>
                <w:rStyle w:val="IndexLink"/>
                <w:rtl w:val="true"/>
              </w:rPr>
              <w:t>منها</w:t>
            </w:r>
            <w:r>
              <w:rPr>
                <w:rStyle w:val="IndexLink"/>
                <w:rtl w:val="true"/>
              </w:rPr>
              <w:t xml:space="preserve">: </w:t>
            </w:r>
            <w:r>
              <w:rPr>
                <w:rStyle w:val="IndexLink"/>
                <w:rtl w:val="true"/>
              </w:rPr>
              <w:t>إن يدفع الشيخ الى الطالب الأصل و يقول له</w:t>
            </w:r>
            <w:r>
              <w:rPr>
                <w:rStyle w:val="IndexLink"/>
                <w:rtl w:val="true"/>
              </w:rPr>
              <w:t xml:space="preserve">: </w:t>
            </w:r>
            <w:r>
              <w:rPr>
                <w:rStyle w:val="IndexLink"/>
                <w:rtl w:val="true"/>
              </w:rPr>
              <w:t>اروه عني</w:t>
            </w:r>
            <w:r>
              <w:rPr>
                <w:rStyle w:val="IndexLink"/>
                <w:rtl w:val="true"/>
              </w:rPr>
              <w:t>...</w:t>
              <w:tab/>
            </w:r>
            <w:r>
              <w:rPr>
                <w:rStyle w:val="IndexLink"/>
              </w:rPr>
              <w:t>144</w:t>
            </w:r>
          </w:hyperlink>
        </w:p>
        <w:p>
          <w:pPr>
            <w:pStyle w:val="Contents6"/>
            <w:tabs>
              <w:tab w:val="clear" w:pos="7609"/>
              <w:tab w:val="right" w:pos="9026" w:leader="dot"/>
            </w:tabs>
            <w:rPr/>
          </w:pPr>
          <w:hyperlink w:anchor="__RefHeading___Toc403421_2142443653">
            <w:r>
              <w:rPr>
                <w:webHidden/>
                <w:rStyle w:val="IndexLink"/>
                <w:rtl w:val="true"/>
              </w:rPr>
              <w:t>و منها</w:t>
            </w:r>
            <w:r>
              <w:rPr>
                <w:rStyle w:val="IndexLink"/>
                <w:rtl w:val="true"/>
              </w:rPr>
              <w:t xml:space="preserve">: </w:t>
            </w:r>
            <w:r>
              <w:rPr>
                <w:rStyle w:val="IndexLink"/>
                <w:rtl w:val="true"/>
              </w:rPr>
              <w:t>أن يدفع الطالب إلى الشيخ سماع الشيخ أصلا أو مقابلا به</w:t>
            </w:r>
            <w:r>
              <w:rPr>
                <w:rStyle w:val="IndexLink"/>
                <w:rtl w:val="true"/>
              </w:rPr>
              <w:tab/>
            </w:r>
            <w:r>
              <w:rPr>
                <w:rStyle w:val="IndexLink"/>
              </w:rPr>
              <w:t>146</w:t>
            </w:r>
          </w:hyperlink>
        </w:p>
        <w:p>
          <w:pPr>
            <w:pStyle w:val="Contents6"/>
            <w:tabs>
              <w:tab w:val="clear" w:pos="7609"/>
              <w:tab w:val="right" w:pos="9026" w:leader="dot"/>
            </w:tabs>
            <w:rPr/>
          </w:pPr>
          <w:hyperlink w:anchor="__RefHeading___Toc403423_2142443653">
            <w:r>
              <w:rPr>
                <w:webHidden/>
                <w:rStyle w:val="IndexLink"/>
                <w:rtl w:val="true"/>
              </w:rPr>
              <w:t>و منها</w:t>
            </w:r>
            <w:r>
              <w:rPr>
                <w:rStyle w:val="IndexLink"/>
                <w:rtl w:val="true"/>
              </w:rPr>
              <w:t xml:space="preserve">: </w:t>
            </w:r>
            <w:r>
              <w:rPr>
                <w:rStyle w:val="IndexLink"/>
                <w:rtl w:val="true"/>
              </w:rPr>
              <w:t>إن يناول الشيخ الطالب سماعه و يجيزه ثم يسترجعه الشيخ و يمسكه</w:t>
            </w:r>
            <w:r>
              <w:rPr>
                <w:rStyle w:val="IndexLink"/>
                <w:rtl w:val="true"/>
              </w:rPr>
              <w:tab/>
            </w:r>
            <w:r>
              <w:rPr>
                <w:rStyle w:val="IndexLink"/>
              </w:rPr>
              <w:t>147</w:t>
            </w:r>
          </w:hyperlink>
        </w:p>
        <w:p>
          <w:pPr>
            <w:pStyle w:val="Contents6"/>
            <w:tabs>
              <w:tab w:val="clear" w:pos="7609"/>
              <w:tab w:val="right" w:pos="9026" w:leader="dot"/>
            </w:tabs>
            <w:rPr/>
          </w:pPr>
          <w:hyperlink w:anchor="__RefHeading___Toc403425_2142443653">
            <w:r>
              <w:rPr>
                <w:webHidden/>
                <w:rStyle w:val="IndexLink"/>
                <w:rtl w:val="true"/>
              </w:rPr>
              <w:t>و منها</w:t>
            </w:r>
            <w:r>
              <w:rPr>
                <w:rStyle w:val="IndexLink"/>
                <w:rtl w:val="true"/>
              </w:rPr>
              <w:t xml:space="preserve">: </w:t>
            </w:r>
            <w:r>
              <w:rPr>
                <w:rStyle w:val="IndexLink"/>
                <w:rtl w:val="true"/>
              </w:rPr>
              <w:t>إن يأتي الطالب الشيخ بكتاب و يقول</w:t>
            </w:r>
            <w:r>
              <w:rPr>
                <w:rStyle w:val="IndexLink"/>
                <w:rtl w:val="true"/>
              </w:rPr>
              <w:t xml:space="preserve">: </w:t>
            </w:r>
            <w:r>
              <w:rPr>
                <w:rStyle w:val="IndexLink"/>
                <w:rtl w:val="true"/>
              </w:rPr>
              <w:t>هذا روايتك فناولنيه و اجزني روايته</w:t>
            </w:r>
            <w:r>
              <w:rPr>
                <w:rStyle w:val="IndexLink"/>
                <w:rtl w:val="true"/>
              </w:rPr>
              <w:tab/>
            </w:r>
            <w:r>
              <w:rPr>
                <w:rStyle w:val="IndexLink"/>
              </w:rPr>
              <w:t>148</w:t>
            </w:r>
          </w:hyperlink>
        </w:p>
        <w:p>
          <w:pPr>
            <w:pStyle w:val="Contents6"/>
            <w:tabs>
              <w:tab w:val="clear" w:pos="7609"/>
              <w:tab w:val="right" w:pos="9026" w:leader="dot"/>
            </w:tabs>
            <w:rPr/>
          </w:pPr>
          <w:hyperlink w:anchor="__RefHeading___Toc403427_2142443653">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403429_2142443653">
            <w:r>
              <w:rPr>
                <w:webHidden/>
                <w:rStyle w:val="IndexLink"/>
                <w:rtl w:val="true"/>
              </w:rPr>
              <w:t>فرعان</w:t>
            </w:r>
            <w:r>
              <w:rPr>
                <w:rStyle w:val="IndexLink"/>
                <w:rtl w:val="true"/>
              </w:rPr>
              <w:t>:</w:t>
              <w:tab/>
            </w:r>
            <w:r>
              <w:rPr>
                <w:rStyle w:val="IndexLink"/>
              </w:rPr>
              <w:t>148</w:t>
            </w:r>
          </w:hyperlink>
        </w:p>
        <w:p>
          <w:pPr>
            <w:pStyle w:val="Contents6"/>
            <w:tabs>
              <w:tab w:val="clear" w:pos="7609"/>
              <w:tab w:val="right" w:pos="9026" w:leader="dot"/>
            </w:tabs>
            <w:rPr/>
          </w:pPr>
          <w:hyperlink w:anchor="__RefHeading___Toc403431_2142443653">
            <w:r>
              <w:rPr>
                <w:webHidden/>
                <w:rStyle w:val="IndexLink"/>
                <w:rtl w:val="true"/>
              </w:rPr>
              <w:t>الثاني</w:t>
            </w:r>
            <w:r>
              <w:rPr>
                <w:rStyle w:val="IndexLink"/>
                <w:rtl w:val="true"/>
              </w:rPr>
              <w:t xml:space="preserve">: </w:t>
            </w:r>
            <w:r>
              <w:rPr>
                <w:rStyle w:val="IndexLink"/>
                <w:rtl w:val="true"/>
              </w:rPr>
              <w:t>المناولة المجردة عن الاجازة</w:t>
            </w:r>
            <w:r>
              <w:rPr>
                <w:rStyle w:val="IndexLink"/>
                <w:rtl w:val="true"/>
              </w:rPr>
              <w:tab/>
            </w:r>
            <w:r>
              <w:rPr>
                <w:rStyle w:val="IndexLink"/>
              </w:rPr>
              <w:t>149</w:t>
            </w:r>
          </w:hyperlink>
        </w:p>
        <w:p>
          <w:pPr>
            <w:pStyle w:val="Contents6"/>
            <w:tabs>
              <w:tab w:val="clear" w:pos="7609"/>
              <w:tab w:val="right" w:pos="9026" w:leader="dot"/>
            </w:tabs>
            <w:rPr/>
          </w:pPr>
          <w:hyperlink w:anchor="__RefHeading___Toc403433_2142443653">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403435_2142443653">
            <w:r>
              <w:rPr>
                <w:webHidden/>
                <w:rStyle w:val="IndexLink"/>
                <w:rtl w:val="true"/>
              </w:rPr>
              <w:t>تذييل</w:t>
            </w:r>
            <w:r>
              <w:rPr>
                <w:rStyle w:val="IndexLink"/>
                <w:rtl w:val="true"/>
              </w:rPr>
              <w:t xml:space="preserve">: </w:t>
            </w:r>
            <w:r>
              <w:rPr>
                <w:rStyle w:val="IndexLink"/>
                <w:rtl w:val="true"/>
              </w:rPr>
              <w:t>الفاظ الأداء لمن تحمل بالاجازة و المناولة</w:t>
            </w:r>
            <w:r>
              <w:rPr>
                <w:rStyle w:val="IndexLink"/>
                <w:rtl w:val="true"/>
              </w:rPr>
              <w:tab/>
            </w:r>
            <w:r>
              <w:rPr>
                <w:rStyle w:val="IndexLink"/>
              </w:rPr>
              <w:t>154</w:t>
            </w:r>
          </w:hyperlink>
        </w:p>
        <w:p>
          <w:pPr>
            <w:pStyle w:val="Contents6"/>
            <w:tabs>
              <w:tab w:val="clear" w:pos="7609"/>
              <w:tab w:val="right" w:pos="9026" w:leader="dot"/>
            </w:tabs>
            <w:rPr/>
          </w:pPr>
          <w:hyperlink w:anchor="__RefHeading___Toc403437_2142443653">
            <w:r>
              <w:rPr>
                <w:webHidden/>
                <w:rStyle w:val="IndexLink"/>
                <w:rtl w:val="true"/>
              </w:rPr>
              <w:t>خامسها</w:t>
            </w:r>
            <w:r>
              <w:rPr>
                <w:rStyle w:val="IndexLink"/>
                <w:rtl w:val="true"/>
              </w:rPr>
              <w:t xml:space="preserve">: </w:t>
            </w:r>
            <w:r>
              <w:rPr>
                <w:rStyle w:val="IndexLink"/>
                <w:rtl w:val="true"/>
              </w:rPr>
              <w:t>الكتابة</w:t>
            </w:r>
            <w:r>
              <w:rPr>
                <w:rStyle w:val="IndexLink"/>
                <w:rtl w:val="true"/>
              </w:rPr>
              <w:t xml:space="preserve">: </w:t>
            </w:r>
            <w:r>
              <w:rPr>
                <w:rStyle w:val="IndexLink"/>
                <w:rtl w:val="true"/>
              </w:rPr>
              <w:t>و هنا مطالب</w:t>
            </w:r>
            <w:r>
              <w:rPr>
                <w:rStyle w:val="IndexLink"/>
                <w:rtl w:val="true"/>
              </w:rPr>
              <w:t>:</w:t>
              <w:tab/>
            </w:r>
            <w:r>
              <w:rPr>
                <w:rStyle w:val="IndexLink"/>
              </w:rPr>
              <w:t>160</w:t>
            </w:r>
          </w:hyperlink>
        </w:p>
        <w:p>
          <w:pPr>
            <w:pStyle w:val="Contents6"/>
            <w:tabs>
              <w:tab w:val="clear" w:pos="7609"/>
              <w:tab w:val="right" w:pos="9026" w:leader="dot"/>
            </w:tabs>
            <w:rPr/>
          </w:pPr>
          <w:hyperlink w:anchor="__RefHeading___Toc403439_2142443653">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403441_2142443653">
            <w:r>
              <w:rPr>
                <w:webHidden/>
                <w:rStyle w:val="IndexLink"/>
                <w:rtl w:val="true"/>
              </w:rPr>
              <w:t>الاول</w:t>
            </w:r>
            <w:r>
              <w:rPr>
                <w:rStyle w:val="IndexLink"/>
                <w:rtl w:val="true"/>
              </w:rPr>
              <w:t xml:space="preserve">: </w:t>
            </w:r>
            <w:r>
              <w:rPr>
                <w:rStyle w:val="IndexLink"/>
                <w:rtl w:val="true"/>
              </w:rPr>
              <w:t>الكتابة على حزبين</w:t>
            </w:r>
            <w:r>
              <w:rPr>
                <w:rStyle w:val="IndexLink"/>
                <w:rtl w:val="true"/>
              </w:rPr>
              <w:tab/>
            </w:r>
            <w:r>
              <w:rPr>
                <w:rStyle w:val="IndexLink"/>
              </w:rPr>
              <w:t>161</w:t>
            </w:r>
          </w:hyperlink>
        </w:p>
        <w:p>
          <w:pPr>
            <w:pStyle w:val="Contents6"/>
            <w:tabs>
              <w:tab w:val="clear" w:pos="7609"/>
              <w:tab w:val="right" w:pos="9026" w:leader="dot"/>
            </w:tabs>
            <w:rPr/>
          </w:pPr>
          <w:hyperlink w:anchor="__RefHeading___Toc403443_2142443653">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403445_2142443653">
            <w:r>
              <w:rPr>
                <w:webHidden/>
                <w:rStyle w:val="IndexLink"/>
                <w:rtl w:val="true"/>
              </w:rPr>
              <w:t>الكتابة مقرونة بالاجازة</w:t>
            </w:r>
            <w:r>
              <w:rPr>
                <w:rStyle w:val="IndexLink"/>
                <w:rtl w:val="true"/>
              </w:rPr>
              <w:tab/>
            </w:r>
            <w:r>
              <w:rPr>
                <w:rStyle w:val="IndexLink"/>
              </w:rPr>
              <w:t>161</w:t>
            </w:r>
          </w:hyperlink>
        </w:p>
        <w:p>
          <w:pPr>
            <w:pStyle w:val="Contents6"/>
            <w:tabs>
              <w:tab w:val="clear" w:pos="7609"/>
              <w:tab w:val="right" w:pos="9026" w:leader="dot"/>
            </w:tabs>
            <w:rPr/>
          </w:pPr>
          <w:hyperlink w:anchor="__RefHeading___Toc403447_2142443653">
            <w:r>
              <w:rPr>
                <w:webHidden/>
                <w:rStyle w:val="IndexLink"/>
                <w:rtl w:val="true"/>
              </w:rPr>
              <w:t>الكتابة المجردة عن الاجازة</w:t>
            </w:r>
            <w:r>
              <w:rPr>
                <w:rStyle w:val="IndexLink"/>
                <w:rtl w:val="true"/>
              </w:rPr>
              <w:tab/>
            </w:r>
            <w:r>
              <w:rPr>
                <w:rStyle w:val="IndexLink"/>
              </w:rPr>
              <w:t>161</w:t>
            </w:r>
          </w:hyperlink>
        </w:p>
        <w:p>
          <w:pPr>
            <w:pStyle w:val="Contents6"/>
            <w:tabs>
              <w:tab w:val="clear" w:pos="7609"/>
              <w:tab w:val="right" w:pos="9026" w:leader="dot"/>
            </w:tabs>
            <w:rPr/>
          </w:pPr>
          <w:hyperlink w:anchor="__RefHeading___Toc403449_2142443653">
            <w:r>
              <w:rPr>
                <w:webHidden/>
                <w:rStyle w:val="IndexLink"/>
                <w:rtl w:val="true"/>
              </w:rPr>
              <w:t>ما يعتبر في الكتابة</w:t>
            </w:r>
            <w:r>
              <w:rPr>
                <w:rStyle w:val="IndexLink"/>
                <w:rtl w:val="true"/>
              </w:rPr>
              <w:tab/>
            </w:r>
            <w:r>
              <w:rPr>
                <w:rStyle w:val="IndexLink"/>
              </w:rPr>
              <w:t>163</w:t>
            </w:r>
          </w:hyperlink>
        </w:p>
        <w:p>
          <w:pPr>
            <w:pStyle w:val="Contents6"/>
            <w:tabs>
              <w:tab w:val="clear" w:pos="7609"/>
              <w:tab w:val="right" w:pos="9026" w:leader="dot"/>
            </w:tabs>
            <w:rPr/>
          </w:pPr>
          <w:hyperlink w:anchor="__RefHeading___Toc403451_2142443653">
            <w:r>
              <w:rPr>
                <w:webHidden/>
                <w:rStyle w:val="IndexLink"/>
                <w:rtl w:val="true"/>
              </w:rPr>
              <w:t>الاول يعتبر في الرّواية بالكتابة معرفة المكتوب له خطّا لكاتب</w:t>
            </w:r>
            <w:r>
              <w:rPr>
                <w:rStyle w:val="IndexLink"/>
                <w:rtl w:val="true"/>
              </w:rPr>
              <w:tab/>
            </w:r>
            <w:r>
              <w:rPr>
                <w:rStyle w:val="IndexLink"/>
              </w:rPr>
              <w:t>163</w:t>
            </w:r>
          </w:hyperlink>
        </w:p>
        <w:p>
          <w:pPr>
            <w:pStyle w:val="Contents6"/>
            <w:tabs>
              <w:tab w:val="clear" w:pos="7609"/>
              <w:tab w:val="right" w:pos="9026" w:leader="dot"/>
            </w:tabs>
            <w:rPr/>
          </w:pPr>
          <w:hyperlink w:anchor="__RefHeading___Toc403453_2142443653">
            <w:r>
              <w:rPr>
                <w:webHidden/>
                <w:rStyle w:val="IndexLink"/>
                <w:rtl w:val="true"/>
              </w:rPr>
              <w:t>الثاني</w:t>
            </w:r>
            <w:r>
              <w:rPr>
                <w:rStyle w:val="IndexLink"/>
                <w:rtl w:val="true"/>
              </w:rPr>
              <w:t xml:space="preserve">: </w:t>
            </w:r>
            <w:r>
              <w:rPr>
                <w:rStyle w:val="IndexLink"/>
                <w:rtl w:val="true"/>
              </w:rPr>
              <w:t>كون الكتابة أنزل من السماع</w:t>
            </w:r>
            <w:r>
              <w:rPr>
                <w:rStyle w:val="IndexLink"/>
                <w:rtl w:val="true"/>
              </w:rPr>
              <w:tab/>
            </w:r>
            <w:r>
              <w:rPr>
                <w:rStyle w:val="IndexLink"/>
              </w:rPr>
              <w:t>164</w:t>
            </w:r>
          </w:hyperlink>
        </w:p>
        <w:p>
          <w:pPr>
            <w:pStyle w:val="Contents6"/>
            <w:tabs>
              <w:tab w:val="clear" w:pos="7609"/>
              <w:tab w:val="right" w:pos="9026" w:leader="dot"/>
            </w:tabs>
            <w:rPr/>
          </w:pPr>
          <w:hyperlink w:anchor="__RefHeading___Toc403455_2142443653">
            <w:r>
              <w:rPr>
                <w:webHidden/>
                <w:rStyle w:val="IndexLink"/>
                <w:rtl w:val="true"/>
              </w:rPr>
              <w:t>الثالث</w:t>
            </w:r>
            <w:r>
              <w:rPr>
                <w:rStyle w:val="IndexLink"/>
                <w:rtl w:val="true"/>
              </w:rPr>
              <w:t xml:space="preserve">: </w:t>
            </w:r>
            <w:r>
              <w:rPr>
                <w:rStyle w:val="IndexLink"/>
                <w:rtl w:val="true"/>
              </w:rPr>
              <w:t>كيفية الاداء لمن روى بالكتابة</w:t>
            </w:r>
            <w:r>
              <w:rPr>
                <w:rStyle w:val="IndexLink"/>
                <w:rtl w:val="true"/>
              </w:rPr>
              <w:tab/>
            </w:r>
            <w:r>
              <w:rPr>
                <w:rStyle w:val="IndexLink"/>
              </w:rPr>
              <w:t>165</w:t>
            </w:r>
          </w:hyperlink>
        </w:p>
        <w:p>
          <w:pPr>
            <w:pStyle w:val="Contents6"/>
            <w:tabs>
              <w:tab w:val="clear" w:pos="7609"/>
              <w:tab w:val="right" w:pos="9026" w:leader="dot"/>
            </w:tabs>
            <w:rPr/>
          </w:pPr>
          <w:hyperlink w:anchor="__RefHeading___Toc403457_2142443653">
            <w:r>
              <w:rPr>
                <w:webHidden/>
                <w:rStyle w:val="IndexLink"/>
                <w:rtl w:val="true"/>
              </w:rPr>
              <w:t>سادسها</w:t>
            </w:r>
            <w:r>
              <w:rPr>
                <w:rStyle w:val="IndexLink"/>
                <w:rtl w:val="true"/>
              </w:rPr>
              <w:t xml:space="preserve">: </w:t>
            </w:r>
            <w:r>
              <w:rPr>
                <w:rStyle w:val="IndexLink"/>
                <w:rtl w:val="true"/>
              </w:rPr>
              <w:t>الاعلام</w:t>
            </w:r>
            <w:r>
              <w:rPr>
                <w:rStyle w:val="IndexLink"/>
                <w:rtl w:val="true"/>
              </w:rPr>
              <w:t>:</w:t>
              <w:tab/>
            </w:r>
            <w:r>
              <w:rPr>
                <w:rStyle w:val="IndexLink"/>
              </w:rPr>
              <w:t>166</w:t>
            </w:r>
          </w:hyperlink>
        </w:p>
        <w:p>
          <w:pPr>
            <w:pStyle w:val="Contents6"/>
            <w:tabs>
              <w:tab w:val="clear" w:pos="7609"/>
              <w:tab w:val="right" w:pos="9026" w:leader="dot"/>
            </w:tabs>
            <w:rPr/>
          </w:pPr>
          <w:hyperlink w:anchor="__RefHeading___Toc403459_2142443653">
            <w:r>
              <w:rPr>
                <w:webHidden/>
                <w:rStyle w:val="IndexLink"/>
                <w:rtl w:val="true"/>
              </w:rPr>
              <w:t>اشارة</w:t>
            </w:r>
            <w:r>
              <w:rPr>
                <w:rStyle w:val="IndexLink"/>
                <w:rtl w:val="true"/>
              </w:rPr>
              <w:tab/>
            </w:r>
            <w:r>
              <w:rPr>
                <w:rStyle w:val="IndexLink"/>
              </w:rPr>
              <w:t>166</w:t>
            </w:r>
          </w:hyperlink>
        </w:p>
        <w:p>
          <w:pPr>
            <w:pStyle w:val="Contents6"/>
            <w:tabs>
              <w:tab w:val="clear" w:pos="7609"/>
              <w:tab w:val="right" w:pos="9026" w:leader="dot"/>
            </w:tabs>
            <w:rPr/>
          </w:pPr>
          <w:hyperlink w:anchor="__RefHeading___Toc403461_2142443653">
            <w:r>
              <w:rPr>
                <w:webHidden/>
                <w:rStyle w:val="IndexLink"/>
                <w:rtl w:val="true"/>
              </w:rPr>
              <w:t>حكم الرواية بالاعلام</w:t>
            </w:r>
            <w:r>
              <w:rPr>
                <w:rStyle w:val="IndexLink"/>
                <w:rtl w:val="true"/>
              </w:rPr>
              <w:tab/>
            </w:r>
            <w:r>
              <w:rPr>
                <w:rStyle w:val="IndexLink"/>
              </w:rPr>
              <w:t>166</w:t>
            </w:r>
          </w:hyperlink>
        </w:p>
        <w:p>
          <w:pPr>
            <w:pStyle w:val="Contents6"/>
            <w:tabs>
              <w:tab w:val="clear" w:pos="7609"/>
              <w:tab w:val="right" w:pos="9026" w:leader="dot"/>
            </w:tabs>
            <w:rPr/>
          </w:pPr>
          <w:hyperlink w:anchor="__RefHeading___Toc403463_2142443653">
            <w:r>
              <w:rPr>
                <w:webHidden/>
                <w:rStyle w:val="IndexLink"/>
                <w:rtl w:val="true"/>
              </w:rPr>
              <w:t>سابعها</w:t>
            </w:r>
            <w:r>
              <w:rPr>
                <w:rStyle w:val="IndexLink"/>
                <w:rtl w:val="true"/>
              </w:rPr>
              <w:t xml:space="preserve">: </w:t>
            </w:r>
            <w:r>
              <w:rPr>
                <w:rStyle w:val="IndexLink"/>
                <w:rtl w:val="true"/>
              </w:rPr>
              <w:t>الوصية</w:t>
            </w:r>
            <w:r>
              <w:rPr>
                <w:rStyle w:val="IndexLink"/>
                <w:rtl w:val="true"/>
              </w:rPr>
              <w:tab/>
            </w:r>
            <w:r>
              <w:rPr>
                <w:rStyle w:val="IndexLink"/>
              </w:rPr>
              <w:t>170</w:t>
            </w:r>
          </w:hyperlink>
        </w:p>
        <w:p>
          <w:pPr>
            <w:pStyle w:val="Contents6"/>
            <w:tabs>
              <w:tab w:val="clear" w:pos="7609"/>
              <w:tab w:val="right" w:pos="9026" w:leader="dot"/>
            </w:tabs>
            <w:rPr/>
          </w:pPr>
          <w:hyperlink w:anchor="__RefHeading___Toc403465_2142443653">
            <w:r>
              <w:rPr>
                <w:webHidden/>
                <w:rStyle w:val="IndexLink"/>
                <w:rtl w:val="true"/>
              </w:rPr>
              <w:t>ثامنها</w:t>
            </w:r>
            <w:r>
              <w:rPr>
                <w:rStyle w:val="IndexLink"/>
                <w:rtl w:val="true"/>
              </w:rPr>
              <w:t xml:space="preserve">: </w:t>
            </w:r>
            <w:r>
              <w:rPr>
                <w:rStyle w:val="IndexLink"/>
                <w:rtl w:val="true"/>
              </w:rPr>
              <w:t>الوجادة</w:t>
            </w:r>
            <w:r>
              <w:rPr>
                <w:rStyle w:val="IndexLink"/>
                <w:rtl w:val="true"/>
              </w:rPr>
              <w:t>:</w:t>
              <w:tab/>
            </w:r>
            <w:r>
              <w:rPr>
                <w:rStyle w:val="IndexLink"/>
              </w:rPr>
              <w:t>172</w:t>
            </w:r>
          </w:hyperlink>
        </w:p>
        <w:p>
          <w:pPr>
            <w:pStyle w:val="Contents6"/>
            <w:tabs>
              <w:tab w:val="clear" w:pos="7609"/>
              <w:tab w:val="right" w:pos="9026" w:leader="dot"/>
            </w:tabs>
            <w:rPr/>
          </w:pPr>
          <w:hyperlink w:anchor="__RefHeading___Toc403467_2142443653">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403469_2142443653">
            <w:r>
              <w:rPr>
                <w:webHidden/>
                <w:rStyle w:val="IndexLink"/>
                <w:rtl w:val="true"/>
              </w:rPr>
              <w:t>حكم الرواية بالوجادة مع الإجازة و عدمها</w:t>
            </w:r>
            <w:r>
              <w:rPr>
                <w:rStyle w:val="IndexLink"/>
                <w:rtl w:val="true"/>
              </w:rPr>
              <w:tab/>
            </w:r>
            <w:r>
              <w:rPr>
                <w:rStyle w:val="IndexLink"/>
              </w:rPr>
              <w:t>175</w:t>
            </w:r>
          </w:hyperlink>
        </w:p>
        <w:p>
          <w:pPr>
            <w:pStyle w:val="Contents6"/>
            <w:tabs>
              <w:tab w:val="clear" w:pos="7609"/>
              <w:tab w:val="right" w:pos="9026" w:leader="dot"/>
            </w:tabs>
            <w:rPr/>
          </w:pPr>
          <w:hyperlink w:anchor="__RefHeading___Toc403471_2142443653">
            <w:r>
              <w:rPr>
                <w:webHidden/>
                <w:rStyle w:val="IndexLink"/>
                <w:rtl w:val="true"/>
              </w:rPr>
              <w:t>حكم الرواية بالوجادة الموثوق بها من دون اجازه</w:t>
            </w:r>
            <w:r>
              <w:rPr>
                <w:rStyle w:val="IndexLink"/>
                <w:rtl w:val="true"/>
              </w:rPr>
              <w:tab/>
            </w:r>
            <w:r>
              <w:rPr>
                <w:rStyle w:val="IndexLink"/>
              </w:rPr>
              <w:t>176</w:t>
            </w:r>
          </w:hyperlink>
        </w:p>
        <w:p>
          <w:pPr>
            <w:pStyle w:val="Contents6"/>
            <w:tabs>
              <w:tab w:val="clear" w:pos="7609"/>
              <w:tab w:val="right" w:pos="9026" w:leader="dot"/>
            </w:tabs>
            <w:rPr/>
          </w:pPr>
          <w:hyperlink w:anchor="__RefHeading___Toc403473_2142443653">
            <w:r>
              <w:rPr>
                <w:webHidden/>
                <w:rStyle w:val="IndexLink"/>
                <w:rtl w:val="true"/>
              </w:rPr>
              <w:t>اشارة</w:t>
            </w:r>
            <w:r>
              <w:rPr>
                <w:rStyle w:val="IndexLink"/>
                <w:rtl w:val="true"/>
              </w:rPr>
              <w:tab/>
            </w:r>
            <w:r>
              <w:rPr>
                <w:rStyle w:val="IndexLink"/>
              </w:rPr>
              <w:t>176</w:t>
            </w:r>
          </w:hyperlink>
        </w:p>
        <w:p>
          <w:pPr>
            <w:pStyle w:val="Contents6"/>
            <w:tabs>
              <w:tab w:val="clear" w:pos="7609"/>
              <w:tab w:val="right" w:pos="9026" w:leader="dot"/>
            </w:tabs>
            <w:rPr/>
          </w:pPr>
          <w:hyperlink w:anchor="__RefHeading___Toc403475_2142443653">
            <w:r>
              <w:rPr>
                <w:webHidden/>
                <w:rStyle w:val="IndexLink"/>
                <w:rtl w:val="true"/>
              </w:rPr>
              <w:t>حجة المجوزين وجوه</w:t>
            </w:r>
            <w:r>
              <w:rPr>
                <w:rStyle w:val="IndexLink"/>
                <w:rtl w:val="true"/>
              </w:rPr>
              <w:t>:</w:t>
              <w:tab/>
            </w:r>
            <w:r>
              <w:rPr>
                <w:rStyle w:val="IndexLink"/>
              </w:rPr>
              <w:t>177</w:t>
            </w:r>
          </w:hyperlink>
        </w:p>
        <w:p>
          <w:pPr>
            <w:pStyle w:val="Contents6"/>
            <w:tabs>
              <w:tab w:val="clear" w:pos="7609"/>
              <w:tab w:val="right" w:pos="9026" w:leader="dot"/>
            </w:tabs>
            <w:rPr/>
          </w:pPr>
          <w:hyperlink w:anchor="__RefHeading___Toc403477_2142443653">
            <w:r>
              <w:rPr>
                <w:webHidden/>
                <w:rStyle w:val="IndexLink"/>
                <w:rtl w:val="true"/>
              </w:rPr>
              <w:t>حجة المانعين</w:t>
            </w:r>
            <w:r>
              <w:rPr>
                <w:rStyle w:val="IndexLink"/>
                <w:rtl w:val="true"/>
              </w:rPr>
              <w:t>:</w:t>
              <w:tab/>
            </w:r>
            <w:r>
              <w:rPr>
                <w:rStyle w:val="IndexLink"/>
              </w:rPr>
              <w:t>181</w:t>
            </w:r>
          </w:hyperlink>
        </w:p>
        <w:p>
          <w:pPr>
            <w:pStyle w:val="Contents6"/>
            <w:tabs>
              <w:tab w:val="clear" w:pos="7609"/>
              <w:tab w:val="right" w:pos="9026" w:leader="dot"/>
            </w:tabs>
            <w:rPr/>
          </w:pPr>
          <w:hyperlink w:anchor="__RefHeading___Toc403479_2142443653">
            <w:r>
              <w:rPr>
                <w:webHidden/>
                <w:rStyle w:val="IndexLink"/>
                <w:rtl w:val="true"/>
              </w:rPr>
              <w:t>دواعي الإجازة</w:t>
            </w:r>
            <w:r>
              <w:rPr>
                <w:rStyle w:val="IndexLink"/>
                <w:rtl w:val="true"/>
              </w:rPr>
              <w:tab/>
            </w:r>
            <w:r>
              <w:rPr>
                <w:rStyle w:val="IndexLink"/>
              </w:rPr>
              <w:t>188</w:t>
            </w:r>
          </w:hyperlink>
        </w:p>
        <w:p>
          <w:pPr>
            <w:pStyle w:val="Contents6"/>
            <w:tabs>
              <w:tab w:val="clear" w:pos="7609"/>
              <w:tab w:val="right" w:pos="9026" w:leader="dot"/>
            </w:tabs>
            <w:rPr/>
          </w:pPr>
          <w:hyperlink w:anchor="__RefHeading___Toc403481_2142443653">
            <w:r>
              <w:rPr>
                <w:webHidden/>
                <w:rStyle w:val="IndexLink"/>
                <w:rtl w:val="true"/>
              </w:rPr>
              <w:t>تنبيهان</w:t>
            </w:r>
            <w:r>
              <w:rPr>
                <w:rStyle w:val="IndexLink"/>
                <w:rtl w:val="true"/>
              </w:rPr>
              <w:tab/>
            </w:r>
            <w:r>
              <w:rPr>
                <w:rStyle w:val="IndexLink"/>
              </w:rPr>
              <w:t>189</w:t>
            </w:r>
          </w:hyperlink>
        </w:p>
        <w:p>
          <w:pPr>
            <w:pStyle w:val="Contents6"/>
            <w:tabs>
              <w:tab w:val="clear" w:pos="7609"/>
              <w:tab w:val="right" w:pos="9026" w:leader="dot"/>
            </w:tabs>
            <w:rPr/>
          </w:pPr>
          <w:hyperlink w:anchor="__RefHeading___Toc403483_2142443653">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403485_2142443653">
            <w:r>
              <w:rPr>
                <w:webHidden/>
                <w:rStyle w:val="IndexLink"/>
                <w:rtl w:val="true"/>
              </w:rPr>
              <w:t>الاول</w:t>
            </w:r>
            <w:r>
              <w:rPr>
                <w:rStyle w:val="IndexLink"/>
                <w:rtl w:val="true"/>
              </w:rPr>
              <w:t xml:space="preserve">: </w:t>
            </w:r>
            <w:r>
              <w:rPr>
                <w:rStyle w:val="IndexLink"/>
                <w:rtl w:val="true"/>
              </w:rPr>
              <w:t>لو وجد كتابا شهد عدلان عندنا به فهل يجوز العمل به و الرواية عنه</w:t>
            </w:r>
            <w:r>
              <w:rPr>
                <w:rStyle w:val="IndexLink"/>
                <w:rtl w:val="true"/>
              </w:rPr>
              <w:tab/>
            </w:r>
            <w:r>
              <w:rPr>
                <w:rStyle w:val="IndexLink"/>
              </w:rPr>
              <w:t>189</w:t>
            </w:r>
          </w:hyperlink>
        </w:p>
        <w:p>
          <w:pPr>
            <w:pStyle w:val="Contents6"/>
            <w:tabs>
              <w:tab w:val="clear" w:pos="7609"/>
              <w:tab w:val="right" w:pos="9026" w:leader="dot"/>
            </w:tabs>
            <w:rPr/>
          </w:pPr>
          <w:hyperlink w:anchor="__RefHeading___Toc403487_2142443653">
            <w:r>
              <w:rPr>
                <w:webHidden/>
                <w:rStyle w:val="IndexLink"/>
                <w:rtl w:val="true"/>
              </w:rPr>
              <w:t>الثاني</w:t>
            </w:r>
            <w:r>
              <w:rPr>
                <w:rStyle w:val="IndexLink"/>
                <w:rtl w:val="true"/>
              </w:rPr>
              <w:t xml:space="preserve">: </w:t>
            </w:r>
            <w:r>
              <w:rPr>
                <w:rStyle w:val="IndexLink"/>
                <w:rtl w:val="true"/>
              </w:rPr>
              <w:t>أن اقسام التحمل جارية في المعصوم عليه السّلام ايضا</w:t>
            </w:r>
            <w:r>
              <w:rPr>
                <w:rStyle w:val="IndexLink"/>
                <w:rtl w:val="true"/>
              </w:rPr>
              <w:tab/>
            </w:r>
            <w:r>
              <w:rPr>
                <w:rStyle w:val="IndexLink"/>
              </w:rPr>
              <w:t>191</w:t>
            </w:r>
          </w:hyperlink>
        </w:p>
        <w:p>
          <w:pPr>
            <w:pStyle w:val="Contents3"/>
            <w:tabs>
              <w:tab w:val="clear" w:pos="8459"/>
              <w:tab w:val="right" w:pos="9026" w:leader="dot"/>
            </w:tabs>
            <w:rPr/>
          </w:pPr>
          <w:hyperlink w:anchor="__RefHeading___Toc403489_2142443653">
            <w:r>
              <w:rPr>
                <w:webHidden/>
                <w:rStyle w:val="IndexLink"/>
                <w:rtl w:val="true"/>
              </w:rPr>
              <w:t>المقام الثالث في كتابة الحديث و ضبطه و فيه مطالب</w:t>
            </w:r>
            <w:r>
              <w:rPr>
                <w:rStyle w:val="IndexLink"/>
                <w:rtl w:val="true"/>
              </w:rPr>
              <w:t>:</w:t>
              <w:tab/>
            </w:r>
            <w:r>
              <w:rPr>
                <w:rStyle w:val="IndexLink"/>
              </w:rPr>
              <w:t>197</w:t>
            </w:r>
          </w:hyperlink>
        </w:p>
        <w:p>
          <w:pPr>
            <w:pStyle w:val="Contents4"/>
            <w:tabs>
              <w:tab w:val="clear" w:pos="8176"/>
              <w:tab w:val="right" w:pos="9026" w:leader="dot"/>
            </w:tabs>
            <w:rPr/>
          </w:pPr>
          <w:hyperlink w:anchor="__RefHeading___Toc403491_2142443653">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403493_2142443653">
            <w:r>
              <w:rPr>
                <w:webHidden/>
                <w:rStyle w:val="IndexLink"/>
                <w:rtl w:val="true"/>
              </w:rPr>
              <w:t>الأول</w:t>
            </w:r>
            <w:r>
              <w:rPr>
                <w:rStyle w:val="IndexLink"/>
                <w:rtl w:val="true"/>
              </w:rPr>
              <w:t xml:space="preserve">: </w:t>
            </w:r>
            <w:r>
              <w:rPr>
                <w:rStyle w:val="IndexLink"/>
                <w:rtl w:val="true"/>
              </w:rPr>
              <w:t>في حكمها</w:t>
            </w:r>
            <w:r>
              <w:rPr>
                <w:rStyle w:val="IndexLink"/>
                <w:rtl w:val="true"/>
              </w:rPr>
              <w:t>:</w:t>
              <w:tab/>
            </w:r>
            <w:r>
              <w:rPr>
                <w:rStyle w:val="IndexLink"/>
              </w:rPr>
              <w:t>197</w:t>
            </w:r>
          </w:hyperlink>
        </w:p>
        <w:p>
          <w:pPr>
            <w:pStyle w:val="Contents4"/>
            <w:tabs>
              <w:tab w:val="clear" w:pos="8176"/>
              <w:tab w:val="right" w:pos="9026" w:leader="dot"/>
            </w:tabs>
            <w:rPr/>
          </w:pPr>
          <w:hyperlink w:anchor="__RefHeading___Toc403495_2142443653">
            <w:r>
              <w:rPr>
                <w:webHidden/>
                <w:rStyle w:val="IndexLink"/>
                <w:rtl w:val="true"/>
              </w:rPr>
              <w:t>الثاني</w:t>
            </w:r>
            <w:r>
              <w:rPr>
                <w:rStyle w:val="IndexLink"/>
                <w:rtl w:val="true"/>
              </w:rPr>
              <w:t xml:space="preserve">: </w:t>
            </w:r>
            <w:r>
              <w:rPr>
                <w:rStyle w:val="IndexLink"/>
                <w:rtl w:val="true"/>
              </w:rPr>
              <w:t>ما يشترط في كاتب الحديث</w:t>
            </w:r>
            <w:r>
              <w:rPr>
                <w:rStyle w:val="IndexLink"/>
                <w:rtl w:val="true"/>
              </w:rPr>
              <w:tab/>
            </w:r>
            <w:r>
              <w:rPr>
                <w:rStyle w:val="IndexLink"/>
              </w:rPr>
              <w:t>206</w:t>
            </w:r>
          </w:hyperlink>
        </w:p>
        <w:p>
          <w:pPr>
            <w:pStyle w:val="Contents4"/>
            <w:tabs>
              <w:tab w:val="clear" w:pos="8176"/>
              <w:tab w:val="right" w:pos="9026" w:leader="dot"/>
            </w:tabs>
            <w:rPr/>
          </w:pPr>
          <w:hyperlink w:anchor="__RefHeading___Toc403497_2142443653">
            <w:r>
              <w:rPr>
                <w:webHidden/>
                <w:rStyle w:val="IndexLink"/>
                <w:rtl w:val="true"/>
              </w:rPr>
              <w:t>الثالث</w:t>
            </w:r>
            <w:r>
              <w:rPr>
                <w:rStyle w:val="IndexLink"/>
                <w:rtl w:val="true"/>
              </w:rPr>
              <w:t xml:space="preserve">: </w:t>
            </w:r>
            <w:r>
              <w:rPr>
                <w:rStyle w:val="IndexLink"/>
                <w:rtl w:val="true"/>
              </w:rPr>
              <w:t>انه ينبغي لكاتب الحديث أمور</w:t>
            </w:r>
            <w:r>
              <w:rPr>
                <w:rStyle w:val="IndexLink"/>
                <w:rtl w:val="true"/>
              </w:rPr>
              <w:t>.</w:t>
              <w:tab/>
            </w:r>
            <w:r>
              <w:rPr>
                <w:rStyle w:val="IndexLink"/>
              </w:rPr>
              <w:t>211</w:t>
            </w:r>
          </w:hyperlink>
        </w:p>
        <w:p>
          <w:pPr>
            <w:pStyle w:val="Contents5"/>
            <w:tabs>
              <w:tab w:val="clear" w:pos="7892"/>
              <w:tab w:val="right" w:pos="9026" w:leader="dot"/>
            </w:tabs>
            <w:rPr/>
          </w:pPr>
          <w:hyperlink w:anchor="__RefHeading___Toc403499_2142443653">
            <w:r>
              <w:rPr>
                <w:webHidden/>
                <w:rStyle w:val="IndexLink"/>
                <w:rtl w:val="true"/>
              </w:rPr>
              <w:t>منها</w:t>
            </w:r>
            <w:r>
              <w:rPr>
                <w:rStyle w:val="IndexLink"/>
                <w:rtl w:val="true"/>
              </w:rPr>
              <w:t xml:space="preserve">: </w:t>
            </w:r>
            <w:r>
              <w:rPr>
                <w:rStyle w:val="IndexLink"/>
                <w:rtl w:val="true"/>
              </w:rPr>
              <w:t>إن يجعل بين كل حديثين دائرة للفصل بينهما</w:t>
            </w:r>
            <w:r>
              <w:rPr>
                <w:rStyle w:val="IndexLink"/>
                <w:rtl w:val="true"/>
              </w:rPr>
              <w:tab/>
            </w:r>
            <w:r>
              <w:rPr>
                <w:rStyle w:val="IndexLink"/>
              </w:rPr>
              <w:t>211</w:t>
            </w:r>
          </w:hyperlink>
        </w:p>
        <w:p>
          <w:pPr>
            <w:pStyle w:val="Contents5"/>
            <w:tabs>
              <w:tab w:val="clear" w:pos="7892"/>
              <w:tab w:val="right" w:pos="9026" w:leader="dot"/>
            </w:tabs>
            <w:rPr/>
          </w:pPr>
          <w:hyperlink w:anchor="__RefHeading___Toc403501_2142443653">
            <w:r>
              <w:rPr>
                <w:webHidden/>
                <w:rStyle w:val="IndexLink"/>
                <w:rtl w:val="true"/>
              </w:rPr>
              <w:t>و منها</w:t>
            </w:r>
            <w:r>
              <w:rPr>
                <w:rStyle w:val="IndexLink"/>
                <w:rtl w:val="true"/>
              </w:rPr>
              <w:t xml:space="preserve">: </w:t>
            </w:r>
            <w:r>
              <w:rPr>
                <w:rStyle w:val="IndexLink"/>
                <w:rtl w:val="true"/>
              </w:rPr>
              <w:t>إن لا يفصل بين الاسماء المضافة</w:t>
            </w:r>
            <w:r>
              <w:rPr>
                <w:rStyle w:val="IndexLink"/>
                <w:rtl w:val="true"/>
              </w:rPr>
              <w:tab/>
            </w:r>
            <w:r>
              <w:rPr>
                <w:rStyle w:val="IndexLink"/>
              </w:rPr>
              <w:t>213</w:t>
            </w:r>
          </w:hyperlink>
        </w:p>
        <w:p>
          <w:pPr>
            <w:pStyle w:val="Contents5"/>
            <w:tabs>
              <w:tab w:val="clear" w:pos="7892"/>
              <w:tab w:val="right" w:pos="9026" w:leader="dot"/>
            </w:tabs>
            <w:rPr/>
          </w:pPr>
          <w:hyperlink w:anchor="__RefHeading___Toc403503_2142443653">
            <w:r>
              <w:rPr>
                <w:webHidden/>
                <w:rStyle w:val="IndexLink"/>
                <w:rtl w:val="true"/>
              </w:rPr>
              <w:t>و منها</w:t>
            </w:r>
            <w:r>
              <w:rPr>
                <w:rStyle w:val="IndexLink"/>
                <w:rtl w:val="true"/>
              </w:rPr>
              <w:t xml:space="preserve">: </w:t>
            </w:r>
            <w:r>
              <w:rPr>
                <w:rStyle w:val="IndexLink"/>
                <w:rtl w:val="true"/>
              </w:rPr>
              <w:t>إن لا يكتب رسول اللّه أو نبي اللّه بشكل منفصل في الاسطر</w:t>
            </w:r>
            <w:r>
              <w:rPr>
                <w:rStyle w:val="IndexLink"/>
                <w:rtl w:val="true"/>
              </w:rPr>
              <w:tab/>
            </w:r>
            <w:r>
              <w:rPr>
                <w:rStyle w:val="IndexLink"/>
              </w:rPr>
              <w:t>213</w:t>
            </w:r>
          </w:hyperlink>
        </w:p>
        <w:p>
          <w:pPr>
            <w:pStyle w:val="Contents5"/>
            <w:tabs>
              <w:tab w:val="clear" w:pos="7892"/>
              <w:tab w:val="right" w:pos="9026" w:leader="dot"/>
            </w:tabs>
            <w:rPr/>
          </w:pPr>
          <w:hyperlink w:anchor="__RefHeading___Toc403505_2142443653">
            <w:r>
              <w:rPr>
                <w:webHidden/>
                <w:rStyle w:val="IndexLink"/>
                <w:rtl w:val="true"/>
              </w:rPr>
              <w:t>و منها</w:t>
            </w:r>
            <w:r>
              <w:rPr>
                <w:rStyle w:val="IndexLink"/>
                <w:rtl w:val="true"/>
              </w:rPr>
              <w:t xml:space="preserve">: </w:t>
            </w:r>
            <w:r>
              <w:rPr>
                <w:rStyle w:val="IndexLink"/>
                <w:rtl w:val="true"/>
              </w:rPr>
              <w:t>كتابة الثناء على اللّه سبحانه</w:t>
            </w:r>
            <w:r>
              <w:rPr>
                <w:rStyle w:val="IndexLink"/>
                <w:rtl w:val="true"/>
              </w:rPr>
              <w:tab/>
            </w:r>
            <w:r>
              <w:rPr>
                <w:rStyle w:val="IndexLink"/>
              </w:rPr>
              <w:t>214</w:t>
            </w:r>
          </w:hyperlink>
        </w:p>
        <w:p>
          <w:pPr>
            <w:pStyle w:val="Contents5"/>
            <w:tabs>
              <w:tab w:val="clear" w:pos="7892"/>
              <w:tab w:val="right" w:pos="9026" w:leader="dot"/>
            </w:tabs>
            <w:rPr/>
          </w:pPr>
          <w:hyperlink w:anchor="__RefHeading___Toc403507_2142443653">
            <w:r>
              <w:rPr>
                <w:webHidden/>
                <w:rStyle w:val="IndexLink"/>
                <w:rtl w:val="true"/>
              </w:rPr>
              <w:t>و منها</w:t>
            </w:r>
            <w:r>
              <w:rPr>
                <w:rStyle w:val="IndexLink"/>
                <w:rtl w:val="true"/>
              </w:rPr>
              <w:t xml:space="preserve">: </w:t>
            </w:r>
            <w:r>
              <w:rPr>
                <w:rStyle w:val="IndexLink"/>
                <w:rtl w:val="true"/>
              </w:rPr>
              <w:t>كتابة التحية و السّلام بعد اسماء المعصومين عليهم الصلاة و السّلام</w:t>
            </w:r>
            <w:r>
              <w:rPr>
                <w:rStyle w:val="IndexLink"/>
                <w:rtl w:val="true"/>
              </w:rPr>
              <w:tab/>
            </w:r>
            <w:r>
              <w:rPr>
                <w:rStyle w:val="IndexLink"/>
              </w:rPr>
              <w:t>214</w:t>
            </w:r>
          </w:hyperlink>
        </w:p>
        <w:p>
          <w:pPr>
            <w:pStyle w:val="Contents5"/>
            <w:tabs>
              <w:tab w:val="clear" w:pos="7892"/>
              <w:tab w:val="right" w:pos="9026" w:leader="dot"/>
            </w:tabs>
            <w:rPr/>
          </w:pPr>
          <w:hyperlink w:anchor="__RefHeading___Toc403509_2142443653">
            <w:r>
              <w:rPr>
                <w:webHidden/>
                <w:rStyle w:val="IndexLink"/>
                <w:rtl w:val="true"/>
              </w:rPr>
              <w:t>و منها</w:t>
            </w:r>
            <w:r>
              <w:rPr>
                <w:rStyle w:val="IndexLink"/>
                <w:rtl w:val="true"/>
              </w:rPr>
              <w:t xml:space="preserve">: </w:t>
            </w:r>
            <w:r>
              <w:rPr>
                <w:rStyle w:val="IndexLink"/>
                <w:rtl w:val="true"/>
              </w:rPr>
              <w:t>كتابة الترضي و الترحم على الفقهاء و المحدثين</w:t>
            </w:r>
            <w:r>
              <w:rPr>
                <w:rStyle w:val="IndexLink"/>
                <w:rtl w:val="true"/>
              </w:rPr>
              <w:tab/>
            </w:r>
            <w:r>
              <w:rPr>
                <w:rStyle w:val="IndexLink"/>
              </w:rPr>
              <w:t>215</w:t>
            </w:r>
          </w:hyperlink>
        </w:p>
        <w:p>
          <w:pPr>
            <w:pStyle w:val="Contents4"/>
            <w:tabs>
              <w:tab w:val="clear" w:pos="8176"/>
              <w:tab w:val="right" w:pos="9026" w:leader="dot"/>
            </w:tabs>
            <w:rPr/>
          </w:pPr>
          <w:hyperlink w:anchor="__RefHeading___Toc403511_2142443653">
            <w:r>
              <w:rPr>
                <w:webHidden/>
                <w:rStyle w:val="IndexLink"/>
                <w:rtl w:val="true"/>
              </w:rPr>
              <w:t>الرابع</w:t>
            </w:r>
            <w:r>
              <w:rPr>
                <w:rStyle w:val="IndexLink"/>
                <w:rtl w:val="true"/>
              </w:rPr>
              <w:t xml:space="preserve">: </w:t>
            </w:r>
            <w:r>
              <w:rPr>
                <w:rStyle w:val="IndexLink"/>
                <w:rtl w:val="true"/>
              </w:rPr>
              <w:t>يلزم على كاتب الحديث مقابلة كتابه باصل شيخه</w:t>
            </w:r>
            <w:r>
              <w:rPr>
                <w:rStyle w:val="IndexLink"/>
                <w:rtl w:val="true"/>
              </w:rPr>
              <w:tab/>
            </w:r>
            <w:r>
              <w:rPr>
                <w:rStyle w:val="IndexLink"/>
              </w:rPr>
              <w:t>216</w:t>
            </w:r>
          </w:hyperlink>
        </w:p>
        <w:p>
          <w:pPr>
            <w:pStyle w:val="Contents4"/>
            <w:tabs>
              <w:tab w:val="clear" w:pos="8176"/>
              <w:tab w:val="right" w:pos="9026" w:leader="dot"/>
            </w:tabs>
            <w:rPr/>
          </w:pPr>
          <w:hyperlink w:anchor="__RefHeading___Toc403513_2142443653">
            <w:r>
              <w:rPr>
                <w:webHidden/>
                <w:rStyle w:val="IndexLink"/>
                <w:rtl w:val="true"/>
              </w:rPr>
              <w:t>السادس</w:t>
            </w:r>
            <w:r>
              <w:rPr>
                <w:rStyle w:val="IndexLink"/>
                <w:rtl w:val="true"/>
              </w:rPr>
              <w:t xml:space="preserve">: </w:t>
            </w:r>
            <w:r>
              <w:rPr>
                <w:rStyle w:val="IndexLink"/>
                <w:rtl w:val="true"/>
              </w:rPr>
              <w:t>معنى التصحيح و التضبيب</w:t>
            </w:r>
            <w:r>
              <w:rPr>
                <w:rStyle w:val="IndexLink"/>
                <w:rtl w:val="true"/>
              </w:rPr>
              <w:tab/>
            </w:r>
            <w:r>
              <w:rPr>
                <w:rStyle w:val="IndexLink"/>
              </w:rPr>
              <w:t>221</w:t>
            </w:r>
          </w:hyperlink>
        </w:p>
        <w:p>
          <w:pPr>
            <w:pStyle w:val="Contents4"/>
            <w:tabs>
              <w:tab w:val="clear" w:pos="8176"/>
              <w:tab w:val="right" w:pos="9026" w:leader="dot"/>
            </w:tabs>
            <w:rPr/>
          </w:pPr>
          <w:hyperlink w:anchor="__RefHeading___Toc403515_2142443653">
            <w:r>
              <w:rPr>
                <w:webHidden/>
                <w:rStyle w:val="IndexLink"/>
                <w:rtl w:val="true"/>
              </w:rPr>
              <w:t>السابع</w:t>
            </w:r>
            <w:r>
              <w:rPr>
                <w:rStyle w:val="IndexLink"/>
                <w:rtl w:val="true"/>
              </w:rPr>
              <w:t xml:space="preserve">: </w:t>
            </w:r>
            <w:r>
              <w:rPr>
                <w:rStyle w:val="IndexLink"/>
                <w:rtl w:val="true"/>
              </w:rPr>
              <w:t>اذا وقع في الكتاب ما ليس منه نفي عنه اما بالضرب عليه أو الحك له أو المحو</w:t>
            </w:r>
            <w:r>
              <w:rPr>
                <w:rStyle w:val="IndexLink"/>
                <w:rtl w:val="true"/>
              </w:rPr>
              <w:tab/>
            </w:r>
            <w:r>
              <w:rPr>
                <w:rStyle w:val="IndexLink"/>
              </w:rPr>
              <w:t>222</w:t>
            </w:r>
          </w:hyperlink>
        </w:p>
        <w:p>
          <w:pPr>
            <w:pStyle w:val="Contents4"/>
            <w:tabs>
              <w:tab w:val="clear" w:pos="8176"/>
              <w:tab w:val="right" w:pos="9026" w:leader="dot"/>
            </w:tabs>
            <w:rPr/>
          </w:pPr>
          <w:hyperlink w:anchor="__RefHeading___Toc403517_2142443653">
            <w:r>
              <w:rPr>
                <w:webHidden/>
                <w:rStyle w:val="IndexLink"/>
                <w:rtl w:val="true"/>
              </w:rPr>
              <w:t>الثامن</w:t>
            </w:r>
            <w:r>
              <w:rPr>
                <w:rStyle w:val="IndexLink"/>
                <w:rtl w:val="true"/>
              </w:rPr>
              <w:t xml:space="preserve">: </w:t>
            </w:r>
            <w:r>
              <w:rPr>
                <w:rStyle w:val="IndexLink"/>
                <w:rtl w:val="true"/>
              </w:rPr>
              <w:t>ذكر جملة من الرموز المتعارفة عند المحدثين</w:t>
            </w:r>
            <w:r>
              <w:rPr>
                <w:rStyle w:val="IndexLink"/>
                <w:rtl w:val="true"/>
              </w:rPr>
              <w:tab/>
            </w:r>
            <w:r>
              <w:rPr>
                <w:rStyle w:val="IndexLink"/>
              </w:rPr>
              <w:t>225</w:t>
            </w:r>
          </w:hyperlink>
        </w:p>
        <w:p>
          <w:pPr>
            <w:pStyle w:val="Contents4"/>
            <w:tabs>
              <w:tab w:val="clear" w:pos="8176"/>
              <w:tab w:val="right" w:pos="9026" w:leader="dot"/>
            </w:tabs>
            <w:rPr/>
          </w:pPr>
          <w:hyperlink w:anchor="__RefHeading___Toc403519_2142443653">
            <w:r>
              <w:rPr>
                <w:webHidden/>
                <w:rStyle w:val="IndexLink"/>
                <w:rtl w:val="true"/>
              </w:rPr>
              <w:t>التاسع</w:t>
            </w:r>
            <w:r>
              <w:rPr>
                <w:rStyle w:val="IndexLink"/>
                <w:rtl w:val="true"/>
              </w:rPr>
              <w:t xml:space="preserve">: </w:t>
            </w:r>
            <w:r>
              <w:rPr>
                <w:rStyle w:val="IndexLink"/>
                <w:rtl w:val="true"/>
              </w:rPr>
              <w:t>كيفية كتابة التسميع</w:t>
            </w:r>
            <w:r>
              <w:rPr>
                <w:rStyle w:val="IndexLink"/>
                <w:rtl w:val="true"/>
              </w:rPr>
              <w:tab/>
            </w:r>
            <w:r>
              <w:rPr>
                <w:rStyle w:val="IndexLink"/>
              </w:rPr>
              <w:t>227</w:t>
            </w:r>
          </w:hyperlink>
        </w:p>
        <w:p>
          <w:pPr>
            <w:pStyle w:val="Contents3"/>
            <w:tabs>
              <w:tab w:val="clear" w:pos="8459"/>
              <w:tab w:val="right" w:pos="9026" w:leader="dot"/>
            </w:tabs>
            <w:rPr/>
          </w:pPr>
          <w:hyperlink w:anchor="__RefHeading___Toc403521_2142443653">
            <w:r>
              <w:rPr>
                <w:webHidden/>
                <w:rStyle w:val="IndexLink"/>
                <w:rtl w:val="true"/>
              </w:rPr>
              <w:t xml:space="preserve">المقام الرابع في كيفية رواية الحديث و ما يتعلق بذلك </w:t>
            </w:r>
            <w:r>
              <w:rPr>
                <w:rStyle w:val="IndexLink"/>
                <w:rtl w:val="true"/>
              </w:rPr>
              <w:t xml:space="preserve">. </w:t>
            </w:r>
            <w:r>
              <w:rPr>
                <w:rStyle w:val="IndexLink"/>
                <w:rtl w:val="true"/>
              </w:rPr>
              <w:t>و فيه مطالب</w:t>
            </w:r>
            <w:r>
              <w:rPr>
                <w:rStyle w:val="IndexLink"/>
                <w:rtl w:val="true"/>
              </w:rPr>
              <w:t>:</w:t>
              <w:tab/>
            </w:r>
            <w:r>
              <w:rPr>
                <w:rStyle w:val="IndexLink"/>
              </w:rPr>
              <w:t>229</w:t>
            </w:r>
          </w:hyperlink>
        </w:p>
        <w:p>
          <w:pPr>
            <w:pStyle w:val="Contents4"/>
            <w:tabs>
              <w:tab w:val="clear" w:pos="8176"/>
              <w:tab w:val="right" w:pos="9026" w:leader="dot"/>
            </w:tabs>
            <w:rPr/>
          </w:pPr>
          <w:hyperlink w:anchor="__RefHeading___Toc403523_2142443653">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403525_2142443653">
            <w:r>
              <w:rPr>
                <w:webHidden/>
                <w:rStyle w:val="IndexLink"/>
                <w:rtl w:val="true"/>
              </w:rPr>
              <w:t>المطلب الاول</w:t>
            </w:r>
            <w:r>
              <w:rPr>
                <w:rStyle w:val="IndexLink"/>
                <w:rtl w:val="true"/>
              </w:rPr>
              <w:t xml:space="preserve">: </w:t>
            </w:r>
            <w:r>
              <w:rPr>
                <w:rStyle w:val="IndexLink"/>
                <w:rtl w:val="true"/>
              </w:rPr>
              <w:t>ما يجوز به رواية الحديث</w:t>
            </w:r>
            <w:r>
              <w:rPr>
                <w:rStyle w:val="IndexLink"/>
                <w:rtl w:val="true"/>
              </w:rPr>
              <w:tab/>
            </w:r>
            <w:r>
              <w:rPr>
                <w:rStyle w:val="IndexLink"/>
              </w:rPr>
              <w:t>229</w:t>
            </w:r>
          </w:hyperlink>
        </w:p>
        <w:p>
          <w:pPr>
            <w:pStyle w:val="Contents4"/>
            <w:tabs>
              <w:tab w:val="clear" w:pos="8176"/>
              <w:tab w:val="right" w:pos="9026" w:leader="dot"/>
            </w:tabs>
            <w:rPr/>
          </w:pPr>
          <w:hyperlink w:anchor="__RefHeading___Toc403527_2142443653">
            <w:r>
              <w:rPr>
                <w:webHidden/>
                <w:rStyle w:val="IndexLink"/>
                <w:rtl w:val="true"/>
              </w:rPr>
              <w:t>المطلب الثاني</w:t>
            </w:r>
            <w:r>
              <w:rPr>
                <w:rStyle w:val="IndexLink"/>
                <w:rtl w:val="true"/>
              </w:rPr>
              <w:t xml:space="preserve">: </w:t>
            </w:r>
            <w:r>
              <w:rPr>
                <w:rStyle w:val="IndexLink"/>
                <w:rtl w:val="true"/>
              </w:rPr>
              <w:t>كيفية رواية الاعمى</w:t>
            </w:r>
            <w:r>
              <w:rPr>
                <w:rStyle w:val="IndexLink"/>
                <w:rtl w:val="true"/>
              </w:rPr>
              <w:tab/>
            </w:r>
            <w:r>
              <w:rPr>
                <w:rStyle w:val="IndexLink"/>
              </w:rPr>
              <w:t>232</w:t>
            </w:r>
          </w:hyperlink>
        </w:p>
        <w:p>
          <w:pPr>
            <w:pStyle w:val="Contents4"/>
            <w:tabs>
              <w:tab w:val="clear" w:pos="8176"/>
              <w:tab w:val="right" w:pos="9026" w:leader="dot"/>
            </w:tabs>
            <w:rPr/>
          </w:pPr>
          <w:hyperlink w:anchor="__RefHeading___Toc403529_2142443653">
            <w:r>
              <w:rPr>
                <w:webHidden/>
                <w:rStyle w:val="IndexLink"/>
                <w:rtl w:val="true"/>
              </w:rPr>
              <w:t>المطلب الثالث</w:t>
            </w:r>
            <w:r>
              <w:rPr>
                <w:rStyle w:val="IndexLink"/>
                <w:rtl w:val="true"/>
              </w:rPr>
              <w:t xml:space="preserve">: </w:t>
            </w:r>
            <w:r>
              <w:rPr>
                <w:rStyle w:val="IndexLink"/>
                <w:rtl w:val="true"/>
              </w:rPr>
              <w:t>كيفية رواية الكتابة او النسخة</w:t>
            </w:r>
            <w:r>
              <w:rPr>
                <w:rStyle w:val="IndexLink"/>
                <w:rtl w:val="true"/>
              </w:rPr>
              <w:tab/>
            </w:r>
            <w:r>
              <w:rPr>
                <w:rStyle w:val="IndexLink"/>
              </w:rPr>
              <w:t>232</w:t>
            </w:r>
          </w:hyperlink>
        </w:p>
        <w:p>
          <w:pPr>
            <w:pStyle w:val="Contents4"/>
            <w:tabs>
              <w:tab w:val="clear" w:pos="8176"/>
              <w:tab w:val="right" w:pos="9026" w:leader="dot"/>
            </w:tabs>
            <w:rPr/>
          </w:pPr>
          <w:hyperlink w:anchor="__RefHeading___Toc403531_2142443653">
            <w:r>
              <w:rPr>
                <w:webHidden/>
                <w:rStyle w:val="IndexLink"/>
                <w:rtl w:val="true"/>
              </w:rPr>
              <w:t>المطلب الرابع</w:t>
            </w:r>
            <w:r>
              <w:rPr>
                <w:rStyle w:val="IndexLink"/>
                <w:rtl w:val="true"/>
              </w:rPr>
              <w:t xml:space="preserve">: </w:t>
            </w:r>
            <w:r>
              <w:rPr>
                <w:rStyle w:val="IndexLink"/>
                <w:rtl w:val="true"/>
              </w:rPr>
              <w:t>اذا وجد الحافظ في كتابه خلاف ما حفظه</w:t>
            </w:r>
            <w:r>
              <w:rPr>
                <w:rStyle w:val="IndexLink"/>
                <w:rtl w:val="true"/>
              </w:rPr>
              <w:tab/>
            </w:r>
            <w:r>
              <w:rPr>
                <w:rStyle w:val="IndexLink"/>
              </w:rPr>
              <w:t>233</w:t>
            </w:r>
          </w:hyperlink>
        </w:p>
        <w:p>
          <w:pPr>
            <w:pStyle w:val="Contents4"/>
            <w:tabs>
              <w:tab w:val="clear" w:pos="8176"/>
              <w:tab w:val="right" w:pos="9026" w:leader="dot"/>
            </w:tabs>
            <w:rPr/>
          </w:pPr>
          <w:hyperlink w:anchor="__RefHeading___Toc403533_2142443653">
            <w:r>
              <w:rPr>
                <w:webHidden/>
                <w:rStyle w:val="IndexLink"/>
                <w:rtl w:val="true"/>
              </w:rPr>
              <w:t>المطلب الخامس</w:t>
            </w:r>
            <w:r>
              <w:rPr>
                <w:rStyle w:val="IndexLink"/>
                <w:rtl w:val="true"/>
              </w:rPr>
              <w:t xml:space="preserve">: </w:t>
            </w:r>
            <w:r>
              <w:rPr>
                <w:rStyle w:val="IndexLink"/>
                <w:rtl w:val="true"/>
              </w:rPr>
              <w:t>حكم رواية الحديث بالمعنى، ثمان اقوال</w:t>
            </w:r>
            <w:r>
              <w:rPr>
                <w:rStyle w:val="IndexLink"/>
                <w:rtl w:val="true"/>
              </w:rPr>
              <w:tab/>
            </w:r>
            <w:r>
              <w:rPr>
                <w:rStyle w:val="IndexLink"/>
              </w:rPr>
              <w:t>235</w:t>
            </w:r>
          </w:hyperlink>
        </w:p>
        <w:p>
          <w:pPr>
            <w:pStyle w:val="Contents5"/>
            <w:tabs>
              <w:tab w:val="clear" w:pos="7892"/>
              <w:tab w:val="right" w:pos="9026" w:leader="dot"/>
            </w:tabs>
            <w:rPr/>
          </w:pPr>
          <w:hyperlink w:anchor="__RefHeading___Toc403535_2142443653">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403537_2142443653">
            <w:r>
              <w:rPr>
                <w:webHidden/>
                <w:rStyle w:val="IndexLink"/>
                <w:rtl w:val="true"/>
              </w:rPr>
              <w:t>حجة المجوزين امور</w:t>
            </w:r>
            <w:r>
              <w:rPr>
                <w:rStyle w:val="IndexLink"/>
                <w:rtl w:val="true"/>
              </w:rPr>
              <w:t>:</w:t>
              <w:tab/>
            </w:r>
            <w:r>
              <w:rPr>
                <w:rStyle w:val="IndexLink"/>
              </w:rPr>
              <w:t>240</w:t>
            </w:r>
          </w:hyperlink>
        </w:p>
        <w:p>
          <w:pPr>
            <w:pStyle w:val="Contents5"/>
            <w:tabs>
              <w:tab w:val="clear" w:pos="7892"/>
              <w:tab w:val="right" w:pos="9026" w:leader="dot"/>
            </w:tabs>
            <w:rPr/>
          </w:pPr>
          <w:hyperlink w:anchor="__RefHeading___Toc403539_2142443653">
            <w:r>
              <w:rPr>
                <w:webHidden/>
                <w:rStyle w:val="IndexLink"/>
                <w:rtl w:val="true"/>
              </w:rPr>
              <w:t>حجة المانعين امور</w:t>
            </w:r>
            <w:r>
              <w:rPr>
                <w:rStyle w:val="IndexLink"/>
                <w:rtl w:val="true"/>
              </w:rPr>
              <w:t>:</w:t>
              <w:tab/>
            </w:r>
            <w:r>
              <w:rPr>
                <w:rStyle w:val="IndexLink"/>
              </w:rPr>
              <w:t>246</w:t>
            </w:r>
          </w:hyperlink>
        </w:p>
        <w:p>
          <w:pPr>
            <w:pStyle w:val="Contents6"/>
            <w:tabs>
              <w:tab w:val="clear" w:pos="7609"/>
              <w:tab w:val="right" w:pos="9026" w:leader="dot"/>
            </w:tabs>
            <w:rPr/>
          </w:pPr>
          <w:hyperlink w:anchor="__RefHeading___Toc403541_2142443653">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403543_2142443653">
            <w:r>
              <w:rPr>
                <w:webHidden/>
                <w:rStyle w:val="IndexLink"/>
                <w:rtl w:val="true"/>
              </w:rPr>
              <w:t>حامل فقه إلى من لا فقه له</w:t>
            </w:r>
            <w:r>
              <w:rPr>
                <w:rStyle w:val="IndexLink"/>
                <w:rtl w:val="true"/>
              </w:rPr>
              <w:t>.</w:t>
              <w:tab/>
            </w:r>
            <w:r>
              <w:rPr>
                <w:rStyle w:val="IndexLink"/>
              </w:rPr>
              <w:t>249</w:t>
            </w:r>
          </w:hyperlink>
        </w:p>
        <w:p>
          <w:pPr>
            <w:pStyle w:val="Contents5"/>
            <w:tabs>
              <w:tab w:val="clear" w:pos="7892"/>
              <w:tab w:val="right" w:pos="9026" w:leader="dot"/>
            </w:tabs>
            <w:rPr/>
          </w:pPr>
          <w:hyperlink w:anchor="__RefHeading___Toc403545_2142443653">
            <w:r>
              <w:rPr>
                <w:webHidden/>
                <w:rStyle w:val="IndexLink"/>
                <w:rtl w:val="true"/>
              </w:rPr>
              <w:t>حجة القول الثالث</w:t>
            </w:r>
            <w:r>
              <w:rPr>
                <w:rStyle w:val="IndexLink"/>
                <w:rtl w:val="true"/>
              </w:rPr>
              <w:t>:</w:t>
              <w:tab/>
            </w:r>
            <w:r>
              <w:rPr>
                <w:rStyle w:val="IndexLink"/>
              </w:rPr>
              <w:t>249</w:t>
            </w:r>
          </w:hyperlink>
        </w:p>
        <w:p>
          <w:pPr>
            <w:pStyle w:val="Contents5"/>
            <w:tabs>
              <w:tab w:val="clear" w:pos="7892"/>
              <w:tab w:val="right" w:pos="9026" w:leader="dot"/>
            </w:tabs>
            <w:rPr/>
          </w:pPr>
          <w:hyperlink w:anchor="__RefHeading___Toc403547_2142443653">
            <w:r>
              <w:rPr>
                <w:webHidden/>
                <w:rStyle w:val="IndexLink"/>
                <w:rtl w:val="true"/>
              </w:rPr>
              <w:t>حجة القول الرابع</w:t>
            </w:r>
            <w:r>
              <w:rPr>
                <w:rStyle w:val="IndexLink"/>
                <w:rtl w:val="true"/>
              </w:rPr>
              <w:t>:</w:t>
              <w:tab/>
            </w:r>
            <w:r>
              <w:rPr>
                <w:rStyle w:val="IndexLink"/>
              </w:rPr>
              <w:t>251</w:t>
            </w:r>
          </w:hyperlink>
        </w:p>
        <w:p>
          <w:pPr>
            <w:pStyle w:val="Contents5"/>
            <w:tabs>
              <w:tab w:val="clear" w:pos="7892"/>
              <w:tab w:val="right" w:pos="9026" w:leader="dot"/>
            </w:tabs>
            <w:rPr/>
          </w:pPr>
          <w:hyperlink w:anchor="__RefHeading___Toc403549_2142443653">
            <w:r>
              <w:rPr>
                <w:webHidden/>
                <w:rStyle w:val="IndexLink"/>
                <w:rtl w:val="true"/>
              </w:rPr>
              <w:t>حجة القول الخامس</w:t>
            </w:r>
            <w:r>
              <w:rPr>
                <w:rStyle w:val="IndexLink"/>
                <w:rtl w:val="true"/>
              </w:rPr>
              <w:t>:</w:t>
              <w:tab/>
            </w:r>
            <w:r>
              <w:rPr>
                <w:rStyle w:val="IndexLink"/>
              </w:rPr>
              <w:t>251</w:t>
            </w:r>
          </w:hyperlink>
        </w:p>
        <w:p>
          <w:pPr>
            <w:pStyle w:val="Contents5"/>
            <w:tabs>
              <w:tab w:val="clear" w:pos="7892"/>
              <w:tab w:val="right" w:pos="9026" w:leader="dot"/>
            </w:tabs>
            <w:rPr/>
          </w:pPr>
          <w:hyperlink w:anchor="__RefHeading___Toc403551_2142443653">
            <w:r>
              <w:rPr>
                <w:webHidden/>
                <w:rStyle w:val="IndexLink"/>
                <w:rtl w:val="true"/>
              </w:rPr>
              <w:t>حجة القول السادس</w:t>
            </w:r>
            <w:r>
              <w:rPr>
                <w:rStyle w:val="IndexLink"/>
                <w:rtl w:val="true"/>
              </w:rPr>
              <w:t>:</w:t>
              <w:tab/>
            </w:r>
            <w:r>
              <w:rPr>
                <w:rStyle w:val="IndexLink"/>
              </w:rPr>
              <w:t>252</w:t>
            </w:r>
          </w:hyperlink>
        </w:p>
        <w:p>
          <w:pPr>
            <w:pStyle w:val="Contents5"/>
            <w:tabs>
              <w:tab w:val="clear" w:pos="7892"/>
              <w:tab w:val="right" w:pos="9026" w:leader="dot"/>
            </w:tabs>
            <w:rPr/>
          </w:pPr>
          <w:hyperlink w:anchor="__RefHeading___Toc403553_2142443653">
            <w:r>
              <w:rPr>
                <w:webHidden/>
                <w:rStyle w:val="IndexLink"/>
                <w:rtl w:val="true"/>
              </w:rPr>
              <w:t>حجة القول السابع</w:t>
            </w:r>
            <w:r>
              <w:rPr>
                <w:rStyle w:val="IndexLink"/>
                <w:rtl w:val="true"/>
              </w:rPr>
              <w:t>:</w:t>
              <w:tab/>
            </w:r>
            <w:r>
              <w:rPr>
                <w:rStyle w:val="IndexLink"/>
              </w:rPr>
              <w:t>252</w:t>
            </w:r>
          </w:hyperlink>
        </w:p>
        <w:p>
          <w:pPr>
            <w:pStyle w:val="Contents5"/>
            <w:tabs>
              <w:tab w:val="clear" w:pos="7892"/>
              <w:tab w:val="right" w:pos="9026" w:leader="dot"/>
            </w:tabs>
            <w:rPr/>
          </w:pPr>
          <w:hyperlink w:anchor="__RefHeading___Toc403555_2142443653">
            <w:r>
              <w:rPr>
                <w:webHidden/>
                <w:rStyle w:val="IndexLink"/>
                <w:rtl w:val="true"/>
              </w:rPr>
              <w:t>حجة القول الثامن</w:t>
            </w:r>
            <w:r>
              <w:rPr>
                <w:rStyle w:val="IndexLink"/>
                <w:rtl w:val="true"/>
              </w:rPr>
              <w:t>:</w:t>
              <w:tab/>
            </w:r>
            <w:r>
              <w:rPr>
                <w:rStyle w:val="IndexLink"/>
              </w:rPr>
              <w:t>252</w:t>
            </w:r>
          </w:hyperlink>
        </w:p>
        <w:p>
          <w:pPr>
            <w:pStyle w:val="Contents5"/>
            <w:tabs>
              <w:tab w:val="clear" w:pos="7892"/>
              <w:tab w:val="right" w:pos="9026" w:leader="dot"/>
            </w:tabs>
            <w:rPr/>
          </w:pPr>
          <w:hyperlink w:anchor="__RefHeading___Toc403557_2142443653">
            <w:r>
              <w:rPr>
                <w:webHidden/>
                <w:rStyle w:val="IndexLink"/>
                <w:rtl w:val="true"/>
              </w:rPr>
              <w:t>بقي هنا امور ينبغي التنبيه عليها</w:t>
            </w:r>
            <w:r>
              <w:rPr>
                <w:rStyle w:val="IndexLink"/>
                <w:rtl w:val="true"/>
              </w:rPr>
              <w:t>:</w:t>
              <w:tab/>
            </w:r>
            <w:r>
              <w:rPr>
                <w:rStyle w:val="IndexLink"/>
              </w:rPr>
              <w:t>253</w:t>
            </w:r>
          </w:hyperlink>
        </w:p>
        <w:p>
          <w:pPr>
            <w:pStyle w:val="Contents6"/>
            <w:tabs>
              <w:tab w:val="clear" w:pos="7609"/>
              <w:tab w:val="right" w:pos="9026" w:leader="dot"/>
            </w:tabs>
            <w:rPr/>
          </w:pPr>
          <w:hyperlink w:anchor="__RefHeading___Toc403559_2142443653">
            <w:r>
              <w:rPr>
                <w:webHidden/>
                <w:rStyle w:val="IndexLink"/>
                <w:rtl w:val="true"/>
              </w:rPr>
              <w:t>الأمر الاول</w:t>
            </w:r>
            <w:r>
              <w:rPr>
                <w:rStyle w:val="IndexLink"/>
                <w:rtl w:val="true"/>
              </w:rPr>
              <w:t xml:space="preserve">: </w:t>
            </w:r>
            <w:r>
              <w:rPr>
                <w:rStyle w:val="IndexLink"/>
                <w:rtl w:val="true"/>
              </w:rPr>
              <w:t>الشروط التي تلزم في نقل الحديث بالمعنى</w:t>
            </w:r>
            <w:r>
              <w:rPr>
                <w:rStyle w:val="IndexLink"/>
                <w:rtl w:val="true"/>
              </w:rPr>
              <w:tab/>
            </w:r>
            <w:r>
              <w:rPr>
                <w:rStyle w:val="IndexLink"/>
              </w:rPr>
              <w:t>253</w:t>
            </w:r>
          </w:hyperlink>
        </w:p>
        <w:p>
          <w:pPr>
            <w:pStyle w:val="Contents6"/>
            <w:tabs>
              <w:tab w:val="clear" w:pos="7609"/>
              <w:tab w:val="right" w:pos="9026" w:leader="dot"/>
            </w:tabs>
            <w:rPr/>
          </w:pPr>
          <w:hyperlink w:anchor="__RefHeading___Toc403561_2142443653">
            <w:r>
              <w:rPr>
                <w:webHidden/>
                <w:rStyle w:val="IndexLink"/>
                <w:rtl w:val="true"/>
              </w:rPr>
              <w:t>الأمر الثاني</w:t>
            </w:r>
            <w:r>
              <w:rPr>
                <w:rStyle w:val="IndexLink"/>
                <w:rtl w:val="true"/>
              </w:rPr>
              <w:t xml:space="preserve">: </w:t>
            </w:r>
            <w:r>
              <w:rPr>
                <w:rStyle w:val="IndexLink"/>
                <w:rtl w:val="true"/>
              </w:rPr>
              <w:t>لا يجوز نقل الاحاديث الواردة في الأدعية و الاذكار و الأوراد</w:t>
            </w:r>
            <w:r>
              <w:rPr>
                <w:rStyle w:val="IndexLink"/>
                <w:rtl w:val="true"/>
              </w:rPr>
              <w:tab/>
            </w:r>
            <w:r>
              <w:rPr>
                <w:rStyle w:val="IndexLink"/>
              </w:rPr>
              <w:t>258</w:t>
            </w:r>
          </w:hyperlink>
        </w:p>
        <w:p>
          <w:pPr>
            <w:pStyle w:val="Contents6"/>
            <w:tabs>
              <w:tab w:val="clear" w:pos="7609"/>
              <w:tab w:val="right" w:pos="9026" w:leader="dot"/>
            </w:tabs>
            <w:rPr/>
          </w:pPr>
          <w:hyperlink w:anchor="__RefHeading___Toc403563_2142443653">
            <w:r>
              <w:rPr>
                <w:webHidden/>
                <w:rStyle w:val="IndexLink"/>
                <w:rtl w:val="true"/>
              </w:rPr>
              <w:t>الأمر الثالث</w:t>
            </w:r>
            <w:r>
              <w:rPr>
                <w:rStyle w:val="IndexLink"/>
                <w:rtl w:val="true"/>
              </w:rPr>
              <w:t xml:space="preserve">: </w:t>
            </w:r>
            <w:r>
              <w:rPr>
                <w:rStyle w:val="IndexLink"/>
                <w:rtl w:val="true"/>
              </w:rPr>
              <w:t>عدم جريان الحكم في النقل عن المصنفات</w:t>
            </w:r>
            <w:r>
              <w:rPr>
                <w:rStyle w:val="IndexLink"/>
                <w:rtl w:val="true"/>
              </w:rPr>
              <w:tab/>
            </w:r>
            <w:r>
              <w:rPr>
                <w:rStyle w:val="IndexLink"/>
              </w:rPr>
              <w:t>259</w:t>
            </w:r>
          </w:hyperlink>
        </w:p>
        <w:p>
          <w:pPr>
            <w:pStyle w:val="Contents6"/>
            <w:tabs>
              <w:tab w:val="clear" w:pos="7609"/>
              <w:tab w:val="right" w:pos="9026" w:leader="dot"/>
            </w:tabs>
            <w:rPr/>
          </w:pPr>
          <w:hyperlink w:anchor="__RefHeading___Toc403565_2142443653">
            <w:r>
              <w:rPr>
                <w:webHidden/>
                <w:rStyle w:val="IndexLink"/>
                <w:rtl w:val="true"/>
              </w:rPr>
              <w:t>الأمر الرابع</w:t>
            </w:r>
            <w:r>
              <w:rPr>
                <w:rStyle w:val="IndexLink"/>
                <w:rtl w:val="true"/>
              </w:rPr>
              <w:t xml:space="preserve">: </w:t>
            </w:r>
            <w:r>
              <w:rPr>
                <w:rStyle w:val="IndexLink"/>
                <w:rtl w:val="true"/>
              </w:rPr>
              <w:t>من نقل حديثا بالمعنى إن يقول بعده</w:t>
            </w:r>
            <w:r>
              <w:rPr>
                <w:rStyle w:val="IndexLink"/>
                <w:rtl w:val="true"/>
              </w:rPr>
              <w:t xml:space="preserve">: </w:t>
            </w:r>
            <w:r>
              <w:rPr>
                <w:rStyle w:val="IndexLink"/>
                <w:rtl w:val="true"/>
              </w:rPr>
              <w:t>او كما قال او نحوه</w:t>
            </w:r>
            <w:r>
              <w:rPr>
                <w:rStyle w:val="IndexLink"/>
                <w:rtl w:val="true"/>
              </w:rPr>
              <w:tab/>
            </w:r>
            <w:r>
              <w:rPr>
                <w:rStyle w:val="IndexLink"/>
              </w:rPr>
              <w:t>260</w:t>
            </w:r>
          </w:hyperlink>
        </w:p>
        <w:p>
          <w:pPr>
            <w:pStyle w:val="Contents6"/>
            <w:tabs>
              <w:tab w:val="clear" w:pos="7609"/>
              <w:tab w:val="right" w:pos="9026" w:leader="dot"/>
            </w:tabs>
            <w:rPr/>
          </w:pPr>
          <w:hyperlink w:anchor="__RefHeading___Toc403567_2142443653">
            <w:r>
              <w:rPr>
                <w:webHidden/>
                <w:rStyle w:val="IndexLink"/>
                <w:rtl w:val="true"/>
              </w:rPr>
              <w:t>الأمر الخامس</w:t>
            </w:r>
            <w:r>
              <w:rPr>
                <w:rStyle w:val="IndexLink"/>
                <w:rtl w:val="true"/>
              </w:rPr>
              <w:t xml:space="preserve">: </w:t>
            </w:r>
            <w:r>
              <w:rPr>
                <w:rStyle w:val="IndexLink"/>
                <w:rtl w:val="true"/>
              </w:rPr>
              <w:t>من نقل مجملا و فسره بأحد محامله</w:t>
            </w:r>
            <w:r>
              <w:rPr>
                <w:rStyle w:val="IndexLink"/>
                <w:rtl w:val="true"/>
              </w:rPr>
              <w:tab/>
            </w:r>
            <w:r>
              <w:rPr>
                <w:rStyle w:val="IndexLink"/>
              </w:rPr>
              <w:t>262</w:t>
            </w:r>
          </w:hyperlink>
        </w:p>
        <w:p>
          <w:pPr>
            <w:pStyle w:val="Contents6"/>
            <w:tabs>
              <w:tab w:val="clear" w:pos="7609"/>
              <w:tab w:val="right" w:pos="9026" w:leader="dot"/>
            </w:tabs>
            <w:rPr/>
          </w:pPr>
          <w:hyperlink w:anchor="__RefHeading___Toc403569_2142443653">
            <w:r>
              <w:rPr>
                <w:webHidden/>
                <w:rStyle w:val="IndexLink"/>
                <w:rtl w:val="true"/>
              </w:rPr>
              <w:t>الأمر السادس</w:t>
            </w:r>
            <w:r>
              <w:rPr>
                <w:rStyle w:val="IndexLink"/>
                <w:rtl w:val="true"/>
              </w:rPr>
              <w:t xml:space="preserve">: </w:t>
            </w:r>
            <w:r>
              <w:rPr>
                <w:rStyle w:val="IndexLink"/>
                <w:rtl w:val="true"/>
              </w:rPr>
              <w:t>حكم تقطيع الحديث و اختصاره</w:t>
            </w:r>
            <w:r>
              <w:rPr>
                <w:rStyle w:val="IndexLink"/>
                <w:rtl w:val="true"/>
              </w:rPr>
              <w:tab/>
            </w:r>
            <w:r>
              <w:rPr>
                <w:rStyle w:val="IndexLink"/>
              </w:rPr>
              <w:t>262</w:t>
            </w:r>
          </w:hyperlink>
        </w:p>
        <w:p>
          <w:pPr>
            <w:pStyle w:val="Contents6"/>
            <w:tabs>
              <w:tab w:val="clear" w:pos="7609"/>
              <w:tab w:val="right" w:pos="9026" w:leader="dot"/>
            </w:tabs>
            <w:rPr/>
          </w:pPr>
          <w:hyperlink w:anchor="__RefHeading___Toc403571_2142443653">
            <w:r>
              <w:rPr>
                <w:webHidden/>
                <w:rStyle w:val="IndexLink"/>
                <w:rtl w:val="true"/>
              </w:rPr>
              <w:t>الأمر السابع</w:t>
            </w:r>
            <w:r>
              <w:rPr>
                <w:rStyle w:val="IndexLink"/>
                <w:rtl w:val="true"/>
              </w:rPr>
              <w:t xml:space="preserve">: </w:t>
            </w:r>
            <w:r>
              <w:rPr>
                <w:rStyle w:val="IndexLink"/>
                <w:rtl w:val="true"/>
              </w:rPr>
              <w:t>جواز تقطيع الحديث الواحد في المصنف</w:t>
            </w:r>
            <w:r>
              <w:rPr>
                <w:rStyle w:val="IndexLink"/>
                <w:rtl w:val="true"/>
              </w:rPr>
              <w:tab/>
            </w:r>
            <w:r>
              <w:rPr>
                <w:rStyle w:val="IndexLink"/>
              </w:rPr>
              <w:t>265</w:t>
            </w:r>
          </w:hyperlink>
        </w:p>
        <w:p>
          <w:pPr>
            <w:pStyle w:val="Contents4"/>
            <w:tabs>
              <w:tab w:val="clear" w:pos="8176"/>
              <w:tab w:val="right" w:pos="9026" w:leader="dot"/>
            </w:tabs>
            <w:rPr/>
          </w:pPr>
          <w:hyperlink w:anchor="__RefHeading___Toc403573_2142443653">
            <w:r>
              <w:rPr>
                <w:webHidden/>
                <w:rStyle w:val="IndexLink"/>
                <w:rtl w:val="true"/>
              </w:rPr>
              <w:t>المطلب السادس</w:t>
            </w:r>
            <w:r>
              <w:rPr>
                <w:rStyle w:val="IndexLink"/>
                <w:rtl w:val="true"/>
              </w:rPr>
              <w:t xml:space="preserve">: </w:t>
            </w:r>
            <w:r>
              <w:rPr>
                <w:rStyle w:val="IndexLink"/>
                <w:rtl w:val="true"/>
              </w:rPr>
              <w:t>ما ينبغي تعلمه للمحدث قبل الشروع في الحديث</w:t>
            </w:r>
            <w:r>
              <w:rPr>
                <w:rStyle w:val="IndexLink"/>
                <w:rtl w:val="true"/>
              </w:rPr>
              <w:tab/>
            </w:r>
            <w:r>
              <w:rPr>
                <w:rStyle w:val="IndexLink"/>
              </w:rPr>
              <w:t>267</w:t>
            </w:r>
          </w:hyperlink>
        </w:p>
        <w:p>
          <w:pPr>
            <w:pStyle w:val="Contents5"/>
            <w:tabs>
              <w:tab w:val="clear" w:pos="7892"/>
              <w:tab w:val="right" w:pos="9026" w:leader="dot"/>
            </w:tabs>
            <w:rPr/>
          </w:pPr>
          <w:hyperlink w:anchor="__RefHeading___Toc403575_2142443653">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403577_2142443653">
            <w:r>
              <w:rPr>
                <w:webHidden/>
                <w:rStyle w:val="IndexLink"/>
                <w:rtl w:val="true"/>
              </w:rPr>
              <w:t>اصلاح التحريف و التصحيف في الكتاب</w:t>
            </w:r>
            <w:r>
              <w:rPr>
                <w:rStyle w:val="IndexLink"/>
                <w:rtl w:val="true"/>
              </w:rPr>
              <w:tab/>
            </w:r>
            <w:r>
              <w:rPr>
                <w:rStyle w:val="IndexLink"/>
              </w:rPr>
              <w:t>269</w:t>
            </w:r>
          </w:hyperlink>
        </w:p>
        <w:p>
          <w:pPr>
            <w:pStyle w:val="Contents4"/>
            <w:tabs>
              <w:tab w:val="clear" w:pos="8176"/>
              <w:tab w:val="right" w:pos="9026" w:leader="dot"/>
            </w:tabs>
            <w:rPr/>
          </w:pPr>
          <w:hyperlink w:anchor="__RefHeading___Toc403579_2142443653">
            <w:r>
              <w:rPr>
                <w:webHidden/>
                <w:rStyle w:val="IndexLink"/>
                <w:rtl w:val="true"/>
              </w:rPr>
              <w:t>المطلب السابع</w:t>
            </w:r>
            <w:r>
              <w:rPr>
                <w:rStyle w:val="IndexLink"/>
                <w:rtl w:val="true"/>
              </w:rPr>
              <w:t xml:space="preserve">: </w:t>
            </w:r>
            <w:r>
              <w:rPr>
                <w:rStyle w:val="IndexLink"/>
                <w:rtl w:val="true"/>
              </w:rPr>
              <w:t>في من روى عن اثنين او اكثر متفقين في المعنى دون اللفظ</w:t>
            </w:r>
            <w:r>
              <w:rPr>
                <w:rStyle w:val="IndexLink"/>
                <w:rtl w:val="true"/>
              </w:rPr>
              <w:tab/>
            </w:r>
            <w:r>
              <w:rPr>
                <w:rStyle w:val="IndexLink"/>
              </w:rPr>
              <w:t>271</w:t>
            </w:r>
          </w:hyperlink>
        </w:p>
        <w:p>
          <w:pPr>
            <w:pStyle w:val="Contents5"/>
            <w:tabs>
              <w:tab w:val="clear" w:pos="7892"/>
              <w:tab w:val="right" w:pos="9026" w:leader="dot"/>
            </w:tabs>
            <w:rPr/>
          </w:pPr>
          <w:hyperlink w:anchor="__RefHeading___Toc403581_2142443653">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403583_2142443653">
            <w:r>
              <w:rPr>
                <w:webHidden/>
                <w:rStyle w:val="IndexLink"/>
                <w:rtl w:val="true"/>
              </w:rPr>
              <w:t>اذا سمع من جماعة كتابا و قابل نسخته باصل بعضهم دون الباقي</w:t>
            </w:r>
            <w:r>
              <w:rPr>
                <w:rStyle w:val="IndexLink"/>
                <w:rtl w:val="true"/>
              </w:rPr>
              <w:tab/>
            </w:r>
            <w:r>
              <w:rPr>
                <w:rStyle w:val="IndexLink"/>
              </w:rPr>
              <w:t>271</w:t>
            </w:r>
          </w:hyperlink>
        </w:p>
        <w:p>
          <w:pPr>
            <w:pStyle w:val="Contents4"/>
            <w:tabs>
              <w:tab w:val="clear" w:pos="8176"/>
              <w:tab w:val="right" w:pos="9026" w:leader="dot"/>
            </w:tabs>
            <w:rPr/>
          </w:pPr>
          <w:hyperlink w:anchor="__RefHeading___Toc403585_2142443653">
            <w:r>
              <w:rPr>
                <w:webHidden/>
                <w:rStyle w:val="IndexLink"/>
                <w:rtl w:val="true"/>
              </w:rPr>
              <w:t>المطلب الثامن</w:t>
            </w:r>
            <w:r>
              <w:rPr>
                <w:rStyle w:val="IndexLink"/>
                <w:rtl w:val="true"/>
              </w:rPr>
              <w:t xml:space="preserve">: </w:t>
            </w:r>
            <w:r>
              <w:rPr>
                <w:rStyle w:val="IndexLink"/>
                <w:rtl w:val="true"/>
              </w:rPr>
              <w:t>لا يصح للراوي إن يزيد في نسب غير شيخه من رجال السنة</w:t>
            </w:r>
            <w:r>
              <w:rPr>
                <w:rStyle w:val="IndexLink"/>
                <w:rtl w:val="true"/>
              </w:rPr>
              <w:tab/>
            </w:r>
            <w:r>
              <w:rPr>
                <w:rStyle w:val="IndexLink"/>
              </w:rPr>
              <w:t>272</w:t>
            </w:r>
          </w:hyperlink>
        </w:p>
        <w:p>
          <w:pPr>
            <w:pStyle w:val="Contents4"/>
            <w:tabs>
              <w:tab w:val="clear" w:pos="8176"/>
              <w:tab w:val="right" w:pos="9026" w:leader="dot"/>
            </w:tabs>
            <w:rPr/>
          </w:pPr>
          <w:hyperlink w:anchor="__RefHeading___Toc403587_2142443653">
            <w:r>
              <w:rPr>
                <w:webHidden/>
                <w:rStyle w:val="IndexLink"/>
                <w:rtl w:val="true"/>
              </w:rPr>
              <w:t>المطلب التاسع</w:t>
            </w:r>
            <w:r>
              <w:rPr>
                <w:rStyle w:val="IndexLink"/>
                <w:rtl w:val="true"/>
              </w:rPr>
              <w:t xml:space="preserve">: </w:t>
            </w:r>
            <w:r>
              <w:rPr>
                <w:rStyle w:val="IndexLink"/>
                <w:rtl w:val="true"/>
              </w:rPr>
              <w:t>جرت العادة بحذف بعض الألفاظ كقال و نحوه بين رجال السنة</w:t>
            </w:r>
            <w:r>
              <w:rPr>
                <w:rStyle w:val="IndexLink"/>
                <w:rtl w:val="true"/>
              </w:rPr>
              <w:tab/>
            </w:r>
            <w:r>
              <w:rPr>
                <w:rStyle w:val="IndexLink"/>
              </w:rPr>
              <w:t>274</w:t>
            </w:r>
          </w:hyperlink>
        </w:p>
        <w:p>
          <w:pPr>
            <w:pStyle w:val="Contents4"/>
            <w:tabs>
              <w:tab w:val="clear" w:pos="8176"/>
              <w:tab w:val="right" w:pos="9026" w:leader="dot"/>
            </w:tabs>
            <w:rPr/>
          </w:pPr>
          <w:hyperlink w:anchor="__RefHeading___Toc403589_2142443653">
            <w:r>
              <w:rPr>
                <w:webHidden/>
                <w:rStyle w:val="IndexLink"/>
                <w:rtl w:val="true"/>
              </w:rPr>
              <w:t>المطلب العاشر</w:t>
            </w:r>
            <w:r>
              <w:rPr>
                <w:rStyle w:val="IndexLink"/>
                <w:rtl w:val="true"/>
              </w:rPr>
              <w:t xml:space="preserve">: </w:t>
            </w:r>
            <w:r>
              <w:rPr>
                <w:rStyle w:val="IndexLink"/>
                <w:rtl w:val="true"/>
              </w:rPr>
              <w:t>ما اشتمل من النسخ و الابواب على احاديث متعدده باسناد واحد</w:t>
            </w:r>
            <w:r>
              <w:rPr>
                <w:rStyle w:val="IndexLink"/>
                <w:rtl w:val="true"/>
              </w:rPr>
              <w:tab/>
            </w:r>
            <w:r>
              <w:rPr>
                <w:rStyle w:val="IndexLink"/>
              </w:rPr>
              <w:t>275</w:t>
            </w:r>
          </w:hyperlink>
        </w:p>
        <w:p>
          <w:pPr>
            <w:pStyle w:val="Contents4"/>
            <w:tabs>
              <w:tab w:val="clear" w:pos="8176"/>
              <w:tab w:val="right" w:pos="9026" w:leader="dot"/>
            </w:tabs>
            <w:rPr/>
          </w:pPr>
          <w:hyperlink w:anchor="__RefHeading___Toc403591_2142443653">
            <w:r>
              <w:rPr>
                <w:webHidden/>
                <w:rStyle w:val="IndexLink"/>
                <w:rtl w:val="true"/>
              </w:rPr>
              <w:t>المطلب الحادي عشر</w:t>
            </w:r>
            <w:r>
              <w:rPr>
                <w:rStyle w:val="IndexLink"/>
                <w:rtl w:val="true"/>
              </w:rPr>
              <w:t xml:space="preserve">: </w:t>
            </w:r>
            <w:r>
              <w:rPr>
                <w:rStyle w:val="IndexLink"/>
                <w:rtl w:val="true"/>
              </w:rPr>
              <w:t>من قدم المتن على الاسناد</w:t>
            </w:r>
            <w:r>
              <w:rPr>
                <w:rStyle w:val="IndexLink"/>
                <w:rtl w:val="true"/>
              </w:rPr>
              <w:tab/>
            </w:r>
            <w:r>
              <w:rPr>
                <w:rStyle w:val="IndexLink"/>
              </w:rPr>
              <w:t>277</w:t>
            </w:r>
          </w:hyperlink>
        </w:p>
        <w:p>
          <w:pPr>
            <w:pStyle w:val="Contents5"/>
            <w:tabs>
              <w:tab w:val="clear" w:pos="7892"/>
              <w:tab w:val="right" w:pos="9026" w:leader="dot"/>
            </w:tabs>
            <w:rPr/>
          </w:pPr>
          <w:hyperlink w:anchor="__RefHeading___Toc403593_2142443653">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03595_2142443653">
            <w:r>
              <w:rPr>
                <w:webHidden/>
                <w:rStyle w:val="IndexLink"/>
                <w:rtl w:val="true"/>
              </w:rPr>
              <w:t>من روى حديثا باسناد له ثم اتبعه باسناد آخر و حذف متنه</w:t>
            </w:r>
            <w:r>
              <w:rPr>
                <w:rStyle w:val="IndexLink"/>
                <w:rtl w:val="true"/>
              </w:rPr>
              <w:tab/>
            </w:r>
            <w:r>
              <w:rPr>
                <w:rStyle w:val="IndexLink"/>
              </w:rPr>
              <w:t>278</w:t>
            </w:r>
          </w:hyperlink>
        </w:p>
        <w:p>
          <w:pPr>
            <w:pStyle w:val="Contents4"/>
            <w:tabs>
              <w:tab w:val="clear" w:pos="8176"/>
              <w:tab w:val="right" w:pos="9026" w:leader="dot"/>
            </w:tabs>
            <w:rPr/>
          </w:pPr>
          <w:hyperlink w:anchor="__RefHeading___Toc403597_2142443653">
            <w:r>
              <w:rPr>
                <w:webHidden/>
                <w:rStyle w:val="IndexLink"/>
                <w:rtl w:val="true"/>
              </w:rPr>
              <w:t>المطلب الثاني عشر</w:t>
            </w:r>
            <w:r>
              <w:rPr>
                <w:rStyle w:val="IndexLink"/>
                <w:rtl w:val="true"/>
              </w:rPr>
              <w:t xml:space="preserve">: </w:t>
            </w:r>
            <w:r>
              <w:rPr>
                <w:rStyle w:val="IndexLink"/>
                <w:rtl w:val="true"/>
              </w:rPr>
              <w:t>اذا ذكر حديثا بسنده و متنه ثم ذكر اسنادا آخر و بعض المتن</w:t>
            </w:r>
            <w:r>
              <w:rPr>
                <w:rStyle w:val="IndexLink"/>
                <w:rtl w:val="true"/>
              </w:rPr>
              <w:tab/>
            </w:r>
            <w:r>
              <w:rPr>
                <w:rStyle w:val="IndexLink"/>
              </w:rPr>
              <w:t>280</w:t>
            </w:r>
          </w:hyperlink>
        </w:p>
        <w:p>
          <w:pPr>
            <w:pStyle w:val="Contents4"/>
            <w:tabs>
              <w:tab w:val="clear" w:pos="8176"/>
              <w:tab w:val="right" w:pos="9026" w:leader="dot"/>
            </w:tabs>
            <w:rPr/>
          </w:pPr>
          <w:hyperlink w:anchor="__RefHeading___Toc403599_2142443653">
            <w:r>
              <w:rPr>
                <w:webHidden/>
                <w:rStyle w:val="IndexLink"/>
                <w:rtl w:val="true"/>
              </w:rPr>
              <w:t>المطلب الثالث عشر</w:t>
            </w:r>
            <w:r>
              <w:rPr>
                <w:rStyle w:val="IndexLink"/>
                <w:rtl w:val="true"/>
              </w:rPr>
              <w:t xml:space="preserve">: </w:t>
            </w:r>
            <w:r>
              <w:rPr>
                <w:rStyle w:val="IndexLink"/>
                <w:rtl w:val="true"/>
              </w:rPr>
              <w:t xml:space="preserve">اذا روى حديثا عن رسول اللّه </w:t>
            </w:r>
            <w:r>
              <w:rPr>
                <w:rStyle w:val="IndexLink"/>
                <w:rtl w:val="true"/>
              </w:rPr>
              <w:t>(</w:t>
            </w:r>
            <w:r>
              <w:rPr>
                <w:rStyle w:val="IndexLink"/>
                <w:rtl w:val="true"/>
              </w:rPr>
              <w:t>ص</w:t>
            </w:r>
            <w:r>
              <w:rPr>
                <w:rStyle w:val="IndexLink"/>
                <w:rtl w:val="true"/>
              </w:rPr>
              <w:t xml:space="preserve">) </w:t>
            </w:r>
            <w:r>
              <w:rPr>
                <w:rStyle w:val="IndexLink"/>
                <w:rtl w:val="true"/>
              </w:rPr>
              <w:t xml:space="preserve">حاز رواية المتحمل عن النبي </w:t>
            </w:r>
            <w:r>
              <w:rPr>
                <w:rStyle w:val="IndexLink"/>
                <w:rtl w:val="true"/>
              </w:rPr>
              <w:t>(</w:t>
            </w:r>
            <w:r>
              <w:rPr>
                <w:rStyle w:val="IndexLink"/>
                <w:rtl w:val="true"/>
              </w:rPr>
              <w:t>ص</w:t>
            </w:r>
            <w:r>
              <w:rPr>
                <w:rStyle w:val="IndexLink"/>
                <w:rtl w:val="true"/>
              </w:rPr>
              <w:t xml:space="preserve">) </w:t>
            </w:r>
            <w:r>
              <w:rPr>
                <w:rStyle w:val="IndexLink"/>
                <w:rtl w:val="true"/>
              </w:rPr>
              <w:t>و كذا العكس</w:t>
            </w:r>
            <w:r>
              <w:rPr>
                <w:rStyle w:val="IndexLink"/>
                <w:rtl w:val="true"/>
              </w:rPr>
              <w:tab/>
            </w:r>
            <w:r>
              <w:rPr>
                <w:rStyle w:val="IndexLink"/>
              </w:rPr>
              <w:t>282</w:t>
            </w:r>
          </w:hyperlink>
        </w:p>
        <w:p>
          <w:pPr>
            <w:pStyle w:val="Contents4"/>
            <w:tabs>
              <w:tab w:val="clear" w:pos="8176"/>
              <w:tab w:val="right" w:pos="9026" w:leader="dot"/>
            </w:tabs>
            <w:rPr/>
          </w:pPr>
          <w:hyperlink w:anchor="__RefHeading___Toc403601_2142443653">
            <w:r>
              <w:rPr>
                <w:webHidden/>
                <w:rStyle w:val="IndexLink"/>
                <w:rtl w:val="true"/>
              </w:rPr>
              <w:t>المطلب الرابع عشر</w:t>
            </w:r>
            <w:r>
              <w:rPr>
                <w:rStyle w:val="IndexLink"/>
                <w:rtl w:val="true"/>
              </w:rPr>
              <w:t xml:space="preserve">: </w:t>
            </w:r>
            <w:r>
              <w:rPr>
                <w:rStyle w:val="IndexLink"/>
                <w:rtl w:val="true"/>
              </w:rPr>
              <w:t>من كان في سماعه وهن أو ضعف لزم بيانه</w:t>
            </w:r>
            <w:r>
              <w:rPr>
                <w:rStyle w:val="IndexLink"/>
                <w:rtl w:val="true"/>
              </w:rPr>
              <w:tab/>
            </w:r>
            <w:r>
              <w:rPr>
                <w:rStyle w:val="IndexLink"/>
              </w:rPr>
              <w:t>283</w:t>
            </w:r>
          </w:hyperlink>
        </w:p>
        <w:p>
          <w:pPr>
            <w:pStyle w:val="Contents4"/>
            <w:tabs>
              <w:tab w:val="clear" w:pos="8176"/>
              <w:tab w:val="right" w:pos="9026" w:leader="dot"/>
            </w:tabs>
            <w:rPr/>
          </w:pPr>
          <w:hyperlink w:anchor="__RefHeading___Toc403603_2142443653">
            <w:r>
              <w:rPr>
                <w:webHidden/>
                <w:rStyle w:val="IndexLink"/>
                <w:rtl w:val="true"/>
              </w:rPr>
              <w:t>المطلب الخامس عشر</w:t>
            </w:r>
            <w:r>
              <w:rPr>
                <w:rStyle w:val="IndexLink"/>
                <w:rtl w:val="true"/>
              </w:rPr>
              <w:t xml:space="preserve">: </w:t>
            </w:r>
            <w:r>
              <w:rPr>
                <w:rStyle w:val="IndexLink"/>
                <w:rtl w:val="true"/>
              </w:rPr>
              <w:t>من تحمل حديثا عن رجلين أحدهما ثقة و الآخر مجروح</w:t>
            </w:r>
            <w:r>
              <w:rPr>
                <w:rStyle w:val="IndexLink"/>
                <w:rtl w:val="true"/>
              </w:rPr>
              <w:tab/>
            </w:r>
            <w:r>
              <w:rPr>
                <w:rStyle w:val="IndexLink"/>
              </w:rPr>
              <w:t>284</w:t>
            </w:r>
          </w:hyperlink>
        </w:p>
        <w:p>
          <w:pPr>
            <w:pStyle w:val="Contents5"/>
            <w:tabs>
              <w:tab w:val="clear" w:pos="7892"/>
              <w:tab w:val="right" w:pos="9026" w:leader="dot"/>
            </w:tabs>
            <w:rPr/>
          </w:pPr>
          <w:hyperlink w:anchor="__RefHeading___Toc403605_2142443653">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03607_2142443653">
            <w:r>
              <w:rPr>
                <w:webHidden/>
                <w:rStyle w:val="IndexLink"/>
                <w:rtl w:val="true"/>
              </w:rPr>
              <w:t>من تحمل بعض حديثا عن شيخ و بعضه عن آخر لم يجز إن يرويه جميعا عن احدهما</w:t>
            </w:r>
            <w:r>
              <w:rPr>
                <w:rStyle w:val="IndexLink"/>
                <w:rtl w:val="true"/>
              </w:rPr>
              <w:tab/>
            </w:r>
            <w:r>
              <w:rPr>
                <w:rStyle w:val="IndexLink"/>
              </w:rPr>
              <w:t>284</w:t>
            </w:r>
          </w:hyperlink>
        </w:p>
        <w:p>
          <w:pPr>
            <w:pStyle w:val="Contents3"/>
            <w:tabs>
              <w:tab w:val="clear" w:pos="8459"/>
              <w:tab w:val="right" w:pos="9026" w:leader="dot"/>
            </w:tabs>
            <w:rPr/>
          </w:pPr>
          <w:hyperlink w:anchor="__RefHeading___Toc403609_2142443653">
            <w:r>
              <w:rPr>
                <w:webHidden/>
                <w:rStyle w:val="IndexLink"/>
                <w:rtl w:val="true"/>
              </w:rPr>
              <w:t>المقام الخامس في آداب التحديث و المحدث و طالب الحديث</w:t>
            </w:r>
            <w:r>
              <w:rPr>
                <w:rStyle w:val="IndexLink"/>
                <w:rtl w:val="true"/>
              </w:rPr>
              <w:t xml:space="preserve">: </w:t>
            </w:r>
            <w:r>
              <w:rPr>
                <w:rStyle w:val="IndexLink"/>
                <w:rtl w:val="true"/>
              </w:rPr>
              <w:t>و فيه موضعان</w:t>
            </w:r>
            <w:r>
              <w:rPr>
                <w:rStyle w:val="IndexLink"/>
                <w:rtl w:val="true"/>
              </w:rPr>
              <w:t>:</w:t>
              <w:tab/>
            </w:r>
            <w:r>
              <w:rPr>
                <w:rStyle w:val="IndexLink"/>
              </w:rPr>
              <w:t>287</w:t>
            </w:r>
          </w:hyperlink>
        </w:p>
        <w:p>
          <w:pPr>
            <w:pStyle w:val="Contents4"/>
            <w:tabs>
              <w:tab w:val="clear" w:pos="8176"/>
              <w:tab w:val="right" w:pos="9026" w:leader="dot"/>
            </w:tabs>
            <w:rPr/>
          </w:pPr>
          <w:hyperlink w:anchor="__RefHeading___Toc403611_2142443653">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403613_2142443653">
            <w:r>
              <w:rPr>
                <w:webHidden/>
                <w:rStyle w:val="IndexLink"/>
                <w:rtl w:val="true"/>
              </w:rPr>
              <w:t>الموضع الأول</w:t>
            </w:r>
            <w:r>
              <w:rPr>
                <w:rStyle w:val="IndexLink"/>
                <w:rtl w:val="true"/>
              </w:rPr>
              <w:t xml:space="preserve">: </w:t>
            </w:r>
            <w:r>
              <w:rPr>
                <w:rStyle w:val="IndexLink"/>
                <w:rtl w:val="true"/>
              </w:rPr>
              <w:t xml:space="preserve">في آداب التحديث و المحدث </w:t>
            </w:r>
            <w:r>
              <w:rPr>
                <w:rStyle w:val="IndexLink"/>
                <w:rtl w:val="true"/>
              </w:rPr>
              <w:t>.</w:t>
              <w:tab/>
            </w:r>
            <w:r>
              <w:rPr>
                <w:rStyle w:val="IndexLink"/>
              </w:rPr>
              <w:t>287</w:t>
            </w:r>
          </w:hyperlink>
        </w:p>
        <w:p>
          <w:pPr>
            <w:pStyle w:val="Contents5"/>
            <w:tabs>
              <w:tab w:val="clear" w:pos="7892"/>
              <w:tab w:val="right" w:pos="9026" w:leader="dot"/>
            </w:tabs>
            <w:rPr/>
          </w:pPr>
          <w:hyperlink w:anchor="__RefHeading___Toc403615_2142443653">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403617_2142443653">
            <w:r>
              <w:rPr>
                <w:webHidden/>
                <w:rStyle w:val="IndexLink"/>
                <w:rtl w:val="true"/>
              </w:rPr>
              <w:t>منها</w:t>
            </w:r>
            <w:r>
              <w:rPr>
                <w:rStyle w:val="IndexLink"/>
                <w:rtl w:val="true"/>
              </w:rPr>
              <w:t xml:space="preserve">: </w:t>
            </w:r>
            <w:r>
              <w:rPr>
                <w:rStyle w:val="IndexLink"/>
                <w:rtl w:val="true"/>
              </w:rPr>
              <w:t>التطهير لمجلس الحديث</w:t>
            </w:r>
            <w:r>
              <w:rPr>
                <w:rStyle w:val="IndexLink"/>
                <w:rtl w:val="true"/>
              </w:rPr>
              <w:tab/>
            </w:r>
            <w:r>
              <w:rPr>
                <w:rStyle w:val="IndexLink"/>
              </w:rPr>
              <w:t>288</w:t>
            </w:r>
          </w:hyperlink>
        </w:p>
        <w:p>
          <w:pPr>
            <w:pStyle w:val="Contents5"/>
            <w:tabs>
              <w:tab w:val="clear" w:pos="7892"/>
              <w:tab w:val="right" w:pos="9026" w:leader="dot"/>
            </w:tabs>
            <w:rPr/>
          </w:pPr>
          <w:hyperlink w:anchor="__RefHeading___Toc403619_2142443653">
            <w:r>
              <w:rPr>
                <w:webHidden/>
                <w:rStyle w:val="IndexLink"/>
                <w:rtl w:val="true"/>
              </w:rPr>
              <w:t>منها</w:t>
            </w:r>
            <w:r>
              <w:rPr>
                <w:rStyle w:val="IndexLink"/>
                <w:rtl w:val="true"/>
              </w:rPr>
              <w:t xml:space="preserve">: </w:t>
            </w:r>
            <w:r>
              <w:rPr>
                <w:rStyle w:val="IndexLink"/>
                <w:rtl w:val="true"/>
              </w:rPr>
              <w:t>ان لا يتحدث بحضرة من هو اولى منه</w:t>
            </w:r>
            <w:r>
              <w:rPr>
                <w:rStyle w:val="IndexLink"/>
                <w:rtl w:val="true"/>
              </w:rPr>
              <w:tab/>
            </w:r>
            <w:r>
              <w:rPr>
                <w:rStyle w:val="IndexLink"/>
              </w:rPr>
              <w:t>289</w:t>
            </w:r>
          </w:hyperlink>
        </w:p>
        <w:p>
          <w:pPr>
            <w:pStyle w:val="Contents5"/>
            <w:tabs>
              <w:tab w:val="clear" w:pos="7892"/>
              <w:tab w:val="right" w:pos="9026" w:leader="dot"/>
            </w:tabs>
            <w:rPr/>
          </w:pPr>
          <w:hyperlink w:anchor="__RefHeading___Toc403621_2142443653">
            <w:r>
              <w:rPr>
                <w:webHidden/>
                <w:rStyle w:val="IndexLink"/>
                <w:rtl w:val="true"/>
              </w:rPr>
              <w:t>منها</w:t>
            </w:r>
            <w:r>
              <w:rPr>
                <w:rStyle w:val="IndexLink"/>
                <w:rtl w:val="true"/>
              </w:rPr>
              <w:t xml:space="preserve">: </w:t>
            </w:r>
            <w:r>
              <w:rPr>
                <w:rStyle w:val="IndexLink"/>
                <w:rtl w:val="true"/>
              </w:rPr>
              <w:t>أنه إذا طلب منه ما يعلمه عند ارجح منه أن يرشد إليه</w:t>
            </w:r>
            <w:r>
              <w:rPr>
                <w:rStyle w:val="IndexLink"/>
                <w:rtl w:val="true"/>
              </w:rPr>
              <w:tab/>
            </w:r>
            <w:r>
              <w:rPr>
                <w:rStyle w:val="IndexLink"/>
              </w:rPr>
              <w:t>290</w:t>
            </w:r>
          </w:hyperlink>
        </w:p>
        <w:p>
          <w:pPr>
            <w:pStyle w:val="Contents5"/>
            <w:tabs>
              <w:tab w:val="clear" w:pos="7892"/>
              <w:tab w:val="right" w:pos="9026" w:leader="dot"/>
            </w:tabs>
            <w:rPr/>
          </w:pPr>
          <w:hyperlink w:anchor="__RefHeading___Toc403623_2142443653">
            <w:r>
              <w:rPr>
                <w:webHidden/>
                <w:rStyle w:val="IndexLink"/>
                <w:rtl w:val="true"/>
              </w:rPr>
              <w:t>منها</w:t>
            </w:r>
            <w:r>
              <w:rPr>
                <w:rStyle w:val="IndexLink"/>
                <w:rtl w:val="true"/>
              </w:rPr>
              <w:t xml:space="preserve">: </w:t>
            </w:r>
            <w:r>
              <w:rPr>
                <w:rStyle w:val="IndexLink"/>
                <w:rtl w:val="true"/>
              </w:rPr>
              <w:t>ان لا يمتنع من تحديث أحد</w:t>
            </w:r>
            <w:r>
              <w:rPr>
                <w:rStyle w:val="IndexLink"/>
                <w:rtl w:val="true"/>
              </w:rPr>
              <w:tab/>
            </w:r>
            <w:r>
              <w:rPr>
                <w:rStyle w:val="IndexLink"/>
              </w:rPr>
              <w:t>290</w:t>
            </w:r>
          </w:hyperlink>
        </w:p>
        <w:p>
          <w:pPr>
            <w:pStyle w:val="Contents5"/>
            <w:tabs>
              <w:tab w:val="clear" w:pos="7892"/>
              <w:tab w:val="right" w:pos="9026" w:leader="dot"/>
            </w:tabs>
            <w:rPr/>
          </w:pPr>
          <w:hyperlink w:anchor="__RefHeading___Toc403625_2142443653">
            <w:r>
              <w:rPr>
                <w:webHidden/>
                <w:rStyle w:val="IndexLink"/>
                <w:rtl w:val="true"/>
              </w:rPr>
              <w:t>منها</w:t>
            </w:r>
            <w:r>
              <w:rPr>
                <w:rStyle w:val="IndexLink"/>
                <w:rtl w:val="true"/>
              </w:rPr>
              <w:t xml:space="preserve">: </w:t>
            </w:r>
            <w:r>
              <w:rPr>
                <w:rStyle w:val="IndexLink"/>
                <w:rtl w:val="true"/>
              </w:rPr>
              <w:t>الحرص على نشر الحديث</w:t>
            </w:r>
            <w:r>
              <w:rPr>
                <w:rStyle w:val="IndexLink"/>
                <w:rtl w:val="true"/>
              </w:rPr>
              <w:tab/>
            </w:r>
            <w:r>
              <w:rPr>
                <w:rStyle w:val="IndexLink"/>
              </w:rPr>
              <w:t>290</w:t>
            </w:r>
          </w:hyperlink>
        </w:p>
        <w:p>
          <w:pPr>
            <w:pStyle w:val="Contents5"/>
            <w:tabs>
              <w:tab w:val="clear" w:pos="7892"/>
              <w:tab w:val="right" w:pos="9026" w:leader="dot"/>
            </w:tabs>
            <w:rPr/>
          </w:pPr>
          <w:hyperlink w:anchor="__RefHeading___Toc403627_2142443653">
            <w:r>
              <w:rPr>
                <w:webHidden/>
                <w:rStyle w:val="IndexLink"/>
                <w:rtl w:val="true"/>
              </w:rPr>
              <w:t>منها</w:t>
            </w:r>
            <w:r>
              <w:rPr>
                <w:rStyle w:val="IndexLink"/>
                <w:rtl w:val="true"/>
              </w:rPr>
              <w:t xml:space="preserve">: </w:t>
            </w:r>
            <w:r>
              <w:rPr>
                <w:rStyle w:val="IndexLink"/>
                <w:rtl w:val="true"/>
              </w:rPr>
              <w:t>عقد مجلس الاملاء</w:t>
            </w:r>
            <w:r>
              <w:rPr>
                <w:rStyle w:val="IndexLink"/>
                <w:rtl w:val="true"/>
              </w:rPr>
              <w:tab/>
            </w:r>
            <w:r>
              <w:rPr>
                <w:rStyle w:val="IndexLink"/>
              </w:rPr>
              <w:t>290</w:t>
            </w:r>
          </w:hyperlink>
        </w:p>
        <w:p>
          <w:pPr>
            <w:pStyle w:val="Contents5"/>
            <w:tabs>
              <w:tab w:val="clear" w:pos="7892"/>
              <w:tab w:val="right" w:pos="9026" w:leader="dot"/>
            </w:tabs>
            <w:rPr/>
          </w:pPr>
          <w:hyperlink w:anchor="__RefHeading___Toc403629_2142443653">
            <w:r>
              <w:rPr>
                <w:webHidden/>
                <w:rStyle w:val="IndexLink"/>
                <w:rtl w:val="true"/>
              </w:rPr>
              <w:t>منها</w:t>
            </w:r>
            <w:r>
              <w:rPr>
                <w:rStyle w:val="IndexLink"/>
                <w:rtl w:val="true"/>
              </w:rPr>
              <w:t xml:space="preserve">: </w:t>
            </w:r>
            <w:r>
              <w:rPr>
                <w:rStyle w:val="IndexLink"/>
                <w:rtl w:val="true"/>
              </w:rPr>
              <w:t>غير ذلك</w:t>
            </w:r>
            <w:r>
              <w:rPr>
                <w:rStyle w:val="IndexLink"/>
                <w:rtl w:val="true"/>
              </w:rPr>
              <w:tab/>
            </w:r>
            <w:r>
              <w:rPr>
                <w:rStyle w:val="IndexLink"/>
              </w:rPr>
              <w:t>291</w:t>
            </w:r>
          </w:hyperlink>
        </w:p>
        <w:p>
          <w:pPr>
            <w:pStyle w:val="Contents4"/>
            <w:tabs>
              <w:tab w:val="clear" w:pos="8176"/>
              <w:tab w:val="right" w:pos="9026" w:leader="dot"/>
            </w:tabs>
            <w:rPr/>
          </w:pPr>
          <w:hyperlink w:anchor="__RefHeading___Toc403631_2142443653">
            <w:r>
              <w:rPr>
                <w:webHidden/>
                <w:rStyle w:val="IndexLink"/>
                <w:rtl w:val="true"/>
              </w:rPr>
              <w:t>الموضع الثاني</w:t>
            </w:r>
            <w:r>
              <w:rPr>
                <w:rStyle w:val="IndexLink"/>
                <w:rtl w:val="true"/>
              </w:rPr>
              <w:t xml:space="preserve">: </w:t>
            </w:r>
            <w:r>
              <w:rPr>
                <w:rStyle w:val="IndexLink"/>
                <w:rtl w:val="true"/>
              </w:rPr>
              <w:t xml:space="preserve">في آداب طالب الحديث </w:t>
            </w:r>
            <w:r>
              <w:rPr>
                <w:rStyle w:val="IndexLink"/>
                <w:rtl w:val="true"/>
              </w:rPr>
              <w:t>.</w:t>
              <w:tab/>
            </w:r>
            <w:r>
              <w:rPr>
                <w:rStyle w:val="IndexLink"/>
              </w:rPr>
              <w:t>295</w:t>
            </w:r>
          </w:hyperlink>
        </w:p>
        <w:p>
          <w:pPr>
            <w:pStyle w:val="Contents2"/>
            <w:tabs>
              <w:tab w:val="clear" w:pos="8743"/>
              <w:tab w:val="right" w:pos="9026" w:leader="dot"/>
            </w:tabs>
            <w:rPr/>
          </w:pPr>
          <w:hyperlink w:anchor="__RefHeading___Toc403633_2142443653">
            <w:r>
              <w:rPr>
                <w:webHidden/>
                <w:rStyle w:val="IndexLink"/>
                <w:rtl w:val="true"/>
              </w:rPr>
              <w:t>الفصل الثامن في أسماء الرجال و طبقاتهم و ما يتصل به</w:t>
            </w:r>
            <w:r>
              <w:rPr>
                <w:rStyle w:val="IndexLink"/>
                <w:rtl w:val="true"/>
              </w:rPr>
              <w:t>:</w:t>
              <w:tab/>
            </w:r>
            <w:r>
              <w:rPr>
                <w:rStyle w:val="IndexLink"/>
              </w:rPr>
              <w:t>304</w:t>
            </w:r>
          </w:hyperlink>
        </w:p>
        <w:p>
          <w:pPr>
            <w:pStyle w:val="Contents3"/>
            <w:tabs>
              <w:tab w:val="clear" w:pos="8459"/>
              <w:tab w:val="right" w:pos="9026" w:leader="dot"/>
            </w:tabs>
            <w:rPr/>
          </w:pPr>
          <w:hyperlink w:anchor="__RefHeading___Toc403635_2142443653">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403637_2142443653">
            <w:r>
              <w:rPr>
                <w:webHidden/>
                <w:rStyle w:val="IndexLink"/>
                <w:rtl w:val="true"/>
              </w:rPr>
              <w:t>المطلب الاول</w:t>
            </w:r>
            <w:r>
              <w:rPr>
                <w:rStyle w:val="IndexLink"/>
                <w:rtl w:val="true"/>
              </w:rPr>
              <w:t xml:space="preserve">: </w:t>
            </w:r>
            <w:r>
              <w:rPr>
                <w:rStyle w:val="IndexLink"/>
                <w:rtl w:val="true"/>
              </w:rPr>
              <w:t>ما هو حد الصحابي و التابعي و المخضرم</w:t>
            </w:r>
            <w:r>
              <w:rPr>
                <w:rStyle w:val="IndexLink"/>
                <w:rtl w:val="true"/>
              </w:rPr>
              <w:tab/>
            </w:r>
            <w:r>
              <w:rPr>
                <w:rStyle w:val="IndexLink"/>
              </w:rPr>
              <w:t>304</w:t>
            </w:r>
          </w:hyperlink>
        </w:p>
        <w:p>
          <w:pPr>
            <w:pStyle w:val="Contents4"/>
            <w:tabs>
              <w:tab w:val="clear" w:pos="8176"/>
              <w:tab w:val="right" w:pos="9026" w:leader="dot"/>
            </w:tabs>
            <w:rPr/>
          </w:pPr>
          <w:hyperlink w:anchor="__RefHeading___Toc403639_2142443653">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403641_2142443653">
            <w:r>
              <w:rPr>
                <w:webHidden/>
                <w:rStyle w:val="IndexLink"/>
                <w:rtl w:val="true"/>
              </w:rPr>
              <w:t>تعريف الصحابي</w:t>
            </w:r>
            <w:r>
              <w:rPr>
                <w:rStyle w:val="IndexLink"/>
                <w:rtl w:val="true"/>
              </w:rPr>
              <w:tab/>
            </w:r>
            <w:r>
              <w:rPr>
                <w:rStyle w:val="IndexLink"/>
              </w:rPr>
              <w:t>305</w:t>
            </w:r>
          </w:hyperlink>
        </w:p>
        <w:p>
          <w:pPr>
            <w:pStyle w:val="Contents5"/>
            <w:tabs>
              <w:tab w:val="clear" w:pos="7892"/>
              <w:tab w:val="right" w:pos="9026" w:leader="dot"/>
            </w:tabs>
            <w:rPr/>
          </w:pPr>
          <w:hyperlink w:anchor="__RefHeading___Toc403643_2142443653">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403645_2142443653">
            <w:r>
              <w:rPr>
                <w:webHidden/>
                <w:rStyle w:val="IndexLink"/>
                <w:rtl w:val="true"/>
              </w:rPr>
              <w:t>مراتب الصحابة</w:t>
            </w:r>
            <w:r>
              <w:rPr>
                <w:rStyle w:val="IndexLink"/>
                <w:rtl w:val="true"/>
              </w:rPr>
              <w:tab/>
            </w:r>
            <w:r>
              <w:rPr>
                <w:rStyle w:val="IndexLink"/>
              </w:rPr>
              <w:t>314</w:t>
            </w:r>
          </w:hyperlink>
        </w:p>
        <w:p>
          <w:pPr>
            <w:pStyle w:val="Contents5"/>
            <w:tabs>
              <w:tab w:val="clear" w:pos="7892"/>
              <w:tab w:val="right" w:pos="9026" w:leader="dot"/>
            </w:tabs>
            <w:rPr/>
          </w:pPr>
          <w:hyperlink w:anchor="__RefHeading___Toc403647_2142443653">
            <w:r>
              <w:rPr>
                <w:webHidden/>
                <w:rStyle w:val="IndexLink"/>
                <w:rtl w:val="true"/>
              </w:rPr>
              <w:t>افضل الصحابة</w:t>
            </w:r>
            <w:r>
              <w:rPr>
                <w:rStyle w:val="IndexLink"/>
                <w:rtl w:val="true"/>
              </w:rPr>
              <w:tab/>
            </w:r>
            <w:r>
              <w:rPr>
                <w:rStyle w:val="IndexLink"/>
              </w:rPr>
              <w:t>316</w:t>
            </w:r>
          </w:hyperlink>
        </w:p>
        <w:p>
          <w:pPr>
            <w:pStyle w:val="Contents4"/>
            <w:tabs>
              <w:tab w:val="clear" w:pos="8176"/>
              <w:tab w:val="right" w:pos="9026" w:leader="dot"/>
            </w:tabs>
            <w:rPr/>
          </w:pPr>
          <w:hyperlink w:anchor="__RefHeading___Toc403649_2142443653">
            <w:r>
              <w:rPr>
                <w:webHidden/>
                <w:rStyle w:val="IndexLink"/>
                <w:rtl w:val="true"/>
              </w:rPr>
              <w:t>معنى التابعي</w:t>
            </w:r>
            <w:r>
              <w:rPr>
                <w:rStyle w:val="IndexLink"/>
                <w:rtl w:val="true"/>
              </w:rPr>
              <w:tab/>
            </w:r>
            <w:r>
              <w:rPr>
                <w:rStyle w:val="IndexLink"/>
              </w:rPr>
              <w:t>320</w:t>
            </w:r>
          </w:hyperlink>
        </w:p>
        <w:p>
          <w:pPr>
            <w:pStyle w:val="Contents4"/>
            <w:tabs>
              <w:tab w:val="clear" w:pos="8176"/>
              <w:tab w:val="right" w:pos="9026" w:leader="dot"/>
            </w:tabs>
            <w:rPr/>
          </w:pPr>
          <w:hyperlink w:anchor="__RefHeading___Toc403651_2142443653">
            <w:r>
              <w:rPr>
                <w:webHidden/>
                <w:rStyle w:val="IndexLink"/>
                <w:rtl w:val="true"/>
              </w:rPr>
              <w:t>معنى المخضرم</w:t>
            </w:r>
            <w:r>
              <w:rPr>
                <w:rStyle w:val="IndexLink"/>
                <w:rtl w:val="true"/>
              </w:rPr>
              <w:tab/>
            </w:r>
            <w:r>
              <w:rPr>
                <w:rStyle w:val="IndexLink"/>
              </w:rPr>
              <w:t>322</w:t>
            </w:r>
          </w:hyperlink>
        </w:p>
        <w:p>
          <w:pPr>
            <w:pStyle w:val="Contents3"/>
            <w:tabs>
              <w:tab w:val="clear" w:pos="8459"/>
              <w:tab w:val="right" w:pos="9026" w:leader="dot"/>
            </w:tabs>
            <w:rPr/>
          </w:pPr>
          <w:hyperlink w:anchor="__RefHeading___Toc403653_2142443653">
            <w:r>
              <w:rPr>
                <w:webHidden/>
                <w:rStyle w:val="IndexLink"/>
                <w:rtl w:val="true"/>
              </w:rPr>
              <w:t>المطلب الثاني</w:t>
            </w:r>
            <w:r>
              <w:rPr>
                <w:rStyle w:val="IndexLink"/>
                <w:rtl w:val="true"/>
              </w:rPr>
              <w:t xml:space="preserve">: </w:t>
            </w:r>
            <w:r>
              <w:rPr>
                <w:rStyle w:val="IndexLink"/>
                <w:rtl w:val="true"/>
              </w:rPr>
              <w:t>رواية الاكابر عن الاصاغر</w:t>
            </w:r>
            <w:r>
              <w:rPr>
                <w:rStyle w:val="IndexLink"/>
                <w:rtl w:val="true"/>
              </w:rPr>
              <w:tab/>
            </w:r>
            <w:r>
              <w:rPr>
                <w:rStyle w:val="IndexLink"/>
              </w:rPr>
              <w:t>326</w:t>
            </w:r>
          </w:hyperlink>
        </w:p>
        <w:p>
          <w:pPr>
            <w:pStyle w:val="Contents3"/>
            <w:tabs>
              <w:tab w:val="clear" w:pos="8459"/>
              <w:tab w:val="right" w:pos="9026" w:leader="dot"/>
            </w:tabs>
            <w:rPr/>
          </w:pPr>
          <w:hyperlink w:anchor="__RefHeading___Toc403655_2142443653">
            <w:r>
              <w:rPr>
                <w:webHidden/>
                <w:rStyle w:val="IndexLink"/>
                <w:rtl w:val="true"/>
              </w:rPr>
              <w:t>المطلب الثالث</w:t>
            </w:r>
            <w:r>
              <w:rPr>
                <w:rStyle w:val="IndexLink"/>
                <w:rtl w:val="true"/>
              </w:rPr>
              <w:t xml:space="preserve">: </w:t>
            </w:r>
            <w:r>
              <w:rPr>
                <w:rStyle w:val="IndexLink"/>
                <w:rtl w:val="true"/>
              </w:rPr>
              <w:t>إن المهم في هذا الباب معرفة امور</w:t>
            </w:r>
            <w:r>
              <w:rPr>
                <w:rStyle w:val="IndexLink"/>
                <w:rtl w:val="true"/>
              </w:rPr>
              <w:tab/>
            </w:r>
            <w:r>
              <w:rPr>
                <w:rStyle w:val="IndexLink"/>
              </w:rPr>
              <w:t>328</w:t>
            </w:r>
          </w:hyperlink>
        </w:p>
        <w:p>
          <w:pPr>
            <w:pStyle w:val="Contents4"/>
            <w:tabs>
              <w:tab w:val="clear" w:pos="8176"/>
              <w:tab w:val="right" w:pos="9026" w:leader="dot"/>
            </w:tabs>
            <w:rPr/>
          </w:pPr>
          <w:hyperlink w:anchor="__RefHeading___Toc403657_2142443653">
            <w:r>
              <w:rPr>
                <w:webHidden/>
                <w:rStyle w:val="IndexLink"/>
                <w:rtl w:val="true"/>
              </w:rPr>
              <w:t>اشارة</w:t>
            </w:r>
            <w:r>
              <w:rPr>
                <w:rStyle w:val="IndexLink"/>
                <w:rtl w:val="true"/>
              </w:rPr>
              <w:tab/>
            </w:r>
            <w:r>
              <w:rPr>
                <w:rStyle w:val="IndexLink"/>
              </w:rPr>
              <w:t>328</w:t>
            </w:r>
          </w:hyperlink>
        </w:p>
        <w:p>
          <w:pPr>
            <w:pStyle w:val="Contents4"/>
            <w:tabs>
              <w:tab w:val="clear" w:pos="8176"/>
              <w:tab w:val="right" w:pos="9026" w:leader="dot"/>
            </w:tabs>
            <w:rPr/>
          </w:pPr>
          <w:hyperlink w:anchor="__RefHeading___Toc403659_2142443653">
            <w:r>
              <w:rPr>
                <w:webHidden/>
                <w:rStyle w:val="IndexLink"/>
                <w:rtl w:val="true"/>
              </w:rPr>
              <w:t>منها</w:t>
            </w:r>
            <w:r>
              <w:rPr>
                <w:rStyle w:val="IndexLink"/>
                <w:rtl w:val="true"/>
              </w:rPr>
              <w:t xml:space="preserve">: </w:t>
            </w:r>
            <w:r>
              <w:rPr>
                <w:rStyle w:val="IndexLink"/>
                <w:rtl w:val="true"/>
              </w:rPr>
              <w:t>معرفة طبقات الرواة</w:t>
            </w:r>
            <w:r>
              <w:rPr>
                <w:rStyle w:val="IndexLink"/>
                <w:rtl w:val="true"/>
              </w:rPr>
              <w:tab/>
            </w:r>
            <w:r>
              <w:rPr>
                <w:rStyle w:val="IndexLink"/>
              </w:rPr>
              <w:t>328</w:t>
            </w:r>
          </w:hyperlink>
        </w:p>
        <w:p>
          <w:pPr>
            <w:pStyle w:val="Contents4"/>
            <w:tabs>
              <w:tab w:val="clear" w:pos="8176"/>
              <w:tab w:val="right" w:pos="9026" w:leader="dot"/>
            </w:tabs>
            <w:rPr/>
          </w:pPr>
          <w:hyperlink w:anchor="__RefHeading___Toc403661_2142443653">
            <w:r>
              <w:rPr>
                <w:webHidden/>
                <w:rStyle w:val="IndexLink"/>
                <w:rtl w:val="true"/>
              </w:rPr>
              <w:t>منها</w:t>
            </w:r>
            <w:r>
              <w:rPr>
                <w:rStyle w:val="IndexLink"/>
                <w:rtl w:val="true"/>
              </w:rPr>
              <w:t xml:space="preserve">: </w:t>
            </w:r>
            <w:r>
              <w:rPr>
                <w:rStyle w:val="IndexLink"/>
                <w:rtl w:val="true"/>
              </w:rPr>
              <w:t>معرفة مواليد الرواة و غيره</w:t>
            </w:r>
            <w:r>
              <w:rPr>
                <w:rStyle w:val="IndexLink"/>
                <w:rtl w:val="true"/>
              </w:rPr>
              <w:tab/>
            </w:r>
            <w:r>
              <w:rPr>
                <w:rStyle w:val="IndexLink"/>
              </w:rPr>
              <w:t>328</w:t>
            </w:r>
          </w:hyperlink>
        </w:p>
        <w:p>
          <w:pPr>
            <w:pStyle w:val="Contents4"/>
            <w:tabs>
              <w:tab w:val="clear" w:pos="8176"/>
              <w:tab w:val="right" w:pos="9026" w:leader="dot"/>
            </w:tabs>
            <w:rPr/>
          </w:pPr>
          <w:hyperlink w:anchor="__RefHeading___Toc403663_2142443653">
            <w:r>
              <w:rPr>
                <w:webHidden/>
                <w:rStyle w:val="IndexLink"/>
                <w:rtl w:val="true"/>
              </w:rPr>
              <w:t>منها</w:t>
            </w:r>
            <w:r>
              <w:rPr>
                <w:rStyle w:val="IndexLink"/>
                <w:rtl w:val="true"/>
              </w:rPr>
              <w:t xml:space="preserve">: </w:t>
            </w:r>
            <w:r>
              <w:rPr>
                <w:rStyle w:val="IndexLink"/>
                <w:rtl w:val="true"/>
              </w:rPr>
              <w:t>معرفة الموالي</w:t>
            </w:r>
            <w:r>
              <w:rPr>
                <w:rStyle w:val="IndexLink"/>
                <w:rtl w:val="true"/>
              </w:rPr>
              <w:tab/>
            </w:r>
            <w:r>
              <w:rPr>
                <w:rStyle w:val="IndexLink"/>
              </w:rPr>
              <w:t>329</w:t>
            </w:r>
          </w:hyperlink>
        </w:p>
        <w:p>
          <w:pPr>
            <w:pStyle w:val="Contents4"/>
            <w:tabs>
              <w:tab w:val="clear" w:pos="8176"/>
              <w:tab w:val="right" w:pos="9026" w:leader="dot"/>
            </w:tabs>
            <w:rPr/>
          </w:pPr>
          <w:hyperlink w:anchor="__RefHeading___Toc403665_2142443653">
            <w:r>
              <w:rPr>
                <w:webHidden/>
                <w:rStyle w:val="IndexLink"/>
                <w:rtl w:val="true"/>
              </w:rPr>
              <w:t>و منها</w:t>
            </w:r>
            <w:r>
              <w:rPr>
                <w:rStyle w:val="IndexLink"/>
                <w:rtl w:val="true"/>
              </w:rPr>
              <w:t xml:space="preserve">: </w:t>
            </w:r>
            <w:r>
              <w:rPr>
                <w:rStyle w:val="IndexLink"/>
                <w:rtl w:val="true"/>
              </w:rPr>
              <w:t>معرفة الاخوة و الاخوات</w:t>
            </w:r>
            <w:r>
              <w:rPr>
                <w:rStyle w:val="IndexLink"/>
                <w:rtl w:val="true"/>
              </w:rPr>
              <w:tab/>
            </w:r>
            <w:r>
              <w:rPr>
                <w:rStyle w:val="IndexLink"/>
              </w:rPr>
              <w:t>330</w:t>
            </w:r>
          </w:hyperlink>
        </w:p>
        <w:p>
          <w:pPr>
            <w:pStyle w:val="Contents4"/>
            <w:tabs>
              <w:tab w:val="clear" w:pos="8176"/>
              <w:tab w:val="right" w:pos="9026" w:leader="dot"/>
            </w:tabs>
            <w:rPr/>
          </w:pPr>
          <w:hyperlink w:anchor="__RefHeading___Toc403667_2142443653">
            <w:r>
              <w:rPr>
                <w:webHidden/>
                <w:rStyle w:val="IndexLink"/>
                <w:rtl w:val="true"/>
              </w:rPr>
              <w:t>و منها</w:t>
            </w:r>
            <w:r>
              <w:rPr>
                <w:rStyle w:val="IndexLink"/>
                <w:rtl w:val="true"/>
              </w:rPr>
              <w:t xml:space="preserve">: </w:t>
            </w:r>
            <w:r>
              <w:rPr>
                <w:rStyle w:val="IndexLink"/>
                <w:rtl w:val="true"/>
              </w:rPr>
              <w:t>معرفة اوطان الرواة و بلدانهم</w:t>
            </w:r>
            <w:r>
              <w:rPr>
                <w:rStyle w:val="IndexLink"/>
                <w:rtl w:val="true"/>
              </w:rPr>
              <w:tab/>
            </w:r>
            <w:r>
              <w:rPr>
                <w:rStyle w:val="IndexLink"/>
              </w:rPr>
              <w:t>337</w:t>
            </w:r>
          </w:hyperlink>
        </w:p>
        <w:p>
          <w:pPr>
            <w:pStyle w:val="Contents4"/>
            <w:tabs>
              <w:tab w:val="clear" w:pos="8176"/>
              <w:tab w:val="right" w:pos="9026" w:leader="dot"/>
            </w:tabs>
            <w:rPr/>
          </w:pPr>
          <w:hyperlink w:anchor="__RefHeading___Toc403669_2142443653">
            <w:r>
              <w:rPr>
                <w:webHidden/>
                <w:rStyle w:val="IndexLink"/>
                <w:rtl w:val="true"/>
              </w:rPr>
              <w:t>و منها</w:t>
            </w:r>
            <w:r>
              <w:rPr>
                <w:rStyle w:val="IndexLink"/>
                <w:rtl w:val="true"/>
              </w:rPr>
              <w:t xml:space="preserve">: </w:t>
            </w:r>
            <w:r>
              <w:rPr>
                <w:rStyle w:val="IndexLink"/>
                <w:rtl w:val="true"/>
              </w:rPr>
              <w:t>معرفة من ذكر باسماء او صفات مختلفة</w:t>
            </w:r>
            <w:r>
              <w:rPr>
                <w:rStyle w:val="IndexLink"/>
                <w:rtl w:val="true"/>
              </w:rPr>
              <w:tab/>
            </w:r>
            <w:r>
              <w:rPr>
                <w:rStyle w:val="IndexLink"/>
              </w:rPr>
              <w:t>340</w:t>
            </w:r>
          </w:hyperlink>
        </w:p>
        <w:p>
          <w:pPr>
            <w:pStyle w:val="Contents4"/>
            <w:tabs>
              <w:tab w:val="clear" w:pos="8176"/>
              <w:tab w:val="right" w:pos="9026" w:leader="dot"/>
            </w:tabs>
            <w:rPr/>
          </w:pPr>
          <w:hyperlink w:anchor="__RefHeading___Toc403671_2142443653">
            <w:r>
              <w:rPr>
                <w:webHidden/>
                <w:rStyle w:val="IndexLink"/>
                <w:rtl w:val="true"/>
              </w:rPr>
              <w:t>و منها</w:t>
            </w:r>
            <w:r>
              <w:rPr>
                <w:rStyle w:val="IndexLink"/>
                <w:rtl w:val="true"/>
              </w:rPr>
              <w:t xml:space="preserve">: </w:t>
            </w:r>
            <w:r>
              <w:rPr>
                <w:rStyle w:val="IndexLink"/>
                <w:rtl w:val="true"/>
              </w:rPr>
              <w:t>معرفة الوحدان</w:t>
            </w:r>
            <w:r>
              <w:rPr>
                <w:rStyle w:val="IndexLink"/>
                <w:rtl w:val="true"/>
              </w:rPr>
              <w:tab/>
            </w:r>
            <w:r>
              <w:rPr>
                <w:rStyle w:val="IndexLink"/>
              </w:rPr>
              <w:t>344</w:t>
            </w:r>
          </w:hyperlink>
        </w:p>
        <w:p>
          <w:pPr>
            <w:pStyle w:val="Contents4"/>
            <w:tabs>
              <w:tab w:val="clear" w:pos="8176"/>
              <w:tab w:val="right" w:pos="9026" w:leader="dot"/>
            </w:tabs>
            <w:rPr/>
          </w:pPr>
          <w:hyperlink w:anchor="__RefHeading___Toc403673_2142443653">
            <w:r>
              <w:rPr>
                <w:webHidden/>
                <w:rStyle w:val="IndexLink"/>
                <w:rtl w:val="true"/>
              </w:rPr>
              <w:t>و منها</w:t>
            </w:r>
            <w:r>
              <w:rPr>
                <w:rStyle w:val="IndexLink"/>
                <w:rtl w:val="true"/>
              </w:rPr>
              <w:t xml:space="preserve">: </w:t>
            </w:r>
            <w:r>
              <w:rPr>
                <w:rStyle w:val="IndexLink"/>
                <w:rtl w:val="true"/>
              </w:rPr>
              <w:t>معرفة كنى المعروفين بالاسماء</w:t>
            </w:r>
            <w:r>
              <w:rPr>
                <w:rStyle w:val="IndexLink"/>
                <w:rtl w:val="true"/>
              </w:rPr>
              <w:tab/>
            </w:r>
            <w:r>
              <w:rPr>
                <w:rStyle w:val="IndexLink"/>
              </w:rPr>
              <w:t>345</w:t>
            </w:r>
          </w:hyperlink>
        </w:p>
        <w:p>
          <w:pPr>
            <w:pStyle w:val="Contents4"/>
            <w:tabs>
              <w:tab w:val="clear" w:pos="8176"/>
              <w:tab w:val="right" w:pos="9026" w:leader="dot"/>
            </w:tabs>
            <w:rPr/>
          </w:pPr>
          <w:hyperlink w:anchor="__RefHeading___Toc403675_2142443653">
            <w:r>
              <w:rPr>
                <w:webHidden/>
                <w:rStyle w:val="IndexLink"/>
                <w:rtl w:val="true"/>
              </w:rPr>
              <w:t>و منها</w:t>
            </w:r>
            <w:r>
              <w:rPr>
                <w:rStyle w:val="IndexLink"/>
                <w:rtl w:val="true"/>
              </w:rPr>
              <w:t xml:space="preserve">: </w:t>
            </w:r>
            <w:r>
              <w:rPr>
                <w:rStyle w:val="IndexLink"/>
                <w:rtl w:val="true"/>
              </w:rPr>
              <w:t>معرفة المنسوبين الى غير آبائهم</w:t>
            </w:r>
            <w:r>
              <w:rPr>
                <w:rStyle w:val="IndexLink"/>
                <w:rtl w:val="true"/>
              </w:rPr>
              <w:tab/>
            </w:r>
            <w:r>
              <w:rPr>
                <w:rStyle w:val="IndexLink"/>
              </w:rPr>
              <w:t>345</w:t>
            </w:r>
          </w:hyperlink>
        </w:p>
        <w:p>
          <w:pPr>
            <w:pStyle w:val="Contents2"/>
            <w:tabs>
              <w:tab w:val="clear" w:pos="8743"/>
              <w:tab w:val="right" w:pos="9026" w:leader="dot"/>
            </w:tabs>
            <w:rPr/>
          </w:pPr>
          <w:hyperlink w:anchor="__RefHeading___Toc403677_2142443653">
            <w:r>
              <w:rPr>
                <w:webHidden/>
                <w:rStyle w:val="IndexLink"/>
                <w:rtl w:val="true"/>
              </w:rPr>
              <w:t>فهرس الجزء الثالث من مقباس الهداية في علم الرواية</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42_154765"/>
      <w:bookmarkStart w:id="1" w:name="pg15042_154765"/>
      <w:bookmarkEnd w:id="1"/>
    </w:p>
    <w:p>
      <w:pPr>
        <w:pStyle w:val="Heading2"/>
        <w:numPr>
          <w:ilvl w:val="1"/>
          <w:numId w:val="1"/>
        </w:numPr>
        <w:rPr/>
      </w:pPr>
      <w:bookmarkStart w:id="2" w:name="pg15042_154765"/>
      <w:bookmarkStart w:id="3" w:name="__RefHeading___Toc403233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مقباس الهداية في علم الدراية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235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مقباس الهداية في علم الدراية </w:t>
      </w:r>
    </w:p>
    <w:p>
      <w:pPr>
        <w:pStyle w:val="BookText"/>
        <w:rPr/>
      </w:pPr>
      <w:r>
        <w:rPr>
          <w:rFonts w:ascii="Amiri" w:hAnsi="Amiri" w:eastAsia="Amiri" w:cs="Amiri"/>
          <w:color w:val="111111"/>
          <w:sz w:val="28"/>
          <w:sz w:val="28"/>
          <w:szCs w:val="28"/>
          <w:rtl w:val="true"/>
          <w:lang w:bidi="ar-SA"/>
        </w:rPr>
        <w:t>مقباس الهداية في علم الدراية</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رضا المامقاني</w:t>
      </w:r>
    </w:p>
    <w:p>
      <w:pPr>
        <w:pStyle w:val="BookText"/>
        <w:rPr/>
      </w:pPr>
      <w:r>
        <w:rPr>
          <w:rFonts w:ascii="IRNazanin" w:hAnsi="IRNazanin" w:eastAsia="IRNazanin"/>
          <w:color w:val="111111"/>
          <w:sz w:val="28"/>
          <w:sz w:val="28"/>
          <w:szCs w:val="28"/>
          <w:rtl w:val="true"/>
          <w:lang w:bidi="fa-IR"/>
        </w:rPr>
        <w:t>موسسه آل البیت علیهم السلام لإحیاء التراث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IRNazanin" w:hAnsi="IRNazanin" w:eastAsia="IRNazanin"/>
          <w:color w:val="111111"/>
          <w:sz w:val="28"/>
          <w:sz w:val="28"/>
          <w:szCs w:val="28"/>
          <w:rtl w:val="true"/>
          <w:lang w:bidi="fa-IR"/>
        </w:rPr>
        <w:t>جمیع الحقوق محفوظة ومسجلة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لموسسه آل البیت علیهم السلام لإحیاء التراث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042_154773"/>
      <w:bookmarkStart w:id="8" w:name="pg15042_154773"/>
      <w:bookmarkEnd w:id="8"/>
    </w:p>
    <w:p>
      <w:pPr>
        <w:pStyle w:val="Heading2"/>
        <w:numPr>
          <w:ilvl w:val="1"/>
          <w:numId w:val="1"/>
        </w:numPr>
        <w:rPr/>
      </w:pPr>
      <w:bookmarkStart w:id="9" w:name="pg15042_154773"/>
      <w:bookmarkStart w:id="10" w:name="__RefHeading___Toc403237_2142443653"/>
      <w:bookmarkStart w:id="11" w:name="_Toc3"/>
      <w:bookmarkEnd w:id="9"/>
      <w:bookmarkEnd w:id="10"/>
      <w:r>
        <w:rPr>
          <w:rtl w:val="true"/>
        </w:rPr>
        <w:t>تتمة الفصل السادس فى من تقبل روايته و من ترد</w:t>
      </w:r>
      <w:bookmarkEnd w:id="11"/>
    </w:p>
    <w:p>
      <w:pPr>
        <w:pStyle w:val="Heading3"/>
        <w:numPr>
          <w:ilvl w:val="2"/>
          <w:numId w:val="1"/>
        </w:numPr>
        <w:rPr/>
      </w:pPr>
      <w:bookmarkStart w:id="12" w:name="__RefHeading___Toc403239_2142443653"/>
      <w:bookmarkStart w:id="13" w:name="_Toc4"/>
      <w:bookmarkEnd w:id="12"/>
      <w:r>
        <w:rPr>
          <w:rtl w:val="true"/>
        </w:rPr>
        <w:t>المقام الخامس في التعرض لألفاظ مستعملة في أحوال الرجال لا تفيد مدحا و لا قدحا</w:t>
      </w:r>
      <w:bookmarkEnd w:id="13"/>
    </w:p>
    <w:p>
      <w:pPr>
        <w:pStyle w:val="Heading4"/>
        <w:numPr>
          <w:ilvl w:val="3"/>
          <w:numId w:val="1"/>
        </w:numPr>
        <w:rPr/>
      </w:pPr>
      <w:bookmarkStart w:id="14" w:name="__RefHeading___Toc403241_2142443653"/>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و لو أفادت أحدهما فمما لا يعتنى به، أما لضعف الإفادة أو المفاد</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403243_2142443653"/>
      <w:bookmarkStart w:id="17" w:name="_Toc6"/>
      <w:bookmarkEnd w:id="16"/>
      <w:r>
        <w:rPr>
          <w:rtl w:val="true"/>
        </w:rPr>
        <w:t>مولى</w:t>
      </w:r>
      <w:bookmarkEnd w:id="17"/>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طلاقه 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في الرجل إنه مولى فلان،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بني فلان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مولى آل فلان، و قد يضيفونه الى ضمير الجمع بعد نسبته الى قبيلة، و قد يقطعونه عن الإضافة فيقولون مولى، و ربّما يقولون مولى فلان ثم مولى فلان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أبي يحيى أبو إسحاق مولى أسلم بن قصي، مدني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إسماعيل بن شعيب بن ميثم التمار أبو عبد اللّه مولى بني أسد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سليمان أبي داحة المزني مولى آل طلحة، و إبراهيم بن محمد مولى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 الأسدي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رياح بن أبي نصر السكوني مولى، و أيوب بن الحر الجعفي مولى</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تغلبة بن ميمون مولى بني أسد ثم مولى بني سلامة</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ذلك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للفظ المولى معاني في اللغة و الاصطلاح، أما في اللغة</w:t>
      </w:r>
      <w:r>
        <w:rPr>
          <w:rStyle w:val="FootnoteAnchor"/>
          <w:rtl w:val="true"/>
        </w:rPr>
        <w:footnoteReference w:id="6"/>
      </w:r>
      <w:r>
        <w:rPr>
          <w:rFonts w:ascii="Amiri" w:hAnsi="Amiri" w:eastAsia="Amiri" w:cs="Amiri"/>
          <w:color w:val="111111"/>
          <w:sz w:val="28"/>
          <w:sz w:val="28"/>
          <w:szCs w:val="28"/>
          <w:rtl w:val="true"/>
          <w:lang w:bidi="ar-SA"/>
        </w:rPr>
        <w:t>فله معاني</w:t>
      </w:r>
      <w:r>
        <w:rPr>
          <w:rStyle w:val="FootnoteAnchor"/>
          <w:rtl w:val="true"/>
        </w:rPr>
        <w:footnoteReference w:id="7"/>
      </w:r>
      <w:r>
        <w:rPr>
          <w:rFonts w:ascii="Amiri" w:hAnsi="Amiri" w:eastAsia="Amiri" w:cs="Amiri"/>
          <w:color w:val="111111"/>
          <w:sz w:val="28"/>
          <w:sz w:val="28"/>
          <w:szCs w:val="28"/>
          <w:rtl w:val="true"/>
          <w:lang w:bidi="ar-SA"/>
        </w:rPr>
        <w:t xml:space="preserve">كثيرة فإنه يطلق على </w:t>
      </w:r>
    </w:p>
    <w:p>
      <w:pPr>
        <w:pStyle w:val="BookText"/>
        <w:rPr/>
      </w:pPr>
      <w:r>
        <w:rPr>
          <w:rFonts w:ascii="Amiri" w:hAnsi="Amiri" w:eastAsia="Amiri" w:cs="Amiri"/>
          <w:color w:val="111111"/>
          <w:sz w:val="28"/>
          <w:sz w:val="28"/>
          <w:szCs w:val="28"/>
          <w:rtl w:val="true"/>
          <w:lang w:bidi="ar-SA"/>
        </w:rPr>
        <w:t>المالك</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تفصيل ما قيل في الكلمة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لغتنامه دهخدا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العبد، و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الصاحب، و القريب كابن العم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الجار، و الحليف، و الابن، و العم، و النزيل، و الشريك، و ابن الاخت، و الولي، و الرب، و الناصر، و المنعم، و المنعم عليه، و المحب، و التابع، و الصهر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اصطلاح أهل الرجال فقد يطلق على غير العربي الخالص، و لعله الأكثر كما عن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استظهره المولى الوحيد في التعليقة،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يحمل على معنى إلا بالقرينة، و مع انتفائها فالراجح لعلّه الأول</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رجحان الأول بناء على شيوع إطلاقه عليه، أو استعماله فيه ظاهر، لانصراف الإطلاق حينئذ إليه، لكن في بداية الشهيد الثاني أن الأغلب مولى العتاقة،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 معرفة الموالي من الرواة من أعلى و من أسفل بالرّق، بأن يكون قد أعتق رجلا فصار مولاه، أو أعتقه رجل فصار مولاه، فالمعتق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من أعلى، و المعتق مولى من أسفل، أو بالحلف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المعاقدة و المعاهدة على التعاضد و التساعد و الاتفاق،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المهاجرين و الأنصار مرتين، أي آخى بينهم، فإذا حالف أحد آخر صار كل منهما مولى الآخر بالحلف أو بالإسلام، فمن أسلم على يد آخر كان مولاه يعني بالإسلام، و فائدته معرفة الموالي المنسوبين الى القبائل بوصف مطلق، فإن الظاهر في المنسوب الى قبيلة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القرشي إنه منهم، و قد تكون النسبة بسبب أنه مولى لهم بأحد المعاني، و الأغلب مولى العتاقة، و قد يطلق المولى على معنى رابع و هو الملازمة،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مولى ابن عباس، للزومه إياه، و خامس و هو من ليس بعربي، فيقال فلان مولى و فلان عربي صريح، و هذا النوع أيضا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المهم مما في البداية</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مقتضاه حمل المولى عند الإطلاق على مولى العتاقة لكونه الأغلب، و قد يتأمل في أصل الانصراف على فرض الغلبة و الكثرة في بعض المعاني، سواء كان هو الخامس الذي يقوله الوحيد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نظرا الى أن </w:t>
      </w:r>
    </w:p>
    <w:p>
      <w:pPr>
        <w:pStyle w:val="BookText"/>
        <w:rPr/>
      </w:pPr>
      <w:r>
        <w:rPr>
          <w:rFonts w:ascii="Amiri" w:hAnsi="Amiri" w:eastAsia="Amiri" w:cs="Amiri"/>
          <w:color w:val="111111"/>
          <w:sz w:val="28"/>
          <w:sz w:val="28"/>
          <w:szCs w:val="28"/>
          <w:rtl w:val="true"/>
          <w:lang w:bidi="ar-SA"/>
        </w:rPr>
        <w:t>الانصراف الموجب لحمل الإطلاق على المنصرف إليه إنما هو الوضعي الابتدائي، أو الحاصل بعد الهجر لغيره من المعاني بحيث بلغ حد الوضعي الثانوي لا الانصراف الإطلاقي الابتدائي الزائل بعد التروي في الجملة، فإن ذلك لا يوجب الحمل عليه، بل هو و غيره على حد سواء لا يتعين أحدهما إلاّ بمعيّن</w:t>
      </w:r>
      <w:r>
        <w:rPr>
          <w:rStyle w:val="FootnoteAnchor"/>
          <w:rtl w:val="true"/>
        </w:rPr>
        <w:footnoteReference w:id="12"/>
      </w:r>
      <w:r>
        <w:rPr>
          <w:rFonts w:ascii="Amiri" w:hAnsi="Amiri" w:eastAsia="Amiri" w:cs="Amiri"/>
          <w:color w:val="111111"/>
          <w:sz w:val="28"/>
          <w:sz w:val="28"/>
          <w:szCs w:val="28"/>
          <w:rtl w:val="true"/>
          <w:lang w:bidi="ar-SA"/>
        </w:rPr>
        <w:t>، و ليس منه مطلق الغلبة و إن أفادت الظن، إذ لا دليل على اعتباره مطلقا، إذ غاية ما ثبت اعتبار الظن بالمراد في باب الألفاظ بواسطة الوضع و عدم نصب القرينة على خلاف الموضوع له، أما فيما تعددت حقائقه أو تعددت مجازاته بعد تعذر الحقيقة فلا دليل على تعيين بعضها بمطلق الظن و لو من غلبة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يقال إنه من جملة الإمارات و القرائن المعينة للتنصيص على أحد المعاني في مورد، فإن ذلك قرينة على ارادة ذلك المعنى المنصوص عليه من لفظ المولى في مورد آخر في كتاب واحد أو متعدد لمصنف واحد أو متعدد كما في إبراهيم بن أبي رافع، فإنهم ذكروا أنه كان مولى للعباس بن عبد المطلب، ثم وهبه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بشّر النبي بإسلام العباس أعتقه، فإن ذلك قرينة على إرادة المملوك من المولى، فتأمل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يظهر لي أن المولى حيث يطلق من غير اضافة يراد به العربي </w:t>
      </w:r>
    </w:p>
    <w:p>
      <w:pPr>
        <w:pStyle w:val="BookText"/>
        <w:rPr/>
      </w:pPr>
      <w:r>
        <w:rPr>
          <w:rFonts w:ascii="Amiri" w:hAnsi="Amiri" w:eastAsia="Amiri" w:cs="Amiri"/>
          <w:color w:val="111111"/>
          <w:sz w:val="28"/>
          <w:sz w:val="28"/>
          <w:szCs w:val="28"/>
          <w:rtl w:val="true"/>
          <w:lang w:bidi="ar-SA"/>
        </w:rPr>
        <w:t>الغير الخالص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تمامية شيء من بقية المعاني من غير إضافة، فإطلاقه من غير إضافة و ارادة أحدها مجاز لا يصار إليه بخلاف العربي الغير الخالص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المعنى معه تام من غير إضافة، فيتعين حمله عليه، و اللّه العالم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 فلا تفيد هذه اللفظة مدحا يعتد به في أي من معانيه استعمل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استعمل في المصاحب و الملازم و المملوك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نحوها</w:t>
      </w:r>
      <w:r>
        <w:rPr>
          <w:rStyle w:val="FootnoteAnchor"/>
          <w:rtl w:val="true"/>
        </w:rPr>
        <w:footnoteReference w:id="14"/>
      </w:r>
      <w:r>
        <w:rPr>
          <w:rFonts w:ascii="Amiri" w:hAnsi="Amiri" w:eastAsia="Amiri" w:cs="Amiri"/>
          <w:color w:val="111111"/>
          <w:sz w:val="28"/>
          <w:sz w:val="28"/>
          <w:szCs w:val="28"/>
          <w:rtl w:val="true"/>
          <w:lang w:bidi="ar-SA"/>
        </w:rPr>
        <w:t>لم يبعد إفادته المدح فيما إذا أضيف الى المعصوم أو محدث ثقة جليل، و ذما إذا أضيف إلى ملحد أو فاسق</w:t>
      </w:r>
      <w:r>
        <w:rPr>
          <w:rStyle w:val="FootnoteAnchor"/>
          <w:rtl w:val="true"/>
        </w:rPr>
        <w:footnoteReference w:id="15"/>
      </w:r>
      <w:r>
        <w:rPr>
          <w:rFonts w:ascii="Amiri" w:hAnsi="Amiri" w:eastAsia="Amiri" w:cs="Amiri"/>
          <w:color w:val="111111"/>
          <w:sz w:val="28"/>
          <w:sz w:val="28"/>
          <w:szCs w:val="28"/>
          <w:rtl w:val="true"/>
          <w:lang w:bidi="ar-SA"/>
        </w:rPr>
        <w:t>نظرا الى أن الطبع مكتسب من كل مصحوب</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لكن الإنصاف أن المسألة أعم أيضا، و أن يظهر في ترجمة مسلم مولى أبي عبد اللّه الصادق عليه السّلام من ورود مدحه و تبجيله، إلا أن ما في ترجمة معتب مولى الصادق عليه السّلام ما يشير إلى ذم موالي الصادق عليه السّلام مطلقا،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فتأمل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5042_154779"/>
    </w:p>
    <w:p>
      <w:pPr>
        <w:pStyle w:val="BookText"/>
        <w:rPr/>
      </w:pPr>
      <w:bookmarkEnd w:id="1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19" w:name="__RefHeading___Toc403245_2142443653"/>
      <w:bookmarkStart w:id="20" w:name="_Toc7"/>
      <w:bookmarkEnd w:id="19"/>
      <w:r>
        <w:rPr>
          <w:rtl w:val="true"/>
        </w:rPr>
        <w:t>منها</w:t>
      </w:r>
      <w:r>
        <w:rPr>
          <w:rtl w:val="true"/>
        </w:rPr>
        <w:t xml:space="preserve">: </w:t>
      </w:r>
      <w:r>
        <w:rPr>
          <w:rtl w:val="true"/>
        </w:rPr>
        <w:t>الغلام</w:t>
      </w:r>
      <w:bookmarkEnd w:id="20"/>
    </w:p>
    <w:p>
      <w:pPr>
        <w:pStyle w:val="BookText"/>
        <w:rPr/>
      </w:pPr>
      <w:r>
        <w:rPr>
          <w:rFonts w:ascii="Amiri" w:hAnsi="Amiri" w:eastAsia="Amiri" w:cs="Amiri"/>
          <w:color w:val="111111"/>
          <w:sz w:val="28"/>
          <w:sz w:val="28"/>
          <w:szCs w:val="28"/>
          <w:rtl w:val="true"/>
          <w:lang w:bidi="ar-SA"/>
        </w:rPr>
        <w:t>لفظ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كثيرا ما يقع استعماله في الرجال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من غلمان فلان،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المتأدب عليه و المتلمذ على يده، كما صرحوا به في كثير من التراجم،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محمد بن حبيب بن أبي عثمان المازني، فإنهم ذكروا فيه أنه من غلمان إسماعيل ابن ميثم، لكونه تأدّب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المظفر بن محمد بن أحمد أبو الجيش البلخي، فإنهم ذكروا أنه كان من غلمان أبي سهل النوبختي، فإنه 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الكشي أنه من غلمان العياشي، لأنه صحبه و 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الموارد الكثيرة المستعمل فيها الغلام في كتب الرجال في التلميذ</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8"/>
      </w:r>
      <w:r>
        <w:rPr>
          <w:rFonts w:ascii="Amiri" w:hAnsi="Amiri" w:eastAsia="Amiri" w:cs="Amiri"/>
          <w:color w:val="111111"/>
          <w:sz w:val="28"/>
          <w:sz w:val="28"/>
          <w:szCs w:val="28"/>
          <w:rtl w:val="true"/>
          <w:lang w:bidi="ar-SA"/>
        </w:rPr>
        <w:t>و قد أشار في منتهى المقال الى جملة منها فقال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لاحظ ترجمة أحمد بن عبد اللّه الكرخي</w:t>
      </w:r>
      <w:r>
        <w:rPr>
          <w:rStyle w:val="FootnoteAnchor"/>
          <w:rtl w:val="true"/>
        </w:rPr>
        <w:footnoteReference w:id="19"/>
      </w:r>
      <w:r>
        <w:rPr>
          <w:rFonts w:ascii="Amiri" w:hAnsi="Amiri" w:eastAsia="Amiri" w:cs="Amiri"/>
          <w:color w:val="111111"/>
          <w:sz w:val="28"/>
          <w:sz w:val="28"/>
          <w:szCs w:val="28"/>
          <w:rtl w:val="true"/>
          <w:lang w:bidi="ar-SA"/>
        </w:rPr>
        <w:t>، و في ترجمة أحمد بن إسماعيل</w:t>
      </w:r>
      <w:r>
        <w:rPr>
          <w:rStyle w:val="FootnoteAnchor"/>
          <w:rtl w:val="true"/>
        </w:rPr>
        <w:footnoteReference w:id="20"/>
      </w:r>
      <w:r>
        <w:rPr>
          <w:rFonts w:ascii="Amiri" w:hAnsi="Amiri" w:eastAsia="Amiri" w:cs="Amiri"/>
          <w:color w:val="111111"/>
          <w:sz w:val="28"/>
          <w:sz w:val="28"/>
          <w:szCs w:val="28"/>
          <w:rtl w:val="true"/>
          <w:lang w:bidi="ar-SA"/>
        </w:rPr>
        <w:t>سمكة</w:t>
      </w:r>
      <w:r>
        <w:rPr>
          <w:rStyle w:val="FootnoteAnchor"/>
          <w:rtl w:val="true"/>
        </w:rPr>
        <w:footnoteReference w:id="21"/>
      </w:r>
      <w:r>
        <w:rPr>
          <w:rFonts w:ascii="Amiri" w:hAnsi="Amiri" w:eastAsia="Amiri" w:cs="Amiri"/>
          <w:color w:val="111111"/>
          <w:sz w:val="28"/>
          <w:sz w:val="28"/>
          <w:szCs w:val="28"/>
          <w:rtl w:val="true"/>
          <w:lang w:bidi="ar-SA"/>
        </w:rPr>
        <w:t>، و عبد العزيز بن البراج</w:t>
      </w:r>
      <w:r>
        <w:rPr>
          <w:rStyle w:val="FootnoteAnchor"/>
          <w:rtl w:val="true"/>
        </w:rPr>
        <w:footnoteReference w:id="22"/>
      </w:r>
      <w:r>
        <w:rPr>
          <w:rFonts w:ascii="IRNazanin" w:hAnsi="IRNazanin" w:eastAsia="IRNazanin"/>
          <w:color w:val="111111"/>
          <w:sz w:val="28"/>
          <w:sz w:val="28"/>
          <w:szCs w:val="28"/>
          <w:rtl w:val="true"/>
          <w:lang w:bidi="fa-IR"/>
        </w:rPr>
        <w:t xml:space="preserve">، و محمد بن جعفر </w:t>
      </w:r>
    </w:p>
    <w:p>
      <w:pPr>
        <w:pStyle w:val="BookText"/>
        <w:rPr/>
      </w:pPr>
      <w:r>
        <w:rPr>
          <w:rFonts w:ascii="Amiri" w:hAnsi="Amiri" w:eastAsia="Amiri" w:cs="Amiri"/>
          <w:color w:val="111111"/>
          <w:sz w:val="28"/>
          <w:sz w:val="28"/>
          <w:szCs w:val="28"/>
          <w:rtl w:val="true"/>
          <w:lang w:bidi="ar-SA"/>
        </w:rPr>
        <w:t>ابن محمد أبي الفتح الهمداني</w:t>
      </w:r>
      <w:r>
        <w:rPr>
          <w:rStyle w:val="FootnoteAnchor"/>
          <w:rtl w:val="true"/>
        </w:rPr>
        <w:footnoteReference w:id="23"/>
      </w:r>
      <w:r>
        <w:rPr>
          <w:rFonts w:ascii="Amiri" w:hAnsi="Amiri" w:eastAsia="Amiri" w:cs="Amiri"/>
          <w:color w:val="111111"/>
          <w:sz w:val="28"/>
          <w:sz w:val="28"/>
          <w:szCs w:val="28"/>
          <w:rtl w:val="true"/>
          <w:lang w:bidi="ar-SA"/>
        </w:rPr>
        <w:t>، و المظفر بن محمد الخراساني</w:t>
      </w:r>
      <w:r>
        <w:rPr>
          <w:rStyle w:val="FootnoteAnchor"/>
          <w:rtl w:val="true"/>
        </w:rPr>
        <w:footnoteReference w:id="24"/>
      </w:r>
      <w:r>
        <w:rPr>
          <w:rFonts w:ascii="IRNazanin" w:hAnsi="IRNazanin" w:eastAsia="IRNazanin"/>
          <w:color w:val="111111"/>
          <w:sz w:val="28"/>
          <w:sz w:val="28"/>
          <w:szCs w:val="28"/>
          <w:rtl w:val="true"/>
          <w:lang w:bidi="fa-IR"/>
        </w:rPr>
        <w:t>، و محمد بن بشر</w:t>
      </w:r>
      <w:r>
        <w:rPr>
          <w:rStyle w:val="FootnoteAnchor"/>
          <w:rtl w:val="true"/>
        </w:rPr>
        <w:footnoteReference w:id="25"/>
      </w:r>
      <w:r>
        <w:rPr>
          <w:rFonts w:ascii="Amiri" w:hAnsi="Amiri" w:eastAsia="Amiri" w:cs="Amiri"/>
          <w:color w:val="111111"/>
          <w:sz w:val="28"/>
          <w:sz w:val="28"/>
          <w:szCs w:val="28"/>
          <w:rtl w:val="true"/>
          <w:lang w:bidi="ar-SA"/>
        </w:rPr>
        <w:t>، و ترجمة الكشي</w:t>
      </w:r>
      <w:r>
        <w:rPr>
          <w:rStyle w:val="FootnoteAnchor"/>
          <w:rtl w:val="true"/>
        </w:rPr>
        <w:footnoteReference w:id="2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2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أجد الى الآن استعمال الغلام في كتب الرجال في غير التلميذ، و يظهر ذلك من غير كتب الرجال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كشف الغمة في جملة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بعلي بن أبي حمزة البطائني و كان تلميذا لأبي بصير فجعل يوصيه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أصحبه منذ</w:t>
      </w:r>
      <w:r>
        <w:rPr>
          <w:rStyle w:val="FootnoteAnchor"/>
          <w:rtl w:val="true"/>
        </w:rPr>
        <w:footnoteReference w:id="28"/>
      </w:r>
      <w:r>
        <w:rPr>
          <w:rFonts w:ascii="Amiri" w:hAnsi="Amiri" w:eastAsia="Amiri" w:cs="Amiri"/>
          <w:color w:val="111111"/>
          <w:sz w:val="28"/>
          <w:sz w:val="28"/>
          <w:szCs w:val="28"/>
          <w:rtl w:val="true"/>
          <w:lang w:bidi="ar-SA"/>
        </w:rPr>
        <w:t>ثم يتخطاني بحوائجه الى بعض غلماني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مجمع البيان</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الغلام اسم المذكر أول ما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يستعمل في التلميذ، فيقال غلام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التصحيف الواقع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صاحب المجمع في تفسيره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غلام بين الغلومة و الغلومية، و هو الشاب من الناس، و الغلمة و الاغتلام شدة طلب النكاح، و سمي الغلام غلاما؛ لأنه في حال يطلب في مثلها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غلام مراهق إذا قارب أن يغشاه حال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بين التعاريف اللفظية من الفرق،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للذكر أول ما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يستعمل في التلميذ فيقال غلام، فغلب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5042_154781"/>
    </w:p>
    <w:p>
      <w:pPr>
        <w:pStyle w:val="BookText"/>
        <w:rPr/>
      </w:pPr>
      <w:bookmarkEnd w:id="21"/>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بمعنى التلميذ إنما هو إذا أضيف، و أما إذا استعمل من غير اضافة فاللازم حمله على الذكر أول ما يبلغ، لعدم تمامية معنى التلميذ من غير إضافة</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اللفظة بنفسها لا تدلّ على مدح و لا قدح كلفظ الصاحب، و إنما يمكن استفادة مدح ما من كون من تأدّب عليه أو صاحبه من أهل التقى و الصلاح، سيما إذا كانت الصحبة و التلمّذ طويلة، و هكذا العكس لو كان من تلمذ على يده أو صاحبه مذموما</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03247_2142443653"/>
      <w:bookmarkStart w:id="23" w:name="_Toc8"/>
      <w:bookmarkEnd w:id="22"/>
      <w:r>
        <w:rPr>
          <w:rtl w:val="true"/>
        </w:rPr>
        <w:t>منها</w:t>
      </w:r>
      <w:r>
        <w:rPr>
          <w:rtl w:val="true"/>
        </w:rPr>
        <w:t xml:space="preserve">: </w:t>
      </w:r>
      <w:r>
        <w:rPr>
          <w:rtl w:val="true"/>
        </w:rPr>
        <w:t>الشاعر</w:t>
      </w:r>
      <w:bookmarkEnd w:id="2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فإنه لا يدلّ على مدح و لا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ورود ذم الشعر في الأخبار لا يدلّ على ذم الشاعر بعد تقييد ذلك بالباطل من الشعر دون ما تضمن حكمة أو وعظا أو أحكاما أو رثاء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ثم أنه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قولهم أديب و عارف باللغة أو النحو و أمثالهما هل هو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دخل في قوة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دخل في قوة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شيء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عدم قصوره عن الثاني مع احتمال كونه من الأول، و لعل مثل القارئ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كلامه أعلى اللّه مقامه و لا يخفى ما فيه، و لعل أمره بالتأمل في آخره يومي الى ما أردنا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أريب، 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عارف باللغة و النحو، نجيب، لا يفيد الحديث حسنا و لا قوة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5042_154782"/>
    </w:p>
    <w:p>
      <w:pPr>
        <w:pStyle w:val="Heading4"/>
        <w:numPr>
          <w:ilvl w:val="3"/>
          <w:numId w:val="1"/>
        </w:numPr>
        <w:rPr/>
      </w:pPr>
      <w:bookmarkStart w:id="25" w:name="__RefHeading___Toc403249_2142443653"/>
      <w:bookmarkStart w:id="26" w:name="_Toc9"/>
      <w:bookmarkEnd w:id="24"/>
      <w:bookmarkEnd w:id="25"/>
      <w:r>
        <w:rPr>
          <w:rtl w:val="true"/>
        </w:rPr>
        <w:t>منها</w:t>
      </w:r>
      <w:r>
        <w:rPr>
          <w:rtl w:val="true"/>
        </w:rPr>
        <w:t xml:space="preserve">: </w:t>
      </w:r>
      <w:r>
        <w:rPr>
          <w:rtl w:val="true"/>
        </w:rPr>
        <w:t>كوفي</w:t>
      </w:r>
      <w:bookmarkEnd w:id="26"/>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فإني وجدت بعض القاصرين يزعم دلالته على نوع ذم، و لم أفهم له وجها</w:t>
      </w:r>
      <w:r>
        <w:rPr>
          <w:rStyle w:val="FootnoteAnchor"/>
          <w:rtl w:val="true"/>
        </w:rPr>
        <w:footnoteReference w:id="32"/>
      </w:r>
      <w:r>
        <w:rPr>
          <w:rFonts w:ascii="Amiri" w:hAnsi="Amiri" w:eastAsia="Amiri" w:cs="Amiri"/>
          <w:color w:val="111111"/>
          <w:sz w:val="28"/>
          <w:sz w:val="28"/>
          <w:szCs w:val="28"/>
          <w:rtl w:val="true"/>
          <w:lang w:bidi="ar-SA"/>
        </w:rPr>
        <w:t>، و لا به من أهل الدراية و الرجال قائل، و لا له في شيء من الكتب و على لسان الشيوخ شاهد، و إنما مثل اللفظة مثل بغدادي و حجازي و مدني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w:t>
      </w:r>
      <w:r>
        <w:rPr>
          <w:rStyle w:val="FootnoteAnchor"/>
          <w:rtl w:val="true"/>
        </w:rPr>
        <w:footnoteReference w:id="33"/>
      </w:r>
      <w:r>
        <w:rPr>
          <w:rFonts w:ascii="Amiri" w:hAnsi="Amiri" w:eastAsia="Amiri" w:cs="Amiri"/>
          <w:color w:val="111111"/>
          <w:sz w:val="28"/>
          <w:sz w:val="28"/>
          <w:szCs w:val="28"/>
          <w:rtl w:val="true"/>
          <w:lang w:bidi="ar-SA"/>
        </w:rPr>
        <w:t>، و لقد راجعت استاذ الفن اليوم الشيخ الورع الزكي الشيخ علي الخاقاني فوجدته كما أقول مخطّئا للزعم المذكور، و لعل منشأ زعم البعض ما ورد في ذمّ أهل الكوفة من أنهم أهل نفاق و غدر</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يعارضه روايات مادحة لأهل الكوفة كثيرة تجدها في أول تاريخ الكوفة و غيره، منها ما ذكره الشيخ الطوسي في 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و في البحار المجلد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بإسنادهم عن عبد اللّه بن الوليد قال دخلنا على أبي عبد اللّه عليه السّلام في زمن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البلدان أكثر محبا لنا من أهل الكوفة، لا سيما هذه العصابة، إن اللّه هداكم لأمر جهله الناس، فاحببتمونا و أبغضنا الناس، و تابعتمونا و خالفنا الناس، و صدّقتمونا و كذّبنا الناس، فأحياكم اللّه محيانا، و أماتكم مماتنا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سيما، هذه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حملة الآثار و نقاد الأخبار من الشيعة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بأن</w:t>
      </w:r>
      <w:bookmarkStart w:id="27" w:name="pg15042_154783"/>
    </w:p>
    <w:p>
      <w:pPr>
        <w:pStyle w:val="BookText"/>
        <w:rPr/>
      </w:pPr>
      <w:bookmarkEnd w:id="27"/>
      <w:r>
        <w:rPr>
          <w:rFonts w:ascii="Amiri" w:hAnsi="Amiri" w:eastAsia="Amiri" w:cs="Amiri"/>
          <w:color w:val="111111"/>
          <w:sz w:val="28"/>
          <w:sz w:val="28"/>
          <w:szCs w:val="28"/>
          <w:rtl w:val="true"/>
          <w:lang w:bidi="ar-SA"/>
        </w:rPr>
        <w:t>ذلك أجنبي عن المقام، و إنما غرضنا عدم تقرر اصطلاح خاص لأهل الرجال في هذه اللفظة</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403251_2142443653"/>
      <w:bookmarkStart w:id="29" w:name="_Toc10"/>
      <w:bookmarkEnd w:id="28"/>
      <w:r>
        <w:rPr>
          <w:rtl w:val="true"/>
        </w:rPr>
        <w:t>منها</w:t>
      </w:r>
      <w:r>
        <w:rPr>
          <w:rtl w:val="true"/>
        </w:rPr>
        <w:t xml:space="preserve">: </w:t>
      </w:r>
      <w:r>
        <w:rPr>
          <w:rtl w:val="true"/>
        </w:rPr>
        <w:t>القطعي</w:t>
      </w:r>
      <w:bookmarkEnd w:id="29"/>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 سكون الطاء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إيضاح الاشتباه للعلامة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بفتح القاف، كما عن ولده في الهامش، يراد به كل من قطع بموت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إيضاح الاشتباه في ترجمة الحسين بن الفرزدق</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من قطع بموت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قطعيا</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دلالة في هذه اللفظة على مدح و لا قدح، و إنما تدلّ على عدم الوقف و كونه اثنى عشريا، إذ لا وقف لمن قال به، فإن من قال به قال بما بعده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30" w:name="pg15042_154784"/>
    </w:p>
    <w:p>
      <w:pPr>
        <w:pStyle w:val="Heading4"/>
        <w:numPr>
          <w:ilvl w:val="3"/>
          <w:numId w:val="1"/>
        </w:numPr>
        <w:rPr/>
      </w:pPr>
      <w:bookmarkStart w:id="31" w:name="__RefHeading___Toc403253_2142443653"/>
      <w:bookmarkStart w:id="32" w:name="_Toc11"/>
      <w:bookmarkEnd w:id="30"/>
      <w:bookmarkEnd w:id="31"/>
      <w:r>
        <w:rPr>
          <w:rtl w:val="true"/>
        </w:rPr>
        <w:t>منها</w:t>
      </w:r>
      <w:r>
        <w:rPr>
          <w:rtl w:val="true"/>
        </w:rPr>
        <w:t xml:space="preserve">: </w:t>
      </w:r>
      <w:r>
        <w:rPr>
          <w:rtl w:val="true"/>
        </w:rPr>
        <w:t>له اصل</w:t>
      </w:r>
      <w:bookmarkEnd w:id="32"/>
    </w:p>
    <w:p>
      <w:pPr>
        <w:pStyle w:val="Heading5"/>
        <w:numPr>
          <w:ilvl w:val="4"/>
          <w:numId w:val="1"/>
        </w:numPr>
        <w:rPr/>
      </w:pPr>
      <w:bookmarkStart w:id="33" w:name="__RefHeading___Toc403255_2142443653"/>
      <w:bookmarkStart w:id="34" w:name="_Toc12"/>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و له نوادر</w:t>
      </w:r>
      <w:r>
        <w:rPr>
          <w:rStyle w:val="FootnoteAnchor"/>
          <w:rtl w:val="true"/>
        </w:rPr>
        <w:footnoteReference w:id="37"/>
      </w:r>
      <w:r>
        <w:rPr>
          <w:rFonts w:ascii="Amiri" w:hAnsi="Amiri" w:eastAsia="Amiri" w:cs="Amiri"/>
          <w:color w:val="111111"/>
          <w:sz w:val="28"/>
          <w:sz w:val="28"/>
          <w:szCs w:val="28"/>
          <w:rtl w:val="true"/>
          <w:lang w:bidi="ar-SA"/>
        </w:rPr>
        <w:t>، و له مصنف، فإن شيئا من ذلك لا يدلّ على المدح عند المحققين</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 w:name="__RefHeading___Toc403257_2142443653"/>
      <w:bookmarkStart w:id="36" w:name="_Toc13"/>
      <w:bookmarkEnd w:id="35"/>
      <w:r>
        <w:rPr>
          <w:rtl w:val="true"/>
        </w:rPr>
        <w:t>بحث في الاصول الأربعمائة</w:t>
      </w:r>
      <w:bookmarkEnd w:id="36"/>
    </w:p>
    <w:p>
      <w:pPr>
        <w:pStyle w:val="BookText"/>
        <w:rPr/>
      </w:pPr>
      <w:r>
        <w:rPr>
          <w:rFonts w:ascii="Amiri" w:hAnsi="Amiri" w:eastAsia="Amiri" w:cs="Amiri"/>
          <w:color w:val="111111"/>
          <w:sz w:val="28"/>
          <w:sz w:val="28"/>
          <w:szCs w:val="28"/>
          <w:rtl w:val="true"/>
          <w:lang w:bidi="ar-SA"/>
        </w:rPr>
        <w:t>و توضيح المقال في هذا المجال يستدعي الكلام في موضعين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ما وقفنا عليه من معاني مفرداتها مع النسبة بين بعضها مع بعض،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المعروف في السنة العلماء بل كتبهم أن الأصول الأربعمائة جمعت في عهد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قال الشهيد في الذكرى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كتبت من أجوبة الإمام الصادق عليه السّلام أربعمائة مصنف لأربعمائة مصنف، و دون من رجاله المعروفين أربعة آلاف رجل، و نظيره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سبقه ثاني الشهيدين في درايته، و قال المحقق الداماد في الراشحة التاسعة و العشرين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الأصول أربعمائة مصنف لأربعمائة مصنف من رجال أبي عبد اللّه الصادق عليه السّلام، بل و في مجالس السماع و الرواية عنه و رجاله زهاء أربعة آلاف رجل و كتبهم و مصنفاتهم كثيرة، إلا أن ما استقر الأمر على اعتبارها و التعويل عليها و تسميتها بالأصول هذه الأربعمائة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الخوئي في معجمه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ذلك هو الشيخ المفيد قدس سره، و تبعه على ذلك ابن شهرآشوب و غيره، و أما ابن عقدة فهو و إن نسب إليه أنه عدّد أصحاب الصادق عليه السّلام أربعة آلاف، و ذكر لكل واحد منهم حديثا، إلا أنه لم ينسب إليه توثيقهم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المحدث النوري إن التوثيق إنما هو من ابن عقدة، و لكنه باطل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الأصول الأربعمائة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 xml:space="preserve">عهد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آخر، أو في عهد الصادق 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الطبرسي في اعلام الورى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مشهوري أهل العلم أربعة آلاف إنسان، و صنف من جواباته في المسائل أربعمائة كتاب معروفة تسمى الأصول رواها أصحابه و أصحاب ابنه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حكى الوحيد في فوائد التعليقة عن ابن شهرآشوب أنه في معالمه</w:t>
      </w:r>
      <w:r>
        <w:rPr>
          <w:rStyle w:val="FootnoteAnchor"/>
          <w:rtl w:val="true"/>
        </w:rPr>
        <w:footnoteReference w:id="41"/>
      </w:r>
      <w:r>
        <w:rPr>
          <w:rFonts w:ascii="Amiri" w:hAnsi="Amiri" w:eastAsia="Amiri" w:cs="Amiri"/>
          <w:color w:val="111111"/>
          <w:sz w:val="28"/>
          <w:sz w:val="28"/>
          <w:szCs w:val="28"/>
          <w:rtl w:val="true"/>
          <w:lang w:bidi="ar-SA"/>
        </w:rPr>
        <w:t xml:space="preserve">نقل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أن الإمامية صنفوا من عهد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زمان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كتاب تسمى الأصول</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قال في معين النبيه في بيان رجال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الأصول القديمة التي جمعها القدماء من علمائنا من زمن أمير المؤمنين عليه السّلام إلى زمن الصاحب عليه السّلام بأمرهم، و منها ما قد عرض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من سبر الأقوال وجد اختلافا كبيرا في زمن تأليف الأصول، ما بين ساكت عن تحديد الزمن لذلك كثاني الشهيدين في درايته، أو حاصر له بزمان الإمام الصادق عليه السّلام غالبا أو خصوص زمن الصادقين عليهما السّلام، أو الإمام الصادق و الكاظم عليهما السّلام، أو معمم له من زمن الإمام أمير المؤمنين عليه السّلام إلى زمان العسكري كالشيخ المفيد و صاحب معين النبيه و الذريعة و الأعيان و غيرهم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فلا ينبغي الريب في مغايرة الأصل للكتاب، لأنك تراهم كثيرا ما يقولون في حق راوي أن له أصلا و له كتابا، ألا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ترى الى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زكريا بن يحيى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الفضائل، و له أصل</w:t>
      </w:r>
      <w:r>
        <w:rPr>
          <w:rStyle w:val="FootnoteAnchor"/>
          <w:rtl w:val="true"/>
        </w:rPr>
        <w:footnoteReference w:id="44"/>
      </w:r>
      <w:r>
        <w:rPr>
          <w:rFonts w:ascii="Amiri" w:hAnsi="Amiri" w:eastAsia="Amiri" w:cs="Amiri"/>
          <w:color w:val="111111"/>
          <w:sz w:val="28"/>
          <w:sz w:val="28"/>
          <w:szCs w:val="28"/>
          <w:rtl w:val="true"/>
          <w:lang w:bidi="ar-SA"/>
        </w:rPr>
        <w:t>؟ فلو كان الكتاب و الأصل شيئا واحدا لم يتم ذلك، و أيضا فتراهم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كتب أو كتابان، و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أصول أو أصلان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فإن مصنفاتهم و كتبهم أزيد من أربعمائة </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فإن أهل الرجال قد ذكروا لابن أبي عمير أربعة و تسعين كتابا</w:t>
      </w:r>
      <w:r>
        <w:rPr>
          <w:rStyle w:val="FootnoteAnchor"/>
          <w:rtl w:val="true"/>
        </w:rPr>
        <w:footnoteReference w:id="46"/>
      </w:r>
      <w:r>
        <w:rPr>
          <w:rFonts w:ascii="Amiri" w:hAnsi="Amiri" w:eastAsia="Amiri" w:cs="Amiri"/>
          <w:color w:val="111111"/>
          <w:sz w:val="28"/>
          <w:sz w:val="28"/>
          <w:szCs w:val="28"/>
          <w:rtl w:val="true"/>
          <w:lang w:bidi="ar-SA"/>
        </w:rPr>
        <w:t>، و لعلي بن مهزيار خمسة و ثلاثين كتابا</w:t>
      </w:r>
      <w:r>
        <w:rPr>
          <w:rStyle w:val="FootnoteAnchor"/>
          <w:rtl w:val="true"/>
        </w:rPr>
        <w:footnoteReference w:id="47"/>
      </w:r>
      <w:r>
        <w:rPr>
          <w:rFonts w:ascii="Amiri" w:hAnsi="Amiri" w:eastAsia="Amiri" w:cs="Amiri"/>
          <w:color w:val="111111"/>
          <w:sz w:val="28"/>
          <w:sz w:val="28"/>
          <w:szCs w:val="28"/>
          <w:rtl w:val="true"/>
          <w:lang w:bidi="ar-SA"/>
        </w:rPr>
        <w:t>، و للفضل بن شاذان مائة و ثمانين كتابا</w:t>
      </w:r>
      <w:r>
        <w:rPr>
          <w:rStyle w:val="FootnoteAnchor"/>
          <w:rtl w:val="true"/>
        </w:rPr>
        <w:footnoteReference w:id="48"/>
      </w:r>
      <w:r>
        <w:rPr>
          <w:rFonts w:ascii="Amiri" w:hAnsi="Amiri" w:eastAsia="Amiri" w:cs="Amiri"/>
          <w:color w:val="111111"/>
          <w:sz w:val="28"/>
          <w:sz w:val="28"/>
          <w:szCs w:val="28"/>
          <w:rtl w:val="true"/>
          <w:lang w:bidi="ar-SA"/>
        </w:rPr>
        <w:t>، و ليونس بن عبد الرحمن أكثر من ثلاثمائة كتاب</w:t>
      </w:r>
      <w:r>
        <w:rPr>
          <w:rStyle w:val="FootnoteAnchor"/>
          <w:rtl w:val="true"/>
        </w:rPr>
        <w:footnoteReference w:id="49"/>
      </w:r>
      <w:r>
        <w:rPr>
          <w:rFonts w:ascii="Amiri" w:hAnsi="Amiri" w:eastAsia="Amiri" w:cs="Amiri"/>
          <w:color w:val="111111"/>
          <w:sz w:val="28"/>
          <w:sz w:val="28"/>
          <w:szCs w:val="28"/>
          <w:rtl w:val="true"/>
          <w:lang w:bidi="ar-SA"/>
        </w:rPr>
        <w:t>، و لمحمد بن أحمد بن إبراهيم ما يزيد على سبعين كتابا</w:t>
      </w:r>
      <w:r>
        <w:rPr>
          <w:rStyle w:val="FootnoteAnchor"/>
          <w:rtl w:val="true"/>
        </w:rPr>
        <w:footnoteReference w:id="50"/>
      </w:r>
      <w:r>
        <w:rPr>
          <w:rFonts w:ascii="Amiri" w:hAnsi="Amiri" w:eastAsia="Amiri" w:cs="Amiri"/>
          <w:color w:val="111111"/>
          <w:sz w:val="28"/>
          <w:sz w:val="28"/>
          <w:szCs w:val="28"/>
          <w:rtl w:val="true"/>
          <w:lang w:bidi="ar-SA"/>
        </w:rPr>
        <w:t>، فهذه أزيد من ستمائة و تسعة و سبعين كتابا لخمسة أنفار، فكيف بالبقية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وجه لتسمية بعضها أصولا دون </w:t>
      </w:r>
      <w:bookmarkStart w:id="37" w:name="pg15042_154788"/>
    </w:p>
    <w:p>
      <w:pPr>
        <w:pStyle w:val="BookText"/>
        <w:rPr/>
      </w:pPr>
      <w:bookmarkEnd w:id="37"/>
      <w:r>
        <w:rPr>
          <w:rFonts w:ascii="Amiri" w:hAnsi="Amiri" w:eastAsia="Amiri" w:cs="Amiri"/>
          <w:color w:val="111111"/>
          <w:sz w:val="28"/>
          <w:sz w:val="28"/>
          <w:szCs w:val="28"/>
          <w:rtl w:val="true"/>
          <w:lang w:bidi="ar-SA"/>
        </w:rPr>
        <w:t>البواقي، و في وجه الفرق أقوال</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403259_2142443653"/>
      <w:bookmarkStart w:id="39" w:name="_Toc14"/>
      <w:bookmarkEnd w:id="38"/>
      <w:r>
        <w:rPr>
          <w:rtl w:val="true"/>
        </w:rPr>
        <w:t>الفرق بين له اصل و له كتاب</w:t>
      </w:r>
      <w:bookmarkEnd w:id="3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المولى الوحيد عن قائل لم يسمه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ما كان مجرد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الكتاب ما فيه كلام مصنفه أيضا</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الأصول الأربعمائة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ذلك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الكتاب يطلق على الأصل أيضا، فهو أعمّ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كثيرا من الأصول فيه كلام مصنفه، و كثيرا من الكتب ليس فيه ككتاب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المولى الوحيد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الغرض بيان الفرق بين الكتاب الذي ليس بأصل و مذكور في مقابله، و بين الكتاب الذي هو أصل، و بيان سبب قصر تسميتهم الأصل في الأربعمائة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مجرد دعوى لا يخفى بعدها على المطلع على أحوال الأصول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ادعي ندرة وجود كلام المصنف فيها لم تكن </w:t>
      </w:r>
    </w:p>
    <w:p>
      <w:pPr>
        <w:pStyle w:val="BookText"/>
        <w:rPr/>
      </w:pP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يضر القائل، و من أين ثبت أن كتاب سليم بن قيس من الأصول؟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هذا مع أن المستشكل لم يدع كون كتاب سليم بن قيس من الأصول، بل الظاهر أنه مسلم عنده أنه ليس منها، و ما ذكره ضابط للأصل ينطبق عليه،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نوح من أن الأصول رتبت ترتيبا خاصا دون الكتاب</w:t>
      </w:r>
      <w:r>
        <w:rPr>
          <w:rStyle w:val="FootnoteAnchor"/>
          <w:rtl w:val="true"/>
        </w:rPr>
        <w:footnoteReference w:id="53"/>
      </w:r>
      <w:r>
        <w:rPr>
          <w:rFonts w:ascii="Amiri" w:hAnsi="Amiri" w:eastAsia="Amiri" w:cs="Amiri"/>
          <w:color w:val="111111"/>
          <w:sz w:val="28"/>
          <w:sz w:val="28"/>
          <w:szCs w:val="28"/>
          <w:rtl w:val="true"/>
          <w:lang w:bidi="ar-SA"/>
        </w:rPr>
        <w:t>، و هذا مجمل، فإن أراد أن للأصول ترتيبا خاصا على حسب نظر صاحبه،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أغلب الكتب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أن لها ترتيبا خاصا لا يتعداه الكل، فليبيّن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حكاه الوحيد عن بعضهم من أن الكتاب ما كان مبوبا و مفصلا، و الأصل مجمع أخبار و آثار</w:t>
      </w:r>
      <w:r>
        <w:rPr>
          <w:rStyle w:val="FootnoteAnchor"/>
          <w:rtl w:val="true"/>
        </w:rPr>
        <w:footnoteReference w:id="54"/>
      </w:r>
      <w:r>
        <w:rPr>
          <w:rFonts w:ascii="Amiri" w:hAnsi="Amiri" w:eastAsia="Amiri" w:cs="Amiri"/>
          <w:color w:val="111111"/>
          <w:sz w:val="28"/>
          <w:sz w:val="28"/>
          <w:szCs w:val="28"/>
          <w:rtl w:val="true"/>
          <w:lang w:bidi="ar-SA"/>
        </w:rPr>
        <w:t>، و ردّ بأن كثيرا من الأصول مبوبة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مع كونه من الأصول بلا ريب، و لاحظ ترجمة سعد بن سعد الأحوص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إن بل من الكتب ما هو غير مبوب كما قال النجاشي في ترجمة الشيخ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العلل غير مبوب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الأصول هي التي أخذت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مشافهة و دوّنت من غير واسطة راو، و غيرها أخذ منها، فهي أصل باعتبار أن غيرها أخذ منها</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قد عد الشيخ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حريز بن عبد اللّه أصلا مع أنه لم يسمع من الصادق عليه السّلام مشافهة الا حديثين، كما حكاه المصنف رحمه اللّه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سابقه، و به فسر الأصل العلامة الطباطبائي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اصطلاح المحدثين من أصحابنا ما بمعنى الكتاب المعتمد الذي لم ينتزع من كتاب آخر، و ليس بمعنى مطلق الكتاب</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للمتقدمين تصريح فلا معنى لهذا النزاع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كون كتاب معتمدا لا ينافي ضعف المؤلف أو عدم توثيقه، و كفى بذلك شاهدا ما ورد في بني فضال و الواقفة و جملة من العامة كالسكوني و النوفلي و نوح بن دراج و غياث بن كلوب و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الشيخ في أول الفهرست و حكاه غير واحد كالقهپائي في مجمع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من مصنفي أصحابنا و أصحاب الأصول ينتحلون المذاهب الفاسدة و إن كانت كتبهم معتبرة، فتدبر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جعله المولى الوحيد قريبا في نظره</w:t>
      </w:r>
      <w:r>
        <w:rPr>
          <w:rStyle w:val="FootnoteAnchor"/>
          <w:rtl w:val="true"/>
        </w:rPr>
        <w:footnoteReference w:id="59"/>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هو الكتاب الذي جمع فيه مصنفه الأحاديث التي رواها عن المعصوم أو عن الراوي، و الكتاب و المصنف لو كان فيهما حديث معتمد لكان مأخوذا من الأصل غالبا،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قيدنا بالغالب، لأنه ربّما كان بعض الروايات و قليلها يصل معنعنا و لا يؤخذ من أصل، و بوجود مثل هذا فيه لا يصير أصلا</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و قريب منه ما ذهب إليه المولى عناية اللّه القهپائي في مجمع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فالأصل مجمع عبارات الحجة عليه السّلام، و الكتاب يشتمل عليه و على الاستدلالات و الاستنباطات شرعا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يخفى ما فيه لما ذكرنا، و للزوم كون كل ما صنفه في عهدهم عليهم السّلام أصلا، و هو مخالف لظاهر كلامهم في عدّ بعض كتبهم أصولا، بل بعضها مع عرضه على المعصوم عليه السّلام و تصديقه و إمضاء له و مع ذلك لا يقال له إنه أصل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على بعض مصنفات القدماء التي عرّفت بأنها كتاب و مع ذلك لا يوجد فيها أي استدلال و لا استنباط للأحكام، بل فيها صرف سرد الأحاديث و النصوص خاصة، و مع ذلك لم يعبر عنها بأنها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الأقوال في الأصل و حصيلة البحث</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جعل بعض من عاصرناه من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مرجع هذه الأقوال جميعا الى أمر واحد خصوصا في تفسير الأصل، و جعل المتحصل أن الأصل مجمع أخبار و آثار جمعت لأجل الضبط و التحفظ عن الضياع لنسيان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ليرجع الجامع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في مقام الحاجة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الغرض منه ذلك لم ينقل فيه في الغالب ما كتب في أصل أو كتاب آخر لتحفّظه هناك، و لم يكن فيه من كلام الجامع أو غيره إلا قليل ممّا يتعلّق بأصل المقصود، و هذا بخلاف الكتاب، إذ الغرض به</w:t>
      </w:r>
      <w:r>
        <w:rPr>
          <w:rStyle w:val="FootnoteAnchor"/>
          <w:rtl w:val="true"/>
        </w:rPr>
        <w:footnoteReference w:id="6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تحقيق الحال في مسألة، و منها سهولة الأمر على الرّاجع إليه في مقام العمل فيأخذ منه ما يحتاج إليه، و لذا ينقل فيه من كتاب أو أصل آخر ما يتعلّق بذلك و يبوّب و يفصّل، و يذكر فيه من كلام الجامع ما يتعلّق برد و إثبات و تقييد و تخصيص و توضيح و بيان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يتعلّق بالغرض المزبور، و نظير القسمين</w:t>
      </w:r>
      <w:r>
        <w:rPr>
          <w:rStyle w:val="FootnoteAnchor"/>
          <w:rtl w:val="true"/>
        </w:rPr>
        <w:footnoteReference w:id="63"/>
      </w:r>
      <w:r>
        <w:rPr>
          <w:rFonts w:ascii="Amiri" w:hAnsi="Amiri" w:eastAsia="Amiri" w:cs="Amiri"/>
          <w:color w:val="111111"/>
          <w:sz w:val="28"/>
          <w:sz w:val="28"/>
          <w:szCs w:val="28"/>
          <w:rtl w:val="true"/>
          <w:lang w:bidi="ar-SA"/>
        </w:rPr>
        <w:t>موجود في زماننا أيضا، فمرّة نكتب في أوراق أو مجموعة ما نسمعه من صريح كلام فاضل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أو نستنبطه من فحواه أو إشاراته، أو نلتفت إليه بأفكارنا و سيرنا في المطالب، سواء كان ذلك مطلبا مستقلا أو دليلا على مطلب، أو إيرادا أو نقضا على خيال، أو نكتة</w:t>
      </w:r>
      <w:r>
        <w:rPr>
          <w:rStyle w:val="FootnoteAnchor"/>
          <w:rtl w:val="true"/>
        </w:rPr>
        <w:footnoteReference w:id="64"/>
      </w:r>
      <w:r>
        <w:rPr>
          <w:rFonts w:ascii="Amiri" w:hAnsi="Amiri" w:eastAsia="Amiri" w:cs="Amiri"/>
          <w:color w:val="111111"/>
          <w:sz w:val="28"/>
          <w:sz w:val="28"/>
          <w:szCs w:val="28"/>
          <w:rtl w:val="true"/>
          <w:lang w:bidi="ar-SA"/>
        </w:rPr>
        <w:t>و دقيقة أو سرّا أو علّة المقصود</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فنسرع الى جمعه في مقام ليكون محفوظا الى وقت الحاجة، و ربما ننقل فيه من كتاب وقفنا عليه مع زعم صعوبة وصولنا إليه بعد ذلك،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تصنيفا لتحقيق مطالب و مقاصد بالاستدلال الكامل أو غيره، أو لجمع مهمّات المطالب برجوع الغير إليه كما في الرّسائل العمليّة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أو تأليفا لجمع ما شتت من أخبار أو لغة أو رجال أو حكايات لغرض سهولة الأمر على الرّاجع، و كفايته بمقصوده كان من المستنبطين أو الوعاظ، أو الزهّاد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فالقسم الأوّل كالأصل، و الثّاني كغيره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يؤيّد ما ذكرناه بعد ما سمعت من تصريح الجماعة أنّه لم نقف في التراجم على أن يقال لفلان أصلان أو </w:t>
      </w:r>
      <w:bookmarkStart w:id="40" w:name="pg15042_154794"/>
    </w:p>
    <w:p>
      <w:pPr>
        <w:pStyle w:val="BookText"/>
        <w:rPr/>
      </w:pPr>
      <w:bookmarkEnd w:id="40"/>
      <w:r>
        <w:rPr>
          <w:rFonts w:ascii="Amiri" w:hAnsi="Amiri" w:eastAsia="Amiri" w:cs="Amiri"/>
          <w:color w:val="111111"/>
          <w:sz w:val="28"/>
          <w:sz w:val="28"/>
          <w:szCs w:val="28"/>
          <w:rtl w:val="true"/>
          <w:lang w:bidi="ar-SA"/>
        </w:rPr>
        <w:t>أصول، أو مع الوصف بالكثرة، و كذا أنّ له أصلا في كذا، و هذا كلّه بخلاف الكتاب و المصنّف لمكان الدّواعي الى تكثرهما، و جعل كل قسم في مطلب أو باب من العلم بخلاف الأصل، فكلّما وصل إليه من الأخبار و عنده أنّه ليس بمكتوب و محفوظ، أو أنّه مكتوب فيما لا تصل الأيادي إليه</w:t>
      </w:r>
      <w:r>
        <w:rPr>
          <w:rStyle w:val="FootnoteAnchor"/>
          <w:rtl w:val="true"/>
        </w:rPr>
        <w:footnoteReference w:id="66"/>
      </w:r>
      <w:r>
        <w:rPr>
          <w:rFonts w:ascii="Amiri" w:hAnsi="Amiri" w:eastAsia="Amiri" w:cs="Amiri"/>
          <w:color w:val="111111"/>
          <w:sz w:val="28"/>
          <w:sz w:val="28"/>
          <w:szCs w:val="28"/>
          <w:rtl w:val="true"/>
          <w:lang w:bidi="ar-SA"/>
        </w:rPr>
        <w:t>يكتبه في مجموعة واحدة، و لعدم اتحاد</w:t>
      </w:r>
      <w:r>
        <w:rPr>
          <w:rStyle w:val="FootnoteAnchor"/>
          <w:rtl w:val="true"/>
        </w:rPr>
        <w:footnoteReference w:id="67"/>
      </w:r>
      <w:r>
        <w:rPr>
          <w:rFonts w:ascii="Amiri" w:hAnsi="Amiri" w:eastAsia="Amiri" w:cs="Amiri"/>
          <w:color w:val="111111"/>
          <w:sz w:val="28"/>
          <w:sz w:val="28"/>
          <w:szCs w:val="28"/>
          <w:rtl w:val="true"/>
          <w:lang w:bidi="ar-SA"/>
        </w:rPr>
        <w:t>ما فيه مقصدا لا يقال له إنّه في كذا</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ثبوتا صحيح، إلاّ أنّا نجد في مقام الإثبات أن كثيرا من الموارد يعبّر عن الأصل بالكتاب، بل قلّ ما يعبّر عنه بكونه أصلا كما في قول الشّيخ رحمه اللّه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بن يسار له كتاب عنه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عنه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ما ورد في ترجمة بشر بن سلمة حيث قال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عنه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قال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عنه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ترجمة الحسن بن رباط في 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و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الرّباطي، و لا شك بكون كتاب عليّ بن جعفر أصلا عندهم و مع هذا تجدهم عبّروا عنه بأنه 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 w:name="__RefHeading___Toc403261_2142443653"/>
      <w:bookmarkStart w:id="42" w:name="_Toc15"/>
      <w:bookmarkEnd w:id="41"/>
      <w:r>
        <w:rPr>
          <w:rtl w:val="true"/>
        </w:rPr>
        <w:t>معنى النوادر</w:t>
      </w:r>
      <w:bookmarkEnd w:id="4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أخذ في بيان معنى النوادر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 إن شارك الأصل فيما ذكرناه، إلاّ أنّ المجتمع فيه قليل من الأحاديث الغير المثبتة</w:t>
      </w:r>
      <w:r>
        <w:rPr>
          <w:rStyle w:val="FootnoteAnchor"/>
          <w:rtl w:val="true"/>
        </w:rPr>
        <w:footnoteReference w:id="69"/>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كتاب، فمرّة هي من سنخ واحد، فيقال أنّه من نوادر الصّلاة أو</w:t>
      </w:r>
      <w:r>
        <w:rPr>
          <w:rStyle w:val="FootnoteAnchor"/>
          <w:rtl w:val="true"/>
        </w:rPr>
        <w:footnoteReference w:id="70"/>
      </w:r>
      <w:r>
        <w:rPr>
          <w:rFonts w:ascii="Amiri" w:hAnsi="Amiri" w:eastAsia="Amiri" w:cs="Amiri"/>
          <w:color w:val="111111"/>
          <w:sz w:val="28"/>
          <w:sz w:val="28"/>
          <w:szCs w:val="28"/>
          <w:rtl w:val="true"/>
          <w:lang w:bidi="ar-SA"/>
        </w:rPr>
        <w:t>الزّكاة مثلا، و أخرى من أصناف مختلفة فيقتصر على أنّه</w:t>
      </w:r>
      <w:r>
        <w:rPr>
          <w:rStyle w:val="FootnoteAnchor"/>
          <w:rtl w:val="true"/>
        </w:rPr>
        <w:footnoteReference w:id="71"/>
      </w:r>
      <w:r>
        <w:rPr>
          <w:rFonts w:ascii="Amiri" w:hAnsi="Amiri" w:eastAsia="Amiri" w:cs="Amiri"/>
          <w:color w:val="111111"/>
          <w:sz w:val="28"/>
          <w:sz w:val="28"/>
          <w:szCs w:val="28"/>
          <w:rtl w:val="true"/>
          <w:lang w:bidi="ar-SA"/>
        </w:rPr>
        <w:t>نوادر أو كتاب نوادر،</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للتميز عن الأصل كما صرّح به المولى الوحيد بقوله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النّوادر فالظّاهر إنّه ما اجتمع فيه أحاديث لا تنضبط في باب لقلّته، بأن يكون واحدا أو متعدّدا، لكن يكون قليلا جدّا، و من هذا قولهم في الكتب المتداولة نوادر الصّلاة و نوادر الزّكاة و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المهم ممّا في التّعليقة</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4"/>
      </w:r>
      <w:r>
        <w:rPr>
          <w:rFonts w:ascii="Amiri" w:hAnsi="Amiri" w:eastAsia="Amiri" w:cs="Amiri"/>
          <w:color w:val="111111"/>
          <w:sz w:val="28"/>
          <w:sz w:val="28"/>
          <w:szCs w:val="28"/>
          <w:rtl w:val="true"/>
          <w:lang w:bidi="ar-SA"/>
        </w:rPr>
        <w:t>و أمّا ما ذكره بعضهم من أنّ المراد بالنّوادر ما قلّت روايته و ندر العمل به فهو اشتباه، منشأه جعل النّوادر بمعنى الخبر النّادر الشّاذ المفسّر بذلك</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يردّه وضوح كون جملة من الأخبار المسطورة في باب النوادر شائع الرّواية و العمل، فإنّ ذلك قرينة على أنّ المراد بالنّوادر ما ذكره الوحيد، لا ما ذكره هذا البعض، و يؤيّد ذلك أنّ كتاب نوادر الحكمة للثقة الجليل محمد بن أحمد بن يحيى الأشعري كتاب ممدوح معتمد عليه، مدحه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Style w:val="FootnoteAnchor"/>
          <w:rtl w:val="true"/>
        </w:rPr>
        <w:footnoteReference w:id="75"/>
      </w:r>
      <w:r>
        <w:rPr>
          <w:rFonts w:ascii="Amiri" w:hAnsi="Amiri" w:eastAsia="Amiri" w:cs="Amiri"/>
          <w:color w:val="111111"/>
          <w:sz w:val="28"/>
          <w:sz w:val="28"/>
          <w:szCs w:val="28"/>
          <w:rtl w:val="true"/>
          <w:lang w:bidi="ar-SA"/>
        </w:rPr>
        <w:t xml:space="preserve">، و كذا يؤيّده </w:t>
      </w:r>
      <w:bookmarkStart w:id="43" w:name="pg15042_154796"/>
    </w:p>
    <w:p>
      <w:pPr>
        <w:pStyle w:val="BookText"/>
        <w:rPr/>
      </w:pPr>
      <w:bookmarkEnd w:id="43"/>
      <w:r>
        <w:rPr>
          <w:rFonts w:ascii="Amiri" w:hAnsi="Amiri" w:eastAsia="Amiri" w:cs="Amiri"/>
          <w:color w:val="111111"/>
          <w:sz w:val="28"/>
          <w:sz w:val="28"/>
          <w:szCs w:val="28"/>
          <w:rtl w:val="true"/>
          <w:lang w:bidi="ar-SA"/>
        </w:rPr>
        <w:t xml:space="preserve">تفسير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مرآة العقول باب نادر من الفقيه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مشتمل على أخبار مختلفة متفرّقة لا يصلح كلّ منها لعقد باب مفرد له</w:t>
      </w:r>
      <w:r>
        <w:rPr>
          <w:rStyle w:val="FootnoteAnchor"/>
          <w:rtl w:val="true"/>
        </w:rPr>
        <w:footnoteReference w:id="76"/>
      </w:r>
      <w:r>
        <w:rPr>
          <w:rFonts w:ascii="Amiri" w:hAnsi="Amiri" w:eastAsia="Amiri" w:cs="Amiri"/>
          <w:color w:val="111111"/>
          <w:sz w:val="28"/>
          <w:sz w:val="28"/>
          <w:szCs w:val="28"/>
          <w:rtl w:val="true"/>
          <w:lang w:bidi="ar-SA"/>
        </w:rPr>
        <w:t xml:space="preserve">، نعم يشهد للبعض قول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في الرّد على القائلين بأنّ شهر رمضان لا ينقص</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تعلّق به أصحاب العدد من أنّ شهر رمضان لا يكون أقل من ثلاثين يوما فهي أحاديث شاذّة، و قد طعن نقلة الآثار من الشّيعة في سندها، و هي مثبتة في كتب الصّيام في أبواب النّوادر، و النّوادر هي الّتي لا عمل عليها</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في تفسير باب النّوادر بما ذكره البعض، فتأمّل جيّدا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403263_2142443653"/>
      <w:bookmarkStart w:id="45" w:name="_Toc16"/>
      <w:bookmarkEnd w:id="44"/>
      <w:r>
        <w:rPr>
          <w:rtl w:val="true"/>
        </w:rPr>
        <w:t>معنى له كتاب أو مصنف</w:t>
      </w:r>
      <w:r>
        <w:rPr>
          <w:rtl w:val="true"/>
        </w:rPr>
        <w:t>...</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الحاصل من ذلك كلّه أنّ الكتاب أعمّ من الجميع مطلقا بحسب اللغة، بل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عرف من اصطلح الأصل في نحو ما ذكروا الكتاب في مقابله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فإنّهما عليه متباينان كظهور تباين </w:t>
      </w:r>
      <w:bookmarkStart w:id="46" w:name="pg15042_154797"/>
    </w:p>
    <w:p>
      <w:pPr>
        <w:pStyle w:val="BookText"/>
        <w:rPr/>
      </w:pPr>
      <w:bookmarkEnd w:id="46"/>
      <w:r>
        <w:rPr>
          <w:rFonts w:ascii="Amiri" w:hAnsi="Amiri" w:eastAsia="Amiri" w:cs="Amiri"/>
          <w:color w:val="111111"/>
          <w:sz w:val="28"/>
          <w:sz w:val="28"/>
          <w:szCs w:val="28"/>
          <w:rtl w:val="true"/>
          <w:lang w:bidi="ar-SA"/>
        </w:rPr>
        <w:t>الأصل مع النّوادر، بل الجميع حتّى التّصنيف و التّأليف في العرف المتأخّر، و إن كان أحيانا يطلق بعضها على بعض إمّا للمناسبة أو بناء على خلاف الاصطلاح المتجدّد</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ربما يطلق الكتاب على النّوادر، فيقال له كتاب نوادر كما في محمد بن الحسين و هو كثير، و كذا يطلق النّوادر في مقابل الكتاب كما في ترجمة ابن أبي عمير، و الأكثر الاكتفاء بالتّسمية بالكتاب بقولهم له كتاب أو كتب كما فعل النّجاشي في فهرسته و الشيخ في كتابيه 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فلاحظ الموارد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403265_2142443653"/>
      <w:bookmarkStart w:id="48" w:name="_Toc17"/>
      <w:bookmarkEnd w:id="47"/>
      <w:r>
        <w:rPr>
          <w:rtl w:val="true"/>
        </w:rPr>
        <w:t>دلالة لفظ له كتاب او ذا مصنف او ذا أصل أو نوادر</w:t>
      </w:r>
      <w:r>
        <w:rPr>
          <w:rtl w:val="true"/>
        </w:rPr>
        <w:t>...</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أنّ كون الرّجل ذا أصل أو ذا كتاب أو ذا مصنف أو ذا نوادر أعمّ من المدح، لعدم دلالته عليه بشيء من الدّلالات، و عدم تحقّق اصطلاح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المولى الوحيد عن خاله المجلسي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جدّه المجلسي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بباله أنّ كون الرّجل ذا أصل من أسباب الحسن</w:t>
      </w:r>
      <w:r>
        <w:rPr>
          <w:rStyle w:val="FootnoteAnchor"/>
          <w:rtl w:val="true"/>
        </w:rPr>
        <w:footnoteReference w:id="81"/>
      </w:r>
      <w:r>
        <w:rPr>
          <w:rFonts w:ascii="Amiri" w:hAnsi="Amiri" w:eastAsia="Amiri" w:cs="Amiri"/>
          <w:color w:val="111111"/>
          <w:sz w:val="28"/>
          <w:sz w:val="28"/>
          <w:szCs w:val="28"/>
          <w:rtl w:val="true"/>
          <w:lang w:bidi="ar-SA"/>
        </w:rPr>
        <w:t xml:space="preserve">، و تأمّل هو فيه نظرا </w:t>
      </w:r>
    </w:p>
    <w:p>
      <w:pPr>
        <w:pStyle w:val="BookText"/>
        <w:rPr/>
      </w:pP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أصحاب الأصول كانوا ينتحلون المذاهب الفاسدة و إن كانت كتبهم معتمدة، على ما صرّح به في أول الفهرست</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الحسن بن صالح بن حيّ‌</w:t>
      </w:r>
      <w:r>
        <w:rPr>
          <w:rStyle w:val="FootnoteAnchor"/>
          <w:rtl w:val="true"/>
        </w:rPr>
        <w:footnoteReference w:id="82"/>
      </w:r>
      <w:r>
        <w:rPr>
          <w:rFonts w:ascii="Amiri" w:hAnsi="Amiri" w:eastAsia="Amiri" w:cs="Amiri"/>
          <w:color w:val="111111"/>
          <w:sz w:val="28"/>
          <w:sz w:val="28"/>
          <w:szCs w:val="28"/>
          <w:rtl w:val="true"/>
          <w:lang w:bidi="ar-SA"/>
        </w:rPr>
        <w:t>متروك العمل بما يختص بروايته على ما صرّح به في التّهذيب، مع أنّه ذو أصل</w:t>
      </w:r>
      <w:r>
        <w:rPr>
          <w:rStyle w:val="FootnoteAnchor"/>
          <w:rtl w:val="true"/>
        </w:rPr>
        <w:footnoteReference w:id="83"/>
      </w:r>
      <w:r>
        <w:rPr>
          <w:rFonts w:ascii="Amiri" w:hAnsi="Amiri" w:eastAsia="Amiri" w:cs="Amiri"/>
          <w:color w:val="111111"/>
          <w:sz w:val="28"/>
          <w:sz w:val="28"/>
          <w:szCs w:val="28"/>
          <w:rtl w:val="true"/>
          <w:lang w:bidi="ar-SA"/>
        </w:rPr>
        <w:t>، و كذلك عليّ بن أبي حمزة البطائني مع أنّه ذكر فيه ما ذكر</w:t>
      </w:r>
      <w:r>
        <w:rPr>
          <w:rStyle w:val="FootnoteAnchor"/>
          <w:rtl w:val="true"/>
        </w:rPr>
        <w:footnoteReference w:id="8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أضعف من ذلك كون الرجل ذا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المعراج إنّ كون الرّجل ذا كتاب لا يخرجه عن الجهالة إلاّ عند بعض من لا يعتدّ 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كون الرّجل ذا أصل يفيد حسنا لا الحسن الاصطلاحي، و كذا كونه كثير التّصنيف و جيّد التّصنيف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ذلك، بل كونه ذا كتاب أيضا يشير الى حسن ما، و لعل مرادهم ذلك ممّا ذكروا و سيجيء عن البلغة في الحسن بن أيّوب أنّ كون الرّجل ذا أصل يستفاد منه الحسن</w:t>
      </w:r>
      <w:r>
        <w:rPr>
          <w:rStyle w:val="FootnoteAnchor"/>
          <w:rtl w:val="true"/>
        </w:rPr>
        <w:footnoteReference w:id="85"/>
      </w:r>
      <w:r>
        <w:rPr>
          <w:rFonts w:ascii="IRNazanin" w:hAnsi="IRNazanin" w:eastAsia="IRNazanin"/>
          <w:color w:val="111111"/>
          <w:sz w:val="28"/>
          <w:sz w:val="28"/>
          <w:szCs w:val="28"/>
          <w:rtl w:val="true"/>
          <w:lang w:bidi="fa-IR"/>
        </w:rPr>
        <w:t>، فلاحظ</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منتهى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نقله، و لنعم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يكاد يفهم حسن من قولهم له كتاب أو أصل أصلا، و افادة الحسن لا بالمعنى المصطلح لا يجدي في المقام نفعا، لكن تأمّله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لانتحال كثير من أصحاب الأصول المذاهب الفاسدة لعلّه ليس بمكانه لأنّ ذلك لا ينافي الحسن بالمعنى الأعم كما سيعترف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وجه الحكم بصحّة حديث ابن الوليد و أحمد بن محمد بن يحيى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مشايخ الإجازة،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كثيرا منهم فيهم مطاعن و ذموم، إلاّ أن يكون مراد خاله العلاّمة المجلسي الحسن بالمعنى الأخص، فتأمّل</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المتحصّل من جميع ما سمعت أنّ في مفاد له كتاب أو أصل أو مصنّف أو نوادر أقوالا أربعة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إفادة شيء من المدح فضلا عن الحسن و التّوثيق، و هو خيرة منتهى المقال</w:t>
      </w:r>
      <w:r>
        <w:rPr>
          <w:rStyle w:val="FootnoteAnchor"/>
          <w:rtl w:val="true"/>
        </w:rPr>
        <w:footnoteReference w:id="88"/>
      </w:r>
      <w:r>
        <w:rPr>
          <w:rFonts w:ascii="IRNazanin" w:hAnsi="IRNazanin" w:eastAsia="IRNazanin"/>
          <w:color w:val="111111"/>
          <w:sz w:val="28"/>
          <w:sz w:val="28"/>
          <w:szCs w:val="28"/>
          <w:rtl w:val="true"/>
          <w:lang w:bidi="fa-IR"/>
        </w:rPr>
        <w:t>و صاحب المعراج</w:t>
      </w:r>
      <w:r>
        <w:rPr>
          <w:rStyle w:val="FootnoteAnchor"/>
          <w:rtl w:val="true"/>
        </w:rPr>
        <w:footnoteReference w:id="89"/>
      </w:r>
      <w:r>
        <w:rPr>
          <w:rFonts w:ascii="Amiri" w:hAnsi="Amiri" w:eastAsia="Amiri" w:cs="Amiri"/>
          <w:color w:val="111111"/>
          <w:sz w:val="28"/>
          <w:sz w:val="28"/>
          <w:szCs w:val="28"/>
          <w:rtl w:val="true"/>
          <w:lang w:bidi="ar-SA"/>
        </w:rPr>
        <w:t xml:space="preserve">، بل قيل </w:t>
      </w:r>
    </w:p>
    <w:p>
      <w:pPr>
        <w:pStyle w:val="BookText"/>
        <w:rPr/>
      </w:pPr>
      <w:r>
        <w:rPr>
          <w:rFonts w:ascii="Amiri" w:hAnsi="Amiri" w:eastAsia="Amiri" w:cs="Amiri"/>
          <w:color w:val="111111"/>
          <w:sz w:val="28"/>
          <w:sz w:val="28"/>
          <w:szCs w:val="28"/>
          <w:rtl w:val="true"/>
          <w:lang w:bidi="ar-SA"/>
        </w:rPr>
        <w:t>إنّ ظاهر بعضهم أنّ عليه الاكثر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افادته التوثيق، حكى ذلك في التعليقة قولا عمن لم يسم قائله، لقول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الطائفة باخباره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اصل، و لقول ابن الغضائري في ابنه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ابوه اوثق منه</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ثم يظهر من المولى الكني في توضيحه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ذكره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له و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ظاهر القول المحكي في ترجمة البطائني مع احتمال ارادته التوثيق من مجموع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ذلك باحتمال ارادته التوثيق من مجموع ما ذكر، لا من قولهم له اصل فقط، حتى يدلّ على ما نسب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افادته الحسن المصطلح، عدّ ذلك قولا، و لا اظن ان احدا يلتزم به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افادته الحسن المطلق المرادف للمدح، اختاره بعض الاجلة</w:t>
      </w:r>
      <w:r>
        <w:rPr>
          <w:rStyle w:val="FootnoteAnchor"/>
          <w:rtl w:val="true"/>
        </w:rPr>
        <w:footnoteReference w:id="93"/>
      </w:r>
      <w:r>
        <w:rPr>
          <w:rFonts w:ascii="Amiri" w:hAnsi="Amiri" w:eastAsia="Amiri" w:cs="Amiri"/>
          <w:color w:val="111111"/>
          <w:sz w:val="28"/>
          <w:sz w:val="28"/>
          <w:szCs w:val="28"/>
          <w:rtl w:val="true"/>
          <w:lang w:bidi="ar-SA"/>
        </w:rPr>
        <w:t>مستدلا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مما يفيد الذم كوضوح ان الاكثار منه و من اثبات كتاب او كتب او اصل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لشخص في مقام المدح و القدح ليس عبثا، فالظاهر ارادتهم منه الاشارة الى مدح فيه، بل هو اولى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المولى، فيستفاد منه نوع مدح متفاوت المراتب بتفاوت القرائن و التعبيرات، مثل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او اصل جيد، او رواه جماعة، او فلان و هو لا يروي عن الضعاف، و كالشهادة بانه صحيح كما ذكر النجاشي في الحسن بن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صحيح</w:t>
      </w:r>
      <w:r>
        <w:rPr>
          <w:rStyle w:val="FootnoteAnchor"/>
          <w:rtl w:val="true"/>
        </w:rPr>
        <w:footnoteReference w:id="94"/>
      </w:r>
      <w:r>
        <w:rPr>
          <w:rFonts w:ascii="Amiri" w:hAnsi="Amiri" w:eastAsia="Amiri" w:cs="Amiri"/>
          <w:color w:val="111111"/>
          <w:sz w:val="28"/>
          <w:sz w:val="28"/>
          <w:szCs w:val="28"/>
          <w:rtl w:val="true"/>
          <w:lang w:bidi="ar-SA"/>
        </w:rPr>
        <w:t>كثير الفوائد</w:t>
      </w:r>
      <w:r>
        <w:rPr>
          <w:rStyle w:val="FootnoteAnchor"/>
          <w:rtl w:val="true"/>
        </w:rPr>
        <w:footnoteReference w:id="95"/>
      </w:r>
      <w:r>
        <w:rPr>
          <w:rFonts w:ascii="Amiri" w:hAnsi="Amiri" w:eastAsia="Amiri" w:cs="Amiri"/>
          <w:color w:val="111111"/>
          <w:sz w:val="28"/>
          <w:sz w:val="28"/>
          <w:szCs w:val="28"/>
          <w:rtl w:val="true"/>
          <w:lang w:bidi="ar-SA"/>
        </w:rPr>
        <w:t>، و في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نوادر حسن كثير العلم</w:t>
      </w:r>
      <w:r>
        <w:rPr>
          <w:rStyle w:val="FootnoteAnchor"/>
          <w:rtl w:val="true"/>
        </w:rPr>
        <w:footnoteReference w:id="96"/>
      </w:r>
      <w:r>
        <w:rPr>
          <w:rFonts w:ascii="Amiri" w:hAnsi="Amiri" w:eastAsia="Amiri" w:cs="Amiri"/>
          <w:color w:val="111111"/>
          <w:sz w:val="28"/>
          <w:sz w:val="28"/>
          <w:szCs w:val="28"/>
          <w:rtl w:val="true"/>
          <w:lang w:bidi="ar-SA"/>
        </w:rPr>
        <w:t xml:space="preserve">، و ذكر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 المذهب، له كتاب معتمد</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منهج المقال انه ربما يجعل مقام التوثيق من اصحابنا</w:t>
      </w:r>
      <w:r>
        <w:rPr>
          <w:rStyle w:val="FootnoteAnchor"/>
          <w:rtl w:val="true"/>
        </w:rPr>
        <w:footnoteReference w:id="98"/>
      </w:r>
      <w:r>
        <w:rPr>
          <w:rFonts w:ascii="Amiri" w:hAnsi="Amiri" w:eastAsia="Amiri" w:cs="Amiri"/>
          <w:color w:val="111111"/>
          <w:sz w:val="28"/>
          <w:sz w:val="28"/>
          <w:szCs w:val="28"/>
          <w:rtl w:val="true"/>
          <w:lang w:bidi="ar-SA"/>
        </w:rPr>
        <w:t>، و ذكر ايضا ان طلحة بن زيد</w:t>
      </w:r>
      <w:r>
        <w:rPr>
          <w:rStyle w:val="FootnoteAnchor"/>
          <w:rtl w:val="true"/>
        </w:rPr>
        <w:footnoteReference w:id="99"/>
      </w:r>
      <w:r>
        <w:rPr>
          <w:rFonts w:ascii="Amiri" w:hAnsi="Amiri" w:eastAsia="Amiri" w:cs="Amiri"/>
          <w:color w:val="111111"/>
          <w:sz w:val="28"/>
          <w:sz w:val="28"/>
          <w:szCs w:val="28"/>
          <w:rtl w:val="true"/>
          <w:lang w:bidi="ar-SA"/>
        </w:rPr>
        <w:t>عامي المذهب الا ان كتابه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التعليقة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خالي بكونه كالموثق، و لعله لقول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معتمد</w:t>
      </w:r>
      <w:r>
        <w:rPr>
          <w:rStyle w:val="FootnoteAnchor"/>
          <w:rtl w:val="true"/>
        </w:rPr>
        <w:footnoteReference w:id="100"/>
      </w:r>
      <w:r>
        <w:rPr>
          <w:rFonts w:ascii="Amiri" w:hAnsi="Amiri" w:eastAsia="Amiri" w:cs="Amiri"/>
          <w:color w:val="111111"/>
          <w:sz w:val="28"/>
          <w:sz w:val="28"/>
          <w:szCs w:val="28"/>
          <w:rtl w:val="true"/>
          <w:lang w:bidi="ar-SA"/>
        </w:rPr>
        <w:t xml:space="preserve">، و من ذلك اذا قالوا ان كتابه في امور تدلّ على حسن حاله كفضائل الائمة او احدهم عليهم السّلام او الاعمال المستحبة و الزيارات </w:t>
      </w:r>
    </w:p>
    <w:p>
      <w:pPr>
        <w:pStyle w:val="BookText"/>
        <w:rPr/>
      </w:pPr>
      <w:r>
        <w:rPr>
          <w:rFonts w:ascii="Amiri" w:hAnsi="Amiri" w:eastAsia="Amiri" w:cs="Amiri"/>
          <w:color w:val="111111"/>
          <w:sz w:val="28"/>
          <w:sz w:val="28"/>
          <w:szCs w:val="28"/>
          <w:rtl w:val="true"/>
          <w:lang w:bidi="ar-SA"/>
        </w:rPr>
        <w:t>او الرد و النقض على المخالفين و المبطلين من فرق الشيعة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هذه الأقوال الأربعة ليست على وتيرة واحدة، و لم يتنبه القوم لذلك، اذ بعضها مطلق و البعض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خصوص من له أصل،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أخص من مدعاه، لأن المدعي كون اللفظة من ألفاظ المدح، و دلالتها بنفسها مع قطع النظر عن القرائن المنضمة إليه على المدح و الحسن المطلق، و هو مما لا شاهد عليه و لا دليل، و مجرد عدم كونه مما يفيد الذم لا يدل على إفادته المدح لثبوت الواسطة كما في مولى و شاعر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و إكثارهم من ذكر أن له كتابا أو أصلا لا يدلّ على إرادتهم بذلك المدح، فإن بناءهم في التراجم على ذكر كل ما وقفوا عليه من أوصافه و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اذا انضم الى ذلك ما أشار إليه من القرائن أفاد مدحا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غير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أن المولى ليس مفيدا للمدح، و لكنه إذا أضيف الى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نوع مدح للإضافة و النسبة، فلا تذهل</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تجري مجرى ما،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رسالة أو مسائل أو نسخة أو مصنف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رقم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الباب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 w:name="pg15042_154803"/>
    </w:p>
    <w:p>
      <w:pPr>
        <w:pStyle w:val="Heading4"/>
        <w:numPr>
          <w:ilvl w:val="3"/>
          <w:numId w:val="1"/>
        </w:numPr>
        <w:rPr/>
      </w:pPr>
      <w:bookmarkStart w:id="50" w:name="__RefHeading___Toc403267_2142443653"/>
      <w:bookmarkStart w:id="51" w:name="_Toc18"/>
      <w:bookmarkEnd w:id="49"/>
      <w:bookmarkEnd w:id="50"/>
      <w:r>
        <w:rPr>
          <w:rtl w:val="true"/>
        </w:rPr>
        <w:t>تذييل</w:t>
      </w:r>
      <w:r>
        <w:rPr>
          <w:rtl w:val="true"/>
        </w:rPr>
        <w:t xml:space="preserve">: </w:t>
      </w:r>
      <w:r>
        <w:rPr>
          <w:rtl w:val="true"/>
        </w:rPr>
        <w:t>في الالفاظ المستعملة في كتب الرجال لا ربط لها بعالم المدح و الذم</w:t>
      </w:r>
      <w:bookmarkEnd w:id="51"/>
    </w:p>
    <w:p>
      <w:pPr>
        <w:pStyle w:val="Heading5"/>
        <w:numPr>
          <w:ilvl w:val="4"/>
          <w:numId w:val="1"/>
        </w:numPr>
        <w:rPr/>
      </w:pPr>
      <w:bookmarkStart w:id="52" w:name="__RefHeading___Toc403269_2142443653"/>
      <w:bookmarkStart w:id="53" w:name="_Toc19"/>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حيث جرى ذكر تفسير الألفاظ المستعملة في كتب الرجال، فلنختم الفصل بعدّة ألفاظ مستعملة فيها لا ربط لها بعالم المدح و الذم تكميلا للفائدة</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403271_2142443653"/>
      <w:bookmarkStart w:id="55" w:name="_Toc20"/>
      <w:bookmarkEnd w:id="54"/>
      <w:r>
        <w:rPr>
          <w:rtl w:val="true"/>
        </w:rPr>
        <w:t>منها</w:t>
      </w:r>
      <w:r>
        <w:rPr>
          <w:rtl w:val="true"/>
        </w:rPr>
        <w:t xml:space="preserve">: </w:t>
      </w:r>
      <w:r>
        <w:rPr>
          <w:rtl w:val="true"/>
        </w:rPr>
        <w:t>الفهرست</w:t>
      </w:r>
      <w:bookmarkEnd w:id="55"/>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الكتب الذي تجمع فيه الكتب كما قاله في 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و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و أقرب الموارد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948</w:t>
      </w:r>
      <w:r>
        <w:rPr>
          <w:rFonts w:ascii="Amiri" w:hAnsi="Amiri" w:eastAsia="Amiri" w:cs="Amiri"/>
          <w:color w:val="111111"/>
          <w:sz w:val="28"/>
          <w:sz w:val="28"/>
          <w:szCs w:val="28"/>
          <w:rtl w:val="true"/>
          <w:lang w:bidi="ar-SA"/>
        </w:rPr>
        <w:t>، و برهان 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استعمله ابن خلدون في المقدمة، و ضبطها و ذكر الأقوال فيها في حاشية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الفهارس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موضوعية و توصيفية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مباحث هنا و تفصيلات، فراجع مضانها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في اصطلاح أهل الدراية و الحديث جملة عدد المرويات، و قد فسره به في التقريب</w:t>
      </w:r>
      <w:r>
        <w:rPr>
          <w:rStyle w:val="FootnoteAnchor"/>
          <w:rtl w:val="true"/>
        </w:rPr>
        <w:footnoteReference w:id="104"/>
      </w:r>
      <w:r>
        <w:rPr>
          <w:rFonts w:ascii="Amiri" w:hAnsi="Amiri" w:eastAsia="Amiri" w:cs="Amiri"/>
          <w:color w:val="111111"/>
          <w:sz w:val="28"/>
          <w:sz w:val="28"/>
          <w:szCs w:val="28"/>
          <w:rtl w:val="true"/>
          <w:lang w:bidi="ar-SA"/>
        </w:rPr>
        <w:t>، ثم حكى عن صاحب تثقيف اللسان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أنها بالتاء المثناة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وقف عليها بعضهم 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الفهرست أو الفهرس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معناها جملة العدد للكتب، لفظة فارسية</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bookmarkStart w:id="56" w:name="pg15042_154804"/>
    </w:p>
    <w:p>
      <w:pPr>
        <w:pStyle w:val="BookText"/>
        <w:rPr/>
      </w:pPr>
      <w:bookmarkEnd w:id="56"/>
      <w:r>
        <w:rPr>
          <w:rFonts w:ascii="Amiri" w:hAnsi="Amiri" w:eastAsia="Amiri" w:cs="Amiri"/>
          <w:color w:val="111111"/>
          <w:sz w:val="28"/>
          <w:sz w:val="28"/>
          <w:szCs w:val="28"/>
          <w:rtl w:val="true"/>
          <w:lang w:bidi="ar-SA"/>
        </w:rPr>
        <w:t>التاج مازجا بالقاموس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أهمله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الكتاب الذي تجمع فيه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بعربي محض، و لكنه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معرب 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اشتقوا منه الفعل فقالوا فهرس كتابه فهرسة، و جمع الفهرست فهارس</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403273_2142443653"/>
      <w:bookmarkStart w:id="58" w:name="_Toc21"/>
      <w:bookmarkEnd w:id="57"/>
      <w:r>
        <w:rPr>
          <w:rtl w:val="true"/>
        </w:rPr>
        <w:t>و منها</w:t>
      </w:r>
      <w:r>
        <w:rPr>
          <w:rtl w:val="true"/>
        </w:rPr>
        <w:t xml:space="preserve">: </w:t>
      </w:r>
      <w:r>
        <w:rPr>
          <w:rtl w:val="true"/>
        </w:rPr>
        <w:t>الترجمة</w:t>
      </w:r>
      <w:bookmarkEnd w:id="5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تطلق عندهم على شرح حال الرجل، و هي مأخوذة من ترجمة لفظ لغة بما يرادفه من لغة 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و ترجم عنه إذا فسر كلامه بلسان آخر، و المفسر 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أوله، و ضم الثالث على أحد الأقوال في ضبطه،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بضمهما كعنفوان،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بفتحهما كزعفران، و الأول هو المشهور على الألسنة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اللفظة عربية أو معربة درغمان فتصرفوا فيه</w:t>
      </w:r>
      <w:r>
        <w:rPr>
          <w:rStyle w:val="FootnoteAnchor"/>
          <w:rtl w:val="true"/>
        </w:rPr>
        <w:footnoteReference w:id="108"/>
      </w:r>
      <w:r>
        <w:rPr>
          <w:rFonts w:ascii="IRNazanin" w:hAnsi="IRNazanin" w:eastAsia="IRNazanin"/>
          <w:color w:val="111111"/>
          <w:sz w:val="28"/>
          <w:sz w:val="28"/>
          <w:szCs w:val="28"/>
          <w:rtl w:val="true"/>
          <w:lang w:bidi="fa-IR"/>
        </w:rPr>
        <w:t>؟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 فالتاء أصلية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الفيروزآبادي التاء أصلية ردا على الجوهري حيث جعل اللفظة مأخوذة من رجم، ثم عليه هل هو من الرجم بالحجارة، لأن المتكلم رمى به، أو من الرجم بالغيب لأن المترجم يتوصل لذلك به؟ قولان، لا تنافي بينهما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فإطلاق الترجمة على شرح حال الرجل مجازا اصطلحوا </w:t>
      </w:r>
      <w:bookmarkStart w:id="59" w:name="pg15042_154805"/>
    </w:p>
    <w:p>
      <w:pPr>
        <w:pStyle w:val="BookText"/>
        <w:rPr/>
      </w:pPr>
      <w:bookmarkEnd w:id="59"/>
      <w:r>
        <w:rPr>
          <w:rFonts w:ascii="Amiri" w:hAnsi="Amiri" w:eastAsia="Amiri" w:cs="Amiri"/>
          <w:color w:val="111111"/>
          <w:sz w:val="28"/>
          <w:sz w:val="28"/>
          <w:szCs w:val="28"/>
          <w:rtl w:val="true"/>
          <w:lang w:bidi="ar-SA"/>
        </w:rPr>
        <w:t>عليه، لأنه ليس من تفسير اسم الرجل بمعناه المرادف في لسان آخر، بل شرحا لحاله كما هو ظاهر</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403275_2142443653"/>
      <w:bookmarkStart w:id="61" w:name="_Toc22"/>
      <w:bookmarkEnd w:id="60"/>
      <w:r>
        <w:rPr>
          <w:rtl w:val="true"/>
        </w:rPr>
        <w:t>و منها</w:t>
      </w:r>
      <w:r>
        <w:rPr>
          <w:rtl w:val="true"/>
        </w:rPr>
        <w:t xml:space="preserve">: </w:t>
      </w:r>
      <w:r>
        <w:rPr>
          <w:rtl w:val="true"/>
        </w:rPr>
        <w:t>النموذج</w:t>
      </w:r>
      <w:bookmarkEnd w:id="61"/>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بالنون المفتوحة، و الميم المضمومة، و الذال المعجمة المفتوحة، و الجيم و إبدال الذال بالزاي من العجم و المصريين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التاج مازجا بالقاموس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مثال الشيء، أي صورة تتخذ على مثال صورة الشيء ليعرف منه حاله، معرب نموده، و العوام يقولون نمونه، و لم تعربه العرب قديما، و لكن عربه المحدثون، قال البختري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أبلق يلقى العيون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معجب بنموذج</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الانموذج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لحن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قاله الصاغاني في التكملة، و تبعه المصنف،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نقلا عن النواجي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دعوى لا تقوم عليها حجة، فما زالت العلماء قديما و حديثا يستعملون هذا اللفظ من غير نكير، حتى أن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كتابه في النحو الانموذج، و كذلك الحسن بن رشيق القيرواني و هو إمام المغرب في اللغة سمى كتابه في صناعة الأدب، و كذلك الخفاجي في شفاء الغليل</w:t>
      </w:r>
      <w:r>
        <w:rPr>
          <w:rStyle w:val="FootnoteAnchor"/>
          <w:rtl w:val="true"/>
        </w:rPr>
        <w:footnoteReference w:id="110"/>
      </w:r>
      <w:r>
        <w:rPr>
          <w:rFonts w:ascii="Amiri" w:hAnsi="Amiri" w:eastAsia="Amiri" w:cs="Amiri"/>
          <w:color w:val="111111"/>
          <w:sz w:val="28"/>
          <w:sz w:val="28"/>
          <w:szCs w:val="28"/>
          <w:rtl w:val="true"/>
          <w:lang w:bidi="ar-SA"/>
        </w:rPr>
        <w:t xml:space="preserve">نقل عبارة المصباح، و أنكر على من ادعى فيه اللحن، و مثله عبارة المغرب للناصر بن عبد السيد المطرزي </w:t>
      </w:r>
      <w:bookmarkStart w:id="62" w:name="pg15042_154806"/>
    </w:p>
    <w:p>
      <w:pPr>
        <w:pStyle w:val="BookText"/>
        <w:rPr/>
      </w:pPr>
      <w:bookmarkEnd w:id="62"/>
      <w:r>
        <w:rPr>
          <w:rFonts w:ascii="Amiri" w:hAnsi="Amiri" w:eastAsia="Amiri" w:cs="Amiri"/>
          <w:color w:val="111111"/>
          <w:sz w:val="28"/>
          <w:sz w:val="28"/>
          <w:szCs w:val="28"/>
          <w:rtl w:val="true"/>
          <w:lang w:bidi="ar-SA"/>
        </w:rPr>
        <w:t>شارح المقامات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التاج</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مراد صاحب القاموس بمثال الشيء للذي فسر به النموذج ما يعمّ بعض الشيء إذا أحضر للاستعلام حال البقية به،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كونه معرب نمونه أظهر، و كونه معرب نموده مما لم أفهم له وجها، فتدبر جيدا</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403277_2142443653"/>
      <w:bookmarkStart w:id="64" w:name="_Toc23"/>
      <w:bookmarkEnd w:id="63"/>
      <w:r>
        <w:rPr>
          <w:rtl w:val="true"/>
        </w:rPr>
        <w:t>و منها</w:t>
      </w:r>
      <w:r>
        <w:rPr>
          <w:rtl w:val="true"/>
        </w:rPr>
        <w:t xml:space="preserve">: </w:t>
      </w:r>
      <w:r>
        <w:rPr>
          <w:rtl w:val="true"/>
        </w:rPr>
        <w:t>الشيخ</w:t>
      </w:r>
      <w:r>
        <w:rPr>
          <w:rtl w:val="true"/>
        </w:rPr>
        <w:t>:</w:t>
      </w:r>
      <w:bookmarkEnd w:id="64"/>
    </w:p>
    <w:p>
      <w:pPr>
        <w:pStyle w:val="BookText"/>
        <w:rPr/>
      </w:pPr>
      <w:r>
        <w:rPr>
          <w:rFonts w:ascii="Amiri" w:hAnsi="Amiri" w:eastAsia="Amiri" w:cs="Amiri"/>
          <w:color w:val="111111"/>
          <w:sz w:val="28"/>
          <w:sz w:val="28"/>
          <w:szCs w:val="28"/>
          <w:rtl w:val="true"/>
          <w:lang w:bidi="ar-SA"/>
        </w:rPr>
        <w:t>و 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استبانت فيه السن، و ظهر عليه الشيب، أو هو من تجاوز عمره أربعين سنة، أو هو شيخ من خمسين الى آخر عمره، أو هو من إحدى و خمسين الى آخر عمره، ذكرهما شراح الفصيح، أو من الخمسين الى الثمانين، حكاه ابن سيده، في المخصص، و القزاز في الجامع، و كراع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تعارف إطلاق الشيخ على كثير العلم، و رئيس الطائفة، و الاستاد، و كثير المال، و كثير الولد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في كلمات أهل اللغة منه عين و لا أثر، فلعله اصطلاح عرفي، و المراد به حيثما يطلق في علم الدراية و الرجال و الحديث يراد به من </w:t>
      </w:r>
      <w:bookmarkStart w:id="65" w:name="pg15042_154807"/>
    </w:p>
    <w:p>
      <w:pPr>
        <w:pStyle w:val="BookText"/>
        <w:rPr/>
      </w:pPr>
      <w:bookmarkEnd w:id="65"/>
      <w:r>
        <w:rPr>
          <w:rFonts w:ascii="Amiri" w:hAnsi="Amiri" w:eastAsia="Amiri" w:cs="Amiri"/>
          <w:color w:val="111111"/>
          <w:sz w:val="28"/>
          <w:sz w:val="28"/>
          <w:szCs w:val="28"/>
          <w:rtl w:val="true"/>
          <w:lang w:bidi="ar-SA"/>
        </w:rPr>
        <w:t>أخذ منه الرواية كما لا يخفى على من راجع ما يأتي من كلماتهم في المقام الثاني من الفصل الخامس إن شاء اللّه تعالى</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به ابن الصلاح أبو عمرو عثمان بن عبد الرحمن الشهرزوري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نص غير واحد كالعراقي في الفيته و السخاوي في الفتح و السيوطي في التدريب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معنى الشيخ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403279_2142443653"/>
      <w:bookmarkStart w:id="67" w:name="_Toc24"/>
      <w:bookmarkEnd w:id="66"/>
      <w:r>
        <w:rPr>
          <w:rtl w:val="true"/>
        </w:rPr>
        <w:t>و منها</w:t>
      </w:r>
      <w:r>
        <w:rPr>
          <w:rtl w:val="true"/>
        </w:rPr>
        <w:t xml:space="preserve">: </w:t>
      </w:r>
      <w:r>
        <w:rPr>
          <w:rtl w:val="true"/>
        </w:rPr>
        <w:t>المشيخة</w:t>
      </w:r>
      <w:r>
        <w:rPr>
          <w:rtl w:val="true"/>
        </w:rPr>
        <w:t>:</w:t>
      </w:r>
      <w:bookmarkEnd w:id="6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الشيخ كالشيوخ و الأشياخ و المشايخ كما هو المشهور، و حكي عن المطرزي في كتابيه المعرب و المغرب أنها اسم جمع، و المشايخ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من الشيخ و الشيخوخة و معناها عند أهل الفن المسندة، أي محل ذكر الأشياخ و الأسانيد، فالمشيخة موضع ذكر المشيخة، قاله السيد الداماد في الرواشح السماوية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تطلق عندهم على عدة من شيوخ صاحب الكتاب، روى الأحاديث عنهم، فيراد بمشيخة الفقيه ما في آخره من بيان أسانيده الى الرواة الذين روى عنهم في الفقيه، و بمشيخة الشيخ ما في آخر التهذيبين في بيان أسانيده التي أسقطها فيهما، و روى عمن بعدهم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الشيخ، و الجمع </w:t>
      </w:r>
      <w:bookmarkStart w:id="68" w:name="pg15042_154808"/>
    </w:p>
    <w:p>
      <w:pPr>
        <w:pStyle w:val="BookText"/>
        <w:rPr/>
      </w:pPr>
      <w:bookmarkEnd w:id="68"/>
      <w:r>
        <w:rPr>
          <w:rFonts w:ascii="Amiri" w:hAnsi="Amiri" w:eastAsia="Amiri" w:cs="Amiri"/>
          <w:color w:val="111111"/>
          <w:sz w:val="28"/>
          <w:sz w:val="28"/>
          <w:szCs w:val="28"/>
          <w:rtl w:val="true"/>
          <w:lang w:bidi="ar-SA"/>
        </w:rPr>
        <w:t>مشايخ</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في القاموس</w:t>
      </w:r>
      <w:r>
        <w:rPr>
          <w:rStyle w:val="FootnoteAnchor"/>
          <w:rtl w:val="true"/>
        </w:rPr>
        <w:footnoteReference w:id="116"/>
      </w:r>
      <w:r>
        <w:rPr>
          <w:rFonts w:ascii="Amiri" w:hAnsi="Amiri" w:eastAsia="Amiri" w:cs="Amiri"/>
          <w:color w:val="111111"/>
          <w:sz w:val="28"/>
          <w:sz w:val="28"/>
          <w:szCs w:val="28"/>
          <w:rtl w:val="true"/>
          <w:lang w:bidi="ar-SA"/>
        </w:rPr>
        <w:t xml:space="preserve">كلا من 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 أبيات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ففتح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شيخة كصبية، و 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كسر و سكون الشين، و فتح الياء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 كسر الشين، و سكون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مشيوخاء و مشيخا و مشايخ جمعا للشيخ، و جعل في التاج التحقيق كون مشايخ جمع مشيخة، و مشيخة جمع شيخ</w:t>
      </w:r>
      <w:r>
        <w:rPr>
          <w:rStyle w:val="FootnoteAnchor"/>
          <w:rtl w:val="true"/>
        </w:rPr>
        <w:footnoteReference w:id="117"/>
      </w:r>
      <w:r>
        <w:rPr>
          <w:rFonts w:ascii="Amiri" w:hAnsi="Amiri" w:eastAsia="Amiri" w:cs="Amiri"/>
          <w:color w:val="111111"/>
          <w:sz w:val="28"/>
          <w:sz w:val="28"/>
          <w:szCs w:val="28"/>
          <w:rtl w:val="true"/>
          <w:lang w:bidi="ar-SA"/>
        </w:rPr>
        <w:t>، فتدبر جيدا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 w:name="__RefHeading___Toc403281_2142443653"/>
      <w:bookmarkStart w:id="70" w:name="_Toc25"/>
      <w:bookmarkEnd w:id="69"/>
      <w:r>
        <w:rPr>
          <w:rtl w:val="true"/>
        </w:rPr>
        <w:t>و منها</w:t>
      </w:r>
      <w:r>
        <w:rPr>
          <w:rtl w:val="true"/>
        </w:rPr>
        <w:t xml:space="preserve">: </w:t>
      </w:r>
      <w:r>
        <w:rPr>
          <w:rtl w:val="true"/>
        </w:rPr>
        <w:t>الاستاذ</w:t>
      </w:r>
      <w:r>
        <w:rPr>
          <w:rtl w:val="true"/>
        </w:rPr>
        <w:t>:</w:t>
      </w:r>
      <w:bookmarkEnd w:id="7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بالذال المعجمة و يستعمل بالمهملة، قال الفيومي في المصباح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الاستاذ كلمة أعجمية و معناها الماهر بالشيء العظيم</w:t>
      </w:r>
      <w:r>
        <w:rPr>
          <w:rStyle w:val="FootnoteAnchor"/>
          <w:rtl w:val="true"/>
        </w:rPr>
        <w:footnoteReference w:id="119"/>
      </w:r>
      <w:r>
        <w:rPr>
          <w:rFonts w:ascii="Amiri" w:hAnsi="Amiri" w:eastAsia="Amiri" w:cs="Amiri"/>
          <w:color w:val="111111"/>
          <w:sz w:val="28"/>
          <w:sz w:val="28"/>
          <w:szCs w:val="28"/>
          <w:rtl w:val="true"/>
          <w:lang w:bidi="ar-SA"/>
        </w:rPr>
        <w:t>، و إنما قيل أعجمية لأن السين و الذال المعجمة لا يجتمعان في كلمة عربية</w:t>
      </w:r>
      <w:r>
        <w:rPr>
          <w:rStyle w:val="FootnoteAnchor"/>
          <w:rtl w:val="true"/>
        </w:rPr>
        <w:footnoteReference w:id="120"/>
      </w:r>
      <w:r>
        <w:rPr>
          <w:rFonts w:ascii="Amiri" w:hAnsi="Amiri" w:eastAsia="Amiri" w:cs="Amiri"/>
          <w:color w:val="111111"/>
          <w:sz w:val="28"/>
          <w:sz w:val="28"/>
          <w:szCs w:val="28"/>
          <w:rtl w:val="true"/>
          <w:lang w:bidi="ar-SA"/>
        </w:rPr>
        <w:t>، و قال في تاج العروس</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الألفاظ الدائرة المشهورة</w:t>
      </w:r>
      <w:r>
        <w:rPr>
          <w:rStyle w:val="FootnoteAnchor"/>
          <w:rtl w:val="true"/>
        </w:rPr>
        <w:footnoteReference w:id="121"/>
      </w:r>
      <w:r>
        <w:rPr>
          <w:rFonts w:ascii="Amiri" w:hAnsi="Amiri" w:eastAsia="Amiri" w:cs="Amiri"/>
          <w:color w:val="111111"/>
          <w:sz w:val="28"/>
          <w:sz w:val="28"/>
          <w:szCs w:val="28"/>
          <w:rtl w:val="true"/>
          <w:lang w:bidi="ar-SA"/>
        </w:rPr>
        <w:t>و إن كان أعجميا، و كون الهمزة أصلا هو الذي يقتضيه صنيع الشهاب الفيومي، لأنه ذكره في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شفاء العليل</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يوجد في كلام جاهلي، و العامة تقوله بمعنى الخصي، لأنه يؤدب الصغار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الحافظ أبو الخطاب بن دحية في كتاب له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المطرب في أشعار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كلمة ليست بعربية، و لا توجد في الشعر الجاهلي، و اصطلحوا</w:t>
      </w:r>
      <w:r>
        <w:rPr>
          <w:rStyle w:val="FootnoteAnchor"/>
          <w:rtl w:val="true"/>
        </w:rPr>
        <w:footnoteReference w:id="123"/>
      </w:r>
      <w:r>
        <w:rPr>
          <w:rFonts w:ascii="Amiri" w:hAnsi="Amiri" w:eastAsia="Amiri" w:cs="Amiri"/>
          <w:color w:val="111111"/>
          <w:sz w:val="28"/>
          <w:sz w:val="28"/>
          <w:szCs w:val="28"/>
          <w:rtl w:val="true"/>
          <w:lang w:bidi="ar-SA"/>
        </w:rPr>
        <w:t>العامة إذا عظّموا المحبوب أن يخاطبوه بالاستاذ، و إنما أخذوا ذلك من الماهر بصنعته، لأنه ربّما كان تحت يده غلمان يؤدبهم، فكانه استاذ في حسن الأدب، حدثنا بهذا جماعة ببغداد منهم أبو الفرج بن الجوزي، قال سمعته من شيخنا اللغوي أبي منصور الجواليقي في كتابه المعرب من تأليفه، قاله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التاج</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bookmarkStart w:id="71" w:name="pg15042_154810"/>
    </w:p>
    <w:p>
      <w:pPr>
        <w:pStyle w:val="Heading5"/>
        <w:numPr>
          <w:ilvl w:val="4"/>
          <w:numId w:val="1"/>
        </w:numPr>
        <w:rPr/>
      </w:pPr>
      <w:bookmarkStart w:id="72" w:name="__RefHeading___Toc403283_2142443653"/>
      <w:bookmarkStart w:id="73" w:name="_Toc26"/>
      <w:bookmarkEnd w:id="71"/>
      <w:bookmarkEnd w:id="72"/>
      <w:r>
        <w:rPr>
          <w:rtl w:val="true"/>
        </w:rPr>
        <w:t>و منها</w:t>
      </w:r>
      <w:r>
        <w:rPr>
          <w:rtl w:val="true"/>
        </w:rPr>
        <w:t xml:space="preserve">: </w:t>
      </w:r>
      <w:r>
        <w:rPr>
          <w:rtl w:val="true"/>
        </w:rPr>
        <w:t>التلميذ</w:t>
      </w:r>
      <w:r>
        <w:rPr>
          <w:rtl w:val="true"/>
        </w:rPr>
        <w:t>:</w:t>
      </w:r>
      <w:bookmarkEnd w:id="73"/>
    </w:p>
    <w:p>
      <w:pPr>
        <w:pStyle w:val="BookText"/>
        <w:rPr/>
      </w:pPr>
      <w:r>
        <w:rPr>
          <w:rFonts w:ascii="Amiri" w:hAnsi="Amiri" w:eastAsia="Amiri" w:cs="Amiri"/>
          <w:color w:val="111111"/>
          <w:sz w:val="28"/>
          <w:sz w:val="28"/>
          <w:szCs w:val="28"/>
          <w:rtl w:val="true"/>
          <w:lang w:bidi="ar-SA"/>
        </w:rPr>
        <w:t>حكى عن اللسان</w:t>
      </w:r>
      <w:r>
        <w:rPr>
          <w:rStyle w:val="FootnoteAnchor"/>
          <w:rtl w:val="true"/>
        </w:rPr>
        <w:footnoteReference w:id="125"/>
      </w:r>
      <w:r>
        <w:rPr>
          <w:rFonts w:ascii="Amiri" w:hAnsi="Amiri" w:eastAsia="Amiri" w:cs="Amiri"/>
          <w:color w:val="111111"/>
          <w:sz w:val="28"/>
          <w:sz w:val="28"/>
          <w:szCs w:val="28"/>
          <w:rtl w:val="true"/>
          <w:lang w:bidi="ar-SA"/>
        </w:rPr>
        <w:t>أن جمعه التلاميذ، و هم الخدم و الأتباع، و عن الشيخ عبد القادر البغدادي في شرحه على شواهد المغني، و حاشيته على الكعبية ان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المتعلم أو الخادم الخاص للمعلم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آخر الخبر السادس عشر من الأخبار التي نقلناها في ترجمة هشام بن الحكم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فإني أحب أن يكون تلماذا لك</w:t>
      </w:r>
      <w:r>
        <w:rPr>
          <w:rStyle w:val="FootnoteAnchor"/>
          <w:rtl w:val="true"/>
        </w:rPr>
        <w:footnoteReference w:id="126"/>
      </w:r>
      <w:r>
        <w:rPr>
          <w:rFonts w:ascii="Amiri" w:hAnsi="Amiri" w:eastAsia="Amiri" w:cs="Amiri"/>
          <w:color w:val="111111"/>
          <w:sz w:val="28"/>
          <w:sz w:val="28"/>
          <w:szCs w:val="28"/>
          <w:rtl w:val="true"/>
          <w:lang w:bidi="ar-SA"/>
        </w:rPr>
        <w:t>دلالة على أن الفصيح التلماذ و ان المراد به المتعلم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403285_2142443653"/>
      <w:bookmarkStart w:id="75" w:name="_Toc27"/>
      <w:bookmarkEnd w:id="74"/>
      <w:r>
        <w:rPr>
          <w:rtl w:val="true"/>
        </w:rPr>
        <w:t>و منها</w:t>
      </w:r>
      <w:r>
        <w:rPr>
          <w:rtl w:val="true"/>
        </w:rPr>
        <w:t xml:space="preserve">: </w:t>
      </w:r>
      <w:r>
        <w:rPr>
          <w:rtl w:val="true"/>
        </w:rPr>
        <w:t>المملي و المستملي</w:t>
      </w:r>
      <w:r>
        <w:rPr>
          <w:rtl w:val="true"/>
        </w:rPr>
        <w:t>:</w:t>
      </w:r>
      <w:bookmarkEnd w:id="75"/>
    </w:p>
    <w:p>
      <w:pPr>
        <w:pStyle w:val="BookText"/>
        <w:rPr/>
      </w:pPr>
      <w:r>
        <w:rPr>
          <w:rFonts w:ascii="Amiri" w:hAnsi="Amiri" w:eastAsia="Amiri" w:cs="Amiri"/>
          <w:color w:val="111111"/>
          <w:sz w:val="28"/>
          <w:sz w:val="28"/>
          <w:szCs w:val="28"/>
          <w:rtl w:val="true"/>
          <w:lang w:bidi="ar-SA"/>
        </w:rPr>
        <w:t>و هما اسما فاعل من الإملاء الذي هو بمعنى إلقاء الكلام للكاتب ليكتب،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هي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فالمملي هو الملقي للحديث، و المستملي الذي يطلب إملاء الحديث من الشيخ</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بني تميم و قيس، و أما في لغة </w:t>
      </w:r>
      <w:bookmarkStart w:id="76" w:name="pg15042_154811"/>
    </w:p>
    <w:p>
      <w:pPr>
        <w:pStyle w:val="BookText"/>
        <w:rPr/>
      </w:pPr>
      <w:bookmarkEnd w:id="76"/>
      <w:r>
        <w:rPr>
          <w:rFonts w:ascii="Amiri" w:hAnsi="Amiri" w:eastAsia="Amiri" w:cs="Amiri"/>
          <w:color w:val="111111"/>
          <w:sz w:val="28"/>
          <w:sz w:val="28"/>
          <w:szCs w:val="28"/>
          <w:rtl w:val="true"/>
          <w:lang w:bidi="ar-SA"/>
        </w:rPr>
        <w:t xml:space="preserve">الحجاز و بني أسد فباللام، يقال أمللت الكتاب على الكاتب إملالا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الكتاب العزيز باللغتين جميعا، فعلى الأول قوله تعالى فَهِيَ تُمْلى عَلَيْهِ بُكْرَةً وَ أَصِيلاً </w:t>
      </w:r>
      <w:r>
        <w:rPr>
          <w:rStyle w:val="FootnoteAnchor"/>
          <w:rtl w:val="true"/>
        </w:rPr>
        <w:footnoteReference w:id="128"/>
      </w:r>
      <w:r>
        <w:rPr>
          <w:rFonts w:ascii="Amiri" w:hAnsi="Amiri" w:eastAsia="Amiri" w:cs="Amiri"/>
          <w:color w:val="111111"/>
          <w:sz w:val="28"/>
          <w:sz w:val="28"/>
          <w:szCs w:val="28"/>
          <w:rtl w:val="true"/>
          <w:lang w:bidi="ar-SA"/>
        </w:rPr>
        <w:t xml:space="preserve">و على الثاني قوله تعالى وَ لْيُمْلِلِ اَلَّذِي عَلَيْهِ اَلْحَقُّ </w:t>
      </w:r>
      <w:r>
        <w:rPr>
          <w:rStyle w:val="FootnoteAnchor"/>
          <w:rtl w:val="true"/>
        </w:rPr>
        <w:footnoteReference w:id="12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بالمستملي في هذا الفن هو الذي يبلغ عن الشيخ عند كثرة السامعين، و عدم وفاء صوت الشيخ لاسماع الجميع</w:t>
      </w:r>
      <w:r>
        <w:rPr>
          <w:rStyle w:val="FootnoteAnchor"/>
          <w:rtl w:val="true"/>
        </w:rPr>
        <w:footnoteReference w:id="130"/>
      </w:r>
    </w:p>
    <w:p>
      <w:pPr>
        <w:pStyle w:val="Heading5"/>
        <w:numPr>
          <w:ilvl w:val="4"/>
          <w:numId w:val="1"/>
        </w:numPr>
        <w:rPr/>
      </w:pPr>
      <w:bookmarkStart w:id="77" w:name="__RefHeading___Toc403287_2142443653"/>
      <w:bookmarkStart w:id="78" w:name="_Toc28"/>
      <w:bookmarkEnd w:id="77"/>
      <w:r>
        <w:rPr>
          <w:rtl w:val="true"/>
        </w:rPr>
        <w:t>و منها</w:t>
      </w:r>
      <w:r>
        <w:rPr>
          <w:rtl w:val="true"/>
        </w:rPr>
        <w:t xml:space="preserve">: </w:t>
      </w:r>
      <w:r>
        <w:rPr>
          <w:rtl w:val="true"/>
        </w:rPr>
        <w:t>العدّة</w:t>
      </w:r>
      <w:r>
        <w:rPr>
          <w:rtl w:val="true"/>
        </w:rPr>
        <w:t>:</w:t>
      </w:r>
      <w:bookmarkEnd w:id="78"/>
    </w:p>
    <w:p>
      <w:pPr>
        <w:pStyle w:val="BookText"/>
        <w:rPr/>
      </w:pPr>
      <w:r>
        <w:rPr>
          <w:rFonts w:ascii="Amiri" w:hAnsi="Amiri" w:eastAsia="Amiri" w:cs="Amiri"/>
          <w:color w:val="111111"/>
          <w:sz w:val="28"/>
          <w:sz w:val="28"/>
          <w:szCs w:val="28"/>
          <w:rtl w:val="true"/>
          <w:lang w:bidi="ar-SA"/>
        </w:rPr>
        <w:t>تراهم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و يريدون بذلك جماعة من الأصحاب، فإن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و فتح ثانيه مشدد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قلّت أو كثرت، تقول رأيت عدّة رجال و عدّة نساء و أنفذت عدة كتب أي جماعة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9" w:name="__RefHeading___Toc403289_2142443653"/>
      <w:bookmarkStart w:id="80" w:name="_Toc29"/>
      <w:bookmarkEnd w:id="79"/>
      <w:r>
        <w:rPr>
          <w:rtl w:val="true"/>
        </w:rPr>
        <w:t>و منها</w:t>
      </w:r>
      <w:r>
        <w:rPr>
          <w:rtl w:val="true"/>
        </w:rPr>
        <w:t xml:space="preserve">: </w:t>
      </w:r>
      <w:r>
        <w:rPr>
          <w:rtl w:val="true"/>
        </w:rPr>
        <w:t>الرهط</w:t>
      </w:r>
      <w:r>
        <w:rPr>
          <w:rtl w:val="true"/>
        </w:rPr>
        <w:t>:</w:t>
      </w:r>
      <w:bookmarkStart w:id="81" w:name="pg15042_154812"/>
      <w:bookmarkEnd w:id="80"/>
    </w:p>
    <w:p>
      <w:pPr>
        <w:pStyle w:val="BookText"/>
        <w:rPr/>
      </w:pPr>
      <w:bookmarkEnd w:id="8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بفتح أوله و سكون ثانيه، و فتحه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فوق الثلاثة دون العشرة من الرجال خاصة دون النساء، و لا واحد له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السبعة الى العشرة، و ان ما دون السبعة الى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فوق العشرة الى الأربعين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403291_2142443653"/>
      <w:bookmarkStart w:id="83" w:name="_Toc30"/>
      <w:bookmarkEnd w:id="82"/>
      <w:r>
        <w:rPr>
          <w:rtl w:val="true"/>
        </w:rPr>
        <w:t>و منها</w:t>
      </w:r>
      <w:r>
        <w:rPr>
          <w:rtl w:val="true"/>
        </w:rPr>
        <w:t xml:space="preserve">: </w:t>
      </w:r>
      <w:r>
        <w:rPr>
          <w:rtl w:val="true"/>
        </w:rPr>
        <w:t>الطبقة</w:t>
      </w:r>
      <w:r>
        <w:rPr>
          <w:rtl w:val="true"/>
        </w:rPr>
        <w:t>:</w:t>
      </w:r>
      <w:bookmarkEnd w:id="8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في الاصطلاح عبارة عن جماعة اشتركوا في السن و لقاء المشايخ فهم طبقة، ثم بعدهم طبقة أخرى و هكذا، مأخوذة من طبقة البناء لكونهم في زمان واحد، كما أن بيوت الطبقة الواحدة في هواء واحد، و من المطابقة لموافقة بعضهم بعضا في الأخذ من شيخ واحد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84" w:name="pg15042_154813"/>
    </w:p>
    <w:p>
      <w:pPr>
        <w:pStyle w:val="Heading5"/>
        <w:numPr>
          <w:ilvl w:val="4"/>
          <w:numId w:val="1"/>
        </w:numPr>
        <w:rPr/>
      </w:pPr>
      <w:bookmarkStart w:id="85" w:name="__RefHeading___Toc403293_2142443653"/>
      <w:bookmarkStart w:id="86" w:name="_Toc31"/>
      <w:bookmarkEnd w:id="84"/>
      <w:bookmarkEnd w:id="85"/>
      <w:r>
        <w:rPr>
          <w:rtl w:val="true"/>
        </w:rPr>
        <w:t>و منها</w:t>
      </w:r>
      <w:r>
        <w:rPr>
          <w:rtl w:val="true"/>
        </w:rPr>
        <w:t xml:space="preserve">: </w:t>
      </w:r>
      <w:r>
        <w:rPr>
          <w:rtl w:val="true"/>
        </w:rPr>
        <w:t>الصحابي، و التابعي، و المخضرمي</w:t>
      </w:r>
      <w:r>
        <w:rPr>
          <w:rtl w:val="true"/>
        </w:rPr>
        <w:t>:</w:t>
      </w:r>
      <w:bookmarkEnd w:id="86"/>
    </w:p>
    <w:p>
      <w:pPr>
        <w:pStyle w:val="BookText"/>
        <w:rPr/>
      </w:pPr>
      <w:r>
        <w:rPr>
          <w:rFonts w:ascii="Amiri" w:hAnsi="Amiri" w:eastAsia="Amiri" w:cs="Amiri"/>
          <w:color w:val="111111"/>
          <w:sz w:val="28"/>
          <w:sz w:val="28"/>
          <w:szCs w:val="28"/>
          <w:rtl w:val="true"/>
          <w:lang w:bidi="ar-SA"/>
        </w:rPr>
        <w:t>و يأتي تفسيرها في أول الفصل الثامن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403295_2142443653"/>
      <w:bookmarkStart w:id="88" w:name="_Toc32"/>
      <w:bookmarkEnd w:id="87"/>
      <w:r>
        <w:rPr>
          <w:rtl w:val="true"/>
        </w:rPr>
        <w:t>و منها</w:t>
      </w:r>
      <w:r>
        <w:rPr>
          <w:rtl w:val="true"/>
        </w:rPr>
        <w:t xml:space="preserve">: </w:t>
      </w:r>
      <w:r>
        <w:rPr>
          <w:rtl w:val="true"/>
        </w:rPr>
        <w:t>الراوي، و المسند، و المحدث، و الحافظ</w:t>
      </w:r>
      <w:bookmarkEnd w:id="88"/>
    </w:p>
    <w:p>
      <w:pPr>
        <w:pStyle w:val="BookText"/>
        <w:rPr/>
      </w:pPr>
      <w:r>
        <w:rPr>
          <w:rFonts w:ascii="Amiri" w:hAnsi="Amiri" w:eastAsia="Amiri" w:cs="Amiri"/>
          <w:color w:val="111111"/>
          <w:sz w:val="28"/>
          <w:sz w:val="28"/>
          <w:szCs w:val="28"/>
          <w:rtl w:val="true"/>
          <w:lang w:bidi="ar-SA"/>
        </w:rPr>
        <w:t>لا ريب في كون كل لاحق من هذه الأربعة أرفع من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الحديث مطلقا، سواء رواه مسندا أو مرسلا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يروي الحديث بإسناده، سواء كان عنده علم به أو ليس له إلا مجرد الرواية</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يظهر منهم أنه من علم طرق إثبات الحديث و أسماء رواته و عدالتهم، و أنه هل زيد في الحديث شيء أو نقص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المحدث على من ليس له إلا مجرد سماع الحديث أو تحمله، بل خصوص من له علم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فتح الدين من العامة</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285/4</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المحدث في عصرنا من اشتغل بالحديث</w:t>
      </w:r>
    </w:p>
    <w:p>
      <w:pPr>
        <w:pStyle w:val="BookText"/>
        <w:rPr/>
      </w:pPr>
      <w:r>
        <w:rPr>
          <w:rFonts w:ascii="Amiri" w:hAnsi="Amiri" w:eastAsia="Amiri" w:cs="Amiri"/>
          <w:color w:val="111111"/>
          <w:sz w:val="28"/>
          <w:sz w:val="28"/>
          <w:szCs w:val="28"/>
          <w:rtl w:val="true"/>
          <w:lang w:bidi="ar-SA"/>
        </w:rPr>
        <w:t>رواية و دراية، و جمع رواه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و اطلع على كثير من الرواة و الروايات في عصره، و تميز في ذلك حتى عرف فيه خطه و اشتهر فيه ضبطه</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يحكى عن بعض المتقدمين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نعد صاحب حديث من لم يكتب عشرين ألف حديث في الإملاء، فذلك بحسب أزمنتهم</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جمهور المحدثين الى أن من اقتصر على السماع ليس بعالم، و المحدث من علم طرق اثبات الحديث و عدالة رجاله و الأسانيد و العلل، بل و يلزمه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و مصطلحه، و المؤتلف و المختلف من رواته، و ضبطه على أئمة هذا العلم، و معرفة غريب ألفاظ الحديث و منكره و العالي و النازل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يصحح له تدريسه و إفادته و تحديثه، مع كون دأبه على السماع من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يلزمه الإكثار من حفظ المتون و سماع الكتب الستة و المسانيد و المعاجم و الأجزاء الحديثية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المحدث من علم طرق اثبات الحديث و عدالة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السيوطي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الفقهاء أنهم لا يطلقون اسم المحدث إلا على من حفظ سند الحديث، و علم عدالة رجاله و جرحها دون المقتصر على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السخاوي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بعض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المحدث في عرف المحدثين أن يكون كتب و قرأ و سمع و وعى و رحل الى المدائن و القرى و حصّل أصولا و علق فروعا من كتب المسانيد و العلل و التواريخ التي تقرب من ألف 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كذلك فلا ينكر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شك بكون المحدث أرفع من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أدون من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فتح الدين من أن المحدث بالمعنى الذي سمعت منه أن من عرف شيوخه و شيوخ شيوخه طبقة بعد طبقة، بحيث يكون ما يعرفه من كل طبقة أكثر ممن يجهله منها، فهو الحافظ</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مطلق العارف بالحديث و المتقن له</w:t>
      </w:r>
      <w:r>
        <w:rPr>
          <w:rStyle w:val="FootnoteAnchor"/>
          <w:rtl w:val="true"/>
        </w:rPr>
        <w:footnoteReference w:id="141"/>
      </w:r>
      <w:r>
        <w:rPr>
          <w:rFonts w:ascii="Amiri" w:hAnsi="Amiri" w:eastAsia="Amiri" w:cs="Amiri"/>
          <w:color w:val="111111"/>
          <w:sz w:val="28"/>
          <w:sz w:val="28"/>
          <w:szCs w:val="28"/>
          <w:rtl w:val="true"/>
          <w:lang w:bidi="ar-SA"/>
        </w:rPr>
        <w:t>لأن الحفظ المعرفة و الاتقان، نقل عن عدة من محدثي العامة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بعض محدثي العامة من استواء المحدث و الحافظ، و قد حكي أن السلف كانوا يطلقون المحدث و الحافظ </w:t>
      </w:r>
    </w:p>
    <w:p>
      <w:pPr>
        <w:pStyle w:val="BookText"/>
        <w:rPr/>
      </w:pPr>
      <w:r>
        <w:rPr>
          <w:rFonts w:ascii="IRNazanin" w:hAnsi="IRNazanin" w:eastAsia="IRNazanin"/>
          <w:color w:val="111111"/>
          <w:sz w:val="28"/>
          <w:sz w:val="28"/>
          <w:szCs w:val="28"/>
          <w:rtl w:val="true"/>
          <w:lang w:bidi="fa-IR"/>
        </w:rPr>
        <w:t>بمعنى</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انهما بمعنيين، و أخصية الأخير، إذ لا بد في الحافظ من اجتماع شروط و صفات المحدث و زيادة، مع ما أخذ في الحافظ من شروط منها كثرة حفظه و جمعه للطرق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يقال أن الاتحاد عند القدماء و الاختلاف عند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الحق إن الحافظ أخص من المحدث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أبي نصر الشيرازي</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 عن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من جمع هذه الثلاثة كان فقيها محدثا كاملا، و من انفرد باثنين منها كان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الذي يعلم المتن و الإسناد جميعا، و الفقيه الذي عرف المتن و لا يعرف الإسناد، و الحافظ الذي يعرف الإسناد و لا يعرف المتن، و الراوي الذي لا يعرف المتن و لا الإسناد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بعضهم</w:t>
      </w:r>
      <w:r>
        <w:rPr>
          <w:rStyle w:val="FootnoteAnchor"/>
          <w:rtl w:val="true"/>
        </w:rPr>
        <w:footnoteReference w:id="144"/>
      </w:r>
      <w:r>
        <w:rPr>
          <w:rFonts w:ascii="Amiri" w:hAnsi="Amiri" w:eastAsia="Amiri" w:cs="Amiri"/>
          <w:color w:val="111111"/>
          <w:sz w:val="28"/>
          <w:sz w:val="28"/>
          <w:szCs w:val="28"/>
          <w:rtl w:val="true"/>
          <w:lang w:bidi="ar-SA"/>
        </w:rPr>
        <w:t>إن علوم الحديث الآن ثلاثة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أشرفها حفظ متونه و معرفة غريبها و فقهها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أسانيده و معرفة رجالها و تميز</w:t>
      </w:r>
      <w:r>
        <w:rPr>
          <w:rStyle w:val="FootnoteAnchor"/>
          <w:rtl w:val="true"/>
        </w:rPr>
        <w:footnoteReference w:id="146"/>
      </w:r>
      <w:r>
        <w:rPr>
          <w:rFonts w:ascii="Amiri" w:hAnsi="Amiri" w:eastAsia="Amiri" w:cs="Amiri"/>
          <w:color w:val="111111"/>
          <w:sz w:val="28"/>
          <w:sz w:val="28"/>
          <w:szCs w:val="28"/>
          <w:rtl w:val="true"/>
          <w:lang w:bidi="ar-SA"/>
        </w:rPr>
        <w:t>صحيحها من سقيمها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 كتابته و سماعه و تطريقه و طلب العلو فيه و الرحلة الى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الاشتغال بالأول مهما</w:t>
      </w:r>
      <w:r>
        <w:rPr>
          <w:rStyle w:val="FootnoteAnchor"/>
          <w:rtl w:val="true"/>
        </w:rPr>
        <w:footnoteReference w:id="148"/>
      </w:r>
      <w:r>
        <w:rPr>
          <w:rFonts w:ascii="Amiri" w:hAnsi="Amiri" w:eastAsia="Amiri" w:cs="Amiri"/>
          <w:color w:val="111111"/>
          <w:sz w:val="28"/>
          <w:sz w:val="28"/>
          <w:szCs w:val="28"/>
          <w:rtl w:val="true"/>
          <w:lang w:bidi="ar-SA"/>
        </w:rPr>
        <w:t>، فالاشتغال بالثاني أهم، لأنه المرقاة الى الأول، فمن أخلّ به خلط السقيم بالصحيح، و المعدّل بالمجروح و هو لا يشعر، فكل منهما في علم الحديث مهم، و لا شك أن من جمعهما حاز القدح المعلى، مع قصوره فيه ان أخلّ بالثالث، و من أخلّ بهما فلاحظ له في اسم الحافظ، و من أحرز الأول و أخلّ بالثاني كان بعيدا عن اسم المحدث عرفا، و من أحرز الثاني و أخل بالأول لم يبعد عنه اسم المحدث و لكن فيه نقص بالنسبة الى الأول</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ثم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غضون كلامه ما يشعر باستواء المحدث و الحافظ</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هذا و ظاهره أيضا أن</w:t>
      </w:r>
    </w:p>
    <w:p>
      <w:pPr>
        <w:pStyle w:val="BookText"/>
        <w:rPr/>
      </w:pPr>
      <w:r>
        <w:rPr>
          <w:rFonts w:ascii="IRNazanin" w:hAnsi="IRNazanin" w:eastAsia="IRNazanin"/>
          <w:color w:val="111111"/>
          <w:sz w:val="28"/>
          <w:sz w:val="28"/>
          <w:szCs w:val="28"/>
          <w:rtl w:val="true"/>
          <w:lang w:bidi="fa-IR"/>
        </w:rPr>
        <w:t>الحافظ أخص من المحدث</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الحافظ هو ما فاته أقلّ مما يعرفه، فإذا وعى أكثر من مائة ألف و أصبح ما يحيط به ثلاثمائة ألف حديث مسند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أقوال ركيكة أخرى أدرجها في تدريب الراوي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إن تحديد معنى الحافظ سعة و ضيقا لا يخضع تحت ضابطة معينة، بل يرجع الى عرف كل زمان، و لا يصدق على كثير ممن قيل فيه ذلك ما حده القوم،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له كتاب تاريخ و كتاب تاريخ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المجاميع الحديثية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الصحاح، المسانيد، المعاجم، الجوامع، الأجزاء، المستدركات، المشيخات، المستخرجات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مصطلحات درائية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فتدبر جيدا</w:t>
      </w:r>
      <w:r>
        <w:rPr>
          <w:rFonts w:eastAsia="Amiri" w:cs="Amiri" w:ascii="Amiri" w:hAnsi="Amiri"/>
          <w:color w:val="111111"/>
          <w:sz w:val="28"/>
          <w:szCs w:val="28"/>
          <w:rtl w:val="true"/>
          <w:lang w:bidi="ar-SA"/>
        </w:rPr>
        <w:t>.</w:t>
      </w:r>
      <w:bookmarkStart w:id="89" w:name="pg15042_154819"/>
    </w:p>
    <w:p>
      <w:pPr>
        <w:pStyle w:val="Heading2"/>
        <w:numPr>
          <w:ilvl w:val="1"/>
          <w:numId w:val="1"/>
        </w:numPr>
        <w:rPr/>
      </w:pPr>
      <w:bookmarkStart w:id="90" w:name="__RefHeading___Toc403297_2142443653"/>
      <w:bookmarkStart w:id="91" w:name="_Toc33"/>
      <w:bookmarkEnd w:id="89"/>
      <w:bookmarkEnd w:id="90"/>
      <w:r>
        <w:rPr>
          <w:rtl w:val="true"/>
        </w:rPr>
        <w:t>الفصل السابع في شرف علم الحديث، و كيفية تحمّله، و طرق نقله و آدابه</w:t>
      </w:r>
      <w:r>
        <w:rPr>
          <w:rtl w:val="true"/>
        </w:rPr>
        <w:t>:</w:t>
      </w:r>
      <w:bookmarkEnd w:id="91"/>
    </w:p>
    <w:p>
      <w:pPr>
        <w:pStyle w:val="Heading3"/>
        <w:numPr>
          <w:ilvl w:val="2"/>
          <w:numId w:val="1"/>
        </w:numPr>
        <w:rPr/>
      </w:pPr>
      <w:bookmarkStart w:id="92" w:name="__RefHeading___Toc403299_2142443653"/>
      <w:bookmarkStart w:id="93" w:name="_Toc34"/>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الفصل السابع في شرف علم الحديث، و كيفية تحمّله، و طرق نقله و آدابه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شبهة في شرف علم الحديث و عظم شأنه، و سمو رتبته، و علوّ قدره، و مناسبته لمكارم الأخلاق و محاسن الشيم، و كونه من علوم الآخرة، و إن من حرمه فقد حرم خيرا عظيما، و من رزقه فقد نال فضلا جسيما، و كيف لا و هو الوصلة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الباحث عن تصحيح أقوالهم و أفعالهم، و الذّب عن أن ينسب إليهم ما لم يقولوه، و لو لا إلا دخول صاحبه به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اللّه امرأ سمع مقالتي فوعاها</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لكفاه شرفا و فخرا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صاحبه تصحيح النية و اخلاصها، و تطهير القلب من أغراض الدنيا الدنية و أدناسها كحب الرئاسة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نحوها، فإن الأعمال بالنيات، و ليكن أكبر همّه نشر الحديث و التبليغ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عرفت ذلك فهنا مقامات</w:t>
      </w:r>
      <w:r>
        <w:rPr>
          <w:rFonts w:eastAsia="Amiri" w:cs="Amiri" w:ascii="Amiri" w:hAnsi="Amiri"/>
          <w:color w:val="111111"/>
          <w:sz w:val="28"/>
          <w:szCs w:val="28"/>
          <w:rtl w:val="true"/>
          <w:lang w:bidi="ar-SA"/>
        </w:rPr>
        <w:t>:</w:t>
      </w:r>
      <w:bookmarkStart w:id="94" w:name="pg15042_154821"/>
    </w:p>
    <w:p>
      <w:pPr>
        <w:pStyle w:val="Heading3"/>
        <w:numPr>
          <w:ilvl w:val="2"/>
          <w:numId w:val="1"/>
        </w:numPr>
        <w:rPr/>
      </w:pPr>
      <w:bookmarkStart w:id="95" w:name="__RefHeading___Toc403301_2142443653"/>
      <w:bookmarkStart w:id="96" w:name="_Toc35"/>
      <w:bookmarkEnd w:id="94"/>
      <w:bookmarkEnd w:id="95"/>
      <w:r>
        <w:rPr>
          <w:rtl w:val="true"/>
        </w:rPr>
        <w:t>المقام الأول</w:t>
      </w:r>
      <w:r>
        <w:rPr>
          <w:rtl w:val="true"/>
        </w:rPr>
        <w:t xml:space="preserve">: </w:t>
      </w:r>
      <w:r>
        <w:rPr>
          <w:rtl w:val="true"/>
        </w:rPr>
        <w:t>في أهلية التحمل</w:t>
      </w:r>
      <w:r>
        <w:rPr>
          <w:rtl w:val="true"/>
        </w:rPr>
        <w:t xml:space="preserve">. </w:t>
      </w:r>
      <w:r>
        <w:rPr>
          <w:rtl w:val="true"/>
        </w:rPr>
        <w:t>و فيه مطالب</w:t>
      </w:r>
      <w:r>
        <w:rPr>
          <w:rtl w:val="true"/>
        </w:rPr>
        <w:t>:</w:t>
      </w:r>
      <w:bookmarkEnd w:id="96"/>
    </w:p>
    <w:p>
      <w:pPr>
        <w:pStyle w:val="Heading4"/>
        <w:numPr>
          <w:ilvl w:val="3"/>
          <w:numId w:val="1"/>
        </w:numPr>
        <w:rPr/>
      </w:pPr>
      <w:bookmarkStart w:id="97" w:name="__RefHeading___Toc403303_2142443653"/>
      <w:bookmarkStart w:id="98" w:name="_Toc36"/>
      <w:bookmarkEnd w:id="97"/>
      <w:r>
        <w:rPr>
          <w:rtl w:val="true"/>
        </w:rPr>
        <w:t>الاول</w:t>
      </w:r>
      <w:r>
        <w:rPr>
          <w:rtl w:val="true"/>
        </w:rPr>
        <w:t xml:space="preserve">: </w:t>
      </w:r>
      <w:r>
        <w:rPr>
          <w:rtl w:val="true"/>
        </w:rPr>
        <w:t>اشتراط العقل و التمييز في التحمل بالسماع</w:t>
      </w:r>
      <w:bookmarkEnd w:id="9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و لا إشكال في اعتبار العقل و التمييز فيمن تحمل بالسماع و ما في معناه ليتحقق فيه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بالتمييز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البداية</w:t>
      </w:r>
      <w:r>
        <w:rPr>
          <w:rStyle w:val="FootnoteAnchor"/>
          <w:rtl w:val="true"/>
        </w:rPr>
        <w:footnoteReference w:id="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يفرّق بين الحديث الذي هو بصدد روايته و غيره أن سمعه في أصل مصحح، و إلاّ اعتبر مع ذلك ضبطه،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فسّره بعضهم بفرقه</w:t>
      </w:r>
      <w:r>
        <w:rPr>
          <w:rStyle w:val="FootnoteAnchor"/>
          <w:rtl w:val="true"/>
        </w:rPr>
        <w:footnoteReference w:id="154"/>
      </w:r>
      <w:r>
        <w:rPr>
          <w:rFonts w:ascii="Amiri" w:hAnsi="Amiri" w:eastAsia="Amiri" w:cs="Amiri"/>
          <w:color w:val="111111"/>
          <w:sz w:val="28"/>
          <w:sz w:val="28"/>
          <w:szCs w:val="28"/>
          <w:rtl w:val="true"/>
          <w:lang w:bidi="ar-SA"/>
        </w:rPr>
        <w:t>بين البقرة و الدابة و الحمار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 ذلك، بحيث يميز أدنى تمييز</w:t>
      </w:r>
      <w:r>
        <w:rPr>
          <w:rStyle w:val="FootnoteAnchor"/>
          <w:rtl w:val="true"/>
        </w:rPr>
        <w:footnoteReference w:id="155"/>
      </w:r>
      <w:r>
        <w:rPr>
          <w:rFonts w:ascii="Amiri" w:hAnsi="Amiri" w:eastAsia="Amiri" w:cs="Amiri"/>
          <w:color w:val="111111"/>
          <w:sz w:val="28"/>
          <w:sz w:val="28"/>
          <w:szCs w:val="28"/>
          <w:rtl w:val="true"/>
          <w:lang w:bidi="ar-SA"/>
        </w:rPr>
        <w:t>، و الأول أصح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يحترز بتحمله بالسماع عمّا لو كان بنحو الإجازة، فإنه لا يعتبر فيه ذلك،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بما في معنى السماع القراءة على الشيخ و</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نحوها، و ما ذكره موجّه</w:t>
      </w:r>
      <w:r>
        <w:rPr>
          <w:rFonts w:eastAsia="Amiri" w:cs="Amiri" w:ascii="Amiri" w:hAnsi="Amiri"/>
          <w:color w:val="111111"/>
          <w:sz w:val="28"/>
          <w:szCs w:val="28"/>
          <w:rtl w:val="true"/>
          <w:lang w:bidi="ar-SA"/>
        </w:rPr>
        <w:t xml:space="preserve">. </w:t>
      </w:r>
      <w:bookmarkStart w:id="99" w:name="pg15042_154822"/>
    </w:p>
    <w:p>
      <w:pPr>
        <w:pStyle w:val="Heading4"/>
        <w:numPr>
          <w:ilvl w:val="3"/>
          <w:numId w:val="1"/>
        </w:numPr>
        <w:rPr/>
      </w:pPr>
      <w:bookmarkStart w:id="100" w:name="__RefHeading___Toc403305_2142443653"/>
      <w:bookmarkStart w:id="101" w:name="_Toc37"/>
      <w:bookmarkEnd w:id="99"/>
      <w:bookmarkEnd w:id="100"/>
      <w:r>
        <w:rPr>
          <w:rtl w:val="true"/>
        </w:rPr>
        <w:t>الثاني</w:t>
      </w:r>
      <w:r>
        <w:rPr>
          <w:rtl w:val="true"/>
        </w:rPr>
        <w:t xml:space="preserve">: </w:t>
      </w:r>
      <w:r>
        <w:rPr>
          <w:rtl w:val="true"/>
        </w:rPr>
        <w:t>عدم اشتراط الاسلام و لا الايمان و لا البلوغ و لا العدالة في تحمل الحديث</w:t>
      </w:r>
      <w:bookmarkEnd w:id="101"/>
    </w:p>
    <w:p>
      <w:pPr>
        <w:pStyle w:val="Heading5"/>
        <w:numPr>
          <w:ilvl w:val="4"/>
          <w:numId w:val="1"/>
        </w:numPr>
        <w:rPr/>
      </w:pPr>
      <w:bookmarkStart w:id="102" w:name="__RefHeading___Toc403307_2142443653"/>
      <w:bookmarkStart w:id="103" w:name="_Toc38"/>
      <w:bookmarkEnd w:id="102"/>
      <w:r>
        <w:rPr>
          <w:rtl w:val="true"/>
        </w:rPr>
        <w:t>اشارة</w:t>
      </w:r>
      <w:bookmarkEnd w:id="10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في صحة تحمل الحديث بأقسامه الإسلام و لا الإيمان و لا البلوغ و لا العدالة، فلو تحمله كافرا أو منافقا أو صغيرا أو فاسقا و أداه في حال استجماعه للإسلام و الإيمان و البلوغ و العدالة قبل، كما صرح بذلك جمع</w:t>
      </w:r>
      <w:r>
        <w:rPr>
          <w:rStyle w:val="FootnoteAnchor"/>
          <w:rtl w:val="true"/>
        </w:rPr>
        <w:footnoteReference w:id="156"/>
      </w:r>
      <w:r>
        <w:rPr>
          <w:rFonts w:ascii="Amiri" w:hAnsi="Amiri" w:eastAsia="Amiri" w:cs="Amiri"/>
          <w:color w:val="111111"/>
          <w:sz w:val="28"/>
          <w:sz w:val="28"/>
          <w:szCs w:val="28"/>
          <w:rtl w:val="true"/>
          <w:lang w:bidi="ar-SA"/>
        </w:rPr>
        <w:t>، بل لا خلاف في ذلك ينقل</w:t>
      </w:r>
      <w:r>
        <w:rPr>
          <w:rStyle w:val="FootnoteAnchor"/>
          <w:rtl w:val="true"/>
        </w:rPr>
        <w:footnoteReference w:id="157"/>
      </w:r>
      <w:r>
        <w:rPr>
          <w:rFonts w:ascii="Amiri" w:hAnsi="Amiri" w:eastAsia="Amiri" w:cs="Amiri"/>
          <w:color w:val="111111"/>
          <w:sz w:val="28"/>
          <w:sz w:val="28"/>
          <w:szCs w:val="28"/>
          <w:rtl w:val="true"/>
          <w:lang w:bidi="ar-SA"/>
        </w:rPr>
        <w:t xml:space="preserve">، و لا إشكال يحتمل لما مرّ تحقيقه في الأمر الثاني من الأمرين المذيل بهما الجهة الاولى من الفصل الرابع من أن المعتبر في شرائط الراوي هو حال الأداء لا حال التحمل، و قد اتفق التحمل كافرا و الأداء مسلما للصحابة كرواية جبير بن مطعم حيث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المغرب بالطور</w:t>
      </w:r>
      <w:r>
        <w:rPr>
          <w:rStyle w:val="FootnoteAnchor"/>
          <w:rtl w:val="true"/>
        </w:rPr>
        <w:footnoteReference w:id="158"/>
      </w:r>
      <w:r>
        <w:rPr>
          <w:rFonts w:ascii="Amiri" w:hAnsi="Amiri" w:eastAsia="Amiri" w:cs="Amiri"/>
          <w:color w:val="111111"/>
          <w:sz w:val="28"/>
          <w:sz w:val="28"/>
          <w:szCs w:val="28"/>
          <w:rtl w:val="true"/>
          <w:lang w:bidi="ar-SA"/>
        </w:rPr>
        <w:t xml:space="preserve">، و كان قد جاء في فداء أسارى بدر فتحمله كافرا، ثم رواه بعد اسلامه، و كذلك رؤيته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واقفا بعرفة قبل الهجرة، و رواية أبي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سفيان في حديثه مع هرقل</w:t>
      </w:r>
      <w:r>
        <w:rPr>
          <w:rStyle w:val="FootnoteAnchor"/>
          <w:rtl w:val="true"/>
        </w:rPr>
        <w:footnoteReference w:id="15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اتفق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البداية</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جماعة من الصحابة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البلوغ كالحسنين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 سنّ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رحلة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الثمان سنين</w:t>
      </w:r>
      <w:r>
        <w:rPr>
          <w:rStyle w:val="FootnoteAnchor"/>
          <w:rtl w:val="true"/>
        </w:rPr>
        <w:footnoteReference w:id="162"/>
      </w:r>
      <w:r>
        <w:rPr>
          <w:rFonts w:ascii="Amiri" w:hAnsi="Amiri" w:eastAsia="Amiri" w:cs="Amiri"/>
          <w:color w:val="111111"/>
          <w:sz w:val="28"/>
          <w:sz w:val="28"/>
          <w:szCs w:val="28"/>
          <w:rtl w:val="true"/>
          <w:lang w:bidi="ar-SA"/>
        </w:rPr>
        <w:t xml:space="preserve">،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السبع سنين، و كعبد اللّه بن العباس، و عبد اللّه بن الزبير</w:t>
      </w:r>
      <w:r>
        <w:rPr>
          <w:rStyle w:val="FootnoteAnchor"/>
          <w:rtl w:val="true"/>
        </w:rPr>
        <w:footnoteReference w:id="163"/>
      </w:r>
      <w:r>
        <w:rPr>
          <w:rFonts w:ascii="Amiri" w:hAnsi="Amiri" w:eastAsia="Amiri" w:cs="Amiri"/>
          <w:color w:val="111111"/>
          <w:sz w:val="28"/>
          <w:sz w:val="28"/>
          <w:szCs w:val="28"/>
          <w:rtl w:val="true"/>
          <w:lang w:bidi="ar-SA"/>
        </w:rPr>
        <w:t>، و النعمان بن بشير، و السائب</w:t>
      </w:r>
      <w:r>
        <w:rPr>
          <w:rStyle w:val="FootnoteAnchor"/>
          <w:rtl w:val="true"/>
        </w:rPr>
        <w:footnoteReference w:id="164"/>
      </w:r>
      <w:r>
        <w:rPr>
          <w:rFonts w:ascii="Amiri" w:hAnsi="Amiri" w:eastAsia="Amiri" w:cs="Amiri"/>
          <w:color w:val="111111"/>
          <w:sz w:val="28"/>
          <w:sz w:val="28"/>
          <w:szCs w:val="28"/>
          <w:rtl w:val="true"/>
          <w:lang w:bidi="ar-SA"/>
        </w:rPr>
        <w:t>بن يزيد، و المسور بن مخزمة</w:t>
      </w:r>
      <w:r>
        <w:rPr>
          <w:rStyle w:val="FootnoteAnchor"/>
          <w:rtl w:val="true"/>
        </w:rPr>
        <w:footnoteReference w:id="16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حيث تحمّلوا جملة من الروايات في حال الصغر، و قبل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روايتهم، من غير فرق بين ما تحملوه قبل البلوغ و بعده، و لم تزل الناس يسمعون الصبيان </w:t>
      </w:r>
    </w:p>
    <w:p>
      <w:pPr>
        <w:pStyle w:val="BookText"/>
        <w:rPr/>
      </w:pPr>
      <w:r>
        <w:rPr>
          <w:rFonts w:ascii="Amiri" w:hAnsi="Amiri" w:eastAsia="Amiri" w:cs="Amiri"/>
          <w:color w:val="111111"/>
          <w:sz w:val="28"/>
          <w:sz w:val="28"/>
          <w:szCs w:val="28"/>
          <w:rtl w:val="true"/>
          <w:lang w:bidi="ar-SA"/>
        </w:rPr>
        <w:t>و يحضرونهم مجالس التحديث و يعتدّون بروايتهم لذلك بعد البلوغ</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ثم ان ما ذكرناه من سماع الصبي بالنظر للصحة سواء بنفسه أو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البداية عن شاذ اشتراط البلوغ في أهلية التحمل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نسختنا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سبع بدلا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أربع، و هو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مردود بعدم الدليل عليه، و اصالة عدم الاشتراط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كما لا يشترط البلوغ في أهلية السماع فكذا لا تحديد لسن من يتحمل بعد كون المدار على التمييز المختلف باختلاف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تحديد قوم سنهم المسوغ</w:t>
      </w:r>
      <w:r>
        <w:rPr>
          <w:rStyle w:val="FootnoteAnchor"/>
          <w:rtl w:val="true"/>
        </w:rPr>
        <w:footnoteReference w:id="167"/>
      </w:r>
      <w:r>
        <w:rPr>
          <w:rFonts w:ascii="Amiri" w:hAnsi="Amiri" w:eastAsia="Amiri" w:cs="Amiri"/>
          <w:color w:val="111111"/>
          <w:sz w:val="28"/>
          <w:sz w:val="28"/>
          <w:szCs w:val="28"/>
          <w:rtl w:val="true"/>
          <w:lang w:bidi="ar-SA"/>
        </w:rPr>
        <w:t>بعشر سنين</w:t>
      </w:r>
      <w:r>
        <w:rPr>
          <w:rStyle w:val="FootnoteAnchor"/>
          <w:rtl w:val="true"/>
        </w:rPr>
        <w:footnoteReference w:id="168"/>
      </w:r>
      <w:r>
        <w:rPr>
          <w:rFonts w:ascii="Amiri" w:hAnsi="Amiri" w:eastAsia="Amiri" w:cs="Amiri"/>
          <w:color w:val="111111"/>
          <w:sz w:val="28"/>
          <w:sz w:val="28"/>
          <w:szCs w:val="28"/>
          <w:rtl w:val="true"/>
          <w:lang w:bidi="ar-SA"/>
        </w:rPr>
        <w:t>أو خمس سنين</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خلط عجيب في عبارة القوم بين تحديد زمن السماع و زمن الطلب و التحمل، و زمن الإسماع و زمن الكتابة و وقت الإجازة فلاحظ كلمات القوم تدرك مغزى ما أردناه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أربع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نحوه خطأ، لاختلاف الناس في مراتب الفهم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فهم الخطاب و ميّز ما يسمعه صح سماعه و إن كان دون خمس، </w:t>
      </w:r>
    </w:p>
    <w:p>
      <w:pPr>
        <w:pStyle w:val="BookText"/>
        <w:rPr/>
      </w:pPr>
      <w:r>
        <w:rPr>
          <w:rFonts w:ascii="Amiri" w:hAnsi="Amiri" w:eastAsia="Amiri" w:cs="Amiri"/>
          <w:color w:val="111111"/>
          <w:sz w:val="28"/>
          <w:sz w:val="28"/>
          <w:szCs w:val="28"/>
          <w:rtl w:val="true"/>
          <w:lang w:bidi="ar-SA"/>
        </w:rPr>
        <w:t>و من لم يكن كذلك لم يصح و إن كان ابن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الشيخ الفاضل تقي الدين الحسن بن داود أن صاحبه و رفيقه السيد غياث بن طاوس اشتغل</w:t>
      </w:r>
      <w:r>
        <w:rPr>
          <w:rStyle w:val="FootnoteAnchor"/>
          <w:rtl w:val="true"/>
        </w:rPr>
        <w:footnoteReference w:id="170"/>
      </w:r>
      <w:r>
        <w:rPr>
          <w:rFonts w:ascii="Amiri" w:hAnsi="Amiri" w:eastAsia="Amiri" w:cs="Amiri"/>
          <w:color w:val="111111"/>
          <w:sz w:val="28"/>
          <w:sz w:val="28"/>
          <w:szCs w:val="28"/>
          <w:rtl w:val="true"/>
          <w:lang w:bidi="ar-SA"/>
        </w:rPr>
        <w:t>بالكتابة و استغنى عن المعلم و عمره أربع سنين، و عن إبراهيم بن سعيد</w:t>
      </w:r>
      <w:r>
        <w:rPr>
          <w:rStyle w:val="FootnoteAnchor"/>
          <w:rtl w:val="true"/>
        </w:rPr>
        <w:footnoteReference w:id="171"/>
      </w:r>
      <w:r>
        <w:rPr>
          <w:rFonts w:ascii="Amiri" w:hAnsi="Amiri" w:eastAsia="Amiri" w:cs="Amiri"/>
          <w:color w:val="111111"/>
          <w:sz w:val="28"/>
          <w:sz w:val="28"/>
          <w:szCs w:val="28"/>
          <w:rtl w:val="true"/>
          <w:lang w:bidi="ar-SA"/>
        </w:rPr>
        <w:t>الجوهري</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صبيا ابن أربع سنين قد حمل إلى المأمون قد قرأ 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القرآن، و نظر في الرأي غير أنه إذا جاع بكى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محمد عبد اللّه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هو أبو محمد عبد اللّه بن محمد بن جعفر 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الحيّاني الأنصاري الأصبهاني المعروف بابن الشيخ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الحافظ المؤرخ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جملة مصنفات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و كذا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حفظت القرآن و لي خمس سنين، و حملت إلى ابن المقري لأستمع منه ولي أربع سنين، فقال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تستمعوا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فيما</w:t>
      </w:r>
      <w:bookmarkStart w:id="104" w:name="pg15042_154826"/>
    </w:p>
    <w:p>
      <w:pPr>
        <w:pStyle w:val="BookText"/>
        <w:rPr/>
      </w:pPr>
      <w:bookmarkEnd w:id="104"/>
      <w:r>
        <w:rPr>
          <w:rFonts w:ascii="Amiri" w:hAnsi="Amiri" w:eastAsia="Amiri" w:cs="Amiri"/>
          <w:color w:val="111111"/>
          <w:sz w:val="28"/>
          <w:sz w:val="28"/>
          <w:szCs w:val="28"/>
          <w:rtl w:val="true"/>
          <w:lang w:bidi="ar-SA"/>
        </w:rPr>
        <w:t>قرئ فإنه صغير</w:t>
      </w:r>
      <w:r>
        <w:rPr>
          <w:rStyle w:val="FootnoteAnchor"/>
          <w:rtl w:val="true"/>
        </w:rPr>
        <w:footnoteReference w:id="173"/>
      </w:r>
      <w:r>
        <w:rPr>
          <w:rFonts w:ascii="Amiri" w:hAnsi="Amiri" w:eastAsia="Amiri" w:cs="Amiri"/>
          <w:color w:val="111111"/>
          <w:sz w:val="28"/>
          <w:sz w:val="28"/>
          <w:szCs w:val="28"/>
          <w:rtl w:val="true"/>
          <w:lang w:bidi="ar-SA"/>
        </w:rPr>
        <w:t>، فقال لي 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الكافرين</w:t>
      </w:r>
      <w:r>
        <w:rPr>
          <w:rStyle w:val="FootnoteAnchor"/>
          <w:rtl w:val="true"/>
        </w:rPr>
        <w:footnoteReference w:id="174"/>
      </w:r>
      <w:r>
        <w:rPr>
          <w:rFonts w:ascii="Amiri" w:hAnsi="Amiri" w:eastAsia="Amiri" w:cs="Amiri"/>
          <w:color w:val="111111"/>
          <w:sz w:val="28"/>
          <w:sz w:val="28"/>
          <w:szCs w:val="28"/>
          <w:rtl w:val="true"/>
          <w:lang w:bidi="ar-SA"/>
        </w:rPr>
        <w:t>فقرأتها،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التكوير، فقرأتها، فقال لي غيره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 المرسلات، فقرأتها و لم أغلط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له و العهدة عليّ‌</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أن الأخير دل على عدم اعتبار البلوغ في الأداء أيضا فضلا عن التحمل، و لا نقول به</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403309_2142443653"/>
      <w:bookmarkStart w:id="106" w:name="_Toc39"/>
      <w:bookmarkEnd w:id="105"/>
      <w:r>
        <w:rPr>
          <w:rtl w:val="true"/>
        </w:rPr>
        <w:t>تحديد السن لمن يتحمل الرواية في الابتداء و الانتهاء</w:t>
      </w:r>
      <w:bookmarkEnd w:id="106"/>
    </w:p>
    <w:p>
      <w:pPr>
        <w:pStyle w:val="BookText"/>
        <w:rPr/>
      </w:pPr>
      <w:r>
        <w:rPr>
          <w:rFonts w:ascii="Amiri" w:hAnsi="Amiri" w:eastAsia="Amiri" w:cs="Amiri"/>
          <w:color w:val="111111"/>
          <w:sz w:val="28"/>
          <w:sz w:val="28"/>
          <w:szCs w:val="28"/>
          <w:rtl w:val="true"/>
          <w:lang w:bidi="ar-SA"/>
        </w:rPr>
        <w:t>و قد صدر من محدثي العامة في تحديد السن أقوال واهية، فعن ابن خلاد</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انظر عنه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و كذا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و ترجمه سيد الأعيان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69/22</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حده إذا بلغ خمسين سنة لأنها انتهاء الكهولة، و فيها مجتمع الأشد،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 عند الأربعين لأنها حد الاستواء و منتهى الكمال، و عندها ينتهي عزم الإنسان و قوته، و يتوفر عقله و يجود رأيه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باجماع السلف و الخلف على نشر الأحاديث قبل </w:t>
      </w:r>
      <w:bookmarkStart w:id="107" w:name="pg15042_154827"/>
    </w:p>
    <w:p>
      <w:pPr>
        <w:pStyle w:val="BookText"/>
        <w:rPr/>
      </w:pPr>
      <w:bookmarkEnd w:id="107"/>
      <w:r>
        <w:rPr>
          <w:rFonts w:ascii="IRNazanin" w:hAnsi="IRNazanin" w:eastAsia="IRNazanin"/>
          <w:color w:val="111111"/>
          <w:sz w:val="28"/>
          <w:sz w:val="28"/>
          <w:szCs w:val="28"/>
          <w:rtl w:val="true"/>
          <w:lang w:bidi="fa-IR"/>
        </w:rPr>
        <w:t>البلوغ إلى هذا السن و شبهه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كما لا حد في الابتداء فكذا لا حد في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تحمل الحديث و نقله لمن طعن في السن، غايته ما دامت قواه 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الإمساك على التحديث لمن خشى التخليط، لهرم أو خرف أو عمى حذارا من الوقوع فيما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ضبطه ابن خلاد بالثمانين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السلف و الخلف على السماع و الاستماع ممن تجاوزها من الشيوخ الثقات المتبحرين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403311_2142443653"/>
      <w:bookmarkStart w:id="109" w:name="_Toc40"/>
      <w:bookmarkEnd w:id="108"/>
      <w:r>
        <w:rPr>
          <w:rtl w:val="true"/>
        </w:rPr>
        <w:t>الثالث</w:t>
      </w:r>
      <w:r>
        <w:rPr>
          <w:rtl w:val="true"/>
        </w:rPr>
        <w:t xml:space="preserve">: </w:t>
      </w:r>
      <w:r>
        <w:rPr>
          <w:rtl w:val="true"/>
        </w:rPr>
        <w:t>لا يشترط في المروي عنه إن يكون اكبر من الراوي سنا و لا رتبة</w:t>
      </w:r>
      <w:bookmarkEnd w:id="109"/>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في المروي عنه أن يكون أكبر من الراوي سنا و لا رتبة و قدرا و علما، بل يجوز أن يروي الكبير عن الصغير بعد اتصافه بصفات الراوي، كما صرح بذلك جمع</w:t>
      </w:r>
      <w:r>
        <w:rPr>
          <w:rStyle w:val="FootnoteAnchor"/>
          <w:rtl w:val="true"/>
        </w:rPr>
        <w:footnoteReference w:id="178"/>
      </w:r>
      <w:r>
        <w:rPr>
          <w:rFonts w:ascii="Amiri" w:hAnsi="Amiri" w:eastAsia="Amiri" w:cs="Amiri"/>
          <w:color w:val="111111"/>
          <w:sz w:val="28"/>
          <w:sz w:val="28"/>
          <w:szCs w:val="28"/>
          <w:rtl w:val="true"/>
          <w:lang w:bidi="ar-SA"/>
        </w:rPr>
        <w:t>، بل لا شبهة فيه و لا ريب، لأصالة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اتفق ذلك كثيرا للصحابة ممّن دونهم من التابعين و الفقهاء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في المقام الأول من الفصل الخامس عنوان رواية الأكابر عن الأصاغر</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هذا النوع أن لا يظنّ بناء على الغالب من كون المروي</w:t>
      </w:r>
      <w:r>
        <w:rPr>
          <w:rStyle w:val="FootnoteAnchor"/>
          <w:rtl w:val="true"/>
        </w:rPr>
        <w:footnoteReference w:id="180"/>
      </w:r>
      <w:r>
        <w:rPr>
          <w:rFonts w:ascii="Amiri" w:hAnsi="Amiri" w:eastAsia="Amiri" w:cs="Amiri"/>
          <w:color w:val="111111"/>
          <w:sz w:val="28"/>
          <w:sz w:val="28"/>
          <w:szCs w:val="28"/>
          <w:rtl w:val="true"/>
          <w:lang w:bidi="ar-SA"/>
        </w:rPr>
        <w:t>أكبر بأحد الامور دأبا</w:t>
      </w:r>
      <w:r>
        <w:rPr>
          <w:rStyle w:val="FootnoteAnchor"/>
          <w:rtl w:val="true"/>
        </w:rPr>
        <w:footnoteReference w:id="181"/>
      </w:r>
      <w:r>
        <w:rPr>
          <w:rFonts w:ascii="Amiri" w:hAnsi="Amiri" w:eastAsia="Amiri" w:cs="Amiri"/>
          <w:color w:val="111111"/>
          <w:sz w:val="28"/>
          <w:sz w:val="28"/>
          <w:szCs w:val="28"/>
          <w:rtl w:val="true"/>
          <w:lang w:bidi="ar-SA"/>
        </w:rPr>
        <w:t>فيجهل بذلك منزلتهما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أن ننزل الناس منازلهم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110" w:name="pg15042_154829"/>
    </w:p>
    <w:p>
      <w:pPr>
        <w:pStyle w:val="Heading3"/>
        <w:numPr>
          <w:ilvl w:val="2"/>
          <w:numId w:val="1"/>
        </w:numPr>
        <w:rPr/>
      </w:pPr>
      <w:bookmarkStart w:id="111" w:name="__RefHeading___Toc403313_2142443653"/>
      <w:bookmarkStart w:id="112" w:name="_Toc41"/>
      <w:bookmarkEnd w:id="110"/>
      <w:bookmarkEnd w:id="111"/>
      <w:r>
        <w:rPr>
          <w:rtl w:val="true"/>
        </w:rPr>
        <w:t>المقام الثاني في طرق التحمل للحديث</w:t>
      </w:r>
      <w:bookmarkEnd w:id="112"/>
    </w:p>
    <w:p>
      <w:pPr>
        <w:pStyle w:val="Heading4"/>
        <w:numPr>
          <w:ilvl w:val="3"/>
          <w:numId w:val="1"/>
        </w:numPr>
        <w:rPr/>
      </w:pPr>
      <w:bookmarkStart w:id="113" w:name="__RefHeading___Toc403315_2142443653"/>
      <w:bookmarkStart w:id="114" w:name="_Toc42"/>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المقام الثاني في طرق التحمل للحديث</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للراوي من مستند يصح له من أجله رواية الحديث و يقبل منه بسببه، و هو في الرواية عن المعصوم نفسه ظاهر، و أما في الرواية عن الراوي كما في زمننا فترد فيه هذه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سبعة عند جمع</w:t>
      </w:r>
      <w:r>
        <w:rPr>
          <w:rStyle w:val="FootnoteAnchor"/>
          <w:rtl w:val="true"/>
        </w:rPr>
        <w:footnoteReference w:id="184"/>
      </w:r>
      <w:r>
        <w:rPr>
          <w:rFonts w:ascii="Amiri" w:hAnsi="Amiri" w:eastAsia="Amiri" w:cs="Amiri"/>
          <w:color w:val="111111"/>
          <w:sz w:val="28"/>
          <w:sz w:val="28"/>
          <w:szCs w:val="28"/>
          <w:rtl w:val="true"/>
          <w:lang w:bidi="ar-SA"/>
        </w:rPr>
        <w:t>، و ثمانية عند آخرين</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للتوسع في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تحمّل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بعدها 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و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يليها، و شرح نخبة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يتلوها، الألفية و شرحها للسخاوي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دراية الدربندي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و غيرها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دون نزاع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عدّها سبعة أدرج الوصية في الأعلام</w:t>
      </w:r>
      <w:bookmarkStart w:id="115" w:name="pg15042_154830"/>
    </w:p>
    <w:p>
      <w:pPr>
        <w:pStyle w:val="BookText"/>
        <w:rPr/>
      </w:pPr>
      <w:bookmarkEnd w:id="115"/>
      <w:r>
        <w:rPr>
          <w:rFonts w:ascii="Amiri" w:hAnsi="Amiri" w:eastAsia="Amiri" w:cs="Amiri"/>
          <w:color w:val="111111"/>
          <w:sz w:val="28"/>
          <w:sz w:val="28"/>
          <w:szCs w:val="28"/>
          <w:rtl w:val="true"/>
          <w:lang w:bidi="ar-SA"/>
        </w:rPr>
        <w:t>و ذيله بها، و من عدّها ثمانية عدّ الوصية قسما مستقلا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الطرق عنده خمس حيث بعد ذكره للقراءة و السماع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ما يقرأ على الشيخ و يتنزّل منزلة القراءة عليه، لكنه ينقص عنها بأن السامع ربما غفل عن سماع بعض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القارئ فلا يجري هذا في حقه، و يجوز له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أخبرنا سماعا، يقرأ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منه، لم أجد من تابعه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كيف كان</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403317_2142443653"/>
      <w:bookmarkStart w:id="117" w:name="_Toc43"/>
      <w:bookmarkEnd w:id="116"/>
      <w:r>
        <w:rPr>
          <w:rtl w:val="true"/>
        </w:rPr>
        <w:t>اولها</w:t>
      </w:r>
      <w:r>
        <w:rPr>
          <w:rtl w:val="true"/>
        </w:rPr>
        <w:t xml:space="preserve">: </w:t>
      </w:r>
      <w:r>
        <w:rPr>
          <w:rtl w:val="true"/>
        </w:rPr>
        <w:t>السماع من لفظ الشيخ</w:t>
      </w:r>
      <w:r>
        <w:rPr>
          <w:rtl w:val="true"/>
        </w:rPr>
        <w:t xml:space="preserve">. </w:t>
      </w:r>
      <w:r>
        <w:rPr>
          <w:rtl w:val="true"/>
        </w:rPr>
        <w:t>و فيه مطالب</w:t>
      </w:r>
      <w:bookmarkEnd w:id="117"/>
    </w:p>
    <w:p>
      <w:pPr>
        <w:pStyle w:val="Heading5"/>
        <w:numPr>
          <w:ilvl w:val="4"/>
          <w:numId w:val="1"/>
        </w:numPr>
        <w:rPr/>
      </w:pPr>
      <w:bookmarkStart w:id="118" w:name="__RefHeading___Toc403319_2142443653"/>
      <w:bookmarkStart w:id="119" w:name="_Toc44"/>
      <w:bookmarkEnd w:id="118"/>
      <w:r>
        <w:rPr>
          <w:rtl w:val="true"/>
        </w:rPr>
        <w:t>اشارة</w:t>
      </w:r>
      <w:bookmarkEnd w:id="119"/>
    </w:p>
    <w:p>
      <w:pPr>
        <w:pStyle w:val="BookText"/>
        <w:rPr/>
      </w:pPr>
      <w:r>
        <w:rPr>
          <w:rFonts w:ascii="Amiri" w:hAnsi="Amiri" w:eastAsia="Amiri" w:cs="Amiri"/>
          <w:color w:val="111111"/>
          <w:sz w:val="28"/>
          <w:sz w:val="28"/>
          <w:szCs w:val="28"/>
          <w:rtl w:val="true"/>
          <w:lang w:bidi="ar-SA"/>
        </w:rPr>
        <w:t>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لفظ الشيخ</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انظر في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هو المروي عنه، و فيه مطالب</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403321_2142443653"/>
      <w:bookmarkStart w:id="121" w:name="_Toc45"/>
      <w:bookmarkEnd w:id="120"/>
      <w:r>
        <w:rPr>
          <w:rtl w:val="true"/>
        </w:rPr>
        <w:t>الاول</w:t>
      </w:r>
      <w:r>
        <w:rPr>
          <w:rtl w:val="true"/>
        </w:rPr>
        <w:t xml:space="preserve">: </w:t>
      </w:r>
      <w:r>
        <w:rPr>
          <w:rtl w:val="true"/>
        </w:rPr>
        <w:t>كون هذا الطريق اعلى طرق التحمل و أرفع اقسامه</w:t>
      </w:r>
      <w:bookmarkEnd w:id="12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الطريق أعلى طرق التحمل و أرفع أقسامه عند جمهور المحدثين، كما في البداية</w:t>
      </w:r>
      <w:r>
        <w:rPr>
          <w:rStyle w:val="FootnoteAnchor"/>
          <w:rtl w:val="true"/>
        </w:rPr>
        <w:footnoteReference w:id="18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السماع من الشيخ و الكتابة عنه أرفع من السماع فقط، لأن الشيخ مشتغل بالتحديث و الراوي بالكتابة عنه، فيكونا أقرب إلى التحقيق و أبعد عن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ترجيح السماع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الشيخ أعرف بوجوه ضبط</w:t>
      </w:r>
      <w:r>
        <w:rPr>
          <w:rStyle w:val="FootnoteAnchor"/>
          <w:rtl w:val="true"/>
        </w:rPr>
        <w:footnoteReference w:id="190"/>
      </w:r>
      <w:r>
        <w:rPr>
          <w:rFonts w:ascii="Amiri" w:hAnsi="Amiri" w:eastAsia="Amiri" w:cs="Amiri"/>
          <w:color w:val="111111"/>
          <w:sz w:val="28"/>
          <w:sz w:val="28"/>
          <w:szCs w:val="28"/>
          <w:rtl w:val="true"/>
          <w:lang w:bidi="ar-SA"/>
        </w:rPr>
        <w:t xml:space="preserve">الحديث و تأديته، و لأنه خليفة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سفيره إلى امته، و الأخذ منه كالأخذ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الناس أولا و أسمعهم ما جاء به، و التقرير على ما جرى بحضرته أولى</w:t>
      </w:r>
      <w:r>
        <w:rPr>
          <w:rStyle w:val="FootnoteAnchor"/>
          <w:rtl w:val="true"/>
        </w:rPr>
        <w:footnoteReference w:id="191"/>
      </w:r>
      <w:r>
        <w:rPr>
          <w:rFonts w:ascii="Amiri" w:hAnsi="Amiri" w:eastAsia="Amiri" w:cs="Amiri"/>
          <w:color w:val="111111"/>
          <w:sz w:val="28"/>
          <w:sz w:val="28"/>
          <w:szCs w:val="28"/>
          <w:rtl w:val="true"/>
          <w:lang w:bidi="ar-SA"/>
        </w:rPr>
        <w:t>، و لأن السامع أربط جأشا و أوعى قلبا، و شغل القلب و توزع الفكر إلى القارئ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w:t>
      </w:r>
      <w:r>
        <w:rPr>
          <w:rStyle w:val="FootnoteAnchor"/>
          <w:rtl w:val="true"/>
        </w:rPr>
        <w:footnoteReference w:id="192"/>
      </w:r>
      <w:r>
        <w:rPr>
          <w:rFonts w:ascii="Amiri" w:hAnsi="Amiri" w:eastAsia="Amiri" w:cs="Amiri"/>
          <w:color w:val="111111"/>
          <w:sz w:val="28"/>
          <w:sz w:val="28"/>
          <w:szCs w:val="28"/>
          <w:rtl w:val="true"/>
          <w:lang w:bidi="ar-SA"/>
        </w:rPr>
        <w:t>فيسمعون مني حديثكم فاضجر و لا أقوى</w:t>
      </w:r>
      <w:r>
        <w:rPr>
          <w:rStyle w:val="FootnoteAnchor"/>
          <w:rtl w:val="true"/>
        </w:rPr>
        <w:footnoteReference w:id="1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عليهم من أوله حديثا، و من وسطه حديثا، و من آخره حديثا</w:t>
      </w:r>
      <w:r>
        <w:rPr>
          <w:rStyle w:val="FootnoteAnchor"/>
          <w:rtl w:val="true"/>
        </w:rPr>
        <w:footnoteReference w:id="194"/>
      </w:r>
      <w:r>
        <w:rPr>
          <w:rFonts w:ascii="Amiri" w:hAnsi="Amiri" w:eastAsia="Amiri" w:cs="Amiri"/>
          <w:color w:val="111111"/>
          <w:sz w:val="28"/>
          <w:sz w:val="28"/>
          <w:szCs w:val="28"/>
          <w:rtl w:val="true"/>
          <w:lang w:bidi="ar-SA"/>
        </w:rPr>
        <w:t xml:space="preserve">، فعدوله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قراءة هذه الأحاديث مع العجز يدلّ على أولويته على قراءة الراوي، و إلا لأمر بها</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الأخير تأمل لا يخفى</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bookmarkStart w:id="122" w:name="pg15042_154832"/>
    </w:p>
    <w:p>
      <w:pPr>
        <w:pStyle w:val="Heading5"/>
        <w:numPr>
          <w:ilvl w:val="4"/>
          <w:numId w:val="1"/>
        </w:numPr>
        <w:rPr/>
      </w:pPr>
      <w:bookmarkStart w:id="123" w:name="__RefHeading___Toc403323_2142443653"/>
      <w:bookmarkStart w:id="124" w:name="_Toc46"/>
      <w:bookmarkEnd w:id="122"/>
      <w:bookmarkEnd w:id="123"/>
      <w:r>
        <w:rPr>
          <w:rtl w:val="true"/>
        </w:rPr>
        <w:t>الثاني</w:t>
      </w:r>
      <w:r>
        <w:rPr>
          <w:rtl w:val="true"/>
        </w:rPr>
        <w:t xml:space="preserve">: </w:t>
      </w:r>
      <w:r>
        <w:rPr>
          <w:rtl w:val="true"/>
        </w:rPr>
        <w:t>اقسام هذا الوجه</w:t>
      </w:r>
      <w:bookmarkEnd w:id="12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القسم على وجوه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يقرأها الشيخ من كتاب مصحح على خصوص الراوي عنه، بأن يكون هو المخاطب الملقى إليه الكلام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منه مع كون الراوي أحد المخاطبين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منه مع كون الخطاب إلى غير الراوي عنه، فيكون الراوي عنه مستمعا أو سامعا 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و الخامس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مع كون قراءته من حفظه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أعلى هذه الوجوه الأول</w:t>
      </w:r>
      <w:r>
        <w:rPr>
          <w:rStyle w:val="FootnoteAnchor"/>
          <w:rtl w:val="true"/>
        </w:rPr>
        <w:footnoteReference w:id="200"/>
      </w:r>
      <w:r>
        <w:rPr>
          <w:rFonts w:ascii="Amiri" w:hAnsi="Amiri" w:eastAsia="Amiri" w:cs="Amiri"/>
          <w:color w:val="111111"/>
          <w:sz w:val="28"/>
          <w:sz w:val="28"/>
          <w:szCs w:val="28"/>
          <w:rtl w:val="true"/>
          <w:lang w:bidi="ar-SA"/>
        </w:rPr>
        <w:t xml:space="preserve">، ثم الثاني </w:t>
      </w:r>
      <w:bookmarkStart w:id="125" w:name="pg15042_154833"/>
    </w:p>
    <w:p>
      <w:pPr>
        <w:pStyle w:val="BookText"/>
        <w:rPr/>
      </w:pPr>
      <w:bookmarkEnd w:id="125"/>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على ترتيب الذكر، و قد علّل ذلك بقلة احتمال الخطأ في الأول بالنسبة إلى غيره لمكانه من المحافظة بالذهول و النسيان بالقراءة من الحفظ بخلافه في القراءة من الكتاب و عروضه من البصر المختص بالقراءة من الكتاب و إن كان ممكنا، إلا أنه أبعد من نحو النسيان المختص بالقراءة من الحفظ، و كذا قلّة اعتناء السامع بل المستمع الخارج عن الخطاب بل الداخل فيه ممن اختص به</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403325_2142443653"/>
      <w:bookmarkStart w:id="127" w:name="_Toc47"/>
      <w:bookmarkEnd w:id="126"/>
      <w:r>
        <w:rPr>
          <w:rtl w:val="true"/>
        </w:rPr>
        <w:t>الثالث</w:t>
      </w:r>
      <w:r>
        <w:rPr>
          <w:rtl w:val="true"/>
        </w:rPr>
        <w:t xml:space="preserve">: </w:t>
      </w:r>
      <w:r>
        <w:rPr>
          <w:rtl w:val="true"/>
        </w:rPr>
        <w:t>كيفية اداء الحديث المتحمل بالسماع أو الاستماع من الشيخ العبارات الواردة و بيان اعلاها في التأدية</w:t>
      </w:r>
      <w:bookmarkEnd w:id="12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صرحوا بأن المتحمل بالسماع أو الاستماع من الشيخ إذا أراد أن يروي ذلك الحديث المسموع لغيره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أو حدث فلان، أو حدثني، أو حدثنا، أو أخبرنا، أو أنبأنا</w:t>
      </w:r>
      <w:r>
        <w:rPr>
          <w:rStyle w:val="FootnoteAnchor"/>
          <w:rtl w:val="true"/>
        </w:rPr>
        <w:footnoteReference w:id="201"/>
      </w:r>
      <w:r>
        <w:rPr>
          <w:rFonts w:ascii="Amiri" w:hAnsi="Amiri" w:eastAsia="Amiri" w:cs="Amiri"/>
          <w:color w:val="111111"/>
          <w:sz w:val="28"/>
          <w:sz w:val="28"/>
          <w:szCs w:val="28"/>
          <w:rtl w:val="true"/>
          <w:lang w:bidi="ar-SA"/>
        </w:rPr>
        <w:t>، أو روى، أو ذكر لنا</w:t>
      </w:r>
      <w:r>
        <w:rPr>
          <w:rStyle w:val="FootnoteAnchor"/>
          <w:rtl w:val="true"/>
        </w:rPr>
        <w:footnoteReference w:id="202"/>
      </w:r>
      <w:r>
        <w:rPr>
          <w:rFonts w:ascii="IRNazanin" w:hAnsi="IRNazanin" w:eastAsia="IRNazanin"/>
          <w:color w:val="111111"/>
          <w:sz w:val="28"/>
          <w:sz w:val="28"/>
          <w:szCs w:val="28"/>
          <w:rtl w:val="true"/>
          <w:lang w:bidi="fa-IR"/>
        </w:rPr>
        <w:t xml:space="preserve">، أو سمعته </w:t>
      </w:r>
    </w:p>
    <w:p>
      <w:pPr>
        <w:pStyle w:val="BookText"/>
        <w:rPr/>
      </w:pPr>
      <w:r>
        <w:rPr>
          <w:rFonts w:ascii="Amiri" w:hAnsi="Amiri" w:eastAsia="Amiri" w:cs="Amiri"/>
          <w:color w:val="111111"/>
          <w:sz w:val="28"/>
          <w:sz w:val="28"/>
          <w:szCs w:val="28"/>
          <w:rtl w:val="true"/>
          <w:lang w:bidi="ar-SA"/>
        </w:rPr>
        <w:t>يروي، أو يحدث، أو يخبر،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وقع الخلاف في تعيين أعلى العبارات في تأدية المسموع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الأكثر</w:t>
      </w:r>
      <w:r>
        <w:rPr>
          <w:rStyle w:val="FootnoteAnchor"/>
          <w:rtl w:val="true"/>
        </w:rPr>
        <w:footnoteReference w:id="204"/>
      </w:r>
      <w:r>
        <w:rPr>
          <w:rFonts w:ascii="IRNazanin" w:hAnsi="IRNazanin" w:eastAsia="IRNazanin"/>
          <w:color w:val="111111"/>
          <w:sz w:val="28"/>
          <w:sz w:val="28"/>
          <w:szCs w:val="28"/>
          <w:rtl w:val="true"/>
          <w:lang w:bidi="fa-IR"/>
        </w:rPr>
        <w:t>من أن أعلاها هو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فلانا يقول أو يحدث أو يروي أو يخبر، لدلالته نصا على السماع الذي هو أعلى الطرق</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بعدها في المرتبة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 حدثنا، لدلالته أيضا على قراءة الشيخ عليه، و إنما جعلوا هذا دون سمعت في المرتبة لاحتمال حدث الإجازة لما سيأتي من إجازة بعضهم هذه العبارة في الإجازة و المكاتبة بخلاف سمعت، فإنه لا يكاد أحد يقول </w:t>
      </w:r>
    </w:p>
    <w:p>
      <w:pPr>
        <w:pStyle w:val="BookText"/>
        <w:rPr/>
      </w:pPr>
      <w:r>
        <w:rPr>
          <w:rFonts w:ascii="Amiri" w:hAnsi="Amiri" w:eastAsia="Amiri" w:cs="Amiri"/>
          <w:color w:val="111111"/>
          <w:sz w:val="28"/>
          <w:sz w:val="28"/>
          <w:szCs w:val="28"/>
          <w:rtl w:val="true"/>
          <w:lang w:bidi="ar-SA"/>
        </w:rPr>
        <w:t>سمعت في أحاديث الإجازة و المكاتبة و لا في تدليس ما لم يسمعه</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قال السيد المرتضى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أجاز كل من صنف في اصول الفقه أن يقول من قرأ الحديث على غيره ثم قرره عليه فأقرّ به على ما قرأه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 أخبرني، و أجروه مجرى أن يسمعه من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ذهب جمع إلى المنع من الإتيان بلفظ الجمع فيما لو علم أنه لم يحدثه بغيره، و هو توهم لجواز الإتيان بلفظ الجمع على سبيل التعظيم و التفخيم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البصري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هريرة و يتأوّل أنه حدث أهل المدينة و كان هو حينئذ بها إلا أنه لم يسمع منه شيئا مدلسا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كما ترى لأنه كذب بيّن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أرسله في البداية</w:t>
      </w:r>
      <w:r>
        <w:rPr>
          <w:rStyle w:val="FootnoteAnchor"/>
          <w:rtl w:val="true"/>
        </w:rPr>
        <w:footnoteReference w:id="207"/>
      </w:r>
      <w:r>
        <w:rPr>
          <w:rFonts w:ascii="Amiri" w:hAnsi="Amiri" w:eastAsia="Amiri" w:cs="Amiri"/>
          <w:color w:val="111111"/>
          <w:sz w:val="28"/>
          <w:sz w:val="28"/>
          <w:szCs w:val="28"/>
          <w:rtl w:val="true"/>
          <w:lang w:bidi="ar-SA"/>
        </w:rPr>
        <w:t xml:space="preserve">قولا من أن حدثني </w:t>
      </w:r>
      <w:bookmarkStart w:id="128" w:name="pg15042_154836"/>
    </w:p>
    <w:p>
      <w:pPr>
        <w:pStyle w:val="BookText"/>
        <w:rPr/>
      </w:pPr>
      <w:bookmarkEnd w:id="128"/>
      <w:r>
        <w:rPr>
          <w:rFonts w:ascii="Amiri" w:hAnsi="Amiri" w:eastAsia="Amiri" w:cs="Amiri"/>
          <w:color w:val="111111"/>
          <w:sz w:val="28"/>
          <w:sz w:val="28"/>
          <w:szCs w:val="28"/>
          <w:rtl w:val="true"/>
          <w:lang w:bidi="ar-SA"/>
        </w:rPr>
        <w:t>و حدثنا أعلى من سمعت فلانا يقول، لأنه ليس في سمعت دلالة على أن الشيخ روى الحديث و خاطبه به، و في حدثنا و أخبرنا دلالة على أنه خاطبه و رواه له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ردّه بأن هذه و إن كانت مزيّة، إلا أن الخطب فيها أسهل من احتمال الإجازة و التدليس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فيكون تحصيل ما ينفي ذلك أولى من تخصيصه باللفظ، أو كونه من جملة المقصودين به، إذ لا يفرق الحال في صحة الرواية بهذه المزية بين قصده و عدمه</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 w:name="__RefHeading___Toc403327_2142443653"/>
      <w:bookmarkStart w:id="130" w:name="_Toc48"/>
      <w:bookmarkEnd w:id="129"/>
      <w:r>
        <w:rPr>
          <w:rtl w:val="true"/>
        </w:rPr>
        <w:t>الرابع</w:t>
      </w:r>
      <w:r>
        <w:rPr>
          <w:rtl w:val="true"/>
        </w:rPr>
        <w:t xml:space="preserve">: </w:t>
      </w:r>
      <w:r>
        <w:rPr>
          <w:rtl w:val="true"/>
        </w:rPr>
        <w:t>بعد قوله حدثني و حدثنا في المرتبة</w:t>
      </w:r>
      <w:r>
        <w:rPr>
          <w:rtl w:val="true"/>
        </w:rPr>
        <w:t xml:space="preserve">: </w:t>
      </w:r>
      <w:r>
        <w:rPr>
          <w:rtl w:val="true"/>
        </w:rPr>
        <w:t>أخبرنا ثم انبانا</w:t>
      </w:r>
      <w:bookmarkEnd w:id="13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في البداية</w:t>
      </w:r>
      <w:r>
        <w:rPr>
          <w:rStyle w:val="FootnoteAnchor"/>
          <w:rtl w:val="true"/>
        </w:rPr>
        <w:footnoteReference w:id="2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الألفاظ كلا عند أهل اللسان بمعنى واحد و هو التحديث، و الخلاف إنما هو فيها اصطلاحا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بعد حدثني و حدثنا في المرتبة قوله فيما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لأن أخبرنا</w:t>
      </w:r>
    </w:p>
    <w:p>
      <w:pPr>
        <w:pStyle w:val="BookText"/>
        <w:rPr/>
      </w:pPr>
      <w:r>
        <w:rPr>
          <w:rFonts w:ascii="Amiri" w:hAnsi="Amiri" w:eastAsia="Amiri" w:cs="Amiri"/>
          <w:color w:val="111111"/>
          <w:sz w:val="28"/>
          <w:sz w:val="28"/>
          <w:szCs w:val="28"/>
          <w:rtl w:val="true"/>
          <w:lang w:bidi="ar-SA"/>
        </w:rPr>
        <w:t>و إن كان ظاهرا في القول و كثير الاستعمال، حتى أنه حكي عن جمع من المحدثين أنهم لا يكادون يستعملون فيما سمعوه من لفظ الشيخ غيره</w:t>
      </w:r>
      <w:r>
        <w:rPr>
          <w:rStyle w:val="FootnoteAnchor"/>
          <w:rtl w:val="true"/>
        </w:rPr>
        <w:footnoteReference w:id="212"/>
      </w:r>
      <w:r>
        <w:rPr>
          <w:rFonts w:ascii="Amiri" w:hAnsi="Amiri" w:eastAsia="Amiri" w:cs="Amiri"/>
          <w:color w:val="111111"/>
          <w:sz w:val="28"/>
          <w:sz w:val="28"/>
          <w:szCs w:val="28"/>
          <w:rtl w:val="true"/>
          <w:lang w:bidi="ar-SA"/>
        </w:rPr>
        <w:t>، إلا أن استعماله في الإجازة و المكاتبة أيضا كثيرا، جعله</w:t>
      </w:r>
      <w:r>
        <w:rPr>
          <w:rStyle w:val="FootnoteAnchor"/>
          <w:rtl w:val="true"/>
        </w:rPr>
        <w:footnoteReference w:id="213"/>
      </w:r>
      <w:r>
        <w:rPr>
          <w:rFonts w:ascii="IRNazanin" w:hAnsi="IRNazanin" w:eastAsia="IRNazanin"/>
          <w:color w:val="111111"/>
          <w:sz w:val="28"/>
          <w:sz w:val="28"/>
          <w:szCs w:val="28"/>
          <w:rtl w:val="true"/>
          <w:lang w:bidi="fa-IR"/>
        </w:rPr>
        <w:t>أدون من حدث</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أخبرنا أنبأنا و نبأنا، لأن الغالب استعماله في الإجازة مع كونه قليل الاستعمال هنا قبل ظهور الإجازة منه، فضلا عما بعد الظهور</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أولي، و ذكر لنا، أولي، فهو </w:t>
      </w:r>
      <w:bookmarkStart w:id="131" w:name="pg15042_154838"/>
    </w:p>
    <w:p>
      <w:pPr>
        <w:pStyle w:val="BookText"/>
        <w:rPr/>
      </w:pPr>
      <w:bookmarkEnd w:id="131"/>
      <w:r>
        <w:rPr>
          <w:rFonts w:ascii="Amiri" w:hAnsi="Amiri" w:eastAsia="Amiri" w:cs="Amiri"/>
          <w:color w:val="111111"/>
          <w:sz w:val="28"/>
          <w:sz w:val="28"/>
          <w:szCs w:val="28"/>
          <w:rtl w:val="true"/>
          <w:lang w:bidi="ar-SA"/>
        </w:rPr>
        <w:t>كحدثنا</w:t>
      </w:r>
      <w:r>
        <w:rPr>
          <w:rStyle w:val="FootnoteAnchor"/>
          <w:rtl w:val="true"/>
        </w:rPr>
        <w:footnoteReference w:id="216"/>
      </w:r>
      <w:r>
        <w:rPr>
          <w:rFonts w:ascii="Amiri" w:hAnsi="Amiri" w:eastAsia="Amiri" w:cs="Amiri"/>
          <w:color w:val="111111"/>
          <w:sz w:val="28"/>
          <w:sz w:val="28"/>
          <w:szCs w:val="28"/>
          <w:rtl w:val="true"/>
          <w:lang w:bidi="ar-SA"/>
        </w:rPr>
        <w:t>، فيكون أولى من أنبأنا و نبأنا لدلالته على القول أيضا صريحا، لكنه ينقص عن حدثنا بأنه بما سمع في المذاكرة في المجالس و المناظرة بين الخصمين أشبه و أليق من حدثنا، لدلالتهما على أن المقام لم يكن مقام التحديث و إنما اقتضاه المقام</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403329_2142443653"/>
      <w:bookmarkStart w:id="133" w:name="_Toc49"/>
      <w:bookmarkEnd w:id="132"/>
      <w:r>
        <w:rPr>
          <w:rtl w:val="true"/>
        </w:rPr>
        <w:t>الخامس</w:t>
      </w:r>
      <w:r>
        <w:rPr>
          <w:rtl w:val="true"/>
        </w:rPr>
        <w:t xml:space="preserve">: </w:t>
      </w:r>
      <w:r>
        <w:rPr>
          <w:rtl w:val="true"/>
        </w:rPr>
        <w:t>بيان ادنى العبارات الواقعة في هذا الطريق</w:t>
      </w:r>
      <w:bookmarkEnd w:id="13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صرح جمع</w:t>
      </w:r>
      <w:r>
        <w:rPr>
          <w:rStyle w:val="FootnoteAnchor"/>
          <w:rtl w:val="true"/>
        </w:rPr>
        <w:footnoteReference w:id="218"/>
      </w:r>
      <w:r>
        <w:rPr>
          <w:rFonts w:ascii="Amiri" w:hAnsi="Amiri" w:eastAsia="Amiri" w:cs="Amiri"/>
          <w:color w:val="111111"/>
          <w:sz w:val="28"/>
          <w:sz w:val="28"/>
          <w:szCs w:val="28"/>
          <w:rtl w:val="true"/>
          <w:lang w:bidi="ar-SA"/>
        </w:rPr>
        <w:t>بأن أدنى العبارات الواقعة في هذا الطريق قول الراوي بالسماع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أو ذكر فلان، من دون أن يضم إلى ذلك كلمة لي أو لنا، لأنه بحسب مفهوم اللفظ أعمّ من كونه سمعه منه أو وصل إليه بواسطة أو وسائط، لكن في البداية</w:t>
      </w:r>
      <w:r>
        <w:rPr>
          <w:rStyle w:val="FootnoteAnchor"/>
          <w:rtl w:val="true"/>
        </w:rPr>
        <w:footnoteReference w:id="21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220"/>
      </w:r>
      <w:r>
        <w:rPr>
          <w:rFonts w:ascii="Amiri" w:hAnsi="Amiri" w:eastAsia="Amiri" w:cs="Amiri"/>
          <w:color w:val="111111"/>
          <w:sz w:val="28"/>
          <w:sz w:val="28"/>
          <w:szCs w:val="28"/>
          <w:rtl w:val="true"/>
          <w:lang w:bidi="ar-SA"/>
        </w:rPr>
        <w:t>أنه مع ذلك محمول على السماع منه عرفا، إذا تحقق لقاؤه للمروي عنه، لا سيما إذا كان الراوي ممن عرف من حاله أنه لا يقول ذلك إلا فيما سمعه</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شرط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محدثي العامة </w:t>
      </w:r>
      <w:r>
        <w:rPr>
          <w:rFonts w:eastAsia="Amiri" w:cs="Amiri" w:ascii="Amiri" w:hAnsi="Amiri"/>
          <w:color w:val="111111"/>
          <w:sz w:val="28"/>
          <w:szCs w:val="28"/>
          <w:rtl w:val="true"/>
          <w:lang w:bidi="ar-SA"/>
        </w:rPr>
        <w:t xml:space="preserve">- </w:t>
      </w:r>
      <w:bookmarkStart w:id="134" w:name="pg15042_154839"/>
    </w:p>
    <w:p>
      <w:pPr>
        <w:pStyle w:val="BookText"/>
        <w:rPr/>
      </w:pPr>
      <w:bookmarkEnd w:id="134"/>
      <w:r>
        <w:rPr>
          <w:rFonts w:ascii="Amiri" w:hAnsi="Amiri" w:eastAsia="Amiri" w:cs="Amiri"/>
          <w:color w:val="111111"/>
          <w:sz w:val="28"/>
          <w:sz w:val="28"/>
          <w:szCs w:val="28"/>
          <w:rtl w:val="true"/>
          <w:lang w:bidi="ar-SA"/>
        </w:rPr>
        <w:t>في حمله على السماع أن يقع ممن عرف من عادته أنه لا يقول ذلك إلا فيما سمعه منه حذرا من التدليس</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 في البداية هذا الاشتراط 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عدم اشتراطه أشهر</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مثل أمرنا بكذا أو نهينا عن كذا و نحو ذلك بصيغة المجهول، أو من السنة كذا، أو قول الصحابي كنّا نفعل كذا و أمثال ذلك فهي أدون الكل، و يتبع العمل بها و قبولها الظهور من جهة القرائن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الاشتراط واضحة، و لكن المعروف بينهم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أفرط ابن مندة</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البخاري قال لنا فهو اجازة، و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فهو تدليس، و ردّ العلماء عليه ذلك و لم يقبلوه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403331_2142443653"/>
      <w:bookmarkStart w:id="136" w:name="_Toc50"/>
      <w:bookmarkEnd w:id="135"/>
      <w:r>
        <w:rPr>
          <w:rtl w:val="true"/>
        </w:rPr>
        <w:t>السادس</w:t>
      </w:r>
      <w:r>
        <w:rPr>
          <w:rtl w:val="true"/>
        </w:rPr>
        <w:t xml:space="preserve">: </w:t>
      </w:r>
      <w:r>
        <w:rPr>
          <w:rtl w:val="true"/>
        </w:rPr>
        <w:t>عدم صحة التحمل و السماع و الرواية لمن لا يفهم المقروء</w:t>
      </w:r>
      <w:bookmarkEnd w:id="1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يتمكن السامع أو المستمع من السماع أو الاستماع إما لاشتغاله بنسخ و كتابة أو تحدث، أو </w:t>
      </w:r>
    </w:p>
    <w:p>
      <w:pPr>
        <w:pStyle w:val="BookText"/>
        <w:rPr/>
      </w:pPr>
      <w:r>
        <w:rPr>
          <w:rFonts w:ascii="Amiri" w:hAnsi="Amiri" w:eastAsia="Amiri" w:cs="Amiri"/>
          <w:color w:val="111111"/>
          <w:sz w:val="28"/>
          <w:sz w:val="28"/>
          <w:szCs w:val="28"/>
          <w:rtl w:val="true"/>
          <w:lang w:bidi="ar-SA"/>
        </w:rPr>
        <w:t>افراط القارئ في الإسراع، أو الإخفات أو البعد عن القارئ بحيث يخفي بعض الكلم، و الضابط كونه بحيث لا يفهم المقروء</w:t>
      </w:r>
      <w:r>
        <w:rPr>
          <w:rStyle w:val="FootnoteAnchor"/>
          <w:rtl w:val="true"/>
        </w:rPr>
        <w:footnoteReference w:id="225"/>
      </w:r>
      <w:r>
        <w:rPr>
          <w:rFonts w:ascii="Amiri" w:hAnsi="Amiri" w:eastAsia="Amiri" w:cs="Amiri"/>
          <w:color w:val="111111"/>
          <w:sz w:val="28"/>
          <w:sz w:val="28"/>
          <w:szCs w:val="28"/>
          <w:rtl w:val="true"/>
          <w:lang w:bidi="ar-SA"/>
        </w:rPr>
        <w:t xml:space="preserve">، فقد جزم جمع 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226"/>
      </w:r>
      <w:r>
        <w:rPr>
          <w:rFonts w:ascii="Amiri" w:hAnsi="Amiri" w:eastAsia="Amiri" w:cs="Amiri"/>
          <w:color w:val="111111"/>
          <w:sz w:val="28"/>
          <w:sz w:val="28"/>
          <w:szCs w:val="28"/>
          <w:rtl w:val="true"/>
          <w:lang w:bidi="ar-SA"/>
        </w:rPr>
        <w:t>بعدم صحة التحمل و السماع و الرواية حينئذ، لعدم تحقق معنى الاخبار و التحديث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جزم آخرون منهم الحافظ موسى بن هارون الحمال</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217/2</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بالصحة، و فصل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فهم الناسخ و نحوه المقروء و بين عدم فهمه ذلك، بالصحة في الأول دون الثاني، و على الصحة فالتعبير عنه حضرت و نحوه لا حدثنا و أخبرنا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صرح في البداية</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230"/>
      </w:r>
      <w:r>
        <w:rPr>
          <w:rFonts w:ascii="Amiri" w:hAnsi="Amiri" w:eastAsia="Amiri" w:cs="Amiri"/>
          <w:color w:val="111111"/>
          <w:sz w:val="28"/>
          <w:sz w:val="28"/>
          <w:szCs w:val="28"/>
          <w:rtl w:val="true"/>
          <w:lang w:bidi="ar-SA"/>
        </w:rPr>
        <w:t>بأنه يعفى عن اليسير من النسخ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على وجه لا يمنع أصل السماع، و إن منع وقوعه على الوجه الأكمل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يختلف ذلك باختلاف أحوال الناس في حسن الفهم و عدمه و اندفاعه بالشواغل، فإن منهم</w:t>
      </w:r>
      <w:r>
        <w:rPr>
          <w:rStyle w:val="FootnoteAnchor"/>
          <w:rtl w:val="true"/>
        </w:rPr>
        <w:footnoteReference w:id="231"/>
      </w:r>
      <w:r>
        <w:rPr>
          <w:rFonts w:ascii="Amiri" w:hAnsi="Amiri" w:eastAsia="Amiri" w:cs="Amiri"/>
          <w:color w:val="111111"/>
          <w:sz w:val="28"/>
          <w:sz w:val="28"/>
          <w:szCs w:val="28"/>
          <w:rtl w:val="true"/>
          <w:lang w:bidi="ar-SA"/>
        </w:rPr>
        <w:t>من لا يمنعه النسخ و نحوه مطلقا، و منهم من يمنعه أدنى عائق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الحافظ أبو الحسن الدارقطني أنه حضر في حداثته مجلس الصفار</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فجلس ينسخ جزء كان معه و الصفار يملي، فقال له بعض الحاضرين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سماعك و أنت تنسخ،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للإملاء خلاف فهمك،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 كم املأ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من حديث إلى الآن؟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الدارقطني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عشر حديثا، فعددت</w:t>
      </w:r>
      <w:r>
        <w:rPr>
          <w:rStyle w:val="FootnoteAnchor"/>
          <w:rtl w:val="true"/>
        </w:rPr>
        <w:footnoteReference w:id="233"/>
      </w:r>
      <w:r>
        <w:rPr>
          <w:rFonts w:ascii="Amiri" w:hAnsi="Amiri" w:eastAsia="Amiri" w:cs="Amiri"/>
          <w:color w:val="111111"/>
          <w:sz w:val="28"/>
          <w:sz w:val="28"/>
          <w:szCs w:val="28"/>
          <w:rtl w:val="true"/>
          <w:lang w:bidi="ar-SA"/>
        </w:rPr>
        <w:t>الأحاديث فوجدت</w:t>
      </w:r>
      <w:r>
        <w:rPr>
          <w:rStyle w:val="FootnoteAnchor"/>
          <w:rtl w:val="true"/>
        </w:rPr>
        <w:footnoteReference w:id="234"/>
      </w:r>
      <w:bookmarkStart w:id="137" w:name="pg15042_154842"/>
    </w:p>
    <w:p>
      <w:pPr>
        <w:pStyle w:val="BookText"/>
        <w:rPr/>
      </w:pPr>
      <w:bookmarkEnd w:id="137"/>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الحسن</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 منها عن فلان و متنه كذا، و الحديث الثاني عن فلان و متنه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يذكر أسانيد الأحاديث و متونها على ترتيبها في الإملاء حتى أتى على آخرها، فتعجب الناس منه</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الأقوال و التفصيل في النسخ يجري مثله فيما إذا كان الشيخ أو السامع يتحدث أو، كان القارئ خفيف القراءة يفرط في الإسراع، أو كان ضعيف الصوت بحيث يخفي بعض كلامه، أو كان السامع بعيدا عن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403333_2142443653"/>
      <w:bookmarkStart w:id="139" w:name="_Toc51"/>
      <w:bookmarkEnd w:id="138"/>
      <w:r>
        <w:rPr>
          <w:rtl w:val="true"/>
        </w:rPr>
        <w:t>السابع</w:t>
      </w:r>
      <w:r>
        <w:rPr>
          <w:rtl w:val="true"/>
        </w:rPr>
        <w:t xml:space="preserve">: </w:t>
      </w:r>
      <w:r>
        <w:rPr>
          <w:rtl w:val="true"/>
        </w:rPr>
        <w:t>كيفية اجازة الشيخ للسامعين</w:t>
      </w:r>
      <w:bookmarkEnd w:id="139"/>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صرح جمع</w:t>
      </w:r>
      <w:r>
        <w:rPr>
          <w:rStyle w:val="FootnoteAnchor"/>
          <w:rtl w:val="true"/>
        </w:rPr>
        <w:footnoteReference w:id="237"/>
      </w:r>
      <w:r>
        <w:rPr>
          <w:rFonts w:ascii="Amiri" w:hAnsi="Amiri" w:eastAsia="Amiri" w:cs="Amiri"/>
          <w:color w:val="111111"/>
          <w:sz w:val="28"/>
          <w:sz w:val="28"/>
          <w:szCs w:val="28"/>
          <w:rtl w:val="true"/>
          <w:lang w:bidi="ar-SA"/>
        </w:rPr>
        <w:t>بأنه يترجّح للشيخ أن يجيز السامعين رواية المسموع أجمع أو الكتاب بعد الفراغ منه و إن جرى على كله اسم السماع، و إنما كان الجمع بين السماع و الإجازة لاحتمال غلط القارئ و غفلة الشيخ أو غفلة السامع عن بعضه فيجيز ذلك بالإجازة لما فاته، و إذا أراد الشيخ أن يكتب لأحدهم الإجازة فليكتب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مني و أجزت له روايته عنّي جمعا بين الأمرين</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ثم انه 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فعل ذلك فيما نعرف أبو طاهر إسماعيل بن عبد المحسن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ينبغي للكاتب أن يكتب اجازة الشيخ عقب كتابه السماع، و هذا ما نجده في كراريس و أسفار مشايخنا العظام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فيما بقي منها بأيدينا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دعوى استحسانية صرفه قال الشيخ حسين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كتب لأحدهم كتب سمعه مني أو سمع بعضه أو عليّ و أجزت له روايته عني عن مشايخي بطرقي المتصلة إلى المصنف، ثم منه إلى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5042_154843"/>
    </w:p>
    <w:p>
      <w:pPr>
        <w:pStyle w:val="Heading5"/>
        <w:numPr>
          <w:ilvl w:val="4"/>
          <w:numId w:val="1"/>
        </w:numPr>
        <w:rPr/>
      </w:pPr>
      <w:bookmarkStart w:id="141" w:name="__RefHeading___Toc403335_2142443653"/>
      <w:bookmarkStart w:id="142" w:name="_Toc52"/>
      <w:bookmarkEnd w:id="140"/>
      <w:bookmarkEnd w:id="141"/>
      <w:r>
        <w:rPr>
          <w:rtl w:val="true"/>
        </w:rPr>
        <w:t>الثامن</w:t>
      </w:r>
      <w:r>
        <w:rPr>
          <w:rtl w:val="true"/>
        </w:rPr>
        <w:t xml:space="preserve">: </w:t>
      </w:r>
      <w:r>
        <w:rPr>
          <w:rtl w:val="true"/>
        </w:rPr>
        <w:t>من احكام المستملي و كيفية الرواية عنه</w:t>
      </w:r>
      <w:bookmarkEnd w:id="142"/>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عظم مجلس المحدث المملي و كثر الخلق و لم يمكن اسماعه للجميع فبلغ عنه مستملي</w:t>
      </w:r>
      <w:r>
        <w:rPr>
          <w:rStyle w:val="FootnoteAnchor"/>
          <w:rtl w:val="true"/>
        </w:rPr>
        <w:footnoteReference w:id="239"/>
      </w:r>
      <w:r>
        <w:rPr>
          <w:rFonts w:ascii="Amiri" w:hAnsi="Amiri" w:eastAsia="Amiri" w:cs="Amiri"/>
          <w:color w:val="111111"/>
          <w:sz w:val="28"/>
          <w:sz w:val="28"/>
          <w:szCs w:val="28"/>
          <w:rtl w:val="true"/>
          <w:lang w:bidi="ar-SA"/>
        </w:rPr>
        <w:t>، ففي جواز رواية السامع المستملي تلك الرواية عن المملي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هو المعزي إلى جماعة من متقدمي المحدثين</w:t>
      </w:r>
      <w:r>
        <w:rPr>
          <w:rStyle w:val="FootnoteAnchor"/>
          <w:rtl w:val="true"/>
        </w:rPr>
        <w:footnoteReference w:id="240"/>
      </w:r>
      <w:r>
        <w:rPr>
          <w:rFonts w:ascii="Amiri" w:hAnsi="Amiri" w:eastAsia="Amiri" w:cs="Amiri"/>
          <w:color w:val="111111"/>
          <w:sz w:val="28"/>
          <w:sz w:val="28"/>
          <w:szCs w:val="28"/>
          <w:rtl w:val="true"/>
          <w:lang w:bidi="ar-SA"/>
        </w:rPr>
        <w:t>، لقيام القرائن الكثيرة بصدقه فيما بلغه عن مجلس الشيخ عنه</w:t>
      </w:r>
      <w:r>
        <w:rPr>
          <w:rStyle w:val="FootnoteAnchor"/>
          <w:rtl w:val="true"/>
        </w:rPr>
        <w:footnoteReference w:id="241"/>
      </w:r>
      <w:r>
        <w:rPr>
          <w:rFonts w:ascii="Amiri" w:hAnsi="Amiri" w:eastAsia="Amiri" w:cs="Amiri"/>
          <w:color w:val="111111"/>
          <w:sz w:val="28"/>
          <w:sz w:val="28"/>
          <w:szCs w:val="28"/>
          <w:rtl w:val="true"/>
          <w:lang w:bidi="ar-SA"/>
        </w:rPr>
        <w:t>، و لجريان السلف عليه كما في البداية،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كثير من الأكابر يعظم الجمع في مجالسهم جدا حتى يبلغ الوفا مؤلفة، و يبلغ عنهم المستمعون</w:t>
      </w:r>
      <w:r>
        <w:rPr>
          <w:rStyle w:val="FootnoteAnchor"/>
          <w:rtl w:val="true"/>
        </w:rPr>
        <w:footnoteReference w:id="242"/>
      </w:r>
      <w:r>
        <w:rPr>
          <w:rFonts w:ascii="Amiri" w:hAnsi="Amiri" w:eastAsia="Amiri" w:cs="Amiri"/>
          <w:color w:val="111111"/>
          <w:sz w:val="28"/>
          <w:sz w:val="28"/>
          <w:szCs w:val="28"/>
          <w:rtl w:val="true"/>
          <w:lang w:bidi="ar-SA"/>
        </w:rPr>
        <w:t>فيكتبون عنهم بواسطة تبليغهم</w:t>
      </w:r>
      <w:r>
        <w:rPr>
          <w:rStyle w:val="FootnoteAnchor"/>
          <w:rtl w:val="true"/>
        </w:rPr>
        <w:footnoteReference w:id="243"/>
      </w:r>
      <w:r>
        <w:rPr>
          <w:rFonts w:ascii="Amiri" w:hAnsi="Amiri" w:eastAsia="Amiri" w:cs="Amiri"/>
          <w:color w:val="111111"/>
          <w:sz w:val="28"/>
          <w:sz w:val="28"/>
          <w:szCs w:val="28"/>
          <w:rtl w:val="true"/>
          <w:lang w:bidi="ar-SA"/>
        </w:rPr>
        <w:t xml:space="preserve">، و أجاز غير واحد رواية ذلك عن المملي، و أكثر ما بلغنا في ذلك عن أصحابنا أن الصاحب كافي الكفاة </w:t>
      </w:r>
    </w:p>
    <w:p>
      <w:pPr>
        <w:pStyle w:val="BookText"/>
        <w:rPr/>
      </w:pPr>
      <w:r>
        <w:rPr>
          <w:rFonts w:ascii="Amiri" w:hAnsi="Amiri" w:eastAsia="Amiri" w:cs="Amiri"/>
          <w:color w:val="111111"/>
          <w:sz w:val="28"/>
          <w:sz w:val="28"/>
          <w:szCs w:val="28"/>
          <w:rtl w:val="true"/>
          <w:lang w:bidi="ar-SA"/>
        </w:rPr>
        <w:t>إسماعيل بن عباد</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معجم الأدباء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مصادر، و كذا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274/2</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جلس للإملاء حضر خلق كثير، فكان المستملي الواحد لا يقوم بالإملاء حتى انضاف إليه ستة كل يبلغ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سعيد السمعاني</w:t>
      </w:r>
      <w:r>
        <w:rPr>
          <w:rStyle w:val="FootnoteAnchor"/>
          <w:rtl w:val="true"/>
        </w:rPr>
        <w:footnoteReference w:id="245"/>
      </w:r>
      <w:r>
        <w:rPr>
          <w:rFonts w:ascii="Amiri" w:hAnsi="Amiri" w:eastAsia="Amiri" w:cs="Amiri"/>
          <w:color w:val="111111"/>
          <w:sz w:val="28"/>
          <w:sz w:val="28"/>
          <w:szCs w:val="28"/>
          <w:rtl w:val="true"/>
          <w:lang w:bidi="ar-SA"/>
        </w:rPr>
        <w:t>في أدب الاستملاء أن المعتصم وجه من يحرز مجلس عاصم بن علي بن عاصم</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247/12</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رحبة النخل الذي في جامع الرصافة،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عاصم يجلس على سطح المسقفاة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ينشر الناس في الرحبة و ما يليها، فيعظم الجمع جدا حتى سمع يوما يستعاد اسم رجل في الإسناد أربع عشرة مرة و الناس لا يسمعون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المعتصم كثرة</w:t>
      </w:r>
    </w:p>
    <w:p>
      <w:pPr>
        <w:pStyle w:val="BookText"/>
        <w:rPr/>
      </w:pPr>
      <w:r>
        <w:rPr>
          <w:rFonts w:ascii="Amiri" w:hAnsi="Amiri" w:eastAsia="Amiri" w:cs="Amiri"/>
          <w:color w:val="111111"/>
          <w:sz w:val="28"/>
          <w:sz w:val="28"/>
          <w:szCs w:val="28"/>
          <w:rtl w:val="true"/>
          <w:lang w:bidi="ar-SA"/>
        </w:rPr>
        <w:t>الجمع أمر من يحرزهم</w:t>
      </w:r>
      <w:r>
        <w:rPr>
          <w:rStyle w:val="FootnoteAnchor"/>
          <w:rtl w:val="true"/>
        </w:rPr>
        <w:footnoteReference w:id="247"/>
      </w:r>
      <w:r>
        <w:rPr>
          <w:rFonts w:ascii="Amiri" w:hAnsi="Amiri" w:eastAsia="Amiri" w:cs="Amiri"/>
          <w:color w:val="111111"/>
          <w:sz w:val="28"/>
          <w:sz w:val="28"/>
          <w:szCs w:val="28"/>
          <w:rtl w:val="true"/>
          <w:lang w:bidi="ar-SA"/>
        </w:rPr>
        <w:t>، فحرزوا المجلس عشرين ألفا و مائة ألف</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انظر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248/12</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خمدت نار العلم و بار، و ولت عساكره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برق تألّق بالحمى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انطوى فكأنّه لم يلمع</w:t>
      </w:r>
    </w:p>
    <w:p>
      <w:pPr>
        <w:pStyle w:val="BookText"/>
        <w:rPr/>
      </w:pPr>
      <w:r>
        <w:rPr>
          <w:rFonts w:ascii="Amiri" w:hAnsi="Amiri" w:eastAsia="Amiri" w:cs="Amiri"/>
          <w:color w:val="111111"/>
          <w:sz w:val="28"/>
          <w:sz w:val="28"/>
          <w:szCs w:val="28"/>
          <w:rtl w:val="true"/>
          <w:lang w:bidi="ar-SA"/>
        </w:rPr>
        <w:t>انتهى ما في البداية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لمن أخذ عن المستملي أن يرويه عن المملي بغير واسطة المستملي، لأنه خلاف الواقع، و هو الأظهر كما في البداية</w:t>
      </w:r>
      <w:r>
        <w:rPr>
          <w:rStyle w:val="FootnoteAnchor"/>
          <w:rtl w:val="true"/>
        </w:rPr>
        <w:footnoteReference w:id="250"/>
      </w:r>
      <w:r>
        <w:rPr>
          <w:rFonts w:ascii="Amiri" w:hAnsi="Amiri" w:eastAsia="Amiri" w:cs="Amiri"/>
          <w:color w:val="111111"/>
          <w:sz w:val="28"/>
          <w:sz w:val="28"/>
          <w:szCs w:val="28"/>
          <w:rtl w:val="true"/>
          <w:lang w:bidi="ar-SA"/>
        </w:rPr>
        <w:t>، بل قيل أن عليه المحققين</w:t>
      </w:r>
      <w:r>
        <w:rPr>
          <w:rStyle w:val="FootnoteAnchor"/>
          <w:rtl w:val="true"/>
        </w:rPr>
        <w:footnoteReference w:id="251"/>
      </w:r>
      <w:r>
        <w:rPr>
          <w:rFonts w:ascii="Amiri" w:hAnsi="Amiri" w:eastAsia="Amiri" w:cs="Amiri"/>
          <w:color w:val="111111"/>
          <w:sz w:val="28"/>
          <w:sz w:val="28"/>
          <w:szCs w:val="28"/>
          <w:rtl w:val="true"/>
          <w:lang w:bidi="ar-SA"/>
        </w:rPr>
        <w:t>، و الأولى أن يبين حالة الأداء أن سماعه لذلك أو لبعض الألفاظ من المستملي</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43" w:name="pg15042_154846"/>
    </w:p>
    <w:p>
      <w:pPr>
        <w:pStyle w:val="Heading5"/>
        <w:numPr>
          <w:ilvl w:val="4"/>
          <w:numId w:val="1"/>
        </w:numPr>
        <w:rPr/>
      </w:pPr>
      <w:bookmarkStart w:id="144" w:name="__RefHeading___Toc403337_2142443653"/>
      <w:bookmarkStart w:id="145" w:name="_Toc53"/>
      <w:bookmarkEnd w:id="143"/>
      <w:bookmarkEnd w:id="144"/>
      <w:r>
        <w:rPr>
          <w:rtl w:val="true"/>
        </w:rPr>
        <w:t>التاسع</w:t>
      </w:r>
      <w:r>
        <w:rPr>
          <w:rtl w:val="true"/>
        </w:rPr>
        <w:t xml:space="preserve">: </w:t>
      </w:r>
      <w:r>
        <w:rPr>
          <w:rtl w:val="true"/>
        </w:rPr>
        <w:t>لا يشترط علم المحدث بالسامعين</w:t>
      </w:r>
      <w:bookmarkEnd w:id="145"/>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يشترط علم المحدث بالسامعين، فلو استمع من لم يعلم المحدث به بوجه من الوجوه المانعة من العلم جاز للسامع أن يرويه عنه، لتحقق معنى السماع المعتبر</w:t>
      </w:r>
      <w:r>
        <w:rPr>
          <w:rStyle w:val="FootnoteAnchor"/>
          <w:rtl w:val="true"/>
        </w:rPr>
        <w:footnoteReference w:id="253"/>
      </w:r>
      <w:r>
        <w:rPr>
          <w:rFonts w:ascii="Amiri" w:hAnsi="Amiri" w:eastAsia="Amiri" w:cs="Amiri"/>
          <w:color w:val="111111"/>
          <w:sz w:val="28"/>
          <w:sz w:val="28"/>
          <w:szCs w:val="28"/>
          <w:rtl w:val="true"/>
          <w:lang w:bidi="ar-SA"/>
        </w:rPr>
        <w:t>، و لو قال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و لا أخبر فلانا أو خص قوما بالسماع، فسمع غيرهم، أو قال بعد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 عني، أو رجعت عن اخبارك، أو لا اذن لك روايته، و الحال أنه غير ذاكر خطا للراوي موجبا للرجوع عن الرواية له، روى السامع عنه في الجميع لتحقق أخبار الجميع و إن لم يقصد بعضهم، كما صرح بذلك جمع</w:t>
      </w:r>
      <w:r>
        <w:rPr>
          <w:rStyle w:val="FootnoteAnchor"/>
          <w:rtl w:val="true"/>
        </w:rPr>
        <w:footnoteReference w:id="254"/>
      </w:r>
      <w:r>
        <w:rPr>
          <w:rFonts w:ascii="Amiri" w:hAnsi="Amiri" w:eastAsia="Amiri" w:cs="Amiri"/>
          <w:color w:val="111111"/>
          <w:sz w:val="28"/>
          <w:sz w:val="28"/>
          <w:szCs w:val="28"/>
          <w:rtl w:val="true"/>
          <w:lang w:bidi="ar-SA"/>
        </w:rPr>
        <w:t xml:space="preserve">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255"/>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حلف لا يخبر فلانا بكذا فأخبر جماعة و هو فيهم فاستثناه حنث، بخلاف ما لو حلف لا يكلمه و استثناه، و كذلك نهيه عن الرواية لا يزيلها بعد تحققها، لأنه قد حدثه و هو شيء لا يرجع فيه</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رجوعه لتذكره الخطأ في الرواية تعين الرجوع و يقبل قوله</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انظر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5042_154847"/>
    </w:p>
    <w:p>
      <w:pPr>
        <w:pStyle w:val="Heading4"/>
        <w:numPr>
          <w:ilvl w:val="3"/>
          <w:numId w:val="1"/>
        </w:numPr>
        <w:rPr/>
      </w:pPr>
      <w:bookmarkStart w:id="147" w:name="__RefHeading___Toc403339_2142443653"/>
      <w:bookmarkStart w:id="148" w:name="_Toc54"/>
      <w:bookmarkEnd w:id="146"/>
      <w:bookmarkEnd w:id="147"/>
      <w:r>
        <w:rPr>
          <w:rtl w:val="true"/>
        </w:rPr>
        <w:t>ثانيها</w:t>
      </w:r>
      <w:r>
        <w:rPr>
          <w:rtl w:val="true"/>
        </w:rPr>
        <w:t xml:space="preserve">: </w:t>
      </w:r>
      <w:r>
        <w:rPr>
          <w:rtl w:val="true"/>
        </w:rPr>
        <w:t>القراءة على الشيخ</w:t>
      </w:r>
      <w:bookmarkEnd w:id="148"/>
    </w:p>
    <w:p>
      <w:pPr>
        <w:pStyle w:val="Heading5"/>
        <w:numPr>
          <w:ilvl w:val="4"/>
          <w:numId w:val="1"/>
        </w:numPr>
        <w:rPr/>
      </w:pPr>
      <w:bookmarkStart w:id="149" w:name="__RefHeading___Toc403341_2142443653"/>
      <w:bookmarkStart w:id="150" w:name="_Toc55"/>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الشيخ، و تسمى عند أكثر قدماء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و على كل حال كان العرض عليه المدار قديما في الحلقات العلمية و الدراسات الحديثية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 القارئ يعرض على الشيخ ما يقرأه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كما يعرض القرآن على المقرئ، و قيل أن القراءة أعم مطلقا من العرض، لأن الطالب إذا قرأ كان أعم من العرض و غيره، و لا يصدق العرض إلا بالقراءة، لأن العرض عبارة عما يعرض به الطالب أصل شيخه معه أو مع غيره بحضرته، فهو أخص من القراءة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5042_154848"/>
    </w:p>
    <w:p>
      <w:pPr>
        <w:pStyle w:val="BookText"/>
        <w:rPr/>
      </w:pPr>
      <w:bookmarkEnd w:id="15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ثبت لهم اصطلاح خاص في المقام، و إلا أمكن دعوى أن بينهما عموما من وجه، إذ كما يمكن القراءة من غير عرض فكذا يمكن العرض من غير قراءة، كما لا يخفى</w:t>
      </w:r>
      <w:r>
        <w:rPr>
          <w:rFonts w:eastAsia="Amiri" w:cs="Amiri" w:ascii="Amiri" w:hAnsi="Amiri"/>
          <w:color w:val="111111"/>
          <w:sz w:val="28"/>
          <w:szCs w:val="28"/>
          <w:rtl w:val="true"/>
          <w:lang w:bidi="ar-SA"/>
        </w:rPr>
        <w:t>.</w:t>
      </w:r>
    </w:p>
    <w:p>
      <w:pPr>
        <w:pStyle w:val="Heading5"/>
        <w:numPr>
          <w:ilvl w:val="4"/>
          <w:numId w:val="1"/>
        </w:numPr>
        <w:rPr/>
      </w:pPr>
      <w:bookmarkStart w:id="152" w:name="__RefHeading___Toc403343_2142443653"/>
      <w:bookmarkStart w:id="153" w:name="_Toc56"/>
      <w:bookmarkEnd w:id="152"/>
      <w:r>
        <w:rPr>
          <w:rtl w:val="true"/>
        </w:rPr>
        <w:t>ثم ان هنا مطالب</w:t>
      </w:r>
      <w:r>
        <w:rPr>
          <w:rtl w:val="true"/>
        </w:rPr>
        <w:t>:</w:t>
      </w:r>
      <w:bookmarkEnd w:id="153"/>
    </w:p>
    <w:p>
      <w:pPr>
        <w:pStyle w:val="Heading6"/>
        <w:numPr>
          <w:ilvl w:val="5"/>
          <w:numId w:val="1"/>
        </w:numPr>
        <w:rPr/>
      </w:pPr>
      <w:bookmarkStart w:id="154" w:name="__RefHeading___Toc403345_2142443653"/>
      <w:bookmarkStart w:id="155" w:name="_Toc57"/>
      <w:bookmarkEnd w:id="154"/>
      <w:r>
        <w:rPr>
          <w:rtl w:val="true"/>
        </w:rPr>
        <w:t>الاول</w:t>
      </w:r>
      <w:r>
        <w:rPr>
          <w:rtl w:val="true"/>
        </w:rPr>
        <w:t xml:space="preserve">: </w:t>
      </w:r>
      <w:r>
        <w:rPr>
          <w:rtl w:val="true"/>
        </w:rPr>
        <w:t>انحاء هذا الطريق</w:t>
      </w:r>
      <w:bookmarkEnd w:id="15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الطريق أيضا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الراوي على الشيخ من كتاب بيده و في يد الشيخ أيضا مثله مع الصحة، ثم يقترن</w:t>
      </w:r>
      <w:r>
        <w:rPr>
          <w:rStyle w:val="FootnoteAnchor"/>
          <w:rtl w:val="true"/>
        </w:rPr>
        <w:footnoteReference w:id="259"/>
      </w:r>
      <w:r>
        <w:rPr>
          <w:rFonts w:ascii="Amiri" w:hAnsi="Amiri" w:eastAsia="Amiri" w:cs="Amiri"/>
          <w:color w:val="111111"/>
          <w:sz w:val="28"/>
          <w:sz w:val="28"/>
          <w:szCs w:val="28"/>
          <w:rtl w:val="true"/>
          <w:lang w:bidi="ar-SA"/>
        </w:rPr>
        <w:t>بالموافقة و بكونه روايته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على الشيخ من كتاب بيده و الشيخ يستمع عن حفظه ثم يقرّ بصحته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لما يحفظه و الأصل بيد الشيخ فيسمع، ثم يقرّ بصحة ما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عن حفظه و استماع الشيخ أيضا عن حفظه، و اقراره بصحته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قراءته من كتاب بيده و الأصل بيد ثقة غيره، </w:t>
      </w:r>
      <w:bookmarkStart w:id="156" w:name="pg15042_154849"/>
    </w:p>
    <w:p>
      <w:pPr>
        <w:pStyle w:val="BookText"/>
        <w:rPr/>
      </w:pPr>
      <w:bookmarkEnd w:id="156"/>
      <w:r>
        <w:rPr>
          <w:rFonts w:ascii="Amiri" w:hAnsi="Amiri" w:eastAsia="Amiri" w:cs="Amiri"/>
          <w:color w:val="111111"/>
          <w:sz w:val="28"/>
          <w:sz w:val="28"/>
          <w:szCs w:val="28"/>
          <w:rtl w:val="true"/>
          <w:lang w:bidi="ar-SA"/>
        </w:rPr>
        <w:t>فيسمع الشيخ و يقرّ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غيره من كتاب بيده لما يحفظه الراوي، فيسمع الشيخ من كتاب بيده و يقرّ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السادس مع استماع الشيخ حفظا من دون أن يكون الأصل بيده أو يد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الأقسام المختلفة في مراتب العلو و النزول بالبعد عن السهو و الخطأ و القرب منه، و يتكرر الأقسام بفرض سكوت الشيخ بعد الاستماع مع توجهه إليه و عدم مانع عن المنع و الردع من غفلة أو اكراه أو خوف، و انضمام القرائن الدالّة على رضاه و اقراره بصحته من دون أن يقرّ بها لفظا</w:t>
      </w:r>
      <w:r>
        <w:rPr>
          <w:rStyle w:val="FootnoteAnchor"/>
          <w:rtl w:val="true"/>
        </w:rPr>
        <w:footnoteReference w:id="262"/>
      </w:r>
      <w:r>
        <w:rPr>
          <w:rFonts w:ascii="Amiri" w:hAnsi="Amiri" w:eastAsia="Amiri" w:cs="Amiri"/>
          <w:color w:val="111111"/>
          <w:sz w:val="28"/>
          <w:sz w:val="28"/>
          <w:szCs w:val="28"/>
          <w:rtl w:val="true"/>
          <w:lang w:bidi="ar-SA"/>
        </w:rPr>
        <w:t>، بناء على كفايته كما يأتي التعرض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عبرة بامساك غير الثقة الأصل، لاحتمال الغلط و التصحيف في مقرو الراوي و عدم رد غير الثقة، و هذا بخلاف احتمال سهو الثقة فيما إذا أمسك، فإنه لندرته لا يعتنى به، كما لا يعتنى باحتمال سهو الشيخ</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403347_2142443653"/>
      <w:bookmarkStart w:id="158" w:name="_Toc58"/>
      <w:bookmarkEnd w:id="157"/>
      <w:r>
        <w:rPr>
          <w:rtl w:val="true"/>
        </w:rPr>
        <w:t>الثاني</w:t>
      </w:r>
      <w:r>
        <w:rPr>
          <w:rtl w:val="true"/>
        </w:rPr>
        <w:t xml:space="preserve">: </w:t>
      </w:r>
      <w:r>
        <w:rPr>
          <w:rtl w:val="true"/>
        </w:rPr>
        <w:t>ما يتحمل بهذا الطريق من الاخبار رواية صحيحة</w:t>
      </w:r>
      <w:bookmarkEnd w:id="15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صرحوا بأنّ ما يتحمل بهذا الطريق من الأخبار رواية صحيحة، بل في البداية</w:t>
      </w:r>
      <w:r>
        <w:rPr>
          <w:rStyle w:val="FootnoteAnchor"/>
          <w:rtl w:val="true"/>
        </w:rPr>
        <w:footnoteReference w:id="2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أن عليه اتفاق المحدثين</w:t>
      </w:r>
      <w:r>
        <w:rPr>
          <w:rStyle w:val="FootnoteAnchor"/>
          <w:rtl w:val="true"/>
        </w:rPr>
        <w:footnoteReference w:id="264"/>
      </w:r>
      <w:r>
        <w:rPr>
          <w:rFonts w:ascii="Amiri" w:hAnsi="Amiri" w:eastAsia="Amiri" w:cs="Amiri"/>
          <w:color w:val="111111"/>
          <w:sz w:val="28"/>
          <w:sz w:val="28"/>
          <w:szCs w:val="28"/>
          <w:rtl w:val="true"/>
          <w:lang w:bidi="ar-SA"/>
        </w:rPr>
        <w:t>و إن خالف فيه من لا يعتد به، و أشار بمن لاو السيوطي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صرح ابن الصلاح في المقدمة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w:t>
      </w:r>
      <w:r>
        <w:rPr>
          <w:rFonts w:eastAsia="Amiri" w:cs="Amiri" w:ascii="Amiri" w:hAnsi="Amiri"/>
          <w:color w:val="111111"/>
          <w:sz w:val="28"/>
          <w:szCs w:val="28"/>
          <w:rtl w:val="true"/>
          <w:lang w:bidi="ar-SA"/>
        </w:rPr>
        <w:t xml:space="preserve">. </w:t>
      </w:r>
      <w:bookmarkStart w:id="159" w:name="pg15042_154850"/>
    </w:p>
    <w:p>
      <w:pPr>
        <w:pStyle w:val="BookText"/>
        <w:rPr/>
      </w:pPr>
      <w:bookmarkEnd w:id="159"/>
      <w:r>
        <w:rPr>
          <w:rFonts w:ascii="Amiri" w:hAnsi="Amiri" w:eastAsia="Amiri" w:cs="Amiri"/>
          <w:color w:val="111111"/>
          <w:sz w:val="28"/>
          <w:sz w:val="28"/>
          <w:szCs w:val="28"/>
          <w:rtl w:val="true"/>
          <w:lang w:bidi="ar-SA"/>
        </w:rPr>
        <w:t>يعتد به إلى أبي عاصم النبيل</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عاصم هو الضحاك بن مخلد بن الضحاك الشيباني البصري المعروف بالنبيل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و شيخ حفاظ الحديث في عصره، سمع عن صادق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جزء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حيث روى عنه الرامهرمزي المنع من صحة التحمل بهذا الوجه، و هو كما ترى لا دليل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 الخطيب روى في الكفاية عن وكيع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حديثا قط عرضا ، و نسب إلى محمد بن سالم من العامة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أعرف من الخاصة من ناقش فيه أو استشكل، و كلام ابن سالم و أبو عاصم غير سالم مع أنه مسبوق بالإجماع و ملحوق به على مبناهم، و نحن في غنى عنهم و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403349_2142443653"/>
      <w:bookmarkStart w:id="161" w:name="_Toc59"/>
      <w:bookmarkEnd w:id="160"/>
      <w:r>
        <w:rPr>
          <w:rtl w:val="true"/>
        </w:rPr>
        <w:t>الثالث</w:t>
      </w:r>
      <w:r>
        <w:rPr>
          <w:rtl w:val="true"/>
        </w:rPr>
        <w:t xml:space="preserve">: </w:t>
      </w:r>
      <w:r>
        <w:rPr>
          <w:rtl w:val="true"/>
        </w:rPr>
        <w:t>هل هذا الطريق يساوي السماع أو يرجح عليه؟</w:t>
      </w:r>
      <w:bookmarkEnd w:id="16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اختلفوا في مساواة هذا الطريق للسماع من </w:t>
      </w:r>
    </w:p>
    <w:p>
      <w:pPr>
        <w:pStyle w:val="BookText"/>
        <w:rPr/>
      </w:pPr>
      <w:r>
        <w:rPr>
          <w:rFonts w:ascii="Amiri" w:hAnsi="Amiri" w:eastAsia="Amiri" w:cs="Amiri"/>
          <w:color w:val="111111"/>
          <w:sz w:val="28"/>
          <w:sz w:val="28"/>
          <w:szCs w:val="28"/>
          <w:rtl w:val="true"/>
          <w:lang w:bidi="ar-SA"/>
        </w:rPr>
        <w:t>لفظ الشيخ أو رجحان أحدهما على الآخر،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السماع من الشيخ أعلى من القراءة عليه، و هو الأشهر كما في البداية</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رهط إلى أن القراءة و العرض على الشيخ كتحديث الشيخ و سماع التلميذ من لفظه من غير تفاضل، و شرذمة إلى أن العرض أعلى من السماع،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التعويل عندي على المشهور لقوة المستند و صحة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جمهور أهل المشرق كما في غيرها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لما مرّ هناك من الوجه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على حد سواء، و هو المنقول عن علماء الحجاز و الكوفة</w:t>
      </w:r>
      <w:r>
        <w:rPr>
          <w:rStyle w:val="FootnoteAnchor"/>
          <w:rtl w:val="true"/>
        </w:rPr>
        <w:footnoteReference w:id="267"/>
      </w:r>
      <w:r>
        <w:rPr>
          <w:rFonts w:ascii="Amiri" w:hAnsi="Amiri" w:eastAsia="Amiri" w:cs="Amiri"/>
          <w:color w:val="111111"/>
          <w:sz w:val="28"/>
          <w:sz w:val="28"/>
          <w:szCs w:val="28"/>
          <w:rtl w:val="true"/>
          <w:lang w:bidi="ar-SA"/>
        </w:rPr>
        <w:t xml:space="preserve">، لتحقق القراءة في الحالين مع سماع </w:t>
      </w:r>
    </w:p>
    <w:p>
      <w:pPr>
        <w:pStyle w:val="BookText"/>
        <w:rPr/>
      </w:pPr>
      <w:r>
        <w:rPr>
          <w:rFonts w:ascii="Amiri" w:hAnsi="Amiri" w:eastAsia="Amiri" w:cs="Amiri"/>
          <w:color w:val="111111"/>
          <w:sz w:val="28"/>
          <w:sz w:val="28"/>
          <w:szCs w:val="28"/>
          <w:rtl w:val="true"/>
          <w:lang w:bidi="ar-SA"/>
        </w:rPr>
        <w:t xml:space="preserve">الآخر، و قيام سماع الشيخ مقام قراءته في مراعاة الضبط، و ورد به حديث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قراءتك على العالم و قراءة العالم عليك سواء</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التساوي في الضبط فما مرّ، مضافا إلى وضوح كون قراءة العالم أقوى في الضبط من القراءة عليه لكون قراءته أبعد عن السهو من سماعه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قيل أن المراد به المساواة في صحة </w:t>
      </w:r>
    </w:p>
    <w:p>
      <w:pPr>
        <w:pStyle w:val="BookText"/>
        <w:rPr/>
      </w:pPr>
      <w:r>
        <w:rPr>
          <w:rFonts w:ascii="Amiri" w:hAnsi="Amiri" w:eastAsia="Amiri" w:cs="Amiri"/>
          <w:color w:val="111111"/>
          <w:sz w:val="28"/>
          <w:sz w:val="28"/>
          <w:szCs w:val="28"/>
          <w:rtl w:val="true"/>
          <w:lang w:bidi="ar-SA"/>
        </w:rPr>
        <w:t>الأخذ بالقراءة على العالم ردا على من أنكرها، لا في اتحاد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القراءة على الشيخ أعلى من السماع من لفظه، حكى القول به عن أبي حنيفة</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323/13</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323/13</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أبي ذئب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303/9</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الفهرست لابن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الليث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459/8</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338/4</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255/9</w:t>
      </w:r>
      <w:r>
        <w:rPr>
          <w:rFonts w:ascii="Amiri" w:hAnsi="Amiri" w:eastAsia="Amiri" w:cs="Amiri"/>
          <w:color w:val="111111"/>
          <w:sz w:val="28"/>
          <w:sz w:val="28"/>
          <w:szCs w:val="28"/>
          <w:rtl w:val="true"/>
          <w:lang w:bidi="ar-SA"/>
        </w:rPr>
        <w:t>، و ترجمه أيضا الشيخ الجد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العاملي في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113/36</w:t>
      </w:r>
      <w:r>
        <w:rPr>
          <w:rFonts w:ascii="Amiri" w:hAnsi="Amiri" w:eastAsia="Amiri" w:cs="Amiri"/>
          <w:color w:val="111111"/>
          <w:sz w:val="28"/>
          <w:sz w:val="28"/>
          <w:szCs w:val="28"/>
          <w:rtl w:val="true"/>
          <w:lang w:bidi="ar-SA"/>
        </w:rPr>
        <w:t>، و في رجال 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لهيعة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يحيى بن</w:t>
      </w:r>
    </w:p>
    <w:p>
      <w:pPr>
        <w:pStyle w:val="BookText"/>
        <w:rPr/>
      </w:pPr>
      <w:r>
        <w:rPr>
          <w:rFonts w:ascii="Amiri" w:hAnsi="Amiri" w:eastAsia="Amiri" w:cs="Amiri"/>
          <w:color w:val="111111"/>
          <w:sz w:val="28"/>
          <w:sz w:val="28"/>
          <w:szCs w:val="28"/>
          <w:rtl w:val="true"/>
          <w:lang w:bidi="ar-SA"/>
        </w:rPr>
        <w:t>سعيد</w:t>
      </w:r>
      <w:r>
        <w:rPr>
          <w:rStyle w:val="FootnoteAnchor"/>
          <w:rtl w:val="true"/>
        </w:rPr>
        <w:footnoteReference w:id="270"/>
      </w:r>
      <w:r>
        <w:rPr>
          <w:rFonts w:ascii="Amiri" w:hAnsi="Amiri" w:eastAsia="Amiri" w:cs="Amiri"/>
          <w:color w:val="111111"/>
          <w:sz w:val="28"/>
          <w:sz w:val="28"/>
          <w:szCs w:val="28"/>
          <w:rtl w:val="true"/>
          <w:lang w:bidi="ar-SA"/>
        </w:rPr>
        <w:t>و يحيى بن عبد اللّه بن بكير</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238/11</w:t>
      </w:r>
      <w:r>
        <w:rPr>
          <w:rFonts w:ascii="Amiri" w:hAnsi="Amiri" w:eastAsia="Amiri" w:cs="Amiri"/>
          <w:color w:val="111111"/>
          <w:sz w:val="28"/>
          <w:sz w:val="28"/>
          <w:szCs w:val="28"/>
          <w:rtl w:val="true"/>
          <w:lang w:bidi="ar-SA"/>
        </w:rPr>
        <w:t>، و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و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العباس بن الوليد بن مزيد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الوليد بن مزيد 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نعرف أبو الوليد هذا و لم يذكر في المصادر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الوليد و موسى بن داود الضبي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210/3</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عبيد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حاتم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259/11</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342/3</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قد مرّت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جريج</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400/10</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402/6</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 بن عمارة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3870</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العبر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513/1</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w:t>
      </w:r>
      <w:r>
        <w:rPr>
          <w:rFonts w:ascii="Amiri" w:hAnsi="Amiri" w:eastAsia="Amiri" w:cs="Amiri"/>
          <w:color w:val="111111"/>
          <w:sz w:val="28"/>
          <w:sz w:val="28"/>
          <w:szCs w:val="28"/>
          <w:rtl w:val="true"/>
          <w:lang w:bidi="ar-SA"/>
        </w:rPr>
        <w:t>، الجرح و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محدثي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بأن الشيخ لو غلط لم يتهيأ للطالب الرّدّ عليه</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عليّ شغلت نفسي بالإنصات لك و إذا حدثتك غفلت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على العالم أصح من قراءة العالم بعد ما أقرّ أنه حديثه، رواه الخطيب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هذا غاية ما يمكن أن يستدل لهم، و في الكل نظر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غلط الشيخ في القراءة أبعد من سهوه في</w:t>
      </w:r>
    </w:p>
    <w:p>
      <w:pPr>
        <w:pStyle w:val="BookText"/>
        <w:rPr/>
      </w:pPr>
      <w:r>
        <w:rPr>
          <w:rFonts w:ascii="Amiri" w:hAnsi="Amiri" w:eastAsia="Amiri" w:cs="Amiri"/>
          <w:color w:val="111111"/>
          <w:sz w:val="28"/>
          <w:sz w:val="28"/>
          <w:szCs w:val="28"/>
          <w:rtl w:val="true"/>
          <w:lang w:bidi="ar-SA"/>
        </w:rPr>
        <w:t>صورة السماع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وقفت لهؤلاء على دليل متبع</w:t>
      </w:r>
      <w:r>
        <w:rPr>
          <w:rStyle w:val="FootnoteAnchor"/>
          <w:rtl w:val="true"/>
        </w:rPr>
        <w:footnoteReference w:id="274"/>
      </w:r>
      <w:r>
        <w:rPr>
          <w:rFonts w:ascii="Amiri" w:hAnsi="Amiri" w:eastAsia="Amiri" w:cs="Amiri"/>
          <w:color w:val="111111"/>
          <w:sz w:val="28"/>
          <w:sz w:val="28"/>
          <w:szCs w:val="28"/>
          <w:rtl w:val="true"/>
          <w:lang w:bidi="ar-SA"/>
        </w:rPr>
        <w:t>إلا ملاحظة الأدب مع الشيخ في عدم تكليفه للقراءة</w:t>
      </w:r>
      <w:r>
        <w:rPr>
          <w:rStyle w:val="FootnoteAnchor"/>
          <w:rtl w:val="true"/>
        </w:rPr>
        <w:footnoteReference w:id="275"/>
      </w:r>
      <w:r>
        <w:rPr>
          <w:rFonts w:ascii="Amiri" w:hAnsi="Amiri" w:eastAsia="Amiri" w:cs="Amiri"/>
          <w:color w:val="111111"/>
          <w:sz w:val="28"/>
          <w:sz w:val="28"/>
          <w:szCs w:val="28"/>
          <w:rtl w:val="true"/>
          <w:lang w:bidi="ar-SA"/>
        </w:rPr>
        <w:t>التي هي بصورة أن يكون تلميذا لا شيخا</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 أن أحدا من هؤلاء نظر إلى ذلك في اختيار القول الثالث، ضرورة أن كون من يقرأ تلميذا ممنوع مع أن الأدب غير عالم</w:t>
      </w:r>
      <w:r>
        <w:rPr>
          <w:rStyle w:val="FootnoteAnchor"/>
          <w:rtl w:val="true"/>
        </w:rPr>
        <w:footnoteReference w:id="277"/>
      </w:r>
      <w:r>
        <w:rPr>
          <w:rFonts w:ascii="Amiri" w:hAnsi="Amiri" w:eastAsia="Amiri" w:cs="Amiri"/>
          <w:color w:val="111111"/>
          <w:sz w:val="28"/>
          <w:sz w:val="28"/>
          <w:szCs w:val="28"/>
          <w:rtl w:val="true"/>
          <w:lang w:bidi="ar-SA"/>
        </w:rPr>
        <w:t>رتبة التحمل،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حكى عن صاحب البديع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اختياره 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محل الخلاف ما إذا قرأ الشيخ في كتابه لا يسهو</w:t>
      </w:r>
      <w:r>
        <w:rPr>
          <w:rStyle w:val="FootnoteAnchor"/>
          <w:rtl w:val="true"/>
        </w:rPr>
        <w:footnoteReference w:id="278"/>
      </w:r>
      <w:r>
        <w:rPr>
          <w:rFonts w:ascii="Amiri" w:hAnsi="Amiri" w:eastAsia="Amiri" w:cs="Amiri"/>
          <w:color w:val="111111"/>
          <w:sz w:val="28"/>
          <w:sz w:val="28"/>
          <w:szCs w:val="28"/>
          <w:rtl w:val="true"/>
          <w:lang w:bidi="ar-SA"/>
        </w:rPr>
        <w:t>، فلا فرق بينه و بين القراءة عليه، أما إذا قرأ الشيخ من حفظه فهو أعلى بالاتفاق</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بعضهم أن محل ترجيح السماع ما إذا استوى الشيخ و الطالب أو كان الطالب أعلم لأنه أوعى لما يسمع، فإن كان مفضولا فقراءته أولى لأنها أضبط له، و لهذا كان السماع من </w:t>
      </w:r>
      <w:bookmarkStart w:id="162" w:name="pg15042_154857"/>
    </w:p>
    <w:p>
      <w:pPr>
        <w:pStyle w:val="BookText"/>
        <w:rPr/>
      </w:pPr>
      <w:bookmarkEnd w:id="162"/>
      <w:r>
        <w:rPr>
          <w:rFonts w:ascii="Amiri" w:hAnsi="Amiri" w:eastAsia="Amiri" w:cs="Amiri"/>
          <w:color w:val="111111"/>
          <w:sz w:val="28"/>
          <w:sz w:val="28"/>
          <w:szCs w:val="28"/>
          <w:rtl w:val="true"/>
          <w:lang w:bidi="ar-SA"/>
        </w:rPr>
        <w:t>لفظه في الإملاء أرفع الدرجات، لما يلزم منه من تحرير الشيخ و الطالب</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403351_2142443653"/>
      <w:bookmarkStart w:id="164" w:name="_Toc60"/>
      <w:bookmarkEnd w:id="163"/>
      <w:r>
        <w:rPr>
          <w:rtl w:val="true"/>
        </w:rPr>
        <w:t>الرابع</w:t>
      </w:r>
      <w:r>
        <w:rPr>
          <w:rtl w:val="true"/>
        </w:rPr>
        <w:t xml:space="preserve">: </w:t>
      </w:r>
      <w:r>
        <w:rPr>
          <w:rtl w:val="true"/>
        </w:rPr>
        <w:t>كيفية اداء المتحمل بالقراءة اذا اراد رواية ذلك الحديث</w:t>
      </w:r>
      <w:bookmarkEnd w:id="164"/>
    </w:p>
    <w:p>
      <w:pPr>
        <w:pStyle w:val="Heading6"/>
        <w:numPr>
          <w:ilvl w:val="5"/>
          <w:numId w:val="1"/>
        </w:numPr>
        <w:rPr/>
      </w:pPr>
      <w:bookmarkStart w:id="165" w:name="__RefHeading___Toc403353_2142443653"/>
      <w:bookmarkStart w:id="166" w:name="_Toc61"/>
      <w:bookmarkEnd w:id="165"/>
      <w:r>
        <w:rPr>
          <w:rtl w:val="true"/>
        </w:rPr>
        <w:t>اشارة</w:t>
      </w:r>
      <w:bookmarkEnd w:id="16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صرحوا بأن المتحمل بالقراءة على الشيخ إذا أراد أن يروي ذلك الحديث يقول قرأت على فلان أو قرئ عليه و أنا أسمع</w:t>
      </w:r>
      <w:r>
        <w:rPr>
          <w:rStyle w:val="FootnoteAnchor"/>
          <w:rtl w:val="true"/>
        </w:rPr>
        <w:footnoteReference w:id="280"/>
      </w:r>
      <w:r>
        <w:rPr>
          <w:rFonts w:ascii="Amiri" w:hAnsi="Amiri" w:eastAsia="Amiri" w:cs="Amiri"/>
          <w:color w:val="111111"/>
          <w:sz w:val="28"/>
          <w:sz w:val="28"/>
          <w:szCs w:val="28"/>
          <w:rtl w:val="true"/>
          <w:lang w:bidi="ar-SA"/>
        </w:rPr>
        <w:t>فأقرّه الشيخ به، أي لم يكتف بالقراءة عليه و لا بعدم انكاره و لا باشارته بل تلفظ بما يقتضي الإقرار بكونه مرويه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w:t>
      </w:r>
      <w:r>
        <w:rPr>
          <w:rStyle w:val="FootnoteAnchor"/>
          <w:rtl w:val="true"/>
        </w:rPr>
        <w:footnoteReference w:id="281"/>
      </w:r>
      <w:r>
        <w:rPr>
          <w:rFonts w:ascii="Amiri" w:hAnsi="Amiri" w:eastAsia="Amiri" w:cs="Amiri"/>
          <w:color w:val="111111"/>
          <w:sz w:val="28"/>
          <w:sz w:val="28"/>
          <w:szCs w:val="28"/>
          <w:rtl w:val="true"/>
          <w:lang w:bidi="ar-SA"/>
        </w:rPr>
        <w:t>و غيرها</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أعلى اعتبارات هذا الطريق، لدلالتهما على الواقع صريحا، و عدم احتمالهما غير المطلوب، ثم يلي ذلك عبارات السماع مقيدة بالقراءة لا مطلقة كحدثنا بقراءتي أو قراءته عليه و أنا أسمع، أو أخبرنا بقراءتي أو بقراءته عليه و أنا أسمع، أو أنبأنا أو نبأنا، أو قال لنا كذلك قراءة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167" w:name="pg15042_154858"/>
    </w:p>
    <w:p>
      <w:pPr>
        <w:pStyle w:val="Heading6"/>
        <w:numPr>
          <w:ilvl w:val="5"/>
          <w:numId w:val="1"/>
        </w:numPr>
        <w:rPr/>
      </w:pPr>
      <w:bookmarkStart w:id="168" w:name="__RefHeading___Toc403355_2142443653"/>
      <w:bookmarkStart w:id="169" w:name="_Toc62"/>
      <w:bookmarkEnd w:id="167"/>
      <w:bookmarkEnd w:id="168"/>
      <w:r>
        <w:rPr>
          <w:rtl w:val="true"/>
        </w:rPr>
        <w:t>هل يجوز اطلاق حدثنا و اخبرنا و انبانا في هذا الطريق</w:t>
      </w:r>
      <w:bookmarkEnd w:id="169"/>
    </w:p>
    <w:p>
      <w:pPr>
        <w:pStyle w:val="BookText"/>
        <w:rPr/>
      </w:pPr>
      <w:r>
        <w:rPr>
          <w:rFonts w:ascii="Amiri" w:hAnsi="Amiri" w:eastAsia="Amiri" w:cs="Amiri"/>
          <w:color w:val="111111"/>
          <w:sz w:val="28"/>
          <w:sz w:val="28"/>
          <w:szCs w:val="28"/>
          <w:rtl w:val="true"/>
          <w:lang w:bidi="ar-SA"/>
        </w:rPr>
        <w:t>و في جواز اطلاق حدثنا و أخبرنا و أنبأنا</w:t>
      </w:r>
      <w:r>
        <w:rPr>
          <w:rStyle w:val="FootnoteAnchor"/>
          <w:rtl w:val="true"/>
        </w:rPr>
        <w:footnoteReference w:id="284"/>
      </w:r>
      <w:r>
        <w:rPr>
          <w:rFonts w:ascii="Amiri" w:hAnsi="Amiri" w:eastAsia="Amiri" w:cs="Amiri"/>
          <w:color w:val="111111"/>
          <w:sz w:val="28"/>
          <w:sz w:val="28"/>
          <w:szCs w:val="28"/>
          <w:rtl w:val="true"/>
          <w:lang w:bidi="ar-SA"/>
        </w:rPr>
        <w:t>حينئذ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 الجميع، و هو المحكى عن جمع من المحدثين منهم الزهري</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317/7</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21/12</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360/3</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ترجمتهما في صفحة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مالك بن أنس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بن عيينة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يحيى بن سعيد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البخاري، بل قيل أن عليه معظم الحجازيين و الكوفيين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لأن اقرار الشيخ به قائم مقام التحديث و الاخبار، و من ثم جازا مقترنين بالقراءة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في الجميع، و هو المحكى عن عبد اللّه بن المبارك</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152/10</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يحيى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أحمد بن حنبل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 مذهب خلق كثير من أصحاب الحديث، و عللوا ذلك بأن الشيخ لم يحدث و لم يخبر و إن أقرّ، و إنما سمع الحديث، و لا يلزم من جوازهما مقيدين جوازهما مطلقين، لأن الألفاظ المستعملة على وجه المجاز تقرن بغيرها من القرائن الدالة عليها، و لا تطلق كذلك مقيدة لمعناها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اطلاق أخبرنا و عدم جواز اطلاق حدثنا، حكي ذلك عن الشافعي و أصحابه، و مسلم بن الحجاج و جمهور أهل الشرق</w:t>
      </w:r>
      <w:r>
        <w:rPr>
          <w:rStyle w:val="FootnoteAnchor"/>
          <w:rtl w:val="true"/>
        </w:rPr>
        <w:footnoteReference w:id="287"/>
      </w:r>
      <w:r>
        <w:rPr>
          <w:rFonts w:ascii="Amiri" w:hAnsi="Amiri" w:eastAsia="Amiri" w:cs="Amiri"/>
          <w:color w:val="111111"/>
          <w:sz w:val="28"/>
          <w:sz w:val="28"/>
          <w:szCs w:val="28"/>
          <w:rtl w:val="true"/>
          <w:lang w:bidi="ar-SA"/>
        </w:rPr>
        <w:t>، بل قيل أن عليه أكثر المحدثين</w:t>
      </w:r>
      <w:r>
        <w:rPr>
          <w:rStyle w:val="FootnoteAnchor"/>
          <w:rtl w:val="true"/>
        </w:rPr>
        <w:footnoteReference w:id="288"/>
      </w:r>
      <w:r>
        <w:rPr>
          <w:rFonts w:ascii="Amiri" w:hAnsi="Amiri" w:eastAsia="Amiri" w:cs="Amiri"/>
          <w:color w:val="111111"/>
          <w:sz w:val="28"/>
          <w:sz w:val="28"/>
          <w:szCs w:val="28"/>
          <w:rtl w:val="true"/>
          <w:lang w:bidi="ar-SA"/>
        </w:rPr>
        <w:t>و أنه الشائع الغالب على أهل الحديث، حتى قيل أنه اصطلاح منهم أرادوا به التمييز بين النوعين، و الاحتجاج بعدم الفرق بينهما لغة عناء و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علل مضافا إلى استقرار الاصطلاح عليه بقوة اشعار حدثنا بالنطق و المشافهة دون أخبرنا، فإنه يتجوز بها في غير النطق كثيرا، و من هنا 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بالفرق هو الأظهر في الأقوال و الأشهر في الاستعمال</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أفرط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حكي عنه</w:t>
      </w:r>
      <w:r>
        <w:rPr>
          <w:rStyle w:val="FootnoteAnchor"/>
          <w:rtl w:val="true"/>
        </w:rPr>
        <w:footnoteReference w:id="290"/>
      </w:r>
      <w:r>
        <w:rPr>
          <w:rFonts w:ascii="Amiri" w:hAnsi="Amiri" w:eastAsia="Amiri" w:cs="Amiri"/>
          <w:color w:val="111111"/>
          <w:sz w:val="28"/>
          <w:sz w:val="28"/>
          <w:szCs w:val="28"/>
          <w:rtl w:val="true"/>
          <w:lang w:bidi="ar-SA"/>
        </w:rPr>
        <w:t>حيث منع من الاستعمال مقيدين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عليه أيضا محتجا بأنه مناقضة، لأن معنى الاخبار و التحديث هو السماع منه، و قوله قراءته عليه يكذبه</w:t>
      </w:r>
      <w:r>
        <w:rPr>
          <w:rFonts w:eastAsia="Amiri" w:cs="Amiri" w:ascii="Amiri" w:hAnsi="Amiri"/>
          <w:color w:val="111111"/>
          <w:sz w:val="28"/>
          <w:szCs w:val="28"/>
          <w:rtl w:val="true"/>
          <w:lang w:bidi="ar-SA"/>
        </w:rPr>
        <w:t xml:space="preserve">. </w:t>
      </w:r>
      <w:bookmarkStart w:id="170" w:name="pg15042_154861"/>
    </w:p>
    <w:p>
      <w:pPr>
        <w:pStyle w:val="BookText"/>
        <w:rPr/>
      </w:pPr>
      <w:bookmarkEnd w:id="170"/>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المجازات و كثيرا من المشتركات المعنوية و اللفظية كذلك، حيث أن معانيها مع فقد القرينة تغايرها معها، و حيث أن الكلام يتمّ بآخره لا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قراءته عليه، مكذبا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أخبرنا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1" w:name="__RefHeading___Toc403357_2142443653"/>
      <w:bookmarkStart w:id="172" w:name="_Toc63"/>
      <w:bookmarkEnd w:id="171"/>
      <w:r>
        <w:rPr>
          <w:rtl w:val="true"/>
        </w:rPr>
        <w:t>الخامس</w:t>
      </w:r>
      <w:r>
        <w:rPr>
          <w:rtl w:val="true"/>
        </w:rPr>
        <w:t xml:space="preserve">: </w:t>
      </w:r>
      <w:r>
        <w:rPr>
          <w:rtl w:val="true"/>
        </w:rPr>
        <w:t>كيفية القراءة على الشيخ و السماع منه</w:t>
      </w:r>
      <w:bookmarkEnd w:id="172"/>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أصل الشيخ حال القراءة عليه بيد ثقة غير الشيخ مراع لما يقرأ، أهل له، فإن حفظ الشيخ ما يقرأ عليه فهو كإمساكه أصله بيده، بل أولى، لتعاضد ذهني شخصين عليه، و إن لم يحفظ الشيخ ما يقرأ عليه ففي صحة السماع حينئذ قولان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المعزى</w:t>
      </w:r>
      <w:r>
        <w:rPr>
          <w:rStyle w:val="FootnoteAnchor"/>
          <w:rtl w:val="true"/>
        </w:rPr>
        <w:footnoteReference w:id="292"/>
      </w:r>
      <w:r>
        <w:rPr>
          <w:rFonts w:ascii="Amiri" w:hAnsi="Amiri" w:eastAsia="Amiri" w:cs="Amiri"/>
          <w:color w:val="111111"/>
          <w:sz w:val="28"/>
          <w:sz w:val="28"/>
          <w:szCs w:val="28"/>
          <w:rtl w:val="true"/>
          <w:lang w:bidi="ar-SA"/>
        </w:rPr>
        <w:t>إلى الشيوخ و أهل الحديث كافة</w:t>
      </w:r>
      <w:r>
        <w:rPr>
          <w:rStyle w:val="FootnoteAnchor"/>
          <w:rtl w:val="true"/>
        </w:rPr>
        <w:footnoteReference w:id="293"/>
      </w:r>
      <w:r>
        <w:rPr>
          <w:rFonts w:ascii="Amiri" w:hAnsi="Amiri" w:eastAsia="Amiri" w:cs="Amiri"/>
          <w:color w:val="111111"/>
          <w:sz w:val="28"/>
          <w:sz w:val="28"/>
          <w:szCs w:val="28"/>
          <w:rtl w:val="true"/>
          <w:lang w:bidi="ar-SA"/>
        </w:rPr>
        <w:t>، لأن الأصل للشيخ و الثقة محافظ عليه، و الشيخ مستمع له، فكان كنطقه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الباقلاني</w:t>
      </w:r>
      <w:r>
        <w:rPr>
          <w:rStyle w:val="FootnoteAnchor"/>
          <w:rtl w:val="true"/>
        </w:rPr>
        <w:footnoteReference w:id="294"/>
      </w:r>
      <w:r>
        <w:rPr>
          <w:rFonts w:ascii="Amiri" w:hAnsi="Amiri" w:eastAsia="Amiri" w:cs="Amiri"/>
          <w:color w:val="111111"/>
          <w:sz w:val="28"/>
          <w:sz w:val="28"/>
          <w:szCs w:val="28"/>
          <w:rtl w:val="true"/>
          <w:lang w:bidi="ar-SA"/>
        </w:rPr>
        <w:t>و إمام الحرمين</w:t>
      </w:r>
      <w:r>
        <w:rPr>
          <w:rStyle w:val="FootnoteAnchor"/>
          <w:rtl w:val="true"/>
        </w:rPr>
        <w:footnoteReference w:id="295"/>
      </w:r>
      <w:r>
        <w:rPr>
          <w:rFonts w:ascii="IRNazanin" w:hAnsi="IRNazanin" w:eastAsia="IRNazanin"/>
          <w:color w:val="111111"/>
          <w:sz w:val="28"/>
          <w:sz w:val="28"/>
          <w:szCs w:val="28"/>
          <w:rtl w:val="true"/>
          <w:lang w:bidi="fa-IR"/>
        </w:rPr>
        <w:t xml:space="preserve">عدم </w:t>
      </w:r>
      <w:bookmarkStart w:id="173" w:name="pg15042_154862"/>
    </w:p>
    <w:p>
      <w:pPr>
        <w:pStyle w:val="BookText"/>
        <w:rPr/>
      </w:pPr>
      <w:bookmarkEnd w:id="173"/>
      <w:r>
        <w:rPr>
          <w:rFonts w:ascii="Amiri" w:hAnsi="Amiri" w:eastAsia="Amiri" w:cs="Amiri"/>
          <w:color w:val="111111"/>
          <w:sz w:val="28"/>
          <w:sz w:val="28"/>
          <w:szCs w:val="28"/>
          <w:rtl w:val="true"/>
          <w:lang w:bidi="ar-SA"/>
        </w:rPr>
        <w:t>الصحة، و لم أجد لهما دليلا</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أو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 حجة عندهم إلا بما رواه الراوي عن حفظه، و ذلك يقتضي أنه لو كان الأصل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يد ثقة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كان الأصل بيد غير الثقة لم يصح السماع إن لم يحفظه الشيخ، لأنه لا يؤمن من اهماله شيئا، كما هو ظاهر لا يخفى</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403359_2142443653"/>
      <w:bookmarkStart w:id="175" w:name="_Toc64"/>
      <w:bookmarkEnd w:id="174"/>
      <w:r>
        <w:rPr>
          <w:rtl w:val="true"/>
        </w:rPr>
        <w:t>السادس</w:t>
      </w:r>
      <w:r>
        <w:rPr>
          <w:rtl w:val="true"/>
        </w:rPr>
        <w:t xml:space="preserve">: </w:t>
      </w:r>
      <w:r>
        <w:rPr>
          <w:rtl w:val="true"/>
        </w:rPr>
        <w:t>اذا قرى على الشيخ و لم ينكر و لم يتكلم بما يقتضي الاقرار به، فهل يصح السماع و تجوز الرواية؟</w:t>
      </w:r>
      <w:bookmarkEnd w:id="175"/>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قرئ على الشيخ و قال له أخبرك فلان بكذا</w:t>
      </w:r>
      <w:r>
        <w:rPr>
          <w:rStyle w:val="FootnoteAnchor"/>
          <w:rtl w:val="true"/>
        </w:rPr>
        <w:footnoteReference w:id="297"/>
      </w:r>
      <w:r>
        <w:rPr>
          <w:rFonts w:ascii="Amiri" w:hAnsi="Amiri" w:eastAsia="Amiri" w:cs="Amiri"/>
          <w:color w:val="111111"/>
          <w:sz w:val="28"/>
          <w:sz w:val="28"/>
          <w:szCs w:val="28"/>
          <w:rtl w:val="true"/>
          <w:lang w:bidi="ar-SA"/>
        </w:rPr>
        <w:t>، و الشيخ مصغ إليه فاهم له غير منكر، و لكن لم يكن يتكلم بما يقتضي الإقرار به، ففي صحة السماع و جواز الرواية به وجهان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خيرة الأكثر كما في البداية</w:t>
      </w:r>
      <w:r>
        <w:rPr>
          <w:rStyle w:val="FootnoteAnchor"/>
          <w:rtl w:val="true"/>
        </w:rPr>
        <w:footnoteReference w:id="299"/>
      </w:r>
      <w:r>
        <w:rPr>
          <w:rFonts w:ascii="Amiri" w:hAnsi="Amiri" w:eastAsia="Amiri" w:cs="Amiri"/>
          <w:color w:val="111111"/>
          <w:sz w:val="28"/>
          <w:sz w:val="28"/>
          <w:szCs w:val="28"/>
          <w:rtl w:val="true"/>
          <w:lang w:bidi="ar-SA"/>
        </w:rPr>
        <w:t>، و به قطع جماهير أصحاب فنون الحديث و الفقه و الاصول كما في غيرها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خيرة بعض الشافعية كأبي إسحاق الشيرازي</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الصباغ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و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سليم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275/3</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الظاهريين المقلدين لداود الظاهري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القرائن المتضافرة على أنه مقرّ به، و لأن عدالته تمنع من السكوت عن انكار ما ينسب إليه بغير صحة</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76" w:name="pg15042_154864"/>
    </w:p>
    <w:p>
      <w:pPr>
        <w:pStyle w:val="BookText"/>
        <w:rPr/>
      </w:pPr>
      <w:bookmarkEnd w:id="176"/>
      <w:r>
        <w:rPr>
          <w:rFonts w:ascii="Amiri" w:hAnsi="Amiri" w:eastAsia="Amiri" w:cs="Amiri"/>
          <w:color w:val="111111"/>
          <w:sz w:val="28"/>
          <w:sz w:val="28"/>
          <w:szCs w:val="28"/>
          <w:rtl w:val="true"/>
          <w:lang w:bidi="ar-SA"/>
        </w:rPr>
        <w:t>و حجة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أعمّ من الإقرار، و لهذا يقال لا ينسب إلى الساكت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الأعمية مطلقا حتى مع القرائن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الأول، فلا شبهة في أن للراوي أن يعمل به و أن يرويه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أو قرئ عليه و هو يسمع و لم ينكر، و هل يجوز له في مقام التحديث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أو أخبرنا تنزيلا لسكوته مع قيام القرائن على اقراره منزلة اقراره أم لا لأنه كذب، فإن السكوت مع القرائن تصحيح و امضاء لا تصريح و إخبار؟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 خيرة أكثر الفقهاء و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هو الأظهر وفاقا لبعض أهل الفن، فتدبر</w:t>
      </w:r>
      <w:r>
        <w:rPr>
          <w:rFonts w:eastAsia="Amiri" w:cs="Amiri" w:ascii="Amiri" w:hAnsi="Amiri"/>
          <w:color w:val="111111"/>
          <w:sz w:val="28"/>
          <w:szCs w:val="28"/>
          <w:rtl w:val="true"/>
          <w:lang w:bidi="ar-SA"/>
        </w:rPr>
        <w:t>.</w:t>
      </w:r>
    </w:p>
    <w:p>
      <w:pPr>
        <w:pStyle w:val="Heading6"/>
        <w:numPr>
          <w:ilvl w:val="5"/>
          <w:numId w:val="1"/>
        </w:numPr>
        <w:rPr/>
      </w:pPr>
      <w:bookmarkStart w:id="177" w:name="__RefHeading___Toc403361_2142443653"/>
      <w:bookmarkStart w:id="178" w:name="_Toc65"/>
      <w:bookmarkEnd w:id="177"/>
      <w:r>
        <w:rPr>
          <w:rtl w:val="true"/>
        </w:rPr>
        <w:t>السابع</w:t>
      </w:r>
      <w:r>
        <w:rPr>
          <w:rtl w:val="true"/>
        </w:rPr>
        <w:t xml:space="preserve">: </w:t>
      </w:r>
      <w:r>
        <w:rPr>
          <w:rtl w:val="true"/>
        </w:rPr>
        <w:t>ما اصطلحه عدة من المحدثين في السماع</w:t>
      </w:r>
      <w:bookmarkEnd w:id="1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اصطلح عدة من المحدثين</w:t>
      </w:r>
      <w:r>
        <w:rPr>
          <w:rStyle w:val="FootnoteAnchor"/>
          <w:rtl w:val="true"/>
        </w:rPr>
        <w:footnoteReference w:id="304"/>
      </w:r>
      <w:r>
        <w:rPr>
          <w:rFonts w:ascii="Amiri" w:hAnsi="Amiri" w:eastAsia="Amiri" w:cs="Amiri"/>
          <w:color w:val="111111"/>
          <w:sz w:val="28"/>
          <w:sz w:val="28"/>
          <w:szCs w:val="28"/>
          <w:rtl w:val="true"/>
          <w:lang w:bidi="ar-SA"/>
        </w:rPr>
        <w:t>التعبير فيما سمعه وحده من لفظ الشيخ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فيما سمعه منه مع غيره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بالجمع، و ما قرأ عليه بنفسه أخبرني، و ما قرئ على المحدّث بحضرته أخبرنا، و ما التزم به </w:t>
      </w:r>
    </w:p>
    <w:p>
      <w:pPr>
        <w:pStyle w:val="BookText"/>
        <w:rPr/>
      </w:pPr>
      <w:r>
        <w:rPr>
          <w:rFonts w:ascii="Amiri" w:hAnsi="Amiri" w:eastAsia="Amiri" w:cs="Amiri"/>
          <w:color w:val="111111"/>
          <w:sz w:val="28"/>
          <w:sz w:val="28"/>
          <w:szCs w:val="28"/>
          <w:rtl w:val="true"/>
          <w:lang w:bidi="ar-SA"/>
        </w:rPr>
        <w:t>أولى، و لكن لم يثبت تعيّنه، و كذا في صورة الشّك في أنّه سمعه وحده أو مع غيره، 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سمعه الرّاوي من الشيخ وحده أو شكّ هل سمعه وحده أو مع غيره قال عند روايته لغيره حدّثني و أخبرني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المتكلّم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مطابقا للواقع مع تحقّق الوحدة، و لأنّه المتيقّن مع الشّك، و لأصالة عدم سماع غيره معه، و ما سمعه مع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 أخبرنا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للمطابقة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كما نصّ عليه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يقول مع الشّك حدّثنا لا حدّثني، لأنّها أكمل مرتبة من حدّثنا، حيث أنّه يحتمل عدم قصده بل التّدليس بتحديث أهل بلده كما مرّ، فليقتصر إذا شك على الناقص وضعا لأن عدم الزائد هو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بملاحظة أصل الأفراد، و الجمع هو الأولى، و لو عكس الأمر فيهما، فقال في حال الوحدة و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بقصد التعظيم، و في حالة الاجتماع حدّثني نظرا إلى دخوله في العموم و عدم ادخال من معه في لفظه </w:t>
      </w:r>
      <w:bookmarkStart w:id="179" w:name="pg15042_154866"/>
    </w:p>
    <w:p>
      <w:pPr>
        <w:pStyle w:val="BookText"/>
        <w:rPr/>
      </w:pPr>
      <w:bookmarkEnd w:id="179"/>
      <w:r>
        <w:rPr>
          <w:rFonts w:ascii="Amiri" w:hAnsi="Amiri" w:eastAsia="Amiri" w:cs="Amiri"/>
          <w:color w:val="111111"/>
          <w:sz w:val="28"/>
          <w:sz w:val="28"/>
          <w:szCs w:val="28"/>
          <w:rtl w:val="true"/>
          <w:lang w:bidi="ar-SA"/>
        </w:rPr>
        <w:t>جاز لصحّته لغة و عرفا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 بعضهم اتفاق العلماء على اولويّة ما ذكر من التّفصيل في التعبير و عدم تعيّنه</w:t>
      </w:r>
      <w:r>
        <w:rPr>
          <w:rStyle w:val="FootnoteAnchor"/>
          <w:rtl w:val="true"/>
        </w:rPr>
        <w:footnoteReference w:id="307"/>
      </w:r>
      <w:r>
        <w:rPr>
          <w:rFonts w:ascii="Amiri" w:hAnsi="Amiri" w:eastAsia="Amiri" w:cs="Amiri"/>
          <w:color w:val="111111"/>
          <w:sz w:val="28"/>
          <w:sz w:val="28"/>
          <w:szCs w:val="28"/>
          <w:rtl w:val="true"/>
          <w:lang w:bidi="ar-SA"/>
        </w:rPr>
        <w:t>، و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منع العلماء من ابدال حدّثنا بأخبرنا و بالعكس في النقل عن الكتب المصنفة نظرا إلى احتمال أن يكون من قال ذلك لا يرى التسوية بينهما، و قد عبّر بما يطابق مذهبه، و كذا ليس له ابدال سمعت باخبرنا أو حدثنا و لا عكسه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المصنف ممن يرى التسوية بين أخبرنا و حدثنا بنى على الخلاف المشهور في نقل الحديث بالمعنى، فإن جوزناه جاز الإبدال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المسموع منهما من غير أن يذكر في مصنف فيبنى جواز تعبيره بالآخر على جواز الرواية بالمعنى و عدمه، فإن قلنا به جاز التعبير، و إلا فلا، سواء قلنا بتساويهما في المعنى أم لا، لأنه حينئذ يكون مختارا لعبارة مؤدية لمعنى الاخرى و إن كانت أعلى رتبة أو أدنى، كما نبّه على ذلك كله في البداية</w:t>
      </w:r>
      <w:r>
        <w:rPr>
          <w:rStyle w:val="FootnoteAnchor"/>
          <w:rtl w:val="true"/>
        </w:rPr>
        <w:footnoteReference w:id="30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403363_2142443653"/>
      <w:bookmarkStart w:id="181" w:name="_Toc66"/>
      <w:bookmarkEnd w:id="180"/>
      <w:r>
        <w:rPr>
          <w:rtl w:val="true"/>
        </w:rPr>
        <w:t>الثامن</w:t>
      </w:r>
      <w:r>
        <w:rPr>
          <w:rtl w:val="true"/>
        </w:rPr>
        <w:t xml:space="preserve">: </w:t>
      </w:r>
      <w:r>
        <w:rPr>
          <w:rtl w:val="true"/>
        </w:rPr>
        <w:t>لا يشترط الترائي في صحة التحمل بالسماع</w:t>
      </w:r>
      <w:bookmarkEnd w:id="18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الأشهر الأظهر أنه لا يشترط في صحة التحمل </w:t>
      </w:r>
    </w:p>
    <w:p>
      <w:pPr>
        <w:pStyle w:val="BookText"/>
        <w:rPr/>
      </w:pPr>
      <w:r>
        <w:rPr>
          <w:rFonts w:ascii="Amiri" w:hAnsi="Amiri" w:eastAsia="Amiri" w:cs="Amiri"/>
          <w:color w:val="111111"/>
          <w:sz w:val="28"/>
          <w:sz w:val="28"/>
          <w:szCs w:val="28"/>
          <w:rtl w:val="true"/>
          <w:lang w:bidi="ar-SA"/>
        </w:rPr>
        <w:t xml:space="preserve">بالسماع و القراءة الترائي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يرى الراوي المروي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يجوز له التحمل بالسماع أو القراءة من وراء الحجاب إذا عرف صوته ان حدث بلفظه أو عرف حضوره بمكان يسمع منه إن 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جمع 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310"/>
      </w:r>
      <w:r>
        <w:rPr>
          <w:rFonts w:ascii="Amiri" w:hAnsi="Amiri" w:eastAsia="Amiri" w:cs="Amiri"/>
          <w:color w:val="111111"/>
          <w:sz w:val="28"/>
          <w:sz w:val="28"/>
          <w:szCs w:val="28"/>
          <w:rtl w:val="true"/>
          <w:lang w:bidi="ar-SA"/>
        </w:rPr>
        <w:t>، أنه يكفي في المعرفة بحضور الشيخ أو بصوته اخبار الثقة من أهل الخبرة بالشيخ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إذ لا دليل على حجية خبر الثقة إلا إذا أفاد العلم أو انضم إليه خبر مثله لتتم البينة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شعبة</w:t>
      </w:r>
      <w:r>
        <w:rPr>
          <w:rStyle w:val="FootnoteAnchor"/>
          <w:rtl w:val="true"/>
        </w:rPr>
        <w:footnoteReference w:id="312"/>
      </w:r>
      <w:r>
        <w:rPr>
          <w:rFonts w:ascii="Amiri" w:hAnsi="Amiri" w:eastAsia="Amiri" w:cs="Amiri"/>
          <w:color w:val="111111"/>
          <w:sz w:val="28"/>
          <w:sz w:val="28"/>
          <w:szCs w:val="28"/>
          <w:rtl w:val="true"/>
          <w:lang w:bidi="ar-SA"/>
        </w:rPr>
        <w:t>عدم تجويز التحمل من وراء حجاب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اشتراطه الرؤية لإمكان المماثلة في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بعض السلف</w:t>
      </w:r>
      <w:r>
        <w:rPr>
          <w:rStyle w:val="FootnoteAnchor"/>
          <w:rtl w:val="true"/>
        </w:rPr>
        <w:footnoteReference w:id="31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حدثك المحدث فلم تر وجهه فلا ترو عنه، فلعله شيطان قد تصور في صورته يقول حدثنا و أخبرنا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رد بأن العلم بالصوت يدفع ذلك، و احتمال التصور مشترك بين المشافهة و وراء الحجاب، مضافا إلى أن الرؤية لو كانت شرطا لم تصح رواية الأعمى كابن ام مكتوم، و التالي بيّن </w:t>
      </w:r>
    </w:p>
    <w:p>
      <w:pPr>
        <w:pStyle w:val="BookText"/>
        <w:rPr/>
      </w:pPr>
      <w:r>
        <w:rPr>
          <w:rFonts w:ascii="Amiri" w:hAnsi="Amiri" w:eastAsia="Amiri" w:cs="Amiri"/>
          <w:color w:val="111111"/>
          <w:sz w:val="28"/>
          <w:sz w:val="28"/>
          <w:szCs w:val="28"/>
          <w:rtl w:val="true"/>
          <w:lang w:bidi="ar-SA"/>
        </w:rPr>
        <w:t>الفساد فكذا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قد كان السلف يسمعون من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غيرهن من النساء من وراء الحجاب و يروون عنهن اعتمادا على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على عدم الاشتراط أيضا</w:t>
      </w:r>
      <w:r>
        <w:rPr>
          <w:rStyle w:val="FootnoteAnchor"/>
          <w:rtl w:val="true"/>
        </w:rPr>
        <w:footnoteReference w:id="315"/>
      </w:r>
      <w:r>
        <w:rPr>
          <w:rFonts w:ascii="Amiri" w:hAnsi="Amiri" w:eastAsia="Amiri" w:cs="Amiri"/>
          <w:color w:val="111111"/>
          <w:sz w:val="28"/>
          <w:sz w:val="28"/>
          <w:szCs w:val="28"/>
          <w:rtl w:val="true"/>
          <w:lang w:bidi="ar-SA"/>
        </w:rPr>
        <w:t xml:space="preserve">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بالاعتماد على سماع صوت ابن ام مكتوم المؤذن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يؤذن بليل فكلوا و اشربوا حتى تسمعوا آذان</w:t>
      </w:r>
      <w:r>
        <w:rPr>
          <w:rStyle w:val="FootnoteAnchor"/>
          <w:rtl w:val="true"/>
        </w:rPr>
        <w:footnoteReference w:id="316"/>
      </w:r>
      <w:r>
        <w:rPr>
          <w:rFonts w:ascii="Amiri" w:hAnsi="Amiri" w:eastAsia="Amiri" w:cs="Amiri"/>
          <w:color w:val="111111"/>
          <w:sz w:val="28"/>
          <w:sz w:val="28"/>
          <w:szCs w:val="28"/>
          <w:rtl w:val="true"/>
          <w:lang w:bidi="ar-SA"/>
        </w:rPr>
        <w:t>ابن ام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317"/>
      </w:r>
      <w:r>
        <w:rPr>
          <w:rFonts w:ascii="Amiri" w:hAnsi="Amiri" w:eastAsia="Amiri" w:cs="Amiri"/>
          <w:color w:val="111111"/>
          <w:sz w:val="28"/>
          <w:sz w:val="28"/>
          <w:szCs w:val="28"/>
          <w:rtl w:val="true"/>
          <w:lang w:bidi="ar-SA"/>
        </w:rPr>
        <w:t>، مع غيبة شخصه عمن يسمعه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أنت خبير بأن هذا الوجه أجنبي عن المطلوب فإن الآذان غير الرواية المبحوث عنها، كما لا يخفى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r>
        <w:rPr>
          <w:rFonts w:ascii="Amiri" w:hAnsi="Amiri" w:eastAsia="Amiri" w:cs="Amiri"/>
          <w:color w:val="111111"/>
          <w:sz w:val="28"/>
          <w:sz w:val="28"/>
          <w:szCs w:val="28"/>
          <w:rtl w:val="true"/>
          <w:lang w:bidi="ar-SA"/>
        </w:rPr>
        <w:t>ثم لا يخفى عليك أنا تبعنا في نقل رواية الآذان النقلة، و إلا فالرواية على عكس ذلك، و قد غيرته العامة كما بيّنّا ذلك في التنقيح في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زائدة المكنى بابن ام مكتوم</w:t>
      </w:r>
      <w:r>
        <w:rPr>
          <w:rStyle w:val="FootnoteAnchor"/>
          <w:rtl w:val="true"/>
        </w:rPr>
        <w:footnoteReference w:id="320"/>
      </w:r>
      <w:r>
        <w:rPr>
          <w:rFonts w:ascii="IRNazanin" w:hAnsi="IRNazanin" w:eastAsia="IRNazanin"/>
          <w:color w:val="111111"/>
          <w:sz w:val="28"/>
          <w:sz w:val="28"/>
          <w:szCs w:val="28"/>
          <w:rtl w:val="true"/>
          <w:lang w:bidi="fa-IR"/>
        </w:rPr>
        <w:t>، فلاحظ</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bookmarkStart w:id="182" w:name="pg15042_154869"/>
    </w:p>
    <w:p>
      <w:pPr>
        <w:pStyle w:val="Heading6"/>
        <w:numPr>
          <w:ilvl w:val="5"/>
          <w:numId w:val="1"/>
        </w:numPr>
        <w:rPr/>
      </w:pPr>
      <w:bookmarkStart w:id="183" w:name="__RefHeading___Toc403365_2142443653"/>
      <w:bookmarkStart w:id="184" w:name="_Toc67"/>
      <w:bookmarkEnd w:id="182"/>
      <w:bookmarkEnd w:id="183"/>
      <w:r>
        <w:rPr>
          <w:rtl w:val="true"/>
        </w:rPr>
        <w:t>ثالثها</w:t>
      </w:r>
      <w:r>
        <w:rPr>
          <w:rtl w:val="true"/>
        </w:rPr>
        <w:t xml:space="preserve">: </w:t>
      </w:r>
      <w:r>
        <w:rPr>
          <w:rtl w:val="true"/>
        </w:rPr>
        <w:t xml:space="preserve">الإجازة </w:t>
      </w:r>
      <w:r>
        <w:rPr>
          <w:rtl w:val="true"/>
        </w:rPr>
        <w:t>:</w:t>
      </w:r>
      <w:bookmarkEnd w:id="184"/>
    </w:p>
    <w:p>
      <w:pPr>
        <w:pStyle w:val="Heading6"/>
        <w:numPr>
          <w:ilvl w:val="5"/>
          <w:numId w:val="1"/>
        </w:numPr>
        <w:rPr/>
      </w:pPr>
      <w:bookmarkStart w:id="185" w:name="__RefHeading___Toc403367_2142443653"/>
      <w:bookmarkStart w:id="186" w:name="_Toc68"/>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على ما في البداية</w:t>
      </w:r>
      <w:r>
        <w:rPr>
          <w:rStyle w:val="FootnoteAnchor"/>
          <w:rtl w:val="true"/>
        </w:rPr>
        <w:footnoteReference w:id="3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324"/>
      </w:r>
      <w:r>
        <w:rPr>
          <w:rFonts w:ascii="Amiri" w:hAnsi="Amiri" w:eastAsia="Amiri" w:cs="Amiri"/>
          <w:color w:val="111111"/>
          <w:sz w:val="28"/>
          <w:sz w:val="28"/>
          <w:szCs w:val="28"/>
          <w:rtl w:val="true"/>
          <w:lang w:bidi="ar-SA"/>
        </w:rPr>
        <w:t>في الأصل مصدر أجاز، و أصلها اجوازة تحركت الواو فتوهم انفتاح ما قبلها فقلبت الفا فبقيت الألف الزائدة التي بعدها فحذفت لالتقاء الساكنين فصارت اجازة، و في المحذوف من الألفين الزائدة و الأصلية قولان مشهوران؛ أولهما قول سيبويه</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195/12</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176/10</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ثانيهما قول الأخفش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هي مأخوذة من جواز الماء الذي يسقاه المال من الماشية و الحرث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استجزته فأجازني إذا سقاك</w:t>
      </w:r>
    </w:p>
    <w:p>
      <w:pPr>
        <w:pStyle w:val="BookText"/>
        <w:rPr/>
      </w:pPr>
      <w:r>
        <w:rPr>
          <w:rFonts w:ascii="Amiri" w:hAnsi="Amiri" w:eastAsia="Amiri" w:cs="Amiri"/>
          <w:color w:val="111111"/>
          <w:sz w:val="28"/>
          <w:sz w:val="28"/>
          <w:szCs w:val="28"/>
          <w:rtl w:val="true"/>
          <w:lang w:bidi="ar-SA"/>
        </w:rPr>
        <w:t xml:space="preserve">ماء لماشيتك أو أرضك، فالطالب للحديث يستجيز العالم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يطلب اعطاءه له على وجه يحصل به الإصلاح لنفسه كما يحصل للأرض و الماشية الإصلاح بالماء فيجيزه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كثيرا ما يطلق على العلم اسم الماء، و على النفس اسم الأرض، و عليه بعض المفسرين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اَلْأَرْضَ هامِدَةً فَإِذا أَنْزَلْنا عَلَيْهَا اَلْماءَ اِهْتَزَّتْ وَ رَبَتْ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كانت مأخوذة من الإجازة التي هي الاستقاء فتتعدى إلى المفعول بغير حرف جر و لا ذكر رواية،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أجزته مسموعاتي مثلا، كما تقول أجزته 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 الإجازة بمعنى الإذن و التسويغ، و على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له رواية كذا كما تقول أذنت له و سوغت له</w:t>
      </w:r>
      <w:r>
        <w:rPr>
          <w:rStyle w:val="FootnoteAnchor"/>
          <w:rtl w:val="true"/>
        </w:rPr>
        <w:footnoteReference w:id="327"/>
      </w:r>
      <w:r>
        <w:rPr>
          <w:rFonts w:ascii="Amiri" w:hAnsi="Amiri" w:eastAsia="Amiri" w:cs="Amiri"/>
          <w:color w:val="111111"/>
          <w:sz w:val="28"/>
          <w:sz w:val="28"/>
          <w:szCs w:val="28"/>
          <w:rtl w:val="true"/>
          <w:lang w:bidi="ar-SA"/>
        </w:rPr>
        <w:t>، و قد يحذف المضاف الذي هو متعلق الإذن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له مسموعاتي مثلا من غير ذكر الرواية على وجه المجاز بالحذف، هذا ما في البداية بتغيير يسير</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أفاد ذلك غيره أيضا</w:t>
      </w:r>
      <w:r>
        <w:rPr>
          <w:rStyle w:val="FootnoteAnchor"/>
          <w:rtl w:val="true"/>
        </w:rPr>
        <w:footnoteReference w:id="329"/>
      </w:r>
      <w:r>
        <w:rPr>
          <w:rFonts w:ascii="Amiri" w:hAnsi="Amiri" w:eastAsia="Amiri" w:cs="Amiri"/>
          <w:color w:val="111111"/>
          <w:sz w:val="28"/>
          <w:sz w:val="28"/>
          <w:szCs w:val="28"/>
          <w:rtl w:val="true"/>
          <w:lang w:bidi="ar-SA"/>
        </w:rPr>
        <w:t>، و حكي عن القسطلاني</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كتابه هذا، و يحتمل ان يكون أبو بكر قطب الدين محمد بن أحمد بن علي القيسي الشاطبي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بالحديث و رجاله و مكثر في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في فوات 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181/2</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الأول أولى و أظهر، و لم أحصل على كتاب المنهج كي اتثبت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المنهج أن</w:t>
      </w:r>
      <w:bookmarkStart w:id="187" w:name="pg15042_154871"/>
    </w:p>
    <w:p>
      <w:pPr>
        <w:pStyle w:val="BookText"/>
        <w:rPr/>
      </w:pPr>
      <w:bookmarkEnd w:id="187"/>
      <w:r>
        <w:rPr>
          <w:rFonts w:ascii="Amiri" w:hAnsi="Amiri" w:eastAsia="Amiri" w:cs="Amiri"/>
          <w:color w:val="111111"/>
          <w:sz w:val="28"/>
          <w:sz w:val="28"/>
          <w:szCs w:val="28"/>
          <w:rtl w:val="true"/>
          <w:lang w:bidi="ar-SA"/>
        </w:rPr>
        <w:t>الإجازة مشتقة من التجوز و هو التعدي، فكأنه عدى روايته حتى أوصلها إلى الراوي عنه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403369_2142443653"/>
      <w:bookmarkStart w:id="189" w:name="_Toc69"/>
      <w:bookmarkEnd w:id="188"/>
      <w:r>
        <w:rPr>
          <w:rtl w:val="true"/>
        </w:rPr>
        <w:t>و إذ قد عرفت ذلك فهنا مطالب</w:t>
      </w:r>
      <w:r>
        <w:rPr>
          <w:rtl w:val="true"/>
        </w:rPr>
        <w:t>:</w:t>
      </w:r>
      <w:bookmarkEnd w:id="189"/>
    </w:p>
    <w:p>
      <w:pPr>
        <w:pStyle w:val="Heading6"/>
        <w:numPr>
          <w:ilvl w:val="5"/>
          <w:numId w:val="1"/>
        </w:numPr>
        <w:rPr/>
      </w:pPr>
      <w:bookmarkStart w:id="190" w:name="__RefHeading___Toc403371_2142443653"/>
      <w:bookmarkStart w:id="191" w:name="_Toc70"/>
      <w:bookmarkEnd w:id="190"/>
      <w:r>
        <w:rPr>
          <w:rtl w:val="true"/>
        </w:rPr>
        <w:t>الاول</w:t>
      </w:r>
      <w:r>
        <w:rPr>
          <w:rtl w:val="true"/>
        </w:rPr>
        <w:t xml:space="preserve">: </w:t>
      </w:r>
      <w:r>
        <w:rPr>
          <w:rtl w:val="true"/>
        </w:rPr>
        <w:t>هل يجوز تحمل الرواية بالاجازة؟</w:t>
      </w:r>
      <w:bookmarkEnd w:id="19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الخلاف في جواز تحمل الرواية بالإجازة، و جواز ادائها و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فالمشهور بين العلماء من المحدثين و الاصوليين كما في البداية</w:t>
      </w:r>
      <w:r>
        <w:rPr>
          <w:rStyle w:val="FootnoteAnchor"/>
          <w:rtl w:val="true"/>
        </w:rPr>
        <w:footnoteReference w:id="33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بل جعلها مؤيدة بالاعتبار الصحيح بأنها أخبار بمروياته، و الاخبار لا يفتقر إلى النطق</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الجواز،</w:t>
      </w:r>
    </w:p>
    <w:p>
      <w:pPr>
        <w:pStyle w:val="BookText"/>
        <w:rPr/>
      </w:pPr>
      <w:r>
        <w:rPr>
          <w:rFonts w:ascii="Amiri" w:hAnsi="Amiri" w:eastAsia="Amiri" w:cs="Amiri"/>
          <w:color w:val="111111"/>
          <w:sz w:val="28"/>
          <w:sz w:val="28"/>
          <w:szCs w:val="28"/>
          <w:rtl w:val="true"/>
          <w:lang w:bidi="ar-SA"/>
        </w:rPr>
        <w:t>و ادعى جماعة الإجماع عليه نظرا إلى شذوذ المخالف</w:t>
      </w:r>
      <w:r>
        <w:rPr>
          <w:rStyle w:val="FootnoteAnchor"/>
          <w:rtl w:val="true"/>
        </w:rPr>
        <w:footnoteReference w:id="334"/>
      </w:r>
      <w:r>
        <w:rPr>
          <w:rFonts w:ascii="Amiri" w:hAnsi="Amiri" w:eastAsia="Amiri" w:cs="Amiri"/>
          <w:color w:val="111111"/>
          <w:sz w:val="28"/>
          <w:sz w:val="28"/>
          <w:szCs w:val="28"/>
          <w:rtl w:val="true"/>
          <w:lang w:bidi="ar-SA"/>
        </w:rPr>
        <w:t xml:space="preserve">، و حكي عن جمع من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كشعبة و إبراهيم الحربي</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نصر الوائلي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239/6</w:t>
      </w:r>
      <w:r>
        <w:rPr>
          <w:rFonts w:ascii="Amiri" w:hAnsi="Amiri" w:eastAsia="Amiri" w:cs="Amiri"/>
          <w:color w:val="111111"/>
          <w:sz w:val="28"/>
          <w:sz w:val="28"/>
          <w:szCs w:val="28"/>
          <w:rtl w:val="true"/>
          <w:lang w:bidi="ar-SA"/>
        </w:rPr>
        <w:t xml:space="preserve">، عنونهما بعنوانين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واحد، و ذكر أن وفاة عبيد اللّه سنة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قارن بتذكرة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الشيخ الأصبهاني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 من</w:t>
      </w:r>
    </w:p>
    <w:p>
      <w:pPr>
        <w:pStyle w:val="BookText"/>
        <w:rPr/>
      </w:pPr>
      <w:r>
        <w:rPr>
          <w:rFonts w:ascii="Amiri" w:hAnsi="Amiri" w:eastAsia="Amiri" w:cs="Amiri"/>
          <w:color w:val="111111"/>
          <w:sz w:val="28"/>
          <w:sz w:val="28"/>
          <w:szCs w:val="28"/>
          <w:rtl w:val="true"/>
          <w:lang w:bidi="ar-SA"/>
        </w:rPr>
        <w:t>الفقهاء كأبي حنيفة، و أبي يوسف</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242/14</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180/10</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252/9</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الآمدي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القاضي عبد الوهاب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276/4</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مصادر و كذا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الشافعي في أحد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جماعة من أصحابه، منهم القاضيان 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هو أن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الحسين بن محمد بن أحمد المروزي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المرورذي، المعروف بالقاضي، المتوفى سنة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فقيه اصولي و له جملة مصنفات فقهية على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بن حبيب البصري الماوردي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اصولي جامع صاحب كتاب الحاوي الكبير في فروع فقه الشافعي و غيره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102/12</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260/4</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الماوردي و أبو بكر الخجندي الشافعي</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أبو طاهر الدباس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جوابه واضح، لأنه مع معرفة المجيز بعينه و عدالته و أمانته فكيف ينزل بمنزلة من لا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عن أبي حزم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299/3</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مصادر فيها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بعض الظاهرية و متابعوهم فأجازوا التحديث بها و منعوا من العمل</w:t>
      </w:r>
    </w:p>
    <w:p>
      <w:pPr>
        <w:pStyle w:val="BookText"/>
        <w:rPr/>
      </w:pPr>
      <w:r>
        <w:rPr>
          <w:rFonts w:ascii="Amiri" w:hAnsi="Amiri" w:eastAsia="Amiri" w:cs="Amiri"/>
          <w:color w:val="111111"/>
          <w:sz w:val="28"/>
          <w:sz w:val="28"/>
          <w:szCs w:val="28"/>
          <w:rtl w:val="true"/>
          <w:lang w:bidi="ar-SA"/>
        </w:rPr>
        <w:t>بها كالمرسل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الأوزاعي</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 ذلك فجوز العمل بها دون التحديث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عرفا في قوة الاخبار بمروياته جملة، فهو كما لو أخبره تفصيلا، و الاخبار غير متوقف على التصريح نطقا كما في القراءة على الشيخ، و إنما الغرض حصول الافهام، و هو يتحقق بالإجازة المفهمة</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هذا مع أن الإجماع لو ثبت و كذا السيرة القطعية على الجواز و العمل في المقام لا غنى عن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استدل ابن الصلاح في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 تعرض في المقابيس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الحاجة إلى الإجازة في رواية الأحاديث غير ما في الكتب الأربعة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ليس في الإجازة ما يقدح في اتصال المنقول بها و في الثقة به، فيجري عليها حكم السماع من الشيخ</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حجة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المحدث أجزت لك أن تروي عني ما لم تسمع في معنى أجزت لك ما لا يجوز في الشرع، </w:t>
      </w:r>
    </w:p>
    <w:p>
      <w:pPr>
        <w:pStyle w:val="BookText"/>
        <w:rPr/>
      </w:pPr>
      <w:r>
        <w:rPr>
          <w:rFonts w:ascii="Amiri" w:hAnsi="Amiri" w:eastAsia="Amiri" w:cs="Amiri"/>
          <w:color w:val="111111"/>
          <w:sz w:val="28"/>
          <w:sz w:val="28"/>
          <w:szCs w:val="28"/>
          <w:rtl w:val="true"/>
          <w:lang w:bidi="ar-SA"/>
        </w:rPr>
        <w:t>لأنه لا يبيح رواية ما لم يسمع، فكأنه في قوة أجزت لك أن تكذب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الإجازة و الرواية بالإجازة مشروطتان بتصحيح الخبر من المخبر، بحيث يوجد في أصل صحيح مع بقية ما يعتبر فيها، لا الرواية عنه مطلقا، سواء عرف أم لا، فلا يتحقق الكذب</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حجة الظاهري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جواز التحديث فحجة المشهور، و إما على المنع من العمل فكونه كالمرسل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ضعفه ظاهر، بل هو تناقض، لاتحاد ملاك التحديث و العمل</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حجة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جواز العمل فالوثوق بالصدور، و إما على المنع من التحديث فحجة المانع، و هو كسابقه</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أشهر الأقوال أظهرها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عليه ففي ترجيح السماع عليها أو العكس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فالأشهر ترجيحه عليها مطلقا، لكون السماع أبعد عن الاشتباه من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المحققين تفضيل الإجازة على السماع مطلقا</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بل قيل إن الإجازة أقوى من السماع و القراءة معا، كما نص عليه صاحب مفتاح الكرامة في إجازته لمحمد بن علي بن آغا باقر المازندراني، و حكاه الميرزا النوري في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بن ميسرة المالكي أن الإجازة على وجهها خير من السماع الرديء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أحمد بن بقى بن مخلد و أبيه و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الطوفي</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255/4</w:t>
      </w:r>
      <w:r>
        <w:rPr>
          <w:rFonts w:ascii="Amiri" w:hAnsi="Amiri" w:eastAsia="Amiri" w:cs="Amiri"/>
          <w:color w:val="111111"/>
          <w:sz w:val="28"/>
          <w:sz w:val="28"/>
          <w:szCs w:val="28"/>
          <w:rtl w:val="true"/>
          <w:lang w:bidi="ar-SA"/>
        </w:rPr>
        <w:t>، 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التفصيل بين عصر السلف قبل جمع الكتب المعتبرة التي يعول عليها و يرجع إليها و بين عصر المتأخرين، ففي الأول السماع أرجح، لأن السلف كانوا يجمعون</w:t>
      </w:r>
      <w:bookmarkStart w:id="192" w:name="pg15042_154878"/>
    </w:p>
    <w:p>
      <w:pPr>
        <w:pStyle w:val="BookText"/>
        <w:rPr/>
      </w:pPr>
      <w:bookmarkEnd w:id="192"/>
      <w:r>
        <w:rPr>
          <w:rFonts w:ascii="Amiri" w:hAnsi="Amiri" w:eastAsia="Amiri" w:cs="Amiri"/>
          <w:color w:val="111111"/>
          <w:sz w:val="28"/>
          <w:sz w:val="28"/>
          <w:szCs w:val="28"/>
          <w:rtl w:val="true"/>
          <w:lang w:bidi="ar-SA"/>
        </w:rPr>
        <w:t xml:space="preserve">الحديث من صحف الناس و صدور الرجال فدعت الحاجة إلى السماع خوفا من التدليس و التلبيس، بخلاف ما بعد تدوينها، لأن فائدة الرواية حينئذ إنما هي اتصال سلسلة الإسناد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تبركا و تيمنا، و إلا فالحجة تقوم بما في الكتب و يعرف القوي منها و الضعيف من كتب الجرح و التعديل</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قوي متين</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هو القول الأول، ضرورة بعد السماع من الشيخ ثم القراءة عليه عن الاشتباه</w:t>
      </w:r>
      <w:r>
        <w:rPr>
          <w:rStyle w:val="FootnoteAnchor"/>
          <w:rtl w:val="true"/>
        </w:rPr>
        <w:footnoteReference w:id="347"/>
      </w:r>
      <w:r>
        <w:rPr>
          <w:rFonts w:ascii="Amiri" w:hAnsi="Amiri" w:eastAsia="Amiri" w:cs="Amiri"/>
          <w:color w:val="111111"/>
          <w:sz w:val="28"/>
          <w:sz w:val="28"/>
          <w:szCs w:val="28"/>
          <w:rtl w:val="true"/>
          <w:lang w:bidi="ar-SA"/>
        </w:rPr>
        <w:t>بما لا يوجد مثله في غير المقروء و المسموع منه كما هو ظاهر</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403373_2142443653"/>
      <w:bookmarkStart w:id="194" w:name="_Toc71"/>
      <w:bookmarkEnd w:id="193"/>
      <w:r>
        <w:rPr>
          <w:rtl w:val="true"/>
        </w:rPr>
        <w:t>الثاني</w:t>
      </w:r>
      <w:r>
        <w:rPr>
          <w:rtl w:val="true"/>
        </w:rPr>
        <w:t xml:space="preserve">: </w:t>
      </w:r>
      <w:r>
        <w:rPr>
          <w:rtl w:val="true"/>
        </w:rPr>
        <w:t>اقسام الإجازة</w:t>
      </w:r>
      <w:bookmarkEnd w:id="194"/>
    </w:p>
    <w:p>
      <w:pPr>
        <w:pStyle w:val="Heading6"/>
        <w:numPr>
          <w:ilvl w:val="5"/>
          <w:numId w:val="1"/>
        </w:numPr>
        <w:rPr/>
      </w:pPr>
      <w:bookmarkStart w:id="195" w:name="__RefHeading___Toc403375_2142443653"/>
      <w:bookmarkStart w:id="196" w:name="_Toc72"/>
      <w:bookmarkEnd w:id="195"/>
      <w:r>
        <w:rPr>
          <w:rtl w:val="true"/>
        </w:rPr>
        <w:t>اشارة</w:t>
      </w:r>
      <w:bookmarkEnd w:id="196"/>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تتصور على أقسام كثيرة، لأنها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الصريح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رواية الحديث الفلاني مثلا عني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الظاهر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أمنع من روايتك </w:t>
      </w:r>
    </w:p>
    <w:p>
      <w:pPr>
        <w:pStyle w:val="BookText"/>
        <w:rPr/>
      </w:pPr>
      <w:r>
        <w:rPr>
          <w:rFonts w:ascii="Amiri" w:hAnsi="Amiri" w:eastAsia="Amiri" w:cs="Amiri"/>
          <w:color w:val="111111"/>
          <w:sz w:val="28"/>
          <w:sz w:val="28"/>
          <w:szCs w:val="28"/>
          <w:rtl w:val="true"/>
          <w:lang w:bidi="ar-SA"/>
        </w:rPr>
        <w:t>الحديث الفلاني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المقدر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عند السؤال عنه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أجزتني أو أجزت فلانا أو أجزني أو أجزه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الخمسة، فإما أن يكون المجاز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العشرة فإما أن يكون المجاز معينا أو غير معين، فهذه عشرون 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العشرة المتأخرة فإما أن يكون غير المعين عاما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لكل من أراد أن يروي عني، أو داخلا تحت عنوان خاص صنفا كعلماء العرب، أو قيدا في العلم كعلماء الفقه، أو مكانا كعلماء بلدة كذا، فهذه أربعون صورة، و هي مع العشرة الاولى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التقادير فإما أن يكون متعلق الرواية المجاز فيها رواية أو روايات معينة أو كتب، ككتب فلان أو كتبه في كذا، أو جميع رواياته و مسموعاته عن فلان، أو عن كل أحد، أو جميع المصنفات، فهذه مائتان و خمسون 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الإجازة لمعدوم داخلا في العنوان لقلنا أنه على التقادير أما أن يكون المجاز موجودا أو معدوما فتبلغ الصور خمسمائة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تعارف بين أهل الدراية تقسيمها إلى أربعة أضرب أو </w:t>
      </w:r>
      <w:bookmarkStart w:id="197" w:name="pg15042_154880"/>
    </w:p>
    <w:p>
      <w:pPr>
        <w:pStyle w:val="BookText"/>
        <w:rPr/>
      </w:pPr>
      <w:bookmarkEnd w:id="197"/>
      <w:r>
        <w:rPr>
          <w:rFonts w:ascii="Amiri" w:hAnsi="Amiri" w:eastAsia="Amiri" w:cs="Amiri"/>
          <w:color w:val="111111"/>
          <w:sz w:val="28"/>
          <w:sz w:val="28"/>
          <w:szCs w:val="28"/>
          <w:rtl w:val="true"/>
          <w:lang w:bidi="ar-SA"/>
        </w:rPr>
        <w:t>سبعة</w:t>
      </w:r>
      <w:r>
        <w:rPr>
          <w:rStyle w:val="FootnoteAnchor"/>
          <w:rtl w:val="true"/>
        </w:rPr>
        <w:footnoteReference w:id="349"/>
      </w:r>
      <w:r>
        <w:rPr>
          <w:rFonts w:ascii="Amiri" w:hAnsi="Amiri" w:eastAsia="Amiri" w:cs="Amiri"/>
          <w:color w:val="111111"/>
          <w:sz w:val="28"/>
          <w:sz w:val="28"/>
          <w:szCs w:val="28"/>
          <w:rtl w:val="true"/>
          <w:lang w:bidi="ar-SA"/>
        </w:rPr>
        <w:t>أو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البداية أنها تتنوع أنواعا أربعة</w:t>
      </w:r>
      <w:r>
        <w:rPr>
          <w:rStyle w:val="FootnoteAnchor"/>
          <w:rtl w:val="true"/>
        </w:rPr>
        <w:footnoteReference w:id="350"/>
      </w:r>
      <w:r>
        <w:rPr>
          <w:rFonts w:ascii="Amiri" w:hAnsi="Amiri" w:eastAsia="Amiri" w:cs="Amiri"/>
          <w:color w:val="111111"/>
          <w:sz w:val="28"/>
          <w:sz w:val="28"/>
          <w:szCs w:val="28"/>
          <w:rtl w:val="true"/>
          <w:lang w:bidi="ar-SA"/>
        </w:rPr>
        <w:t>لأنها إما أن تتعلق بأمر معين لشخص معين أو عكسه، أو بأمر معين لغيره</w:t>
      </w:r>
      <w:r>
        <w:rPr>
          <w:rStyle w:val="FootnoteAnchor"/>
          <w:rtl w:val="true"/>
        </w:rPr>
        <w:footnoteReference w:id="351"/>
      </w:r>
      <w:r>
        <w:rPr>
          <w:rFonts w:ascii="Amiri" w:hAnsi="Amiri" w:eastAsia="Amiri" w:cs="Amiri"/>
          <w:color w:val="111111"/>
          <w:sz w:val="28"/>
          <w:sz w:val="28"/>
          <w:szCs w:val="28"/>
          <w:rtl w:val="true"/>
          <w:lang w:bidi="ar-SA"/>
        </w:rPr>
        <w:t>، و نحن نتعرض للتسعة فنقول</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403377_2142443653"/>
      <w:bookmarkStart w:id="199" w:name="_Toc73"/>
      <w:bookmarkEnd w:id="198"/>
      <w:r>
        <w:rPr>
          <w:rtl w:val="true"/>
        </w:rPr>
        <w:t>الضرب الاول</w:t>
      </w:r>
      <w:r>
        <w:rPr>
          <w:rtl w:val="true"/>
        </w:rPr>
        <w:t xml:space="preserve">: </w:t>
      </w:r>
      <w:r>
        <w:rPr>
          <w:rtl w:val="true"/>
        </w:rPr>
        <w:t>اجازه معين لمعين</w:t>
      </w:r>
      <w:bookmarkEnd w:id="199"/>
    </w:p>
    <w:p>
      <w:pPr>
        <w:pStyle w:val="BookText"/>
        <w:rPr/>
      </w:pPr>
      <w:r>
        <w:rPr>
          <w:rFonts w:ascii="IRNazanin" w:hAnsi="IRNazanin" w:eastAsia="IRNazanin"/>
          <w:color w:val="111111"/>
          <w:sz w:val="28"/>
          <w:sz w:val="28"/>
          <w:szCs w:val="28"/>
          <w:rtl w:val="true"/>
          <w:lang w:bidi="fa-IR"/>
        </w:rPr>
        <w:t>الضرب الأول</w:t>
      </w:r>
    </w:p>
    <w:p>
      <w:pPr>
        <w:pStyle w:val="BookText"/>
        <w:rPr/>
      </w:pPr>
      <w:r>
        <w:rPr>
          <w:rFonts w:ascii="Amiri" w:hAnsi="Amiri" w:eastAsia="Amiri" w:cs="Amiri"/>
          <w:color w:val="111111"/>
          <w:sz w:val="28"/>
          <w:sz w:val="28"/>
          <w:szCs w:val="28"/>
          <w:rtl w:val="true"/>
          <w:lang w:bidi="ar-SA"/>
        </w:rPr>
        <w:t>أن يجيز معينا لمعين</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يجيز لمعين في معين،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كأجزتك أو أجزتكم أو أجزت فلانا الكتاب الفلاني، أو ما اشتمل عليه فهرستي هذا، أو كتابي هذا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الضرب أعلى أضرب الإجازة لانضباطها بالتعيين</w:t>
      </w:r>
      <w:r>
        <w:rPr>
          <w:rStyle w:val="FootnoteAnchor"/>
          <w:rtl w:val="true"/>
        </w:rPr>
        <w:footnoteReference w:id="353"/>
      </w:r>
      <w:r>
        <w:rPr>
          <w:rFonts w:ascii="Amiri" w:hAnsi="Amiri" w:eastAsia="Amiri" w:cs="Amiri"/>
          <w:color w:val="111111"/>
          <w:sz w:val="28"/>
          <w:sz w:val="28"/>
          <w:szCs w:val="28"/>
          <w:rtl w:val="true"/>
          <w:lang w:bidi="ar-SA"/>
        </w:rPr>
        <w:t>، حتى زعم بعضهم أنه لا خلاف في جوازها و إنما الخلاف في غير هذا النوع</w:t>
      </w:r>
      <w:r>
        <w:rPr>
          <w:rStyle w:val="FootnoteAnchor"/>
          <w:rtl w:val="true"/>
        </w:rPr>
        <w:footnoteReference w:id="354"/>
      </w:r>
      <w:r>
        <w:rPr>
          <w:rFonts w:ascii="Amiri" w:hAnsi="Amiri" w:eastAsia="Amiri" w:cs="Amiri"/>
          <w:color w:val="111111"/>
          <w:sz w:val="28"/>
          <w:sz w:val="28"/>
          <w:szCs w:val="28"/>
          <w:rtl w:val="true"/>
          <w:lang w:bidi="ar-SA"/>
        </w:rPr>
        <w:t xml:space="preserve">، و ادعى أبو الوليد </w:t>
      </w:r>
      <w:bookmarkStart w:id="200" w:name="pg15042_154881"/>
    </w:p>
    <w:p>
      <w:pPr>
        <w:pStyle w:val="BookText"/>
        <w:rPr/>
      </w:pPr>
      <w:bookmarkEnd w:id="200"/>
      <w:r>
        <w:rPr>
          <w:rFonts w:ascii="Amiri" w:hAnsi="Amiri" w:eastAsia="Amiri" w:cs="Amiri"/>
          <w:color w:val="111111"/>
          <w:sz w:val="28"/>
          <w:sz w:val="28"/>
          <w:szCs w:val="28"/>
          <w:rtl w:val="true"/>
          <w:lang w:bidi="ar-SA"/>
        </w:rPr>
        <w:t>الباجي</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عياض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496/1</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أنباء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363/2</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مصادر و كذا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على جواز الرواية و العمل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كان فيه تعميم بعض المخالفين المنع لهذا الضرب أيضا، كما لا يخفى على من راجع كلماتهم</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403379_2142443653"/>
      <w:bookmarkStart w:id="202" w:name="_Toc74"/>
      <w:bookmarkEnd w:id="201"/>
      <w:r>
        <w:rPr>
          <w:rtl w:val="true"/>
        </w:rPr>
        <w:t>الضرب الثاني</w:t>
      </w:r>
      <w:r>
        <w:rPr>
          <w:rtl w:val="true"/>
        </w:rPr>
        <w:t xml:space="preserve">: </w:t>
      </w:r>
      <w:r>
        <w:rPr>
          <w:rtl w:val="true"/>
        </w:rPr>
        <w:t>اجازه معين بغير معين</w:t>
      </w:r>
      <w:bookmarkEnd w:id="202"/>
    </w:p>
    <w:p>
      <w:pPr>
        <w:pStyle w:val="BookText"/>
        <w:rPr/>
      </w:pPr>
      <w:r>
        <w:rPr>
          <w:rFonts w:ascii="Amiri" w:hAnsi="Amiri" w:eastAsia="Amiri" w:cs="Amiri"/>
          <w:color w:val="111111"/>
          <w:sz w:val="28"/>
          <w:sz w:val="28"/>
          <w:szCs w:val="28"/>
          <w:rtl w:val="true"/>
          <w:lang w:bidi="ar-SA"/>
        </w:rPr>
        <w:t>الضرب الثاني</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يجيز لمعين بغير معين</w:t>
      </w:r>
      <w:r>
        <w:rPr>
          <w:rStyle w:val="FootnoteAnchor"/>
          <w:rtl w:val="true"/>
        </w:rPr>
        <w:footnoteReference w:id="356"/>
      </w:r>
      <w:r>
        <w:rPr>
          <w:rFonts w:ascii="Amiri" w:hAnsi="Amiri" w:eastAsia="Amiri" w:cs="Amiri"/>
          <w:color w:val="111111"/>
          <w:sz w:val="28"/>
          <w:sz w:val="28"/>
          <w:szCs w:val="28"/>
          <w:rtl w:val="true"/>
          <w:lang w:bidi="ar-SA"/>
        </w:rPr>
        <w:t>، كقوله أجزتك</w:t>
      </w:r>
      <w:r>
        <w:rPr>
          <w:rStyle w:val="FootnoteAnchor"/>
          <w:rtl w:val="true"/>
        </w:rPr>
        <w:footnoteReference w:id="357"/>
      </w:r>
      <w:r>
        <w:rPr>
          <w:rFonts w:ascii="Amiri" w:hAnsi="Amiri" w:eastAsia="Amiri" w:cs="Amiri"/>
          <w:color w:val="111111"/>
          <w:sz w:val="28"/>
          <w:sz w:val="28"/>
          <w:szCs w:val="28"/>
          <w:rtl w:val="true"/>
          <w:lang w:bidi="ar-SA"/>
        </w:rPr>
        <w:t xml:space="preserve">جميع </w:t>
      </w:r>
      <w:bookmarkStart w:id="203" w:name="pg15042_154882"/>
    </w:p>
    <w:p>
      <w:pPr>
        <w:pStyle w:val="BookText"/>
        <w:rPr/>
      </w:pPr>
      <w:bookmarkEnd w:id="203"/>
      <w:r>
        <w:rPr>
          <w:rFonts w:ascii="Amiri" w:hAnsi="Amiri" w:eastAsia="Amiri" w:cs="Amiri"/>
          <w:color w:val="111111"/>
          <w:sz w:val="28"/>
          <w:sz w:val="28"/>
          <w:szCs w:val="28"/>
          <w:rtl w:val="true"/>
          <w:lang w:bidi="ar-SA"/>
        </w:rPr>
        <w:t>مسموعاتي أو مروياتي و 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الخلاف في جواز هذا الضرب أقوى و أكثر من الضرب الأول من حيث عدم انضباط المجاز، فيبعد الإذن الإجمالي المسوغ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الجمهور من الطوائف جوزوا الرواية بها، و أوجبوا العمل بما روى بها بشرطه</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قيدت بوصف خاص كمسموعاتي من فلان أو في بلد كذا إذا كانت متميزة فأولى بالجواز</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4" w:name="__RefHeading___Toc403381_2142443653"/>
      <w:bookmarkStart w:id="205" w:name="_Toc75"/>
      <w:bookmarkEnd w:id="204"/>
      <w:r>
        <w:rPr>
          <w:rtl w:val="true"/>
        </w:rPr>
        <w:t>الضرب الثالث</w:t>
      </w:r>
      <w:r>
        <w:rPr>
          <w:rtl w:val="true"/>
        </w:rPr>
        <w:t xml:space="preserve">: </w:t>
      </w:r>
      <w:r>
        <w:rPr>
          <w:rtl w:val="true"/>
        </w:rPr>
        <w:t>اجازه لغير معين</w:t>
      </w:r>
      <w:bookmarkEnd w:id="205"/>
    </w:p>
    <w:p>
      <w:pPr>
        <w:pStyle w:val="BookText"/>
        <w:rPr/>
      </w:pPr>
      <w:r>
        <w:rPr>
          <w:rFonts w:ascii="IRNazanin" w:hAnsi="IRNazanin" w:eastAsia="IRNazanin"/>
          <w:color w:val="111111"/>
          <w:sz w:val="28"/>
          <w:sz w:val="28"/>
          <w:szCs w:val="28"/>
          <w:rtl w:val="true"/>
          <w:lang w:bidi="fa-IR"/>
        </w:rPr>
        <w:t>الضرب الثالث</w:t>
      </w:r>
    </w:p>
    <w:p>
      <w:pPr>
        <w:pStyle w:val="BookText"/>
        <w:rPr/>
      </w:pPr>
      <w:r>
        <w:rPr>
          <w:rFonts w:ascii="Amiri" w:hAnsi="Amiri" w:eastAsia="Amiri" w:cs="Amiri"/>
          <w:color w:val="111111"/>
          <w:sz w:val="28"/>
          <w:sz w:val="28"/>
          <w:szCs w:val="28"/>
          <w:rtl w:val="true"/>
          <w:lang w:bidi="ar-SA"/>
        </w:rPr>
        <w:t>أن يجيز لغير معين</w:t>
      </w:r>
      <w:r>
        <w:rPr>
          <w:rStyle w:val="FootnoteAnchor"/>
          <w:rtl w:val="true"/>
        </w:rPr>
        <w:footnoteReference w:id="360"/>
      </w:r>
      <w:r>
        <w:rPr>
          <w:rFonts w:ascii="Amiri" w:hAnsi="Amiri" w:eastAsia="Amiri" w:cs="Amiri"/>
          <w:color w:val="111111"/>
          <w:sz w:val="28"/>
          <w:sz w:val="28"/>
          <w:szCs w:val="28"/>
          <w:rtl w:val="true"/>
          <w:lang w:bidi="ar-SA"/>
        </w:rPr>
        <w:t>كجميع المسلمين أو كل واحد أو من أدرك زماني و ما أشبه ذلك، سواء كان بمعين كالكتاب الفلاني، أو بغير معين كما</w:t>
      </w:r>
      <w:r>
        <w:rPr>
          <w:rStyle w:val="FootnoteAnchor"/>
          <w:rtl w:val="true"/>
        </w:rPr>
        <w:footnoteReference w:id="361"/>
      </w:r>
      <w:r>
        <w:rPr>
          <w:rFonts w:ascii="Amiri" w:hAnsi="Amiri" w:eastAsia="Amiri" w:cs="Amiri"/>
          <w:color w:val="111111"/>
          <w:sz w:val="28"/>
          <w:sz w:val="28"/>
          <w:szCs w:val="28"/>
          <w:rtl w:val="true"/>
          <w:lang w:bidi="ar-SA"/>
        </w:rPr>
        <w:t>يجوز لي روايته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خلاف مرتب في القوة بحسب المرتبتين، فجوّزه على التقديرين جمع من الفقهاء و المحدثين كالقاضي أبي الطيب الطبري</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321/3</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الخطيب البغدادي و أبي عبد اللّه بن</w:t>
      </w:r>
    </w:p>
    <w:p>
      <w:pPr>
        <w:pStyle w:val="BookText"/>
        <w:rPr/>
      </w:pPr>
      <w:r>
        <w:rPr>
          <w:rFonts w:ascii="Amiri" w:hAnsi="Amiri" w:eastAsia="Amiri" w:cs="Amiri"/>
          <w:color w:val="111111"/>
          <w:sz w:val="28"/>
          <w:sz w:val="28"/>
          <w:szCs w:val="28"/>
          <w:rtl w:val="true"/>
          <w:lang w:bidi="ar-SA"/>
        </w:rPr>
        <w:t>مندة</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230/3</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عتاب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العلاء الحسن بن أحمد العطار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389/3</w:t>
      </w:r>
      <w:r>
        <w:rPr>
          <w:rFonts w:ascii="Amiri" w:hAnsi="Amiri" w:eastAsia="Amiri" w:cs="Amiri"/>
          <w:color w:val="111111"/>
          <w:sz w:val="28"/>
          <w:sz w:val="28"/>
          <w:szCs w:val="28"/>
          <w:rtl w:val="true"/>
          <w:lang w:bidi="ar-SA"/>
        </w:rPr>
        <w:t>، بغية الوعاة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مصادر و كذا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أصحابنا حيث طلب من شيخه السيد تاج الدين ابن معية الإجازة له</w:t>
      </w:r>
      <w:bookmarkStart w:id="206" w:name="pg15042_154884"/>
    </w:p>
    <w:p>
      <w:pPr>
        <w:pStyle w:val="BookText"/>
        <w:rPr/>
      </w:pPr>
      <w:bookmarkEnd w:id="206"/>
      <w:r>
        <w:rPr>
          <w:rFonts w:ascii="Amiri" w:hAnsi="Amiri" w:eastAsia="Amiri" w:cs="Amiri"/>
          <w:color w:val="111111"/>
          <w:sz w:val="28"/>
          <w:sz w:val="28"/>
          <w:szCs w:val="28"/>
          <w:rtl w:val="true"/>
          <w:lang w:bidi="ar-SA"/>
        </w:rPr>
        <w:t>و لأولاده و لجميع المسلمين ممن أدرك جزء من حياته جميع مروياته، فأجازهم ذلك بخطه</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منعه آخرون</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 بعض المانعين جوّز ذلك فيما إذا قيده بوصف خاص</w:t>
      </w:r>
      <w:r>
        <w:rPr>
          <w:rStyle w:val="FootnoteAnchor"/>
          <w:rtl w:val="true"/>
        </w:rPr>
        <w:footnoteReference w:id="366"/>
      </w:r>
      <w:r>
        <w:rPr>
          <w:rFonts w:ascii="Amiri" w:hAnsi="Amiri" w:eastAsia="Amiri" w:cs="Amiri"/>
          <w:color w:val="111111"/>
          <w:sz w:val="28"/>
          <w:sz w:val="28"/>
          <w:szCs w:val="28"/>
          <w:rtl w:val="true"/>
          <w:lang w:bidi="ar-SA"/>
        </w:rPr>
        <w:t>كأجزت طلبة العلم ببلد كذا، أو من قرأ عليّ قبل هذا، بل عن القاضي عياض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أظنهم اختلفوا في جواز ذلك، و لا رأيت منعه لأحد، لأنه محصور موصوف كقوله لأولاد فلان أو إخوة فلان</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7" w:name="__RefHeading___Toc403383_2142443653"/>
      <w:bookmarkStart w:id="208" w:name="_Toc76"/>
      <w:bookmarkEnd w:id="207"/>
      <w:r>
        <w:rPr>
          <w:rtl w:val="true"/>
        </w:rPr>
        <w:t>الضرب الرابع</w:t>
      </w:r>
      <w:r>
        <w:rPr>
          <w:rtl w:val="true"/>
        </w:rPr>
        <w:t xml:space="preserve">: </w:t>
      </w:r>
      <w:r>
        <w:rPr>
          <w:rtl w:val="true"/>
        </w:rPr>
        <w:t>إن يكون المجاز أو المجاز فيه مجهولا</w:t>
      </w:r>
      <w:bookmarkEnd w:id="208"/>
    </w:p>
    <w:p>
      <w:pPr>
        <w:pStyle w:val="BookText"/>
        <w:rPr/>
      </w:pPr>
      <w:r>
        <w:rPr>
          <w:rFonts w:ascii="IRNazanin" w:hAnsi="IRNazanin" w:eastAsia="IRNazanin"/>
          <w:color w:val="111111"/>
          <w:sz w:val="28"/>
          <w:sz w:val="28"/>
          <w:szCs w:val="28"/>
          <w:rtl w:val="true"/>
          <w:lang w:bidi="fa-IR"/>
        </w:rPr>
        <w:t>الضرب الرابع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يكون المجاز أو المجاز فيه مجهولا، كأن يجيز الشخص المعين بمروي مجهول ككتاب كذا و للمجيز مرويات كثيرة بذلك الاسم، أو يجيز لشخص مجهول بمعين من الكتب </w:t>
      </w:r>
      <w:bookmarkStart w:id="209" w:name="pg15042_154885"/>
    </w:p>
    <w:p>
      <w:pPr>
        <w:pStyle w:val="BookText"/>
        <w:rPr/>
      </w:pPr>
      <w:bookmarkEnd w:id="209"/>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لمحمد بن خالد بكتاب كذا، و هناك جماعة مشتركون في ذلك الاسم و لا يعين المجاز 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صرح ببطلان هذا الضرب جمع</w:t>
      </w:r>
      <w:r>
        <w:rPr>
          <w:rStyle w:val="FootnoteAnchor"/>
          <w:rtl w:val="true"/>
        </w:rPr>
        <w:footnoteReference w:id="368"/>
      </w:r>
      <w:r>
        <w:rPr>
          <w:rFonts w:ascii="Amiri" w:hAnsi="Amiri" w:eastAsia="Amiri" w:cs="Amiri"/>
          <w:color w:val="111111"/>
          <w:sz w:val="28"/>
          <w:sz w:val="28"/>
          <w:szCs w:val="28"/>
          <w:rtl w:val="true"/>
          <w:lang w:bidi="ar-SA"/>
        </w:rPr>
        <w:t>للجهالة</w:t>
      </w:r>
      <w:r>
        <w:rPr>
          <w:rStyle w:val="FootnoteAnchor"/>
          <w:rtl w:val="true"/>
        </w:rPr>
        <w:footnoteReference w:id="369"/>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ليست من هذا القبيل اجازته لجماعة مسمين معينين بأنسابهم و المجيز لا يعرف أعيانهم، فإنه غير قادح، كما لا يقدح جهله بهم إذا حضروا في السماع منه، لحصول العلم في الجملة و تميزهم في أنفسهم</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نعم لو أجاز رجلا يعرفه باسمه أو بوجهه، أو جماعة كذلك جاز و إن لم يعرفهم بأعيانهم، كما لا يشترط معرفة المسمع عين السامع الذي سمع منه، كما مرّ في المصادر السالفة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403385_2142443653"/>
      <w:bookmarkStart w:id="211" w:name="_Toc77"/>
      <w:bookmarkEnd w:id="210"/>
      <w:r>
        <w:rPr>
          <w:rtl w:val="true"/>
        </w:rPr>
        <w:t>الضرب الخامس</w:t>
      </w:r>
      <w:r>
        <w:rPr>
          <w:rtl w:val="true"/>
        </w:rPr>
        <w:t xml:space="preserve">: </w:t>
      </w:r>
      <w:r>
        <w:rPr>
          <w:rtl w:val="true"/>
        </w:rPr>
        <w:t>تعليق الاجازة على الشرط</w:t>
      </w:r>
      <w:bookmarkEnd w:id="211"/>
    </w:p>
    <w:p>
      <w:pPr>
        <w:pStyle w:val="BookText"/>
        <w:rPr/>
      </w:pPr>
      <w:r>
        <w:rPr>
          <w:rFonts w:ascii="IRNazanin" w:hAnsi="IRNazanin" w:eastAsia="IRNazanin"/>
          <w:color w:val="111111"/>
          <w:sz w:val="28"/>
          <w:sz w:val="28"/>
          <w:szCs w:val="28"/>
          <w:rtl w:val="true"/>
          <w:lang w:bidi="fa-IR"/>
        </w:rPr>
        <w:t>الضرب الخامس</w:t>
      </w:r>
      <w:r>
        <w:rPr>
          <w:rStyle w:val="FootnoteAnchor"/>
          <w:rtl w:val="true"/>
        </w:rPr>
        <w:footnoteReference w:id="3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تعليق الإجازة على الشرط</w:t>
      </w:r>
      <w:r>
        <w:rPr>
          <w:rStyle w:val="FootnoteAnchor"/>
          <w:rtl w:val="true"/>
        </w:rPr>
        <w:footnoteReference w:id="372"/>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لمن شاء </w:t>
      </w:r>
    </w:p>
    <w:p>
      <w:pPr>
        <w:pStyle w:val="BookText"/>
        <w:rPr/>
      </w:pPr>
      <w:r>
        <w:rPr>
          <w:rFonts w:ascii="Amiri" w:hAnsi="Amiri" w:eastAsia="Amiri" w:cs="Amiri"/>
          <w:color w:val="111111"/>
          <w:sz w:val="28"/>
          <w:sz w:val="28"/>
          <w:szCs w:val="28"/>
          <w:rtl w:val="true"/>
          <w:lang w:bidi="ar-SA"/>
        </w:rPr>
        <w:t>فلان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 في بطلانها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بالبطلان القاضي أبو الطيب الشافعي</w:t>
      </w:r>
      <w:r>
        <w:rPr>
          <w:rStyle w:val="FootnoteAnchor"/>
          <w:rtl w:val="true"/>
        </w:rPr>
        <w:footnoteReference w:id="373"/>
      </w:r>
      <w:r>
        <w:rPr>
          <w:rFonts w:ascii="Amiri" w:hAnsi="Amiri" w:eastAsia="Amiri" w:cs="Amiri"/>
          <w:color w:val="111111"/>
          <w:sz w:val="28"/>
          <w:sz w:val="28"/>
          <w:szCs w:val="28"/>
          <w:rtl w:val="true"/>
          <w:lang w:bidi="ar-SA"/>
        </w:rPr>
        <w:t>للجهالة و التعليق قياسا على الوكالة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لبعض الناس</w:t>
      </w:r>
      <w:r>
        <w:rPr>
          <w:rStyle w:val="FootnoteAnchor"/>
          <w:rtl w:val="true"/>
        </w:rPr>
        <w:footnoteReference w:id="374"/>
      </w:r>
      <w:r>
        <w:rPr>
          <w:rFonts w:ascii="Amiri" w:hAnsi="Amiri" w:eastAsia="Amiri" w:cs="Amiri"/>
          <w:color w:val="111111"/>
          <w:sz w:val="28"/>
          <w:sz w:val="28"/>
          <w:szCs w:val="28"/>
          <w:rtl w:val="true"/>
          <w:lang w:bidi="ar-SA"/>
        </w:rPr>
        <w:t>، و صححها أبو يعلى بن الفراء الحنبلي</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251/7</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أبو الفضل محمد بن عبيد اللّه بن عمروس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المالكي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لارتفاع الجهالة عند وجود المشيئة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يتعيّن المجاز</w:t>
      </w:r>
    </w:p>
    <w:p>
      <w:pPr>
        <w:pStyle w:val="BookText"/>
        <w:rPr/>
      </w:pPr>
      <w:r>
        <w:rPr>
          <w:rFonts w:ascii="Amiri" w:hAnsi="Amiri" w:eastAsia="Amiri" w:cs="Amiri"/>
          <w:color w:val="111111"/>
          <w:sz w:val="28"/>
          <w:sz w:val="28"/>
          <w:szCs w:val="28"/>
          <w:rtl w:val="true"/>
          <w:lang w:bidi="ar-SA"/>
        </w:rPr>
        <w:t xml:space="preserve">له عندها بخلاف الجهالة الواقعة في الإجازة لبعض الناس، مضافا إلى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زيدا على غزوة موتة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 زيد فجعفرا، و إن قتل جعفر فابن رواحة</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القياس على الوكالة فاسد للفرق بينهما بأن الوكيل ينعزل بعزل الموكّل له بخلاف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لمن شاء الإجازة أو الرّواية</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 xml:space="preserve">و ناقش فيه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ذيل مقدمة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في التفريق الا بما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لفلان إن شاء أو لك إن شئت، فقد صرّح جمع 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 بصحّتها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لأنّها و إن كانت</w:t>
      </w:r>
      <w:bookmarkStart w:id="212" w:name="pg15042_154888"/>
    </w:p>
    <w:p>
      <w:pPr>
        <w:pStyle w:val="BookText"/>
        <w:rPr/>
      </w:pPr>
      <w:bookmarkEnd w:id="212"/>
      <w:r>
        <w:rPr>
          <w:rFonts w:ascii="Amiri" w:hAnsi="Amiri" w:eastAsia="Amiri" w:cs="Amiri"/>
          <w:color w:val="111111"/>
          <w:sz w:val="28"/>
          <w:sz w:val="28"/>
          <w:szCs w:val="28"/>
          <w:rtl w:val="true"/>
          <w:lang w:bidi="ar-SA"/>
        </w:rPr>
        <w:t xml:space="preserve">معلّقة إلاّ أنّها في قوّة المطلقة، لأنّ مقتضى كلّ اجازة تفويض الرواية بها إلى مشيئة المجاز له، 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بصفة التعليق في قوة ما يقتضيه الإطلاق و حكاية الحال لا تعليقا حقيقة، حتى أجاز بعض الفقهاء بعتك إن شئت إذا لحقه القبول</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أما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لفلان كذا و كذا إن شاء روايته عني أو لك إن شئت أو أحببت أو أردت فالأظهر الأقوى أن ذلك جائز، إذ قد انتفت فيه الجهالة و حقيقة التعليق و لم يبق فيه سوى صيغته،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403387_2142443653"/>
      <w:bookmarkStart w:id="214" w:name="_Toc78"/>
      <w:bookmarkEnd w:id="213"/>
      <w:r>
        <w:rPr>
          <w:rtl w:val="true"/>
        </w:rPr>
        <w:t>الضرب السادس</w:t>
      </w:r>
      <w:r>
        <w:rPr>
          <w:rtl w:val="true"/>
        </w:rPr>
        <w:t xml:space="preserve">: </w:t>
      </w:r>
      <w:r>
        <w:rPr>
          <w:rtl w:val="true"/>
        </w:rPr>
        <w:t>الاجازة للمعدوم</w:t>
      </w:r>
      <w:bookmarkEnd w:id="214"/>
    </w:p>
    <w:p>
      <w:pPr>
        <w:pStyle w:val="BookText"/>
        <w:rPr/>
      </w:pPr>
      <w:r>
        <w:rPr>
          <w:rFonts w:ascii="IRNazanin" w:hAnsi="IRNazanin" w:eastAsia="IRNazanin"/>
          <w:color w:val="111111"/>
          <w:sz w:val="28"/>
          <w:sz w:val="28"/>
          <w:szCs w:val="28"/>
          <w:rtl w:val="true"/>
          <w:lang w:bidi="fa-IR"/>
        </w:rPr>
        <w:t>الضرب السادس</w:t>
      </w:r>
    </w:p>
    <w:p>
      <w:pPr>
        <w:pStyle w:val="BookText"/>
        <w:rPr/>
      </w:pPr>
      <w:r>
        <w:rPr>
          <w:rFonts w:ascii="Amiri" w:hAnsi="Amiri" w:eastAsia="Amiri" w:cs="Amiri"/>
          <w:color w:val="111111"/>
          <w:sz w:val="28"/>
          <w:sz w:val="28"/>
          <w:szCs w:val="28"/>
          <w:rtl w:val="true"/>
          <w:lang w:bidi="ar-SA"/>
        </w:rPr>
        <w:t>الإجازة للمعدوم،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لمن يولد لفلان</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جوزها الخطيب البغدادي و ألف فيها جزءا و حكى صحتها عن أبي الفراء الحنبلي و أبي عمروس المالكي، و نسبه القاضي عياض لمعظم الشيوخ، و منعها غيرهم، و صححها النووي في التقريب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لمعدوم تبعا لموجود، كأجزت لفلان و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لما خصص المجيز فيه المعدوم بالإذن و لم يعطفه على موجود سابق كأجزت لمن يولد لفلان فهو منقطع الأول، و هذا أوهى من الذي قبله، و ذاك أقرب إلى الجواز، و من هنا فصل البعض بينهما كالحافظ 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ضمّ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النوع الإجازة إلى الطفل الصغير الذي هو قسم من أقسام الضرب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جمعا صححوها للأصل، و لأنها اذن لا محادثة فتشمل المعدوم، و آخرون أبطلوها قياسا على الوقف على المعدوم</w:t>
      </w:r>
    </w:p>
    <w:p>
      <w:pPr>
        <w:pStyle w:val="BookText"/>
        <w:rPr/>
      </w:pPr>
      <w:r>
        <w:rPr>
          <w:rFonts w:ascii="Amiri" w:hAnsi="Amiri" w:eastAsia="Amiri" w:cs="Amiri"/>
          <w:color w:val="111111"/>
          <w:sz w:val="28"/>
          <w:sz w:val="28"/>
          <w:szCs w:val="28"/>
          <w:rtl w:val="true"/>
          <w:lang w:bidi="ar-SA"/>
        </w:rPr>
        <w:t>ابتداء، و هو كما ترى</w:t>
      </w:r>
      <w:r>
        <w:rPr>
          <w:rStyle w:val="FootnoteAnchor"/>
          <w:rtl w:val="true"/>
        </w:rPr>
        <w:footnoteReference w:id="380"/>
      </w:r>
      <w:r>
        <w:rPr>
          <w:rFonts w:ascii="Amiri" w:hAnsi="Amiri" w:eastAsia="Amiri" w:cs="Amiri"/>
          <w:color w:val="111111"/>
          <w:sz w:val="28"/>
          <w:sz w:val="28"/>
          <w:szCs w:val="28"/>
          <w:rtl w:val="true"/>
          <w:lang w:bidi="ar-SA"/>
        </w:rPr>
        <w:t>، فالأولى الاستدلال للبطلان بما في البداية من أنها لا تخرج عن الاخبار بطريق الجملة كما سلف، و هو لا يعقل للمعدوم ابتداء، و لو سلم كونها اذنا فهي لا تصح للمعدوم كذلك، كما لا تصح الوكالة للمعدوم</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التفصيل بين القولين و عدّها اثنين كما صنعنا كي تفرز الأقوال و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أكثر المانعين صرحوا بالجواز و الصحة فيما إذا ضم المعدوم إلى الموجود، كما إذا قال أجزت لك و لعقبك و من يولد لك كما يصح الوقف على المعدوم بضميمة الموجود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 في كون الحمل من الموجود أو المعدوم وجهان بل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استند في المنع من الإجازة للمعدوم إلى قياسها على الوقف صحح الإجازة للحمل لصحة الوقف عليه</w:t>
      </w:r>
      <w:r>
        <w:rPr>
          <w:rStyle w:val="FootnoteAnchor"/>
          <w:rtl w:val="true"/>
        </w:rPr>
        <w:footnoteReference w:id="382"/>
      </w:r>
      <w:r>
        <w:rPr>
          <w:rFonts w:ascii="Amiri" w:hAnsi="Amiri" w:eastAsia="Amiri" w:cs="Amiri"/>
          <w:color w:val="111111"/>
          <w:sz w:val="28"/>
          <w:sz w:val="28"/>
          <w:szCs w:val="28"/>
          <w:rtl w:val="true"/>
          <w:lang w:bidi="ar-SA"/>
        </w:rPr>
        <w:t>، و من استند في ذلك إلى عدم خروج الإجازة عن الاخبار بطريق الجملة و عدم تعقل ذلك بالنسبة إلى المعدوم ابتداء منع من الإجازة للحمل، و عن الخطيب بناء الخلاف في الحمل على أن الحمل هل يعلم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الإجازة له،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كانت كالإجازة للمعدوم</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الفضل الهاشمي</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برقم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و لم اقع له على ترجمة اخرى في المصادر التي بين أيدنيا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الجواز فيما بعد نفخ الروح أولى، و أنها قبل نفخ الروح مرتبة متوسطة بينها و بين الإجازة للمعدوم فهو أولى بالمنع من الاولى، و بالجواز من الثانية</w:t>
      </w:r>
      <w:r>
        <w:rPr>
          <w:rFonts w:eastAsia="Amiri" w:cs="Amiri" w:ascii="Amiri" w:hAnsi="Amiri"/>
          <w:color w:val="111111"/>
          <w:sz w:val="28"/>
          <w:szCs w:val="28"/>
          <w:rtl w:val="true"/>
          <w:lang w:bidi="ar-SA"/>
        </w:rPr>
        <w:t>.</w:t>
      </w:r>
      <w:bookmarkStart w:id="215" w:name="pg15042_154891"/>
    </w:p>
    <w:p>
      <w:pPr>
        <w:pStyle w:val="Heading6"/>
        <w:numPr>
          <w:ilvl w:val="5"/>
          <w:numId w:val="1"/>
        </w:numPr>
        <w:rPr/>
      </w:pPr>
      <w:bookmarkStart w:id="216" w:name="__RefHeading___Toc403389_2142443653"/>
      <w:bookmarkStart w:id="217" w:name="_Toc79"/>
      <w:bookmarkEnd w:id="215"/>
      <w:bookmarkEnd w:id="216"/>
      <w:r>
        <w:rPr>
          <w:rtl w:val="true"/>
        </w:rPr>
        <w:t>الضرب السابع</w:t>
      </w:r>
      <w:r>
        <w:rPr>
          <w:rtl w:val="true"/>
        </w:rPr>
        <w:t xml:space="preserve">: </w:t>
      </w:r>
      <w:r>
        <w:rPr>
          <w:rtl w:val="true"/>
        </w:rPr>
        <w:t>الاجازة لموجود فاقد لأحد شروط اداء الرواية</w:t>
      </w:r>
      <w:bookmarkEnd w:id="217"/>
    </w:p>
    <w:p>
      <w:pPr>
        <w:pStyle w:val="BookText"/>
        <w:rPr/>
      </w:pPr>
      <w:r>
        <w:rPr>
          <w:rFonts w:ascii="IRNazanin" w:hAnsi="IRNazanin" w:eastAsia="IRNazanin"/>
          <w:color w:val="111111"/>
          <w:sz w:val="28"/>
          <w:sz w:val="28"/>
          <w:szCs w:val="28"/>
          <w:rtl w:val="true"/>
          <w:lang w:bidi="fa-IR"/>
        </w:rPr>
        <w:t>الضرب السابع</w:t>
      </w:r>
    </w:p>
    <w:p>
      <w:pPr>
        <w:pStyle w:val="BookText"/>
        <w:rPr/>
      </w:pPr>
      <w:r>
        <w:rPr>
          <w:rFonts w:ascii="Amiri" w:hAnsi="Amiri" w:eastAsia="Amiri" w:cs="Amiri"/>
          <w:color w:val="111111"/>
          <w:sz w:val="28"/>
          <w:sz w:val="28"/>
          <w:szCs w:val="28"/>
          <w:rtl w:val="true"/>
          <w:lang w:bidi="ar-SA"/>
        </w:rPr>
        <w:t>الإجازة لموجود فاقد لأحد شروط اداء الرواية كالطفل و المجنون و الكافر و الفاسق و المبتدع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الطفل المميز فلا خلاف في صحة الإجازة له و كذا المجنون و الطفل الغير المميز على ما صرح به جمع</w:t>
      </w:r>
      <w:r>
        <w:rPr>
          <w:rStyle w:val="FootnoteAnchor"/>
          <w:rtl w:val="true"/>
        </w:rPr>
        <w:footnoteReference w:id="385"/>
      </w:r>
      <w:r>
        <w:rPr>
          <w:rFonts w:ascii="Amiri" w:hAnsi="Amiri" w:eastAsia="Amiri" w:cs="Amiri"/>
          <w:color w:val="111111"/>
          <w:sz w:val="28"/>
          <w:sz w:val="28"/>
          <w:szCs w:val="28"/>
          <w:rtl w:val="true"/>
          <w:lang w:bidi="ar-SA"/>
        </w:rPr>
        <w:t>منهم ثاني الشهيدين في البداية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تصح لغير مميز من المجانين و الأطفال بعد انفصالهم بغير خلاف ينقل في ذلك، و قد رأيت خطوط جماعة </w:t>
      </w:r>
    </w:p>
    <w:p>
      <w:pPr>
        <w:pStyle w:val="BookText"/>
        <w:rPr/>
      </w:pPr>
      <w:r>
        <w:rPr>
          <w:rFonts w:ascii="Amiri" w:hAnsi="Amiri" w:eastAsia="Amiri" w:cs="Amiri"/>
          <w:color w:val="111111"/>
          <w:sz w:val="28"/>
          <w:sz w:val="28"/>
          <w:szCs w:val="28"/>
          <w:rtl w:val="true"/>
          <w:lang w:bidi="ar-SA"/>
        </w:rPr>
        <w:t xml:space="preserve">من فضلائنا بالإجازة لأبنائهم عند ولادتهم مع تاريخ ولادتهم منهم السيد جمال الدين بن طاوس لولده غياث الدين، و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استجاز من أكثر مشايخه بالعراق لأولاده الذين ولدوا بالشام قريبا من ولادتهم، و عندي الآن خطوطهم لهم بالإجازة، و ذكر الشيخ جمال الدين أحمد بن صالح الشبتي</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فخار</w:t>
      </w:r>
      <w:r>
        <w:rPr>
          <w:rStyle w:val="FootnoteAnchor"/>
          <w:rtl w:val="true"/>
        </w:rPr>
        <w:footnoteReference w:id="387"/>
      </w:r>
      <w:r>
        <w:rPr>
          <w:rFonts w:ascii="Amiri" w:hAnsi="Amiri" w:eastAsia="Amiri" w:cs="Amiri"/>
          <w:color w:val="111111"/>
          <w:sz w:val="28"/>
          <w:sz w:val="28"/>
          <w:szCs w:val="28"/>
          <w:rtl w:val="true"/>
          <w:lang w:bidi="ar-SA"/>
        </w:rPr>
        <w:t>الموسوي اجتاز بوالده مسافرا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فأوقفني والدي بين يدي السيد فحفظت منه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ما يجوز لي روايته،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ستعلم فيما بعد حلاوة ما خصصتك به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جرى السلف و الخلف و كأنهم رأوا الطفل أهلا لتحمل هذا النوع من أنواع حمل الحديث</w:t>
      </w:r>
      <w:r>
        <w:rPr>
          <w:rStyle w:val="FootnoteAnchor"/>
          <w:rtl w:val="true"/>
        </w:rPr>
        <w:footnoteReference w:id="388"/>
      </w:r>
      <w:r>
        <w:rPr>
          <w:rFonts w:ascii="Amiri" w:hAnsi="Amiri" w:eastAsia="Amiri" w:cs="Amiri"/>
          <w:color w:val="111111"/>
          <w:sz w:val="28"/>
          <w:sz w:val="28"/>
          <w:szCs w:val="28"/>
          <w:rtl w:val="true"/>
          <w:lang w:bidi="ar-SA"/>
        </w:rPr>
        <w:t xml:space="preserve">ليؤدي به بعد حصول أهليته حرصا على توسع السبيل إلى بقاء الإسناد الذي اختصت به هذه الامة، و تقريبه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 الإسناد، انتهى ما في البداية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الكافر فقد صرحوا بصحة الإجازة له كما يصح سماعه للأصل،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إذا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ذلك في قريب من عصرنا و حصل بها</w:t>
      </w:r>
      <w:r>
        <w:rPr>
          <w:rStyle w:val="FootnoteAnchor"/>
          <w:rtl w:val="true"/>
        </w:rPr>
        <w:footnoteReference w:id="390"/>
      </w:r>
      <w:r>
        <w:rPr>
          <w:rFonts w:ascii="IRNazanin" w:hAnsi="IRNazanin" w:eastAsia="IRNazanin"/>
          <w:color w:val="111111"/>
          <w:sz w:val="28"/>
          <w:sz w:val="28"/>
          <w:szCs w:val="28"/>
          <w:rtl w:val="true"/>
          <w:lang w:bidi="fa-IR"/>
        </w:rPr>
        <w:t>النفع</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جاز للكافر جاز للفاسق و المبتدع بطريق أولى</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قد يخالجني الإشكال في صحة الإجازة لهما و للكافر بأنه قد تؤدي الإجازة لهم إلى الإغراء بالجهل، لأنه إذا كان مجازا من الشيخ أوجب ذلك قبول غير العالم بحقيقة حالهم لروايتهم، و ذلك فساد عظيم، فينبغي المنع من الإجازة لهم سدا لهذا الباب، و أيضا فالإجازة لهم ركون إليهم و لا شبهة في كونهم من الظالمين، و قد نهى اللّه تعالى عن الركون إلى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التحمل غير الإجازة، فالمنع في نظري القاصر من الإجازة لهم أظهر، و لا يوحشني الانفراد إذا ساعد مقالتي الدليل و الاعتبار، و عليك بامعان النظر لعلك توافقنا فيما قلناه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218" w:name="pg15042_154894"/>
    </w:p>
    <w:p>
      <w:pPr>
        <w:pStyle w:val="Heading6"/>
        <w:numPr>
          <w:ilvl w:val="5"/>
          <w:numId w:val="1"/>
        </w:numPr>
        <w:rPr/>
      </w:pPr>
      <w:bookmarkStart w:id="219" w:name="__RefHeading___Toc403391_2142443653"/>
      <w:bookmarkStart w:id="220" w:name="_Toc80"/>
      <w:bookmarkEnd w:id="218"/>
      <w:bookmarkEnd w:id="219"/>
      <w:r>
        <w:rPr>
          <w:rtl w:val="true"/>
        </w:rPr>
        <w:t>الضرب الثامن</w:t>
      </w:r>
      <w:r>
        <w:rPr>
          <w:rtl w:val="true"/>
        </w:rPr>
        <w:t xml:space="preserve">: </w:t>
      </w:r>
      <w:r>
        <w:rPr>
          <w:rtl w:val="true"/>
        </w:rPr>
        <w:t>الاجازة بما لم يتحمله المجيز من الحديث بعد بوجه ليرويه عنه المجاز</w:t>
      </w:r>
      <w:bookmarkEnd w:id="220"/>
    </w:p>
    <w:p>
      <w:pPr>
        <w:pStyle w:val="BookText"/>
        <w:rPr/>
      </w:pPr>
      <w:r>
        <w:rPr>
          <w:rFonts w:ascii="IRNazanin" w:hAnsi="IRNazanin" w:eastAsia="IRNazanin"/>
          <w:color w:val="111111"/>
          <w:sz w:val="28"/>
          <w:sz w:val="28"/>
          <w:szCs w:val="28"/>
          <w:rtl w:val="true"/>
          <w:lang w:bidi="fa-IR"/>
        </w:rPr>
        <w:t>الضرب الثامن</w:t>
      </w:r>
    </w:p>
    <w:p>
      <w:pPr>
        <w:pStyle w:val="BookText"/>
        <w:rPr/>
      </w:pPr>
      <w:r>
        <w:rPr>
          <w:rFonts w:ascii="Amiri" w:hAnsi="Amiri" w:eastAsia="Amiri" w:cs="Amiri"/>
          <w:color w:val="111111"/>
          <w:sz w:val="28"/>
          <w:sz w:val="28"/>
          <w:szCs w:val="28"/>
          <w:rtl w:val="true"/>
          <w:lang w:bidi="ar-SA"/>
        </w:rPr>
        <w:t>الإجازة بما لم يتحمله المجيز من الحديث بعد بوجه</w:t>
      </w:r>
      <w:r>
        <w:rPr>
          <w:rStyle w:val="FootnoteAnchor"/>
          <w:rtl w:val="true"/>
        </w:rPr>
        <w:footnoteReference w:id="394"/>
      </w:r>
      <w:r>
        <w:rPr>
          <w:rFonts w:ascii="Amiri" w:hAnsi="Amiri" w:eastAsia="Amiri" w:cs="Amiri"/>
          <w:color w:val="111111"/>
          <w:sz w:val="28"/>
          <w:sz w:val="28"/>
          <w:szCs w:val="28"/>
          <w:rtl w:val="true"/>
          <w:lang w:bidi="ar-SA"/>
        </w:rPr>
        <w:t>ليرويه عنه المجاز إذا تحمله المجيز بعد ذلك</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جواز هذا الضرب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على المنع منه</w:t>
      </w:r>
      <w:r>
        <w:rPr>
          <w:rStyle w:val="FootnoteAnchor"/>
          <w:rtl w:val="true"/>
        </w:rPr>
        <w:footnoteReference w:id="396"/>
      </w:r>
      <w:r>
        <w:rPr>
          <w:rFonts w:ascii="Amiri" w:hAnsi="Amiri" w:eastAsia="Amiri" w:cs="Amiri"/>
          <w:color w:val="111111"/>
          <w:sz w:val="28"/>
          <w:sz w:val="28"/>
          <w:szCs w:val="28"/>
          <w:rtl w:val="true"/>
          <w:lang w:bidi="ar-SA"/>
        </w:rPr>
        <w:t>، لأن الإجازة في حكم الأخبار بالمجاز جملة أو أذن، و لا يعقل أن يخبر بما لا يخبر به</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 في نسختنا من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بدلا من يخبر في كلا الموضعين، و المعنى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 يأذن فيما لم يملك، كما لو وكل في بيع ما لم يملكه و يريد أن يشتريه، و ذهب بعضهم إلى جوازه بناء على جواز الاذن كذلك حتى في الوكالة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الأول</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فيتعين على من أراد أن يروي عن شيخ أجاز له جميع مسموعاته أن يبحث حتى يعلم أن هذا مما تحمله شيخه قبل الإجازة له ليرويه، و أما لو قال أجزت لك ما صح و ما </w:t>
      </w:r>
      <w:bookmarkStart w:id="221" w:name="pg15042_154895"/>
    </w:p>
    <w:p>
      <w:pPr>
        <w:pStyle w:val="BookText"/>
        <w:rPr/>
      </w:pPr>
      <w:bookmarkEnd w:id="221"/>
      <w:r>
        <w:rPr>
          <w:rFonts w:ascii="Amiri" w:hAnsi="Amiri" w:eastAsia="Amiri" w:cs="Amiri"/>
          <w:color w:val="111111"/>
          <w:sz w:val="28"/>
          <w:sz w:val="28"/>
          <w:szCs w:val="28"/>
          <w:rtl w:val="true"/>
          <w:lang w:bidi="ar-SA"/>
        </w:rPr>
        <w:t>يصح عندك من مسموعاتي مثلا، فيصح أن يروي بذلك عنه ما صح عنده بعد الإجازة أنه سمعه قبل الإجازة</w:t>
      </w:r>
      <w:r>
        <w:rPr>
          <w:rStyle w:val="FootnoteAnchor"/>
          <w:rtl w:val="true"/>
        </w:rPr>
        <w:footnoteReference w:id="399"/>
      </w:r>
      <w:r>
        <w:rPr>
          <w:rFonts w:ascii="Amiri" w:hAnsi="Amiri" w:eastAsia="Amiri" w:cs="Amiri"/>
          <w:color w:val="111111"/>
          <w:sz w:val="28"/>
          <w:sz w:val="28"/>
          <w:szCs w:val="28"/>
          <w:rtl w:val="true"/>
          <w:lang w:bidi="ar-SA"/>
        </w:rPr>
        <w:t>، و أجاز بعضهم اجازة ما يتجدد روايته مما لم يتحمله ليرويه المجاز له إذا تحمله المجيز بعد ذلك، و قد فعله جمع من الأفاضل</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يبنى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الإجازة هل هي في حكم الأخبار بالمجاز جملة أو هي اذن، فإن جعلت في حكم الأخبار لم تصح هذه الإجازة، إذ كيف يخبر بما لا خبر عنده منه؟ و إن جعلت إذنا ابتنى هذا على الخلاف في تصحيح الإذن في باب الوكالة فيما لا يملكه الآذن الموكل بعد مثل أن يوكل في بيع العبد الذي يريد أن يشتريه، فتدبر جيدا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2" w:name="__RefHeading___Toc403393_2142443653"/>
      <w:bookmarkStart w:id="223" w:name="_Toc81"/>
      <w:bookmarkEnd w:id="222"/>
      <w:r>
        <w:rPr>
          <w:rtl w:val="true"/>
        </w:rPr>
        <w:t>الضرب التاسع</w:t>
      </w:r>
      <w:r>
        <w:rPr>
          <w:rtl w:val="true"/>
        </w:rPr>
        <w:t xml:space="preserve">: </w:t>
      </w:r>
      <w:r>
        <w:rPr>
          <w:rtl w:val="true"/>
        </w:rPr>
        <w:t>اجازة المجاز لغيره بما تحمله بالاجازة</w:t>
      </w:r>
      <w:bookmarkEnd w:id="223"/>
    </w:p>
    <w:p>
      <w:pPr>
        <w:pStyle w:val="BookText"/>
        <w:rPr/>
      </w:pPr>
      <w:r>
        <w:rPr>
          <w:rFonts w:ascii="IRNazanin" w:hAnsi="IRNazanin" w:eastAsia="IRNazanin"/>
          <w:color w:val="111111"/>
          <w:sz w:val="28"/>
          <w:sz w:val="28"/>
          <w:szCs w:val="28"/>
          <w:rtl w:val="true"/>
          <w:lang w:bidi="fa-IR"/>
        </w:rPr>
        <w:t>الضرب التاسع</w:t>
      </w:r>
    </w:p>
    <w:p>
      <w:pPr>
        <w:pStyle w:val="BookText"/>
        <w:rPr/>
      </w:pPr>
      <w:r>
        <w:rPr>
          <w:rFonts w:ascii="Amiri" w:hAnsi="Amiri" w:eastAsia="Amiri" w:cs="Amiri"/>
          <w:color w:val="111111"/>
          <w:sz w:val="28"/>
          <w:sz w:val="28"/>
          <w:szCs w:val="28"/>
          <w:rtl w:val="true"/>
          <w:lang w:bidi="ar-SA"/>
        </w:rPr>
        <w:t>إجازة المجاز لغيره بما تحمله بالإجازة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مجازاتي أو رواية ما اجيز لي روايته و المشهور جواز ذلك</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هذا و يلزمه التروي في ما يرويه بذلك لئلا يروي ما لم يدخل تحته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 روايته إذا صحت لنفسه جاز له أن يرويها لغيره،</w:t>
      </w:r>
      <w:bookmarkStart w:id="224" w:name="pg15042_154896"/>
    </w:p>
    <w:p>
      <w:pPr>
        <w:pStyle w:val="BookText"/>
        <w:rPr/>
      </w:pPr>
      <w:bookmarkEnd w:id="224"/>
      <w:r>
        <w:rPr>
          <w:rFonts w:ascii="Amiri" w:hAnsi="Amiri" w:eastAsia="Amiri" w:cs="Amiri"/>
          <w:color w:val="111111"/>
          <w:sz w:val="28"/>
          <w:sz w:val="28"/>
          <w:szCs w:val="28"/>
          <w:rtl w:val="true"/>
          <w:lang w:bidi="ar-SA"/>
        </w:rPr>
        <w:t>و عن عبد الوهاب بن المبارك الأنماطي</w:t>
      </w:r>
      <w:r>
        <w:rPr>
          <w:rStyle w:val="FootnoteAnchor"/>
          <w:rtl w:val="true"/>
        </w:rPr>
        <w:footnoteReference w:id="402"/>
      </w:r>
      <w:r>
        <w:rPr>
          <w:rFonts w:ascii="Amiri" w:hAnsi="Amiri" w:eastAsia="Amiri" w:cs="Amiri"/>
          <w:color w:val="111111"/>
          <w:sz w:val="28"/>
          <w:sz w:val="28"/>
          <w:szCs w:val="28"/>
          <w:rtl w:val="true"/>
          <w:lang w:bidi="ar-SA"/>
        </w:rPr>
        <w:t>المنع من ذلك، و إنه إنما يجوز له العمل بها لنفسه خاصة و هو متروك حتى، أن بعضهم لعدم الاعتناء بخلافه ادعى الاتفاق على الجواز، و قد وقع منهم توالي إجازات كثيرة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الضروب التي تداولوا التعرض لها</w:t>
      </w:r>
      <w:r>
        <w:rPr>
          <w:rStyle w:val="FootnoteAnchor"/>
          <w:rtl w:val="true"/>
        </w:rPr>
        <w:footnoteReference w:id="403"/>
      </w:r>
      <w:r>
        <w:rPr>
          <w:rFonts w:ascii="Amiri" w:hAnsi="Amiri" w:eastAsia="Amiri" w:cs="Amiri"/>
          <w:color w:val="111111"/>
          <w:sz w:val="28"/>
          <w:sz w:val="28"/>
          <w:szCs w:val="28"/>
          <w:rtl w:val="true"/>
          <w:lang w:bidi="ar-SA"/>
        </w:rPr>
        <w:t>و قد بآن لك منها حكم سائر الأقسام</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403395_2142443653"/>
      <w:bookmarkStart w:id="226" w:name="_Toc82"/>
      <w:bookmarkEnd w:id="225"/>
      <w:r>
        <w:rPr>
          <w:rtl w:val="true"/>
        </w:rPr>
        <w:t>و بقي هنا أمور ينبغي التعرض لها</w:t>
      </w:r>
      <w:r>
        <w:rPr>
          <w:rtl w:val="true"/>
        </w:rPr>
        <w:t>:</w:t>
      </w:r>
      <w:bookmarkEnd w:id="226"/>
    </w:p>
    <w:p>
      <w:pPr>
        <w:pStyle w:val="Heading6"/>
        <w:numPr>
          <w:ilvl w:val="5"/>
          <w:numId w:val="1"/>
        </w:numPr>
        <w:rPr/>
      </w:pPr>
      <w:bookmarkStart w:id="227" w:name="__RefHeading___Toc403397_2142443653"/>
      <w:bookmarkStart w:id="228" w:name="_Toc83"/>
      <w:bookmarkEnd w:id="227"/>
      <w:r>
        <w:rPr>
          <w:rtl w:val="true"/>
        </w:rPr>
        <w:t>الاول</w:t>
      </w:r>
      <w:r>
        <w:rPr>
          <w:rtl w:val="true"/>
        </w:rPr>
        <w:t xml:space="preserve">: </w:t>
      </w:r>
      <w:r>
        <w:rPr>
          <w:rtl w:val="true"/>
        </w:rPr>
        <w:t>ما يلزم من يروي بالاجازة عن الإجازة</w:t>
      </w:r>
      <w:bookmarkEnd w:id="2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لمن يروي بالإجازة عن الإجازة أن يتأمل و يفهم كيفية إجازة شيخ شيخه التي أجاز له بها شيخه ليروي المجاز الثاني ما دخل تحتها و لا يتجاوزها، فربما قيدها بعضهم بما صح عند المجاز له أو بما سمعه المجيز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فإن كانت إجازة شيخ شيخه أجزت له ما صح عنده من سماعي فرأى سماع شيخه</w:t>
      </w:r>
      <w:r>
        <w:rPr>
          <w:rStyle w:val="FootnoteAnchor"/>
          <w:rtl w:val="true"/>
        </w:rPr>
        <w:footnoteReference w:id="404"/>
      </w:r>
      <w:r>
        <w:rPr>
          <w:rFonts w:ascii="Amiri" w:hAnsi="Amiri" w:eastAsia="Amiri" w:cs="Amiri"/>
          <w:color w:val="111111"/>
          <w:sz w:val="28"/>
          <w:sz w:val="28"/>
          <w:szCs w:val="28"/>
          <w:rtl w:val="true"/>
          <w:lang w:bidi="ar-SA"/>
        </w:rPr>
        <w:t>فليس له روايته عن شيخه عنه حتى يعرف أنه صح عند شيخه كونه من مسموعات شيخه، و كذا ان قيدها بما سمعه لم يتعد إلى مجازاته</w:t>
      </w:r>
      <w:r>
        <w:rPr>
          <w:rStyle w:val="FootnoteAnchor"/>
          <w:rtl w:val="true"/>
        </w:rPr>
        <w:footnoteReference w:id="405"/>
      </w:r>
      <w:r>
        <w:rPr>
          <w:rFonts w:ascii="Amiri" w:hAnsi="Amiri" w:eastAsia="Amiri" w:cs="Amiri"/>
          <w:color w:val="111111"/>
          <w:sz w:val="28"/>
          <w:sz w:val="28"/>
          <w:szCs w:val="28"/>
          <w:rtl w:val="true"/>
          <w:lang w:bidi="ar-SA"/>
        </w:rPr>
        <w:t xml:space="preserve">، و لو اخبر شيخه بما صح سماعه عنده من مسموعات شيخه لم يرو هذا </w:t>
      </w:r>
      <w:bookmarkStart w:id="229" w:name="pg15042_154897"/>
    </w:p>
    <w:p>
      <w:pPr>
        <w:pStyle w:val="BookText"/>
        <w:rPr/>
      </w:pPr>
      <w:bookmarkEnd w:id="229"/>
      <w:r>
        <w:rPr>
          <w:rFonts w:ascii="Amiri" w:hAnsi="Amiri" w:eastAsia="Amiri" w:cs="Amiri"/>
          <w:color w:val="111111"/>
          <w:sz w:val="28"/>
          <w:sz w:val="28"/>
          <w:szCs w:val="28"/>
          <w:rtl w:val="true"/>
          <w:lang w:bidi="ar-SA"/>
        </w:rPr>
        <w:t xml:space="preserve">المجاز الثاني عن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تحقق عند الراوي الأخير أنه صح عند شيخه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سماع شيخه الأول، و لا يكتفي بمجرد صحة ذلك عنده الآن من غير أن يكون قد صح سماعه عند شيخه، عملا بمقتضى لفظه و تقييده، فينبغي التنبه لذلك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أشباهه، فقد زلّ في ذلك أقدام أقوام</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403399_2142443653"/>
      <w:bookmarkStart w:id="231" w:name="_Toc84"/>
      <w:bookmarkEnd w:id="230"/>
      <w:r>
        <w:rPr>
          <w:rtl w:val="true"/>
        </w:rPr>
        <w:t>الثاني</w:t>
      </w:r>
      <w:r>
        <w:rPr>
          <w:rtl w:val="true"/>
        </w:rPr>
        <w:t xml:space="preserve">: </w:t>
      </w:r>
      <w:r>
        <w:rPr>
          <w:rtl w:val="true"/>
        </w:rPr>
        <w:t>هل يشترط من صحة الإجازة العلم؟</w:t>
      </w:r>
      <w:bookmarkEnd w:id="23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تستحسن الإجازة مع علم المجيز بما أجازه، و كون المجاز له من أهل العلم أيضا، لأنها توسع و ترخيص يتأهل له أهل العلم لمسيس حاجتهم إليها، قال عيسى بن مسكين</w:t>
      </w:r>
      <w:r>
        <w:rPr>
          <w:rStyle w:val="FootnoteAnchor"/>
          <w:rtl w:val="true"/>
        </w:rPr>
        <w:footnoteReference w:id="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رأس مال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بعضهم في صحتها العلم، و الأشهر عدمه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عبد البر</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348/2</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البداية و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104/12</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315/13</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أنها لا تجوز إلا لماهر</w:t>
      </w:r>
      <w:bookmarkStart w:id="232" w:name="pg15042_154898"/>
    </w:p>
    <w:p>
      <w:pPr>
        <w:pStyle w:val="BookText"/>
        <w:rPr/>
      </w:pPr>
      <w:bookmarkEnd w:id="232"/>
      <w:r>
        <w:rPr>
          <w:rFonts w:ascii="Amiri" w:hAnsi="Amiri" w:eastAsia="Amiri" w:cs="Amiri"/>
          <w:color w:val="111111"/>
          <w:sz w:val="28"/>
          <w:sz w:val="28"/>
          <w:szCs w:val="28"/>
          <w:rtl w:val="true"/>
          <w:lang w:bidi="ar-SA"/>
        </w:rPr>
        <w:t>بالصناعة في شيء معين لا يشكل إسناده</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قال والد الشيخ البهائي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بمعتبر عند الفقهاء و لا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غير خفي رجحان كون المجاز من أهل الصلاح و الورع و لا يبذلها لكل أحد ممن لا يبالي بما قال أو قيل له أو قيل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3" w:name="__RefHeading___Toc403401_2142443653"/>
      <w:bookmarkStart w:id="234" w:name="_Toc85"/>
      <w:bookmarkEnd w:id="233"/>
      <w:r>
        <w:rPr>
          <w:rtl w:val="true"/>
        </w:rPr>
        <w:t>الثالث</w:t>
      </w:r>
      <w:r>
        <w:rPr>
          <w:rtl w:val="true"/>
        </w:rPr>
        <w:t xml:space="preserve">: </w:t>
      </w:r>
      <w:r>
        <w:rPr>
          <w:rtl w:val="true"/>
        </w:rPr>
        <w:t>ينبغي للمجيز بالكتابة إن يتلفظ بالاجازة</w:t>
      </w:r>
      <w:bookmarkEnd w:id="234"/>
    </w:p>
    <w:p>
      <w:pPr>
        <w:pStyle w:val="Heading6"/>
        <w:numPr>
          <w:ilvl w:val="5"/>
          <w:numId w:val="1"/>
        </w:numPr>
        <w:rPr/>
      </w:pPr>
      <w:bookmarkStart w:id="235" w:name="__RefHeading___Toc403403_2142443653"/>
      <w:bookmarkStart w:id="236" w:name="_Toc86"/>
      <w:bookmarkEnd w:id="235"/>
      <w:r>
        <w:rPr>
          <w:rtl w:val="true"/>
        </w:rPr>
        <w:t>اشارة</w:t>
      </w:r>
      <w:bookmarkEnd w:id="236"/>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صرح جمع</w:t>
      </w:r>
      <w:r>
        <w:rPr>
          <w:rStyle w:val="FootnoteAnchor"/>
          <w:rtl w:val="true"/>
        </w:rPr>
        <w:footnoteReference w:id="411"/>
      </w:r>
      <w:r>
        <w:rPr>
          <w:rFonts w:ascii="Amiri" w:hAnsi="Amiri" w:eastAsia="Amiri" w:cs="Amiri"/>
          <w:color w:val="111111"/>
          <w:sz w:val="28"/>
          <w:sz w:val="28"/>
          <w:szCs w:val="28"/>
          <w:rtl w:val="true"/>
          <w:lang w:bidi="ar-SA"/>
        </w:rPr>
        <w:t>بأنه ينبغي للمجيز بالكتابة أن يتلفظ بالإجازة أيضا ليتحقق الاخبار أو الإذن اللذين حقيقتهما التلفظ، فإن اقتصر على الكتابة و لم يتلفظ مع قصد الإجازة صحت بغير لفظ، كما صحت الرواية بالقراءة على الشيخ مع أنه لم يتلفظ بما قرئ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فهي إما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يتحقق بغير اللفظة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كتقديم الطعام إلى الضيف و دفع الثوب إلى العريان ليلبسه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أو إخبار، و هو يتوسع به في غير اللفظ عرفا، غايته أن الكتابة مع القصد من غير لفظ دون الملفوظ في الرتبة، و أما لو </w:t>
      </w:r>
      <w:bookmarkStart w:id="237" w:name="pg15042_154899"/>
    </w:p>
    <w:p>
      <w:pPr>
        <w:pStyle w:val="BookText"/>
        <w:rPr/>
      </w:pPr>
      <w:bookmarkEnd w:id="237"/>
      <w:r>
        <w:rPr>
          <w:rFonts w:ascii="Amiri" w:hAnsi="Amiri" w:eastAsia="Amiri" w:cs="Amiri"/>
          <w:color w:val="111111"/>
          <w:sz w:val="28"/>
          <w:sz w:val="28"/>
          <w:szCs w:val="28"/>
          <w:rtl w:val="true"/>
          <w:lang w:bidi="ar-SA"/>
        </w:rPr>
        <w:t>لم يقصد بالكتابة الإجازة فالظاهر عدم الصحة</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403405_2142443653"/>
      <w:bookmarkStart w:id="239" w:name="_Toc87"/>
      <w:bookmarkEnd w:id="238"/>
      <w:r>
        <w:rPr>
          <w:rtl w:val="true"/>
        </w:rPr>
        <w:t>تذييل</w:t>
      </w:r>
      <w:r>
        <w:rPr>
          <w:rtl w:val="true"/>
        </w:rPr>
        <w:t xml:space="preserve">: </w:t>
      </w:r>
      <w:r>
        <w:rPr>
          <w:rtl w:val="true"/>
        </w:rPr>
        <w:t>لا يشترط في الإجازة القبول</w:t>
      </w:r>
      <w:bookmarkEnd w:id="239"/>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جماعة</w:t>
      </w:r>
      <w:r>
        <w:rPr>
          <w:rStyle w:val="FootnoteAnchor"/>
          <w:rtl w:val="true"/>
        </w:rPr>
        <w:footnoteReference w:id="413"/>
      </w:r>
      <w:r>
        <w:rPr>
          <w:rFonts w:ascii="Amiri" w:hAnsi="Amiri" w:eastAsia="Amiri" w:cs="Amiri"/>
          <w:color w:val="111111"/>
          <w:sz w:val="28"/>
          <w:sz w:val="28"/>
          <w:szCs w:val="28"/>
          <w:rtl w:val="true"/>
          <w:lang w:bidi="ar-SA"/>
        </w:rPr>
        <w:t>بعدم اشتراط القبول في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يقدح فيها كل من الرّد من المجاز و رجوع المجيز عند بعضهم، و لا يقدح عند آخر، و ربما بنى ذلك ثالث</w:t>
      </w:r>
      <w:r>
        <w:rPr>
          <w:rStyle w:val="FootnoteAnchor"/>
          <w:rtl w:val="true"/>
        </w:rPr>
        <w:footnoteReference w:id="414"/>
      </w:r>
      <w:r>
        <w:rPr>
          <w:rFonts w:ascii="Amiri" w:hAnsi="Amiri" w:eastAsia="Amiri" w:cs="Amiri"/>
          <w:color w:val="111111"/>
          <w:sz w:val="28"/>
          <w:sz w:val="28"/>
          <w:szCs w:val="28"/>
          <w:rtl w:val="true"/>
          <w:lang w:bidi="ar-SA"/>
        </w:rPr>
        <w:t>على أن الإجازة إن كانت أخبارا لم يضر الرد و لا الرجوع، و إن كانت اذنا و إباحة أضر الرد و الرجوع كما في الوكالة</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403407_2142443653"/>
      <w:bookmarkStart w:id="241" w:name="_Toc88"/>
      <w:bookmarkEnd w:id="240"/>
      <w:r>
        <w:rPr>
          <w:rtl w:val="true"/>
        </w:rPr>
        <w:t>رابعها</w:t>
      </w:r>
      <w:r>
        <w:rPr>
          <w:rtl w:val="true"/>
        </w:rPr>
        <w:t xml:space="preserve">: </w:t>
      </w:r>
      <w:r>
        <w:rPr>
          <w:rtl w:val="true"/>
        </w:rPr>
        <w:t>المناولة</w:t>
      </w:r>
      <w:r>
        <w:rPr>
          <w:rtl w:val="true"/>
        </w:rPr>
        <w:t>:</w:t>
      </w:r>
      <w:bookmarkEnd w:id="241"/>
    </w:p>
    <w:p>
      <w:pPr>
        <w:pStyle w:val="Heading6"/>
        <w:numPr>
          <w:ilvl w:val="5"/>
          <w:numId w:val="1"/>
        </w:numPr>
        <w:rPr/>
      </w:pPr>
      <w:bookmarkStart w:id="242" w:name="__RefHeading___Toc403409_2142443653"/>
      <w:bookmarkStart w:id="243" w:name="_Toc89"/>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و هي أن يناول الشيخ الطالب كتابا</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قال السيد المرتضى في 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يشافه المحدث غيره و يقول له في كتاب أشار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سماعي من فلان فجرى ذلك مجرى أن يقرأه عليه و يعترف له به في علمه بأنه حديثه و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الراوي متقنا حافظا، فيقدم المستفيد إليه جزءا من حديثه أو أكثر من ذلك فيناوله إياه، فيتأمل الراوي حديثه، فإذا خبره و عرف أنه من حديثه قال للمستفيد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وقفت على ما ناولتنيه و عرفت ما فيه، و أنه روايتي عن شيوخي، فحدث به عني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4" w:name="pg15042_154900"/>
    </w:p>
    <w:p>
      <w:pPr>
        <w:pStyle w:val="BookText"/>
        <w:rPr/>
      </w:pPr>
      <w:bookmarkEnd w:id="244"/>
      <w:r>
        <w:rPr>
          <w:rFonts w:ascii="Amiri" w:hAnsi="Amiri" w:eastAsia="Amiri" w:cs="Amiri"/>
          <w:color w:val="111111"/>
          <w:sz w:val="28"/>
          <w:sz w:val="28"/>
          <w:szCs w:val="28"/>
          <w:rtl w:val="true"/>
          <w:lang w:bidi="ar-SA"/>
        </w:rPr>
        <w:t>قيل</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لاحظ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و كذا كتابته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الصحابة و الامراء في القضاء و السنن و غيره و أمرهم بالعمل بما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لأمير السرية كتابا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تقرأه حتى تبلغ مكان كذا و كذا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فلما بلغ ذلك المكان قرأه على الناس و أخبرهم بأمر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403411_2142443653"/>
      <w:bookmarkStart w:id="246" w:name="_Toc90"/>
      <w:bookmarkEnd w:id="245"/>
      <w:r>
        <w:rPr>
          <w:rtl w:val="true"/>
        </w:rPr>
        <w:t>و هي ضربان</w:t>
      </w:r>
      <w:r>
        <w:rPr>
          <w:rtl w:val="true"/>
        </w:rPr>
        <w:t xml:space="preserve">: </w:t>
      </w:r>
      <w:r>
        <w:rPr>
          <w:rtl w:val="true"/>
        </w:rPr>
        <w:t xml:space="preserve">مقرونة بالإجازة، و مجردة عنها </w:t>
      </w:r>
      <w:r>
        <w:rPr>
          <w:rtl w:val="true"/>
        </w:rPr>
        <w:t>.</w:t>
      </w:r>
      <w:bookmarkEnd w:id="246"/>
    </w:p>
    <w:p>
      <w:pPr>
        <w:pStyle w:val="Heading6"/>
        <w:numPr>
          <w:ilvl w:val="5"/>
          <w:numId w:val="1"/>
        </w:numPr>
        <w:rPr/>
      </w:pPr>
      <w:bookmarkStart w:id="247" w:name="__RefHeading___Toc403413_2142443653"/>
      <w:bookmarkStart w:id="248" w:name="_Toc91"/>
      <w:bookmarkEnd w:id="247"/>
      <w:r>
        <w:rPr>
          <w:rtl w:val="true"/>
        </w:rPr>
        <w:t>اشارة</w:t>
      </w:r>
      <w:bookmarkEnd w:id="248"/>
    </w:p>
    <w:p>
      <w:pPr>
        <w:pStyle w:val="BookText"/>
        <w:rPr/>
      </w:pPr>
      <w:r>
        <w:rPr>
          <w:rFonts w:ascii="Amiri" w:hAnsi="Amiri" w:eastAsia="Amiri" w:cs="Amiri"/>
          <w:color w:val="111111"/>
          <w:sz w:val="28"/>
          <w:sz w:val="28"/>
          <w:szCs w:val="28"/>
          <w:rtl w:val="true"/>
          <w:lang w:bidi="ar-SA"/>
        </w:rPr>
        <w:t>و هي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مقرونة بالإجازة، و مجردة عنها</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 xml:space="preserve">خلافا لجمع حيث جعلوها قسما برأسها، و الأولى ما فعله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لجمع لما بينهما من العموم من وجه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5042_154901"/>
    </w:p>
    <w:p>
      <w:pPr>
        <w:pStyle w:val="Heading6"/>
        <w:numPr>
          <w:ilvl w:val="5"/>
          <w:numId w:val="1"/>
        </w:numPr>
        <w:rPr/>
      </w:pPr>
      <w:bookmarkStart w:id="250" w:name="__RefHeading___Toc403415_2142443653"/>
      <w:bookmarkStart w:id="251" w:name="_Toc92"/>
      <w:bookmarkEnd w:id="249"/>
      <w:bookmarkEnd w:id="250"/>
      <w:r>
        <w:rPr>
          <w:rtl w:val="true"/>
        </w:rPr>
        <w:t>الاول</w:t>
      </w:r>
      <w:r>
        <w:rPr>
          <w:rtl w:val="true"/>
        </w:rPr>
        <w:t xml:space="preserve">: </w:t>
      </w:r>
      <w:r>
        <w:rPr>
          <w:rtl w:val="true"/>
        </w:rPr>
        <w:t>المناولة المقرونة بالإجازة، و لها مراتب</w:t>
      </w:r>
      <w:bookmarkEnd w:id="251"/>
    </w:p>
    <w:p>
      <w:pPr>
        <w:pStyle w:val="Heading6"/>
        <w:numPr>
          <w:ilvl w:val="5"/>
          <w:numId w:val="1"/>
        </w:numPr>
        <w:rPr/>
      </w:pPr>
      <w:bookmarkStart w:id="252" w:name="__RefHeading___Toc403417_2142443653"/>
      <w:bookmarkStart w:id="253" w:name="_Toc93"/>
      <w:bookmarkEnd w:id="252"/>
      <w:r>
        <w:rPr>
          <w:rtl w:val="true"/>
        </w:rPr>
        <w:t>اشارة</w:t>
      </w:r>
      <w:bookmarkEnd w:id="253"/>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المناولة المقرونة بالإجازة</w:t>
      </w:r>
      <w:r>
        <w:rPr>
          <w:rStyle w:val="FootnoteAnchor"/>
          <w:rtl w:val="true"/>
        </w:rPr>
        <w:footnoteReference w:id="418"/>
      </w:r>
      <w:r>
        <w:rPr>
          <w:rFonts w:ascii="Amiri" w:hAnsi="Amiri" w:eastAsia="Amiri" w:cs="Amiri"/>
          <w:color w:val="111111"/>
          <w:sz w:val="28"/>
          <w:sz w:val="28"/>
          <w:szCs w:val="28"/>
          <w:rtl w:val="true"/>
          <w:lang w:bidi="ar-SA"/>
        </w:rPr>
        <w:t>فهي على</w:t>
      </w:r>
      <w:r>
        <w:rPr>
          <w:rStyle w:val="FootnoteAnchor"/>
          <w:rtl w:val="true"/>
        </w:rPr>
        <w:footnoteReference w:id="419"/>
      </w:r>
      <w:r>
        <w:rPr>
          <w:rFonts w:ascii="Amiri" w:hAnsi="Amiri" w:eastAsia="Amiri" w:cs="Amiri"/>
          <w:color w:val="111111"/>
          <w:sz w:val="28"/>
          <w:sz w:val="28"/>
          <w:szCs w:val="28"/>
          <w:rtl w:val="true"/>
          <w:lang w:bidi="ar-SA"/>
        </w:rPr>
        <w:t>أنواع الإجازة على الإطلاق، و ادعى عياض الاتفاق على صحتها</w:t>
      </w:r>
      <w:r>
        <w:rPr>
          <w:rStyle w:val="FootnoteAnchor"/>
          <w:rtl w:val="true"/>
        </w:rPr>
        <w:footnoteReference w:id="420"/>
      </w:r>
      <w:r>
        <w:rPr>
          <w:rFonts w:ascii="Amiri" w:hAnsi="Amiri" w:eastAsia="Amiri" w:cs="Amiri"/>
          <w:color w:val="111111"/>
          <w:sz w:val="28"/>
          <w:sz w:val="28"/>
          <w:szCs w:val="28"/>
          <w:rtl w:val="true"/>
          <w:lang w:bidi="ar-SA"/>
        </w:rPr>
        <w:t>حتى أنكر بعضهم أفرادها عنها لرجوعها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يفترقان في أن المناولة تفترق</w:t>
      </w:r>
      <w:r>
        <w:rPr>
          <w:rStyle w:val="FootnoteAnchor"/>
          <w:rtl w:val="true"/>
        </w:rPr>
        <w:footnoteReference w:id="421"/>
      </w:r>
      <w:r>
        <w:rPr>
          <w:rFonts w:ascii="Amiri" w:hAnsi="Amiri" w:eastAsia="Amiri" w:cs="Amiri"/>
          <w:color w:val="111111"/>
          <w:sz w:val="28"/>
          <w:sz w:val="28"/>
          <w:szCs w:val="28"/>
          <w:rtl w:val="true"/>
          <w:lang w:bidi="ar-SA"/>
        </w:rPr>
        <w:t>إلى مشافهة المجيز للمجاز له و حضوره دون الإجازة،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أخص</w:t>
      </w:r>
      <w:r>
        <w:rPr>
          <w:rStyle w:val="FootnoteAnchor"/>
          <w:rtl w:val="true"/>
        </w:rPr>
        <w:footnoteReference w:id="422"/>
      </w:r>
      <w:r>
        <w:rPr>
          <w:rFonts w:ascii="Amiri" w:hAnsi="Amiri" w:eastAsia="Amiri" w:cs="Amiri"/>
          <w:color w:val="111111"/>
          <w:sz w:val="28"/>
          <w:sz w:val="28"/>
          <w:szCs w:val="28"/>
          <w:rtl w:val="true"/>
          <w:lang w:bidi="ar-SA"/>
        </w:rPr>
        <w:t>من الإجازة لأنها إجازة مخصوصة في كتاب بعينه بخلاف 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لهذا الضرب مراتب</w:t>
      </w:r>
      <w:r>
        <w:rPr>
          <w:rFonts w:eastAsia="IRNazanin" w:cs="IRNazanin"/>
          <w:color w:val="111111"/>
          <w:sz w:val="28"/>
          <w:szCs w:val="28"/>
          <w:rtl w:val="true"/>
          <w:lang w:bidi="fa-IR"/>
        </w:rPr>
        <w:t>:</w:t>
      </w:r>
    </w:p>
    <w:p>
      <w:pPr>
        <w:pStyle w:val="Heading6"/>
        <w:numPr>
          <w:ilvl w:val="5"/>
          <w:numId w:val="1"/>
        </w:numPr>
        <w:rPr/>
      </w:pPr>
      <w:bookmarkStart w:id="254" w:name="__RefHeading___Toc403419_2142443653"/>
      <w:bookmarkStart w:id="255" w:name="_Toc94"/>
      <w:bookmarkEnd w:id="254"/>
      <w:r>
        <w:rPr>
          <w:rtl w:val="true"/>
        </w:rPr>
        <w:t>منها</w:t>
      </w:r>
      <w:r>
        <w:rPr>
          <w:rtl w:val="true"/>
        </w:rPr>
        <w:t xml:space="preserve">: </w:t>
      </w:r>
      <w:r>
        <w:rPr>
          <w:rtl w:val="true"/>
        </w:rPr>
        <w:t>إن يدفع الشيخ الى الطالب الأصل و يقول له</w:t>
      </w:r>
      <w:r>
        <w:rPr>
          <w:rtl w:val="true"/>
        </w:rPr>
        <w:t xml:space="preserve">: </w:t>
      </w:r>
      <w:r>
        <w:rPr>
          <w:rtl w:val="true"/>
        </w:rPr>
        <w:t>اروه عني</w:t>
      </w:r>
      <w:r>
        <w:rPr>
          <w:rtl w:val="true"/>
        </w:rPr>
        <w:t>...</w:t>
      </w:r>
      <w:bookmarkEnd w:id="25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 الشيخ إلى الطالب تمليكا أو عارية للنسخ أصل سماعه أو فرعا مقابلا به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من فلان أو روايتي عنه فاروه عني، أو أجزت لك روايته عني، ثم يملّكه إياه،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 و انسخه و قابل به ثم ردّه إليّ، و نحو هذا</w:t>
      </w:r>
      <w:r>
        <w:rPr>
          <w:rStyle w:val="FootnoteAnchor"/>
          <w:rtl w:val="true"/>
        </w:rPr>
        <w:footnoteReference w:id="423"/>
      </w:r>
      <w:r>
        <w:rPr>
          <w:rFonts w:ascii="Amiri" w:hAnsi="Amiri" w:eastAsia="Amiri" w:cs="Amiri"/>
          <w:color w:val="111111"/>
          <w:sz w:val="28"/>
          <w:sz w:val="28"/>
          <w:szCs w:val="28"/>
          <w:rtl w:val="true"/>
          <w:lang w:bidi="ar-SA"/>
        </w:rPr>
        <w:t>، و يسمى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المناولة في مقابل عرض </w:t>
      </w:r>
    </w:p>
    <w:p>
      <w:pPr>
        <w:pStyle w:val="BookText"/>
        <w:rPr/>
      </w:pPr>
      <w:r>
        <w:rPr>
          <w:rFonts w:ascii="Amiri" w:hAnsi="Amiri" w:eastAsia="Amiri" w:cs="Amiri"/>
          <w:color w:val="111111"/>
          <w:sz w:val="28"/>
          <w:sz w:val="28"/>
          <w:szCs w:val="28"/>
          <w:rtl w:val="true"/>
          <w:lang w:bidi="ar-SA"/>
        </w:rPr>
        <w:t>القراءة</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الغريب أن ابن الأثير في جامع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بقول مطلق، و لم يفصّل، و المشهور كون القراءة على الشيخ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المرتبة أعلى مراتب المناولة و هي دون السماع و القراءة في المرتبة على الأصح</w:t>
      </w:r>
      <w:r>
        <w:rPr>
          <w:rStyle w:val="FootnoteAnchor"/>
          <w:rtl w:val="true"/>
        </w:rPr>
        <w:footnoteReference w:id="425"/>
      </w:r>
      <w:r>
        <w:rPr>
          <w:rFonts w:ascii="Amiri" w:hAnsi="Amiri" w:eastAsia="Amiri" w:cs="Amiri"/>
          <w:color w:val="111111"/>
          <w:sz w:val="28"/>
          <w:sz w:val="28"/>
          <w:szCs w:val="28"/>
          <w:rtl w:val="true"/>
          <w:lang w:bidi="ar-SA"/>
        </w:rPr>
        <w:t>، لاشتمال كل من السماع و القراءة على ضبط الرواية و تفصيلها بما لا يتحقق بالمناولة،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المناولة مع الإجازة مثل السماع من حيث تحقق أصل الضبط من الشيخ و لم يحصل منه مع سماعه من الراوي إخبار مفصل بل إجمالي فتكون المناولة بمنزلته</w:t>
      </w:r>
      <w:r>
        <w:rPr>
          <w:rStyle w:val="FootnoteAnchor"/>
          <w:rtl w:val="true"/>
        </w:rPr>
        <w:footnoteReference w:id="426"/>
      </w: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 xml:space="preserve">. </w:t>
      </w:r>
      <w:bookmarkStart w:id="256" w:name="pg15042_154903"/>
    </w:p>
    <w:p>
      <w:pPr>
        <w:pStyle w:val="Heading6"/>
        <w:numPr>
          <w:ilvl w:val="5"/>
          <w:numId w:val="1"/>
        </w:numPr>
        <w:rPr/>
      </w:pPr>
      <w:bookmarkStart w:id="257" w:name="__RefHeading___Toc403421_2142443653"/>
      <w:bookmarkStart w:id="258" w:name="_Toc95"/>
      <w:bookmarkEnd w:id="256"/>
      <w:bookmarkEnd w:id="257"/>
      <w:r>
        <w:rPr>
          <w:rtl w:val="true"/>
        </w:rPr>
        <w:t>و منها</w:t>
      </w:r>
      <w:r>
        <w:rPr>
          <w:rtl w:val="true"/>
        </w:rPr>
        <w:t xml:space="preserve">: </w:t>
      </w:r>
      <w:r>
        <w:rPr>
          <w:rtl w:val="true"/>
        </w:rPr>
        <w:t>أن يدفع الطالب إلى الشيخ سماع الشيخ أصلا أو مقابلا به</w:t>
      </w:r>
      <w:bookmarkEnd w:id="258"/>
    </w:p>
    <w:p>
      <w:pPr>
        <w:pStyle w:val="BookText"/>
        <w:rPr/>
      </w:pPr>
      <w:r>
        <w:rPr>
          <w:rFonts w:ascii="Amiri" w:hAnsi="Amiri" w:eastAsia="Amiri" w:cs="Amiri"/>
          <w:color w:val="111111"/>
          <w:sz w:val="28"/>
          <w:sz w:val="28"/>
          <w:szCs w:val="28"/>
          <w:rtl w:val="true"/>
          <w:lang w:bidi="ar-SA"/>
        </w:rPr>
        <w:t>فيتأمله الشيخ و هو عارف متيقظ ثم يعيده إلى الطالب،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حديثي أو روايتي عن فلان أو عمن ذكر فيه فاروه عني، أو أجزت لك روايته عني، و هذا الضرب دون سابقه في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كثير من محدثي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الزهري و مجاهد</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177/8</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و كل كتب الرجال و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الشعبي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6680</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كالسماع في القوة و الرتبة، و عن بعضهم أنه أرفع من السماع، لأن الثقة بكتاب الشيخ مع اذنه فوق الثقة بالسماع منه و اثبت، لما يدخل من الوهم على السامع و المستمع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الثوري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مرت ترجمة الباقين في صفحات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الأوزاعي و ابن المبارك و أبو حنيفة و الشافعي و</w:t>
      </w:r>
      <w:r>
        <w:rPr>
          <w:rFonts w:eastAsia="Amiri" w:cs="Amiri" w:ascii="Amiri" w:hAnsi="Amiri"/>
          <w:color w:val="111111"/>
          <w:sz w:val="28"/>
          <w:szCs w:val="28"/>
          <w:rtl w:val="true"/>
          <w:lang w:bidi="ar-SA"/>
        </w:rPr>
        <w:t>..</w:t>
      </w:r>
      <w:bookmarkStart w:id="259" w:name="pg15042_154904"/>
    </w:p>
    <w:p>
      <w:pPr>
        <w:pStyle w:val="BookText"/>
        <w:rPr/>
      </w:pPr>
      <w:bookmarkEnd w:id="259"/>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دون السماع و القراءة</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عهدنا أئمتنا و إليه نذهب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0" w:name="__RefHeading___Toc403423_2142443653"/>
      <w:bookmarkStart w:id="261" w:name="_Toc96"/>
      <w:bookmarkEnd w:id="260"/>
      <w:r>
        <w:rPr>
          <w:rtl w:val="true"/>
        </w:rPr>
        <w:t>و منها</w:t>
      </w:r>
      <w:r>
        <w:rPr>
          <w:rtl w:val="true"/>
        </w:rPr>
        <w:t xml:space="preserve">: </w:t>
      </w:r>
      <w:r>
        <w:rPr>
          <w:rtl w:val="true"/>
        </w:rPr>
        <w:t>إن يناول الشيخ الطالب سماعه و يجيزه ثم يسترجعه الشيخ و يمسكه</w:t>
      </w:r>
      <w:bookmarkEnd w:id="261"/>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يناول الشيخ الطالب سماعه و يجيزه ثم يسترجعه الشيخ و يمسكه عنده و لا يبقيه عند الطالب، فيرويه الطالب عنه إذا وجده و ظفر به، أو ما قوبل به على وجه يثق معه بموافقته لما تناولته الإجازة على ما هو معتبر في الإجازات المجردة عن المناولة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المرتبة دون ما سبق، لعدم احتواء الطالب على ما تحمله و غيبته عنه، فلهذا لا يكاد يظهر لها مزية على الإجازة المجردة عنها الواقعة في معيّن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جمع من أصحاب الفقه و الاصول أنه لا فائدة فيها</w:t>
      </w:r>
      <w:r>
        <w:rPr>
          <w:rStyle w:val="FootnoteAnchor"/>
          <w:rtl w:val="true"/>
        </w:rPr>
        <w:footnoteReference w:id="430"/>
      </w:r>
      <w:r>
        <w:rPr>
          <w:rFonts w:ascii="Amiri" w:hAnsi="Amiri" w:eastAsia="Amiri" w:cs="Amiri"/>
          <w:color w:val="111111"/>
          <w:sz w:val="28"/>
          <w:sz w:val="28"/>
          <w:szCs w:val="28"/>
          <w:rtl w:val="true"/>
          <w:lang w:bidi="ar-SA"/>
        </w:rPr>
        <w:t xml:space="preserve">، و لكن المشهور بين </w:t>
      </w:r>
      <w:bookmarkStart w:id="262" w:name="pg15042_154905"/>
    </w:p>
    <w:p>
      <w:pPr>
        <w:pStyle w:val="BookText"/>
        <w:rPr/>
      </w:pPr>
      <w:bookmarkEnd w:id="262"/>
      <w:r>
        <w:rPr>
          <w:rFonts w:ascii="Amiri" w:hAnsi="Amiri" w:eastAsia="Amiri" w:cs="Amiri"/>
          <w:color w:val="111111"/>
          <w:sz w:val="28"/>
          <w:sz w:val="28"/>
          <w:szCs w:val="28"/>
          <w:rtl w:val="true"/>
          <w:lang w:bidi="ar-SA"/>
        </w:rPr>
        <w:t xml:space="preserve">شيوخ الحديث قديما و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البداية</w:t>
      </w:r>
      <w:r>
        <w:rPr>
          <w:rStyle w:val="FootnoteAnchor"/>
          <w:rtl w:val="true"/>
        </w:rPr>
        <w:footnoteReference w:id="4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432"/>
      </w:r>
      <w:r>
        <w:rPr>
          <w:rFonts w:ascii="Amiri" w:hAnsi="Amiri" w:eastAsia="Amiri" w:cs="Amiri"/>
          <w:color w:val="111111"/>
          <w:sz w:val="28"/>
          <w:sz w:val="28"/>
          <w:szCs w:val="28"/>
          <w:rtl w:val="true"/>
          <w:lang w:bidi="ar-SA"/>
        </w:rPr>
        <w:t>ان لها مزيّة معتبرة على الإجازة المجرّدة في الجملة باعتبار تحقّق أصل المناولة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3" w:name="__RefHeading___Toc403425_2142443653"/>
      <w:bookmarkStart w:id="264" w:name="_Toc97"/>
      <w:bookmarkEnd w:id="263"/>
      <w:r>
        <w:rPr>
          <w:rtl w:val="true"/>
        </w:rPr>
        <w:t>و منها</w:t>
      </w:r>
      <w:r>
        <w:rPr>
          <w:rtl w:val="true"/>
        </w:rPr>
        <w:t xml:space="preserve">: </w:t>
      </w:r>
      <w:r>
        <w:rPr>
          <w:rtl w:val="true"/>
        </w:rPr>
        <w:t>إن يأتي الطالب الشيخ بكتاب و يقول</w:t>
      </w:r>
      <w:r>
        <w:rPr>
          <w:rtl w:val="true"/>
        </w:rPr>
        <w:t xml:space="preserve">: </w:t>
      </w:r>
      <w:r>
        <w:rPr>
          <w:rtl w:val="true"/>
        </w:rPr>
        <w:t>هذا روايتك فناولنيه و اجزني روايته</w:t>
      </w:r>
      <w:bookmarkEnd w:id="264"/>
    </w:p>
    <w:p>
      <w:pPr>
        <w:pStyle w:val="Heading6"/>
        <w:numPr>
          <w:ilvl w:val="5"/>
          <w:numId w:val="1"/>
        </w:numPr>
        <w:rPr/>
      </w:pPr>
      <w:bookmarkStart w:id="265" w:name="__RefHeading___Toc403427_2142443653"/>
      <w:bookmarkStart w:id="266" w:name="_Toc98"/>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 الطّالب الشيخ بكتاب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روايتك فناولنيه و اجز لي روايته، فيجيبه إليه اعتمادا عليه من دون نظر فيه و لا تحقّق لروايته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غير واحد</w:t>
      </w:r>
      <w:r>
        <w:rPr>
          <w:rStyle w:val="FootnoteAnchor"/>
          <w:rtl w:val="true"/>
        </w:rPr>
        <w:footnoteReference w:id="434"/>
      </w:r>
      <w:r>
        <w:rPr>
          <w:rFonts w:ascii="Amiri" w:hAnsi="Amiri" w:eastAsia="Amiri" w:cs="Amiri"/>
          <w:color w:val="111111"/>
          <w:sz w:val="28"/>
          <w:sz w:val="28"/>
          <w:szCs w:val="28"/>
          <w:rtl w:val="true"/>
          <w:lang w:bidi="ar-SA"/>
        </w:rPr>
        <w:t>ببطلان هذا القسم إن لم يثق بمعرفة الطّالب</w:t>
      </w:r>
      <w:r>
        <w:rPr>
          <w:rStyle w:val="FootnoteAnchor"/>
          <w:rtl w:val="true"/>
        </w:rPr>
        <w:footnoteReference w:id="435"/>
      </w:r>
      <w:r>
        <w:rPr>
          <w:rFonts w:ascii="Amiri" w:hAnsi="Amiri" w:eastAsia="Amiri" w:cs="Amiri"/>
          <w:color w:val="111111"/>
          <w:sz w:val="28"/>
          <w:sz w:val="28"/>
          <w:szCs w:val="28"/>
          <w:rtl w:val="true"/>
          <w:lang w:bidi="ar-SA"/>
        </w:rPr>
        <w:t>، و إن وثق بخبره و بمعرفته بحيث كان ثقة متيقّظا معتمدا عليه صحّ الاعتماد عليه، و كانت مناولة و إجازة جائزة، كما جاز في القراءة على الشّيخ الاعتماد على الطّالب حتّى يكون هو القارئ من الأصل إذا كان موثوقا به معرفة و دينا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7" w:name="__RefHeading___Toc403429_2142443653"/>
      <w:bookmarkStart w:id="268" w:name="_Toc99"/>
      <w:bookmarkEnd w:id="267"/>
      <w:r>
        <w:rPr>
          <w:rtl w:val="true"/>
        </w:rPr>
        <w:t>فرعان</w:t>
      </w:r>
      <w:r>
        <w:rPr>
          <w:rtl w:val="true"/>
        </w:rPr>
        <w:t>:</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اجاز من لا يوثق به ثم بآن أنه يوثق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الشّيخ إن أجاز في صورة كون الطّالب غير موثوق به </w:t>
      </w:r>
      <w:bookmarkStart w:id="269" w:name="pg15042_154906"/>
    </w:p>
    <w:p>
      <w:pPr>
        <w:pStyle w:val="BookText"/>
        <w:rPr/>
      </w:pPr>
      <w:bookmarkEnd w:id="269"/>
      <w:r>
        <w:rPr>
          <w:rFonts w:ascii="Amiri" w:hAnsi="Amiri" w:eastAsia="Amiri" w:cs="Amiri"/>
          <w:color w:val="111111"/>
          <w:sz w:val="28"/>
          <w:sz w:val="28"/>
          <w:szCs w:val="28"/>
          <w:rtl w:val="true"/>
          <w:lang w:bidi="ar-SA"/>
        </w:rPr>
        <w:t>ثمّ تبيّن بعد ذلك بخبر من يعتمد عليه إنّ ذلك كان من مرويّاته، فهل يحكم بصحّة الإجازة و المناولة السّابقتين؟ لم نر من تعرّض لذلك، و الظّاهر نعم، لزوال ما كنّا نخشاه من عدم ثقة المجيز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عني بما فيه إن كان حديثي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إن قال الشيخ في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عنّي بما فيه إن كان حديثي مع براءتي من الغلط و الوهم، كان ذلك جائزا حسنا</w:t>
      </w:r>
      <w:r>
        <w:rPr>
          <w:rStyle w:val="FootnoteAnchor"/>
          <w:rtl w:val="true"/>
        </w:rPr>
        <w:footnoteReference w:id="437"/>
      </w:r>
      <w:r>
        <w:rPr>
          <w:rFonts w:ascii="Amiri" w:hAnsi="Amiri" w:eastAsia="Amiri" w:cs="Amiri"/>
          <w:color w:val="111111"/>
          <w:sz w:val="28"/>
          <w:sz w:val="28"/>
          <w:szCs w:val="28"/>
          <w:rtl w:val="true"/>
          <w:lang w:bidi="ar-SA"/>
        </w:rPr>
        <w:t>لزوال المانع السّابق مع احتمال بقاء المنع للشّك عند الإجازة و تعليقها على الشّرط</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الحق إنّ هذا من باب نقل الحديث بالمناولة إلاّ أنّه تبرك بقراءة بعض الأحاديث، و عليه فعدّه من القسم الثّاني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0" w:name="__RefHeading___Toc403431_2142443653"/>
      <w:bookmarkStart w:id="271" w:name="_Toc100"/>
      <w:bookmarkEnd w:id="270"/>
      <w:r>
        <w:rPr>
          <w:rtl w:val="true"/>
        </w:rPr>
        <w:t>الثاني</w:t>
      </w:r>
      <w:r>
        <w:rPr>
          <w:rtl w:val="true"/>
        </w:rPr>
        <w:t xml:space="preserve">: </w:t>
      </w:r>
      <w:r>
        <w:rPr>
          <w:rtl w:val="true"/>
        </w:rPr>
        <w:t>المناولة المجردة عن الاجازة</w:t>
      </w:r>
      <w:bookmarkEnd w:id="271"/>
    </w:p>
    <w:p>
      <w:pPr>
        <w:pStyle w:val="Heading6"/>
        <w:numPr>
          <w:ilvl w:val="5"/>
          <w:numId w:val="1"/>
        </w:numPr>
        <w:rPr/>
      </w:pPr>
      <w:bookmarkStart w:id="272" w:name="__RefHeading___Toc403433_2142443653"/>
      <w:bookmarkStart w:id="273" w:name="_Toc101"/>
      <w:bookmarkEnd w:id="272"/>
      <w:r>
        <w:rPr>
          <w:rtl w:val="true"/>
        </w:rPr>
        <w:t>اشارة</w:t>
      </w:r>
      <w:bookmarkEnd w:id="27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المناولة المجرّدة عن الإجازة بأن يناوله كتابا،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أو روايتي أو حديثي مقتصرا عليه من غير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أروه عنّي،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روايته عنّي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نحو ذلك، و هذه مناولة مختلّة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وقع الخلاف في جواز الرّواية بها</w:t>
      </w:r>
      <w:r>
        <w:rPr>
          <w:rStyle w:val="FootnoteAnchor"/>
          <w:rtl w:val="true"/>
        </w:rPr>
        <w:footnoteReference w:id="440"/>
      </w:r>
      <w:r>
        <w:rPr>
          <w:rFonts w:ascii="Amiri" w:hAnsi="Amiri" w:eastAsia="Amiri" w:cs="Amiri"/>
          <w:color w:val="111111"/>
          <w:sz w:val="28"/>
          <w:sz w:val="28"/>
          <w:szCs w:val="28"/>
          <w:rtl w:val="true"/>
          <w:lang w:bidi="ar-SA"/>
        </w:rPr>
        <w:t>على قولين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المحكي عن بعض المحدّثين كالرّازي</w:t>
      </w:r>
      <w:r>
        <w:rPr>
          <w:rStyle w:val="FootnoteAnchor"/>
          <w:rtl w:val="true"/>
        </w:rPr>
        <w:footnoteReference w:id="441"/>
      </w:r>
      <w:r>
        <w:rPr>
          <w:rFonts w:ascii="Amiri" w:hAnsi="Amiri" w:eastAsia="Amiri" w:cs="Amiri"/>
          <w:color w:val="111111"/>
          <w:sz w:val="28"/>
          <w:sz w:val="28"/>
          <w:szCs w:val="28"/>
          <w:rtl w:val="true"/>
          <w:lang w:bidi="ar-SA"/>
        </w:rPr>
        <w:t xml:space="preserve">استنادا إلى حصول العلم بكونه مرويّا له مع إشعارها بالإذن له في الرّواية، و إلى ما روى عن ابن عباس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بكتابه إلى كسرى مع عبد اللّه بن حذافة و أمره أن يدفعه إلى عظيم البحرين، و يدفعه عظيم البحرين إلى </w:t>
      </w:r>
    </w:p>
    <w:p>
      <w:pPr>
        <w:pStyle w:val="BookText"/>
        <w:rPr/>
      </w:pPr>
      <w:r>
        <w:rPr>
          <w:rFonts w:ascii="Amiri" w:hAnsi="Amiri" w:eastAsia="Amiri" w:cs="Amiri"/>
          <w:color w:val="111111"/>
          <w:sz w:val="28"/>
          <w:sz w:val="28"/>
          <w:szCs w:val="28"/>
          <w:rtl w:val="true"/>
          <w:lang w:bidi="ar-SA"/>
        </w:rPr>
        <w:t>كسرى</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نصت على الرواية المعاجم الحديثية عند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باب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كتاب الجهاد 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المغازي 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كتاب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كسرى و قيصر، كتاب أخبار الآحاد، باب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1774</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 و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أخبارنا روى في الكافي بإسناده إلى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من أصحابنا يعطيني الكتاب و لا يقول اروه عنّي، يجوز لي أن ارويه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في تعليقة السّيد الدّاماد على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ذيل هذا الحديث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فريق من الأصحاب إلى جواز الرّواية بالمناولة المجرّدة عن صريح الإجازة إذا ناول الشيخ تلميذه كتابا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أو روايتي مقتصرا عليه، استدلالا بحصول العلم في ذلك بكونه مرويّا له، مع الإشعار بالاذن للتلميذ في الرّواية، و استنادا إلى رواية أحمد بن عمر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من يذهب إلى ذلك يستند بما روى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الصّحيح عندي عدم الجواز على ما عليه الأكثر، و الإشعار بالإذن بمجرّد تلك المناولة غير مستبين، و الرّواية ليست في حريم النّزاع أصلا، فإن أحد العائدين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بالتثنية، أي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للكتاب و الآخر للرجل، و المفاد جواز رواية ذلك الكتاب عن ذلك الرّجل و التّحدث بأنه له و بأنه قال فيه كذا، و لذلك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 و ليس في منطوقها و لا في شيء من مفاهيمها رواية ما في الكتاب من الحديث عنه عمّن يرويه عنه أحد من المعصومين صلوات اللّه و تسليماته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أنّ رواية الكتاب عن الرّجل و اسناده إليه و الحكم بأنه قال أو روى فيه كذا، أو رواية ما في الكتاب من الحديث عن الرّجل بسنده عن المعصوم مقامان متباينان في علم أصول الحديث، و هذه الرواية إنما هي في المقام الأول، و ليست هي من المقام الثّاني في شيء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أيضا سيأتي أنّ منهم من أجاز الرّواية بمجرّد إعلام</w:t>
      </w:r>
    </w:p>
    <w:p>
      <w:pPr>
        <w:pStyle w:val="BookText"/>
        <w:rPr/>
      </w:pPr>
      <w:r>
        <w:rPr>
          <w:rFonts w:ascii="Amiri" w:hAnsi="Amiri" w:eastAsia="Amiri" w:cs="Amiri"/>
          <w:color w:val="111111"/>
          <w:sz w:val="28"/>
          <w:sz w:val="28"/>
          <w:szCs w:val="28"/>
          <w:rtl w:val="true"/>
          <w:lang w:bidi="ar-SA"/>
        </w:rPr>
        <w:t>الشيخ الطّالب انّ هذا الكتاب سماعه من فلان، و هذا يزيد على ذلك و يرجح بما فيه من المناولة، فإنّها لا تخلو من إشعار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المحكي عن الفقهاء و أصحاب الاصول</w:t>
      </w:r>
      <w:r>
        <w:rPr>
          <w:rStyle w:val="FootnoteAnchor"/>
          <w:rtl w:val="true"/>
        </w:rPr>
        <w:footnoteReference w:id="444"/>
      </w:r>
      <w:r>
        <w:rPr>
          <w:rFonts w:ascii="IRNazanin" w:hAnsi="IRNazanin" w:eastAsia="IRNazanin"/>
          <w:color w:val="111111"/>
          <w:sz w:val="28"/>
          <w:sz w:val="28"/>
          <w:szCs w:val="28"/>
          <w:rtl w:val="true"/>
          <w:lang w:bidi="fa-IR"/>
        </w:rPr>
        <w:t xml:space="preserve">و عابوا </w:t>
      </w:r>
      <w:bookmarkStart w:id="274" w:name="pg15042_154910"/>
    </w:p>
    <w:p>
      <w:pPr>
        <w:pStyle w:val="BookText"/>
        <w:rPr/>
      </w:pPr>
      <w:bookmarkEnd w:id="274"/>
      <w:r>
        <w:rPr>
          <w:rFonts w:ascii="Amiri" w:hAnsi="Amiri" w:eastAsia="Amiri" w:cs="Amiri"/>
          <w:color w:val="111111"/>
          <w:sz w:val="28"/>
          <w:sz w:val="28"/>
          <w:szCs w:val="28"/>
          <w:rtl w:val="true"/>
          <w:lang w:bidi="ar-SA"/>
        </w:rPr>
        <w:t>المحدّثين المجوّزين لها و للرواية بها، و لم أقف لهذا القول على مستند صالح</w:t>
      </w:r>
      <w:r>
        <w:rPr>
          <w:rStyle w:val="FootnoteAnchor"/>
          <w:rtl w:val="true"/>
        </w:rPr>
        <w:footnoteReference w:id="445"/>
      </w:r>
      <w:r>
        <w:rPr>
          <w:rFonts w:ascii="Amiri" w:hAnsi="Amiri" w:eastAsia="Amiri" w:cs="Amiri"/>
          <w:color w:val="111111"/>
          <w:sz w:val="28"/>
          <w:sz w:val="28"/>
          <w:szCs w:val="28"/>
          <w:rtl w:val="true"/>
          <w:lang w:bidi="ar-SA"/>
        </w:rPr>
        <w:t>، فالأظهر ما في خبر أحمد المذكور من جواز الرّواية بها إذا علم أنّ الكتاب للشيخ دون ما إذا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أجاد بعض الأجلّة</w:t>
      </w:r>
      <w:r>
        <w:rPr>
          <w:rStyle w:val="FootnoteAnchor"/>
          <w:rtl w:val="true"/>
        </w:rPr>
        <w:footnoteReference w:id="446"/>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للمنع من رواية ما تحمله بالمناولة المجرّدة وجه، و أي مدخل لإذن الشيخ بعد إذن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أمره و أمر اللّه تعالى برواية الأحاديث، بل ضبطها و نشرها بين الشّيعة و في المجالس؟ و منه يظهر أنه لا يلتفت إلى منعه لو منع أيضا ما لم يكن منشأه خلل في نقله أو ضبطه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العجب من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الدّراية</w:t>
      </w:r>
      <w:r>
        <w:rPr>
          <w:rStyle w:val="FootnoteAnchor"/>
          <w:rtl w:val="true"/>
        </w:rPr>
        <w:footnoteReference w:id="448"/>
      </w:r>
      <w:r>
        <w:rPr>
          <w:rFonts w:ascii="Amiri" w:hAnsi="Amiri" w:eastAsia="Amiri" w:cs="Amiri"/>
          <w:color w:val="111111"/>
          <w:sz w:val="28"/>
          <w:sz w:val="28"/>
          <w:szCs w:val="28"/>
          <w:rtl w:val="true"/>
          <w:lang w:bidi="ar-SA"/>
        </w:rPr>
        <w:t>حيث أنّه مع مصيره إلى المنع من غير ذكر وجهه، روى خبر أحمد بن عمر المذكور الدّال على الجواز و لم يردّه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403435_2142443653"/>
      <w:bookmarkStart w:id="276" w:name="_Toc102"/>
      <w:bookmarkEnd w:id="275"/>
      <w:r>
        <w:rPr>
          <w:rtl w:val="true"/>
        </w:rPr>
        <w:t>تذييل</w:t>
      </w:r>
      <w:r>
        <w:rPr>
          <w:rtl w:val="true"/>
        </w:rPr>
        <w:t xml:space="preserve">: </w:t>
      </w:r>
      <w:r>
        <w:rPr>
          <w:rtl w:val="true"/>
        </w:rPr>
        <w:t>الفاظ الأداء لمن تحمل بالاجازة و المناولة</w:t>
      </w:r>
      <w:bookmarkEnd w:id="276"/>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ألفاظ الأداء لمن تحمل بالإجازة و المناولة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جمع</w:t>
      </w:r>
      <w:r>
        <w:rPr>
          <w:rStyle w:val="FootnoteAnchor"/>
          <w:rtl w:val="true"/>
        </w:rPr>
        <w:footnoteReference w:id="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روى بالمناولة بأيّ معنى فرض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مناولة أو أخبرنا مناولة غير مقتصر على حدّثنا و أخبرنا لإيهامه السّماع أو القراءة</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ما قاله متّفقا عليه كما قاله في أول ثالث أقسام التّحمل، و هذا تهافت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يطلق، خصوصا في المناولة المقترنة بالإجازة، لما عرفت من أنّها في معنى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جوّز الزّهري</w:t>
      </w:r>
      <w:r>
        <w:rPr>
          <w:rStyle w:val="FootnoteAnchor"/>
          <w:rtl w:val="true"/>
        </w:rPr>
        <w:footnoteReference w:id="452"/>
      </w:r>
      <w:r>
        <w:rPr>
          <w:rFonts w:ascii="Amiri" w:hAnsi="Amiri" w:eastAsia="Amiri" w:cs="Amiri"/>
          <w:color w:val="111111"/>
          <w:sz w:val="28"/>
          <w:sz w:val="28"/>
          <w:szCs w:val="28"/>
          <w:rtl w:val="true"/>
          <w:lang w:bidi="ar-SA"/>
        </w:rPr>
        <w:t>و مالك و الحسن البصري</w:t>
      </w:r>
      <w:r>
        <w:rPr>
          <w:rStyle w:val="FootnoteAnchor"/>
          <w:rtl w:val="true"/>
        </w:rPr>
        <w:footnoteReference w:id="453"/>
      </w:r>
      <w:r>
        <w:rPr>
          <w:rFonts w:ascii="Amiri" w:hAnsi="Amiri" w:eastAsia="Amiri" w:cs="Amiri"/>
          <w:color w:val="111111"/>
          <w:sz w:val="28"/>
          <w:sz w:val="28"/>
          <w:szCs w:val="28"/>
          <w:rtl w:val="true"/>
          <w:lang w:bidi="ar-SA"/>
        </w:rPr>
        <w:t>إطلاق حدّثنا و أخبرنا في الرّواية بالمناولة مطلقا، و عن أبي نعيم الأصبهاني</w:t>
      </w:r>
      <w:r>
        <w:rPr>
          <w:rStyle w:val="FootnoteAnchor"/>
          <w:rtl w:val="true"/>
        </w:rPr>
        <w:footnoteReference w:id="454"/>
      </w:r>
      <w:r>
        <w:rPr>
          <w:rFonts w:ascii="Amiri" w:hAnsi="Amiri" w:eastAsia="Amiri" w:cs="Amiri"/>
          <w:color w:val="111111"/>
          <w:sz w:val="28"/>
          <w:sz w:val="28"/>
          <w:szCs w:val="28"/>
          <w:rtl w:val="true"/>
          <w:lang w:bidi="ar-SA"/>
        </w:rPr>
        <w:t>و أبي عبد اللّه المرزباني</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226/5</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210/7</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تجويز إطلاق حدّثنا</w:t>
      </w:r>
    </w:p>
    <w:p>
      <w:pPr>
        <w:pStyle w:val="BookText"/>
        <w:rPr/>
      </w:pPr>
      <w:r>
        <w:rPr>
          <w:rFonts w:ascii="Amiri" w:hAnsi="Amiri" w:eastAsia="Amiri" w:cs="Amiri"/>
          <w:color w:val="111111"/>
          <w:sz w:val="28"/>
          <w:sz w:val="28"/>
          <w:szCs w:val="28"/>
          <w:rtl w:val="true"/>
          <w:lang w:bidi="ar-SA"/>
        </w:rPr>
        <w:t xml:space="preserve">و أخبرنا في الإجازة المجرّدة عن المناولة أيضا، و لكن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البداية</w:t>
      </w:r>
      <w:r>
        <w:rPr>
          <w:rStyle w:val="FootnoteAnchor"/>
          <w:rtl w:val="true"/>
        </w:rPr>
        <w:footnoteReference w:id="45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إطلاق ذلك و اعتبار ضميمة القيد بالمناولة أو الإجازة أو الإذن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نحوها، كحدّثنا، أو أخبرنا إجازة، أو مناولة و إجازة، أو إذنا، أو في اذنه، أو فيما أذن لي فيه، أو فيما اطلق لي روايته، أو أجازني، أو أجاز لي، أو ناولني، أو سوغ لي أن أروي عنه و أباح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الأوزاعي تخصيص الإجازة بخبّرنا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تخصيص القراءة باخبرنا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العراقي</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يخل من النّزاع لأنّ خبر و اخبر بمعنى واحد لغة و اصطلاحا</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دقيق العبد</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و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262/4</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236/6</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يجوز في الإجازة اخبرنا لا مطلقا و لا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مقيّدا، لبعد دلالة لفظ الإجازة على الأخبار، إذ معناه في الوضع الإذن في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سمع الإسناد من الشّيخ و ناوله الكتاب جاز له إطلاق اخبرنا، لأنّه صدق عليه أنّه اخبره بالكتاب و إن كان إخبارا جمليا</w:t>
      </w:r>
      <w:r>
        <w:rPr>
          <w:rStyle w:val="FootnoteAnchor"/>
          <w:rtl w:val="true"/>
        </w:rPr>
        <w:footnoteReference w:id="461"/>
      </w:r>
      <w:r>
        <w:rPr>
          <w:rFonts w:ascii="Amiri" w:hAnsi="Amiri" w:eastAsia="Amiri" w:cs="Amiri"/>
          <w:color w:val="111111"/>
          <w:sz w:val="28"/>
          <w:sz w:val="28"/>
          <w:szCs w:val="28"/>
          <w:rtl w:val="true"/>
          <w:lang w:bidi="ar-SA"/>
        </w:rPr>
        <w:t>، فلا فرق بينه و بين التّفصيلي</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 إلى قوم من المتأخرين انّهم اصطلحوا على إطلاق انبأنا في الإجازة</w:t>
      </w:r>
      <w:r>
        <w:rPr>
          <w:rStyle w:val="FootnoteAnchor"/>
          <w:rtl w:val="true"/>
        </w:rPr>
        <w:footnoteReference w:id="463"/>
      </w:r>
      <w:r>
        <w:rPr>
          <w:rFonts w:ascii="Amiri" w:hAnsi="Amiri" w:eastAsia="Amiri" w:cs="Amiri"/>
          <w:color w:val="111111"/>
          <w:sz w:val="28"/>
          <w:sz w:val="28"/>
          <w:szCs w:val="28"/>
          <w:rtl w:val="true"/>
          <w:lang w:bidi="ar-SA"/>
        </w:rPr>
        <w:t>، و لكن المعروف عند المتقدّمين انّها بمنزلة اخبرنا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للجمع بين الاصطلاحين عبّر بعضهم بأنبأنا إجازة، فإنّه جامع بين اصطلاح المتأخّرين و بين التّصريح بالإجازة</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آخرين التّعبير فيما عرض على المحدّث فأجازه شفاها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انبأني، و فيما كتب إليه كتب إليّ‌</w:t>
      </w:r>
      <w:r>
        <w:rPr>
          <w:rStyle w:val="FootnoteAnchor"/>
          <w:rtl w:val="true"/>
        </w:rPr>
        <w:footnoteReference w:id="465"/>
      </w:r>
      <w:r>
        <w:rPr>
          <w:rFonts w:ascii="IRNazanin" w:hAnsi="IRNazanin" w:eastAsia="IRNazanin"/>
          <w:color w:val="111111"/>
          <w:sz w:val="28"/>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قوم تخصيص الإجازة بعبارات لم يسلموا فيها من التّدليس كقولهم في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و حدّثنا مشافهة إذا كان قد شافهه بالإجازة</w:t>
      </w:r>
      <w:r>
        <w:rPr>
          <w:rStyle w:val="FootnoteAnchor"/>
          <w:rtl w:val="true"/>
        </w:rPr>
        <w:footnoteReference w:id="466"/>
      </w:r>
      <w:r>
        <w:rPr>
          <w:rFonts w:ascii="Amiri" w:hAnsi="Amiri" w:eastAsia="Amiri" w:cs="Amiri"/>
          <w:color w:val="111111"/>
          <w:sz w:val="28"/>
          <w:sz w:val="28"/>
          <w:szCs w:val="28"/>
          <w:rtl w:val="true"/>
          <w:lang w:bidi="ar-SA"/>
        </w:rPr>
        <w:t>، و اخبرنا كتابة أو فيما كتب إلي إذا كان قد أجازه بخطّه، و هذا و نحوه لا يخلو من التّدليس لما فيه من الاشتراك و الاشتباه بما هو أعلى منه، أمّا المشافهة فلتوهّم مشافهته بالتّحديث، و أمّا الكتابة فلتوهّم أنه كتب إليه بذلك الحديث بعينه كما كان يفعله المتقدّمون، و قد نصّ أبو المظفّر الهمداني</w:t>
      </w:r>
      <w:r>
        <w:rPr>
          <w:rStyle w:val="FootnoteAnchor"/>
          <w:rtl w:val="true"/>
        </w:rPr>
        <w:footnoteReference w:id="467"/>
      </w:r>
      <w:r>
        <w:rPr>
          <w:rFonts w:ascii="Amiri" w:hAnsi="Amiri" w:eastAsia="Amiri" w:cs="Amiri"/>
          <w:color w:val="111111"/>
          <w:sz w:val="28"/>
          <w:sz w:val="28"/>
          <w:szCs w:val="28"/>
          <w:rtl w:val="true"/>
          <w:lang w:bidi="ar-SA"/>
        </w:rPr>
        <w:t>على المنع من ذلك للإيهام المذكور، لكن ربّما قيل إنّه بعد أن صار الآن ذلك اصطلاحا زال ذلك المحذور، و لذا يحكى عن القسطلاني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الخاص من كثرة الاستعمال يرفع ما يتوقّع من الإشكال</w:t>
      </w:r>
      <w:r>
        <w:rPr>
          <w:rStyle w:val="FootnoteAnchor"/>
          <w:rtl w:val="true"/>
        </w:rPr>
        <w:footnoteReference w:id="468"/>
      </w:r>
      <w:r>
        <w:rPr>
          <w:rFonts w:ascii="Amiri" w:hAnsi="Amiri" w:eastAsia="Amiri" w:cs="Amiri"/>
          <w:color w:val="111111"/>
          <w:sz w:val="28"/>
          <w:sz w:val="28"/>
          <w:szCs w:val="28"/>
          <w:rtl w:val="true"/>
          <w:lang w:bidi="ar-SA"/>
        </w:rPr>
        <w:t xml:space="preserve">، و عبّر قوم في الرّواية بالسّماع عن الإجازة باخبرنا فلان أنّ فلانا حدّثه أو اخبره، فاستعملوا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في الإجازة، و ضعّفه بعضهم ببعده عن الإشعار بالإجازة و عدم انفهام المراد منه، و لا اعتيد هذا الوضع في المسألة لغة و لا عرفا، و استعمل المتأخّرون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البداية</w:t>
      </w:r>
      <w:r>
        <w:rPr>
          <w:rStyle w:val="FootnoteAnchor"/>
          <w:rtl w:val="true"/>
        </w:rPr>
        <w:footnoteReference w:id="46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الإجازة الواقعة في رواية من فوق </w:t>
      </w:r>
    </w:p>
    <w:p>
      <w:pPr>
        <w:pStyle w:val="BookText"/>
        <w:rPr/>
      </w:pPr>
      <w:r>
        <w:rPr>
          <w:rFonts w:ascii="Amiri" w:hAnsi="Amiri" w:eastAsia="Amiri" w:cs="Amiri"/>
          <w:color w:val="111111"/>
          <w:sz w:val="28"/>
          <w:sz w:val="28"/>
          <w:szCs w:val="28"/>
          <w:rtl w:val="true"/>
          <w:lang w:bidi="ar-SA"/>
        </w:rPr>
        <w:t>الشيخ حرف عن، فيقول احدهم إذا سمع شيخا بإجازته عن شيخه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فلان عن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العنعنة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ليتميّز عن السّماع الصّريح، فإنّ عن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عن فلان و انبأتك عن فلان للمجاوزة، لأن المروي و المنبأ به مجاوز لمن أخذ عنه</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قال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الأداء على ثمان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حدّثني ثمّ أخبرني و قرأت عليه ثم قرئ عليه و أنا أسمع ثمّ أنبأني ثمّ ناولني ثمّ شافهني بالإجازة ثمّ كتب إليّ بالإجازة ثمّ عن و نحوها من الصّيغ المحتملة للسماع و الإجازة و لعدم السّماع أيضا، و هذا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ذكر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 من عده ثماني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أمر نبّه عليه جمع</w:t>
      </w:r>
      <w:r>
        <w:rPr>
          <w:rStyle w:val="FootnoteAnchor"/>
          <w:rtl w:val="true"/>
        </w:rPr>
        <w:footnoteReference w:id="472"/>
      </w:r>
      <w:r>
        <w:rPr>
          <w:rFonts w:ascii="Amiri" w:hAnsi="Amiri" w:eastAsia="Amiri" w:cs="Amiri"/>
          <w:color w:val="111111"/>
          <w:sz w:val="28"/>
          <w:sz w:val="28"/>
          <w:szCs w:val="28"/>
          <w:rtl w:val="true"/>
          <w:lang w:bidi="ar-SA"/>
        </w:rPr>
        <w:t>و هو أنّه لا يزول المنع من إطلاق اخبرنا و حدّثنا في الإجازة بإباحة المجيز لذلك كما اعتاده قوم من المشايخ من قولهم في إجازاتهم لمن يجيزون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قال حدّثنا و إن شاء قال اخبرنا، لأنّ إباحة الشيخ لا يغيّر بها الممنوع في المصطلح، و العبارة إذا لم تفد ذلك لم تفد إذن المجيز كما هو ظاهر</w:t>
      </w:r>
      <w:r>
        <w:rPr>
          <w:rFonts w:eastAsia="Amiri" w:cs="Amiri" w:ascii="Amiri" w:hAnsi="Amiri"/>
          <w:color w:val="111111"/>
          <w:sz w:val="28"/>
          <w:szCs w:val="28"/>
          <w:rtl w:val="true"/>
          <w:lang w:bidi="ar-SA"/>
        </w:rPr>
        <w:t xml:space="preserve">. </w:t>
      </w:r>
      <w:bookmarkStart w:id="277" w:name="pg15042_154916"/>
    </w:p>
    <w:p>
      <w:pPr>
        <w:pStyle w:val="Heading6"/>
        <w:numPr>
          <w:ilvl w:val="5"/>
          <w:numId w:val="1"/>
        </w:numPr>
        <w:rPr/>
      </w:pPr>
      <w:bookmarkStart w:id="278" w:name="__RefHeading___Toc403437_2142443653"/>
      <w:bookmarkStart w:id="279" w:name="_Toc103"/>
      <w:bookmarkEnd w:id="277"/>
      <w:bookmarkEnd w:id="278"/>
      <w:r>
        <w:rPr>
          <w:rtl w:val="true"/>
        </w:rPr>
        <w:t>خامسها</w:t>
      </w:r>
      <w:r>
        <w:rPr>
          <w:rtl w:val="true"/>
        </w:rPr>
        <w:t xml:space="preserve">: </w:t>
      </w:r>
      <w:r>
        <w:rPr>
          <w:rtl w:val="true"/>
        </w:rPr>
        <w:t>الكتابة</w:t>
      </w:r>
      <w:r>
        <w:rPr>
          <w:rtl w:val="true"/>
        </w:rPr>
        <w:t xml:space="preserve">: </w:t>
      </w:r>
      <w:r>
        <w:rPr>
          <w:rtl w:val="true"/>
        </w:rPr>
        <w:t>و هنا مطالب</w:t>
      </w:r>
      <w:r>
        <w:rPr>
          <w:rtl w:val="true"/>
        </w:rPr>
        <w:t>:</w:t>
      </w:r>
      <w:bookmarkEnd w:id="279"/>
    </w:p>
    <w:p>
      <w:pPr>
        <w:pStyle w:val="Heading6"/>
        <w:numPr>
          <w:ilvl w:val="5"/>
          <w:numId w:val="1"/>
        </w:numPr>
        <w:rPr/>
      </w:pPr>
      <w:bookmarkStart w:id="280" w:name="__RefHeading___Toc403439_2142443653"/>
      <w:bookmarkStart w:id="281" w:name="_Toc104"/>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و قد عبّر عنها بعضهم بالمكاتبة</w:t>
      </w:r>
      <w:r>
        <w:rPr>
          <w:rStyle w:val="FootnoteAnchor"/>
          <w:rtl w:val="true"/>
        </w:rPr>
        <w:footnoteReference w:id="473"/>
      </w:r>
      <w:r>
        <w:rPr>
          <w:rFonts w:ascii="Amiri" w:hAnsi="Amiri" w:eastAsia="Amiri" w:cs="Amiri"/>
          <w:color w:val="111111"/>
          <w:sz w:val="28"/>
          <w:sz w:val="28"/>
          <w:szCs w:val="28"/>
          <w:rtl w:val="true"/>
          <w:lang w:bidi="ar-SA"/>
        </w:rPr>
        <w:t xml:space="preserve">و هو خطأ، لمنافاة ذلك لما اصطلحوا عليه من إطلاق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إذا كان سؤال الرّاوي و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بالكتابة، فالأجود التّعبير بالكتابة هنا كما عليه الأكثر حتّى يزول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التّحمل بالكتابة هو أن يكتب الشيخ مسموعه أو شيئا من حديثه لحاضر عنده أو غائب عنه</w:t>
      </w:r>
      <w:r>
        <w:rPr>
          <w:rStyle w:val="FootnoteAnchor"/>
          <w:rtl w:val="true"/>
        </w:rPr>
        <w:footnoteReference w:id="475"/>
      </w:r>
      <w:r>
        <w:rPr>
          <w:rFonts w:ascii="Amiri" w:hAnsi="Amiri" w:eastAsia="Amiri" w:cs="Amiri"/>
          <w:color w:val="111111"/>
          <w:sz w:val="28"/>
          <w:sz w:val="28"/>
          <w:szCs w:val="28"/>
          <w:rtl w:val="true"/>
          <w:lang w:bidi="ar-SA"/>
        </w:rPr>
        <w:t>، أو يأذن لثقة يعرف خطّه بكتبه له أو يكتب مجهول الخطّ بأمره، و يكتب الشيخ بعده ما يدلّ على أمره بكتابته</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قد تجامع الوصية كما إذا ناوله بنفسه أو أمر أو أوصى به موصل مع ابلاغ قوله أنّه روايتي أو سماعي إليه بغير هذا المكتوب، و قد يفارقه كما إذا وجده مكتوبا إليه من غير مناولة أو من غير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سماعي، و إن كان مكتوبا فيه ذلك، و على كل بين الكتابة و المناولة عموم من وجه بحسب المورد، أمّا اعتبار مورد الجمع أو قوته، فيتبع الأقوى لفرض ثبوت أكمل الوجودين الّذي لا ينافيه الأنقص، و هو في الحقيقة مجمع أسباب الاعتضاد و الاعتبار فيكون أكمل، و هذا غير مورد التّبعيّة للأضعف، فإنّها حيث انتفت القوة في بعض المراتب و المقدّمات و الفرق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موارد الافتراق فالظّاهر خصوصا بملاحظة تعبيراتهم من جهة التّرتيب الذكري و غيره أن المناولة أقوى لوضوح استفادة كونه روايته و إذنه لغيره في الرواية عنه بما هو منتف في الكتابة، فإن الخط غايته المظنّة في الغالب، و لهذا ادعي الإجماع على عدم اجازة الأحكام للقضاة و غيرهم بالكتابة دون المناولة، هذا و قد يقوى الأخير مع حصول الاهتمام حيث كان بخط و إن ندر، كما أفاده المولى الكني في توضيح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الموسوعات الفقهيّة، فراجع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2" w:name="pg15042_154917"/>
    </w:p>
    <w:p>
      <w:pPr>
        <w:pStyle w:val="BookText"/>
        <w:rPr/>
      </w:pPr>
      <w:bookmarkEnd w:id="282"/>
      <w:r>
        <w:rPr>
          <w:rFonts w:ascii="IRNazanin" w:hAnsi="IRNazanin" w:eastAsia="IRNazanin"/>
          <w:color w:val="111111"/>
          <w:sz w:val="28"/>
          <w:sz w:val="28"/>
          <w:szCs w:val="28"/>
          <w:rtl w:val="true"/>
          <w:lang w:bidi="fa-IR"/>
        </w:rPr>
        <w:t>و هنا مطالب</w:t>
      </w:r>
      <w:r>
        <w:rPr>
          <w:rFonts w:eastAsia="IRNazanin" w:cs="IRNazanin"/>
          <w:color w:val="111111"/>
          <w:sz w:val="28"/>
          <w:szCs w:val="28"/>
          <w:rtl w:val="true"/>
          <w:lang w:bidi="fa-IR"/>
        </w:rPr>
        <w:t>:</w:t>
      </w:r>
    </w:p>
    <w:p>
      <w:pPr>
        <w:pStyle w:val="Heading6"/>
        <w:numPr>
          <w:ilvl w:val="5"/>
          <w:numId w:val="1"/>
        </w:numPr>
        <w:rPr/>
      </w:pPr>
      <w:bookmarkStart w:id="283" w:name="__RefHeading___Toc403441_2142443653"/>
      <w:bookmarkStart w:id="284" w:name="_Toc105"/>
      <w:bookmarkEnd w:id="283"/>
      <w:r>
        <w:rPr>
          <w:rtl w:val="true"/>
        </w:rPr>
        <w:t>الاول</w:t>
      </w:r>
      <w:r>
        <w:rPr>
          <w:rtl w:val="true"/>
        </w:rPr>
        <w:t xml:space="preserve">: </w:t>
      </w:r>
      <w:r>
        <w:rPr>
          <w:rtl w:val="true"/>
        </w:rPr>
        <w:t>الكتابة على حزبين</w:t>
      </w:r>
      <w:bookmarkEnd w:id="284"/>
    </w:p>
    <w:p>
      <w:pPr>
        <w:pStyle w:val="Heading6"/>
        <w:numPr>
          <w:ilvl w:val="5"/>
          <w:numId w:val="1"/>
        </w:numPr>
        <w:rPr/>
      </w:pPr>
      <w:bookmarkStart w:id="285" w:name="__RefHeading___Toc403443_2142443653"/>
      <w:bookmarkStart w:id="286" w:name="_Toc106"/>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الكتابة ضربان</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403445_2142443653"/>
      <w:bookmarkStart w:id="288" w:name="_Toc107"/>
      <w:bookmarkEnd w:id="287"/>
      <w:r>
        <w:rPr>
          <w:rtl w:val="true"/>
        </w:rPr>
        <w:t>الكتابة مقرونة بالاجازة</w:t>
      </w:r>
      <w:bookmarkEnd w:id="28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الكتابة مقرونة بالإجازة، بأن يكتب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لك ما كتبته لك أو كتبت إليك أو ما كتبت به إليك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من عبارات الإجازة</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403447_2142443653"/>
      <w:bookmarkStart w:id="290" w:name="_Toc108"/>
      <w:bookmarkEnd w:id="289"/>
      <w:r>
        <w:rPr>
          <w:rtl w:val="true"/>
        </w:rPr>
        <w:t>الكتابة المجردة عن الاجازة</w:t>
      </w:r>
      <w:bookmarkEnd w:id="290"/>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مجرّدة عن الإجازة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المقرونة بالإجازة، فقد صرّح جمع</w:t>
      </w:r>
      <w:r>
        <w:rPr>
          <w:rStyle w:val="FootnoteAnchor"/>
          <w:rtl w:val="true"/>
        </w:rPr>
        <w:footnoteReference w:id="477"/>
      </w:r>
      <w:r>
        <w:rPr>
          <w:rFonts w:ascii="Amiri" w:hAnsi="Amiri" w:eastAsia="Amiri" w:cs="Amiri"/>
          <w:color w:val="111111"/>
          <w:sz w:val="28"/>
          <w:sz w:val="28"/>
          <w:szCs w:val="28"/>
          <w:rtl w:val="true"/>
          <w:lang w:bidi="ar-SA"/>
        </w:rPr>
        <w:t xml:space="preserve">بأنّها في الصّحة </w:t>
      </w:r>
    </w:p>
    <w:p>
      <w:pPr>
        <w:pStyle w:val="BookText"/>
        <w:rPr/>
      </w:pPr>
      <w:r>
        <w:rPr>
          <w:rFonts w:ascii="Amiri" w:hAnsi="Amiri" w:eastAsia="Amiri" w:cs="Amiri"/>
          <w:color w:val="111111"/>
          <w:sz w:val="28"/>
          <w:sz w:val="28"/>
          <w:szCs w:val="28"/>
          <w:rtl w:val="true"/>
          <w:lang w:bidi="ar-SA"/>
        </w:rPr>
        <w:t>و القوّة كالمناولة المقرونة بالإجازة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المجرّدة عنها، فقد وقع الخلاف في جواز الرّواية بها، فمنعها قوم منهم القاضي أبو الحسن الماوردي و الآمدي و ابن القطان</w:t>
      </w:r>
      <w:r>
        <w:rPr>
          <w:rStyle w:val="FootnoteAnchor"/>
          <w:rtl w:val="true"/>
        </w:rPr>
        <w:footnoteReference w:id="478"/>
      </w:r>
      <w:r>
        <w:rPr>
          <w:rFonts w:ascii="Amiri" w:hAnsi="Amiri" w:eastAsia="Amiri" w:cs="Amiri"/>
          <w:color w:val="111111"/>
          <w:sz w:val="28"/>
          <w:sz w:val="28"/>
          <w:szCs w:val="28"/>
          <w:rtl w:val="true"/>
          <w:lang w:bidi="ar-SA"/>
        </w:rPr>
        <w:t>، من حيث أنّ الكتابة لا تقتضي الإجازة لما تقدّم من أنّها اخبار أو اذن و كلاهما لفظي، و لأنّ الخطوط تشتبه فلا يجوز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عزى إلى كثير من المتقدّمين و المتأخّرين و أصحاب الاصول تجويز ذلك</w:t>
      </w:r>
      <w:r>
        <w:rPr>
          <w:rStyle w:val="FootnoteAnchor"/>
          <w:rtl w:val="true"/>
        </w:rPr>
        <w:footnoteReference w:id="479"/>
      </w:r>
      <w:r>
        <w:rPr>
          <w:rFonts w:ascii="Amiri" w:hAnsi="Amiri" w:eastAsia="Amiri" w:cs="Amiri"/>
          <w:color w:val="111111"/>
          <w:sz w:val="28"/>
          <w:sz w:val="28"/>
          <w:szCs w:val="28"/>
          <w:rtl w:val="true"/>
          <w:lang w:bidi="ar-SA"/>
        </w:rPr>
        <w:t>، بل في البداية أنّه الأشهر</w:t>
      </w:r>
      <w:r>
        <w:rPr>
          <w:rStyle w:val="FootnoteAnchor"/>
          <w:rtl w:val="true"/>
        </w:rPr>
        <w:footnoteReference w:id="480"/>
      </w:r>
      <w:r>
        <w:rPr>
          <w:rFonts w:ascii="Amiri" w:hAnsi="Amiri" w:eastAsia="Amiri" w:cs="Amiri"/>
          <w:color w:val="111111"/>
          <w:sz w:val="28"/>
          <w:sz w:val="28"/>
          <w:szCs w:val="28"/>
          <w:rtl w:val="true"/>
          <w:lang w:bidi="ar-SA"/>
        </w:rPr>
        <w:t>، و في غيرها أنّه المشهور بين أهل الحديث</w:t>
      </w:r>
      <w:r>
        <w:rPr>
          <w:rStyle w:val="FootnoteAnchor"/>
          <w:rtl w:val="true"/>
        </w:rPr>
        <w:footnoteReference w:id="481"/>
      </w:r>
      <w:r>
        <w:rPr>
          <w:rFonts w:ascii="Amiri" w:hAnsi="Amiri" w:eastAsia="Amiri" w:cs="Amiri"/>
          <w:color w:val="111111"/>
          <w:sz w:val="28"/>
          <w:sz w:val="28"/>
          <w:szCs w:val="28"/>
          <w:rtl w:val="true"/>
          <w:lang w:bidi="ar-SA"/>
        </w:rPr>
        <w:t xml:space="preserve">لتضمّنها الإجازة معنى و إن لم تقترن بها لفظا، لأنّ الكتابة </w:t>
      </w:r>
      <w:bookmarkStart w:id="291" w:name="pg15042_154919"/>
    </w:p>
    <w:p>
      <w:pPr>
        <w:pStyle w:val="BookText"/>
        <w:rPr/>
      </w:pPr>
      <w:bookmarkEnd w:id="291"/>
      <w:r>
        <w:rPr>
          <w:rFonts w:ascii="Amiri" w:hAnsi="Amiri" w:eastAsia="Amiri" w:cs="Amiri"/>
          <w:color w:val="111111"/>
          <w:sz w:val="28"/>
          <w:sz w:val="28"/>
          <w:szCs w:val="28"/>
          <w:rtl w:val="true"/>
          <w:lang w:bidi="ar-SA"/>
        </w:rPr>
        <w:t>للشخص المعيّن و إرسالها إليه أو تسليمها إيّاه قرينة قويّة و إشارة واضحة تشعر بالإجازة للمكتوب له</w:t>
      </w:r>
      <w:r>
        <w:rPr>
          <w:rStyle w:val="FootnoteAnchor"/>
          <w:rtl w:val="true"/>
        </w:rPr>
        <w:footnoteReference w:id="482"/>
      </w:r>
      <w:r>
        <w:rPr>
          <w:rFonts w:ascii="Amiri" w:hAnsi="Amiri" w:eastAsia="Amiri" w:cs="Amiri"/>
          <w:color w:val="111111"/>
          <w:sz w:val="28"/>
          <w:sz w:val="28"/>
          <w:szCs w:val="28"/>
          <w:rtl w:val="true"/>
          <w:lang w:bidi="ar-SA"/>
        </w:rPr>
        <w:t>، و قد تقدّم أن الاخبار لا ينحصر في اللّفظ، و تعليل المنع باشتباه الخطوط خروج عن الفرض، و قد اكتفوا في الفتاوى الشّرعيّة بالكتابة من المفتي مع أنّ الأمر في الفتوى أخطر و الاحتياط فيها أقوى</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2" w:name="__RefHeading___Toc403449_2142443653"/>
      <w:bookmarkStart w:id="293" w:name="_Toc109"/>
      <w:bookmarkEnd w:id="292"/>
      <w:r>
        <w:rPr>
          <w:rtl w:val="true"/>
        </w:rPr>
        <w:t>ما يعتبر في الكتابة</w:t>
      </w:r>
      <w:bookmarkEnd w:id="293"/>
    </w:p>
    <w:p>
      <w:pPr>
        <w:pStyle w:val="Heading6"/>
        <w:numPr>
          <w:ilvl w:val="5"/>
          <w:numId w:val="1"/>
        </w:numPr>
        <w:rPr/>
      </w:pPr>
      <w:bookmarkStart w:id="294" w:name="__RefHeading___Toc403451_2142443653"/>
      <w:bookmarkStart w:id="295" w:name="_Toc110"/>
      <w:bookmarkEnd w:id="294"/>
      <w:r>
        <w:rPr>
          <w:rtl w:val="true"/>
        </w:rPr>
        <w:t>الاول يعتبر في الرّواية بالكتابة معرفة المكتوب له خطّا لكاتب</w:t>
      </w:r>
      <w:bookmarkEnd w:id="295"/>
    </w:p>
    <w:p>
      <w:pPr>
        <w:pStyle w:val="BookText"/>
        <w:rPr/>
      </w:pPr>
      <w:r>
        <w:rPr>
          <w:rFonts w:ascii="Amiri" w:hAnsi="Amiri" w:eastAsia="Amiri" w:cs="Amiri"/>
          <w:color w:val="111111"/>
          <w:sz w:val="28"/>
          <w:sz w:val="28"/>
          <w:szCs w:val="28"/>
          <w:rtl w:val="true"/>
          <w:lang w:bidi="ar-SA"/>
        </w:rPr>
        <w:t>ثمّ انّه يعتبر في الرّواية بالكتابة معرفة المكتوب له خطّ الكاتب للحديث بحيث يأمن المكتوب إليه التّزوير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شرط بعضهم</w:t>
      </w:r>
      <w:r>
        <w:rPr>
          <w:rStyle w:val="FootnoteAnchor"/>
          <w:rtl w:val="true"/>
        </w:rPr>
        <w:footnoteReference w:id="484"/>
      </w:r>
      <w:r>
        <w:rPr>
          <w:rFonts w:ascii="Amiri" w:hAnsi="Amiri" w:eastAsia="Amiri" w:cs="Amiri"/>
          <w:color w:val="111111"/>
          <w:sz w:val="28"/>
          <w:sz w:val="28"/>
          <w:szCs w:val="28"/>
          <w:rtl w:val="true"/>
          <w:lang w:bidi="ar-SA"/>
        </w:rPr>
        <w:t>البيّنة على الخطوط، و لم يكتف بالعلم بكونه خطّه حذرا من المشابهة، و العلم في مثل ذلك عاديّ لا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ضعّف بأنّ العلم العادي حجّة، عليه بني جميع أمور المعاش و المعاد و اشتباه الخط نادر، فعدم اشتراط البيّنة في صورة العلم العادي بخطّه أقوى للأصل، و إن كانت إقامة البينة أحوط</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ثم أنه مع تعذر العلم فالأقوى كفاية العدل الواحد في الأخبار عن ذلك، و اعتبر بعضهم الاثنين و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ينبغي التأمل في صحة الكتابة و العمل بها و الرواية لها، و قد وقع في زمان العسكريين سلام اللّه عليهما الكثير منها، و لم ينكر أحد منّا جواز العمل بها، و لو لا ذلك لكانت مكاتيبهم صلوات اللّه عليهم عبثا، و لبعض أساتذتنا دام ظله مناقشة هنا هي للوسوسة أقرب، و قد وقع خلط بين الكتابة و المكاتبة هنا كما مرّ، فتدبر، ثم إن كان الكاتب غير المعصوم أو الشيخ فلا بد من ثبوت كونه ثقة ضابط، كما لا يخفى</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5042_154920"/>
    </w:p>
    <w:p>
      <w:pPr>
        <w:pStyle w:val="Heading6"/>
        <w:numPr>
          <w:ilvl w:val="5"/>
          <w:numId w:val="1"/>
        </w:numPr>
        <w:rPr/>
      </w:pPr>
      <w:bookmarkStart w:id="297" w:name="__RefHeading___Toc403453_2142443653"/>
      <w:bookmarkStart w:id="298" w:name="_Toc111"/>
      <w:bookmarkEnd w:id="296"/>
      <w:bookmarkEnd w:id="297"/>
      <w:r>
        <w:rPr>
          <w:rtl w:val="true"/>
        </w:rPr>
        <w:t>الثاني</w:t>
      </w:r>
      <w:r>
        <w:rPr>
          <w:rtl w:val="true"/>
        </w:rPr>
        <w:t xml:space="preserve">: </w:t>
      </w:r>
      <w:r>
        <w:rPr>
          <w:rtl w:val="true"/>
        </w:rPr>
        <w:t>كون الكتابة أنزل من السماع</w:t>
      </w:r>
      <w:bookmarkEnd w:id="29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الكتابة أنزل من السماع، لكون السماع أبعد عن الاشتباه، و لذا يرجح ما روى بالسماع على ما روى بالكتابة مع تساويهما في الصحة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من المرجحات، و إلا فقد ترجّح المكاتبة لأمور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في مثل ذلك مناظرة بين الشافعي و إسحاق بن راهويه</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234/9</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284/1</w:t>
      </w:r>
      <w:r>
        <w:rPr>
          <w:rFonts w:ascii="Amiri" w:hAnsi="Amiri" w:eastAsia="Amiri" w:cs="Amiri"/>
          <w:color w:val="111111"/>
          <w:sz w:val="28"/>
          <w:sz w:val="28"/>
          <w:szCs w:val="28"/>
          <w:rtl w:val="true"/>
          <w:lang w:bidi="ar-SA"/>
        </w:rPr>
        <w:t>،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الرسالة المستطرفة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جلود الميتة إذا دبغت هل تطهر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ذكرها هنا لفوائد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دباغها طهورها، 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فقال حديث ابن عباس عن ميمونة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انتفعتم بجلدها؟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الشاة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قبل موته بشهر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تنتفعوا من الميتة باهاب و لا عصب، أشبه أن يكون ناسخا</w:t>
      </w:r>
      <w:bookmarkStart w:id="299" w:name="pg15042_154921"/>
    </w:p>
    <w:p>
      <w:pPr>
        <w:pStyle w:val="BookText"/>
        <w:rPr/>
      </w:pPr>
      <w:bookmarkEnd w:id="299"/>
      <w:r>
        <w:rPr>
          <w:rFonts w:ascii="Amiri" w:hAnsi="Amiri" w:eastAsia="Amiri" w:cs="Amiri"/>
          <w:color w:val="111111"/>
          <w:sz w:val="28"/>
          <w:sz w:val="28"/>
          <w:szCs w:val="28"/>
          <w:rtl w:val="true"/>
          <w:lang w:bidi="ar-SA"/>
        </w:rPr>
        <w:t>لحديث ميمونة، لأنه قبل موته بشهر،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و ذاك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كسرى و قيصر و كان حجة عليهم، فسكت الشافعي</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403455_2142443653"/>
      <w:bookmarkStart w:id="301" w:name="_Toc112"/>
      <w:bookmarkEnd w:id="300"/>
      <w:r>
        <w:rPr>
          <w:rtl w:val="true"/>
        </w:rPr>
        <w:t>الثالث</w:t>
      </w:r>
      <w:r>
        <w:rPr>
          <w:rtl w:val="true"/>
        </w:rPr>
        <w:t xml:space="preserve">: </w:t>
      </w:r>
      <w:r>
        <w:rPr>
          <w:rtl w:val="true"/>
        </w:rPr>
        <w:t>كيفية الاداء لمن روى بالكتابة</w:t>
      </w:r>
      <w:bookmarkEnd w:id="301"/>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صرح جمع</w:t>
      </w:r>
      <w:r>
        <w:rPr>
          <w:rStyle w:val="FootnoteAnchor"/>
          <w:rtl w:val="true"/>
        </w:rPr>
        <w:footnoteReference w:id="488"/>
      </w:r>
      <w:r>
        <w:rPr>
          <w:rFonts w:ascii="Amiri" w:hAnsi="Amiri" w:eastAsia="Amiri" w:cs="Amiri"/>
          <w:color w:val="111111"/>
          <w:sz w:val="28"/>
          <w:sz w:val="28"/>
          <w:szCs w:val="28"/>
          <w:rtl w:val="true"/>
          <w:lang w:bidi="ar-SA"/>
        </w:rPr>
        <w:t>بأن من روى بالكتابة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فلان قال حدثنا فلان أو أخبرنا مكالمة أو كتابة 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 و لا يجوز إطلاق حدثنا و أخبرنا مجردا لعدم التمييز حينئذ عن السماع و ما في معناه، و جوّز بعضهم إطلاق اللفظين حيث أنهما أخبار في المعنى</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اطلقوا الاخبار لغة على ما هو أعم من اللفظ كما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تخبرني العينان ما القلب كاتم</w:t>
      </w:r>
      <w:r>
        <w:rPr>
          <w:rStyle w:val="FootnoteAnchor"/>
          <w:rtl w:val="true"/>
        </w:rPr>
        <w:footnoteReference w:id="49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فتأمل كي يظهر لك كون استعمال الخبر في غير اللفظي مجازا، كما مرّ التنبيه عليه في أوائل الكتاب</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302" w:name="pg15042_154922"/>
    </w:p>
    <w:p>
      <w:pPr>
        <w:pStyle w:val="Heading6"/>
        <w:numPr>
          <w:ilvl w:val="5"/>
          <w:numId w:val="1"/>
        </w:numPr>
        <w:rPr/>
      </w:pPr>
      <w:bookmarkStart w:id="303" w:name="__RefHeading___Toc403457_2142443653"/>
      <w:bookmarkStart w:id="304" w:name="_Toc113"/>
      <w:bookmarkEnd w:id="302"/>
      <w:bookmarkEnd w:id="303"/>
      <w:r>
        <w:rPr>
          <w:rtl w:val="true"/>
        </w:rPr>
        <w:t>سادسها</w:t>
      </w:r>
      <w:r>
        <w:rPr>
          <w:rtl w:val="true"/>
        </w:rPr>
        <w:t xml:space="preserve">: </w:t>
      </w:r>
      <w:r>
        <w:rPr>
          <w:rtl w:val="true"/>
        </w:rPr>
        <w:t>الاعلام</w:t>
      </w:r>
      <w:r>
        <w:rPr>
          <w:rtl w:val="true"/>
        </w:rPr>
        <w:t>:</w:t>
      </w:r>
      <w:bookmarkEnd w:id="304"/>
    </w:p>
    <w:p>
      <w:pPr>
        <w:pStyle w:val="Heading6"/>
        <w:numPr>
          <w:ilvl w:val="5"/>
          <w:numId w:val="1"/>
        </w:numPr>
        <w:rPr/>
      </w:pPr>
      <w:bookmarkStart w:id="305" w:name="__RefHeading___Toc403459_2142443653"/>
      <w:bookmarkStart w:id="306" w:name="_Toc114"/>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و هو أن يعلم الشيخ شخصا أو أشخاصا بقوله الصريح أو الظاهر أو المقدّر أو الإشارة أو الكتابة أن هذا الكتاب أو هذا الحديث روايته أو سماعه من فلان مقتصرا عليه من غير أن يأذن في روايته عنه</w:t>
      </w:r>
      <w:r>
        <w:rPr>
          <w:rStyle w:val="FootnoteAnchor"/>
          <w:rtl w:val="true"/>
        </w:rPr>
        <w:footnoteReference w:id="492"/>
      </w:r>
      <w:r>
        <w:rPr>
          <w:rFonts w:ascii="Amiri" w:hAnsi="Amiri" w:eastAsia="Amiri" w:cs="Amiri"/>
          <w:color w:val="111111"/>
          <w:sz w:val="28"/>
          <w:sz w:val="28"/>
          <w:szCs w:val="28"/>
          <w:rtl w:val="true"/>
          <w:lang w:bidi="ar-SA"/>
        </w:rPr>
        <w:t>و يقول اروه عني أو اذنت لك في روايته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نحوه</w:t>
      </w:r>
      <w:r>
        <w:rPr>
          <w:rStyle w:val="FootnoteAnchor"/>
          <w:rtl w:val="true"/>
        </w:rPr>
        <w:footnoteReference w:id="493"/>
      </w:r>
      <w:r>
        <w:rPr>
          <w:rFonts w:ascii="Amiri" w:hAnsi="Amiri" w:eastAsia="Amiri" w:cs="Amiri"/>
          <w:color w:val="111111"/>
          <w:sz w:val="28"/>
          <w:sz w:val="28"/>
          <w:szCs w:val="28"/>
          <w:rtl w:val="true"/>
          <w:lang w:bidi="ar-SA"/>
        </w:rPr>
        <w:t>و في جواز الرواية به قولان</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403461_2142443653"/>
      <w:bookmarkStart w:id="308" w:name="_Toc115"/>
      <w:bookmarkEnd w:id="307"/>
      <w:r>
        <w:rPr>
          <w:rtl w:val="true"/>
        </w:rPr>
        <w:t>حكم الرواية بالاعلام</w:t>
      </w:r>
      <w:bookmarkEnd w:id="308"/>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عزي إلى كثير من أصحاب الحديث و الفقه و الاصول منهم ابن جريح</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قد مرّت ترجمته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الصباغ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161/5</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عدّة مصادر و الاقوى المارّ صفحة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أبو العباس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صاحب المحصول</w:t>
      </w:r>
      <w:r>
        <w:rPr>
          <w:rStyle w:val="FootnoteAnchor"/>
          <w:rtl w:val="true"/>
        </w:rPr>
        <w:footnoteReference w:id="49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r>
        <w:rPr>
          <w:rStyle w:val="FootnoteAnchor"/>
          <w:rtl w:val="true"/>
        </w:rPr>
        <w:footnoteReference w:id="496"/>
      </w:r>
      <w:r>
        <w:rPr>
          <w:rFonts w:ascii="Amiri" w:hAnsi="Amiri" w:eastAsia="Amiri" w:cs="Amiri"/>
          <w:color w:val="111111"/>
          <w:sz w:val="28"/>
          <w:sz w:val="28"/>
          <w:szCs w:val="28"/>
          <w:rtl w:val="true"/>
          <w:lang w:bidi="ar-SA"/>
        </w:rPr>
        <w:t>تنزيلا له منزلة القراءة على الشيخ، فإنه إذا قرأ عليه شيئا من حديثه و اقرّ بأنه روايته عن فلان جاز له أن يرويه عنه و إن لم يسمعه من لفظه و لم يقل له أروه عني أو أذنت لك في روايته عني، تنزيلا لهذا الاعلام منزلة من سمع غيره يقرّ بشيء فله أن يشهد عليه به و إن لم يشهده، بل و إن نهاه، و كذا لو سمع شاهدا يشهد بشيء فإنه يصير شاهد فرع و إن لم يستشهده، و لأنه يشعر بإجازته له كما مر في الكتابة و إن كان أضعف منها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أهل هذا القول كالرامهرمزي</w:t>
      </w:r>
      <w:r>
        <w:rPr>
          <w:rStyle w:val="FootnoteAnchor"/>
          <w:rtl w:val="true"/>
        </w:rPr>
        <w:footnoteReference w:id="498"/>
      </w:r>
      <w:r>
        <w:rPr>
          <w:rFonts w:ascii="IRNazanin" w:hAnsi="IRNazanin" w:eastAsia="IRNazanin"/>
          <w:color w:val="111111"/>
          <w:sz w:val="28"/>
          <w:sz w:val="28"/>
          <w:szCs w:val="28"/>
          <w:rtl w:val="true"/>
          <w:lang w:bidi="fa-IR"/>
        </w:rPr>
        <w:t xml:space="preserve">صرح بجواز </w:t>
      </w:r>
    </w:p>
    <w:p>
      <w:pPr>
        <w:pStyle w:val="BookText"/>
        <w:rPr/>
      </w:pPr>
      <w:r>
        <w:rPr>
          <w:rFonts w:ascii="Amiri" w:hAnsi="Amiri" w:eastAsia="Amiri" w:cs="Amiri"/>
          <w:color w:val="111111"/>
          <w:sz w:val="28"/>
          <w:sz w:val="28"/>
          <w:szCs w:val="28"/>
          <w:rtl w:val="true"/>
          <w:lang w:bidi="ar-SA"/>
        </w:rPr>
        <w:t>روايته و إن نهاه عن روايته كما سمع منه حديثا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تروه عني و لا أجيزه لك فإنه لا يضرّه ذلك، لأن منعه أن لا يحدث بما حدثه لا لعلة و لا ريبة لا يؤثر، لأنه قد حدثه فهو شيء لا يرجع فيه إليه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روايته</w:t>
      </w:r>
      <w:r>
        <w:rPr>
          <w:rStyle w:val="FootnoteAnchor"/>
          <w:rtl w:val="true"/>
        </w:rPr>
        <w:footnoteReference w:id="500"/>
      </w:r>
      <w:r>
        <w:rPr>
          <w:rFonts w:ascii="Amiri" w:hAnsi="Amiri" w:eastAsia="Amiri" w:cs="Amiri"/>
          <w:color w:val="111111"/>
          <w:sz w:val="28"/>
          <w:sz w:val="28"/>
          <w:szCs w:val="28"/>
          <w:rtl w:val="true"/>
          <w:lang w:bidi="ar-SA"/>
        </w:rPr>
        <w:t>لأنه قد لا يجوز روايته مع كونه سماعه لخلل يعرفه فيه</w:t>
      </w:r>
      <w:r>
        <w:rPr>
          <w:rStyle w:val="FootnoteAnchor"/>
          <w:rtl w:val="true"/>
        </w:rPr>
        <w:footnoteReference w:id="501"/>
      </w:r>
      <w:r>
        <w:rPr>
          <w:rFonts w:ascii="Amiri" w:hAnsi="Amiri" w:eastAsia="Amiri" w:cs="Amiri"/>
          <w:color w:val="111111"/>
          <w:sz w:val="28"/>
          <w:sz w:val="28"/>
          <w:szCs w:val="28"/>
          <w:rtl w:val="true"/>
          <w:lang w:bidi="ar-SA"/>
        </w:rPr>
        <w:t>و لأن الشاهد على الشهادة لا يكون شاهد فرع إلا إذا استدعى شاهد الأصل أن يتحمله الفرع و يأذن بذلك و لا يكفي اعلامه بالمشهود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أخص من المدعي، لاختصاصه بصورة النهي و عدم شموله صورة السكوت، مضافا إلى عدم تأتيه فيما إذا علم أن منعه لا لعلة و لا ريبة، فإن منعه حينئذ غير مؤثر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الأصل أولا و منع القياس ثانيا سيما مع الفارق، فإن الحديث عن السماع و القراءة لا يحتاج فيه إلى اذن </w:t>
      </w:r>
    </w:p>
    <w:p>
      <w:pPr>
        <w:pStyle w:val="BookText"/>
        <w:rPr/>
      </w:pPr>
      <w:r>
        <w:rPr>
          <w:rFonts w:ascii="Amiri" w:hAnsi="Amiri" w:eastAsia="Amiri" w:cs="Amiri"/>
          <w:color w:val="111111"/>
          <w:sz w:val="28"/>
          <w:sz w:val="28"/>
          <w:szCs w:val="28"/>
          <w:rtl w:val="true"/>
          <w:lang w:bidi="ar-SA"/>
        </w:rPr>
        <w:t>بالاتفاق، بخلاف الشهادة فإنها على مبنى المستدل تتوقف على الإذن، و العجب من دعوى عياض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الاتفاق على وجوب</w:t>
      </w:r>
      <w:r>
        <w:rPr>
          <w:rStyle w:val="FootnoteAnchor"/>
          <w:rtl w:val="true"/>
        </w:rPr>
        <w:footnoteReference w:id="502"/>
      </w:r>
      <w:r>
        <w:rPr>
          <w:rFonts w:ascii="Amiri" w:hAnsi="Amiri" w:eastAsia="Amiri" w:cs="Amiri"/>
          <w:color w:val="111111"/>
          <w:sz w:val="28"/>
          <w:sz w:val="28"/>
          <w:szCs w:val="28"/>
          <w:rtl w:val="true"/>
          <w:lang w:bidi="ar-SA"/>
        </w:rPr>
        <w:t xml:space="preserve">ما أخبر به الشيخ انه سمعه إن صح سنده، فإنه لا يلائم المنع من روايته، فإن احتمال الخلل إن كان موجودا لزم عدم جواز العمل بما اعلمه أيضا، و إلا لزم جواز روايته أيضا كما يجوز العمل به، فالتفصيل بين العمل و التحديث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لا وجه له، و الأظهر جواز كل من التحديث و العمل مع الوثوق بروايته و عدم جواز شيء منهما مع عدمه، بل الأظهر جواز كل من التحديث و العمل حتى في صورة نهيه عن رواية ما أعلم به إذا علم أن نهيه ليس لعلة فيما أعلم به أو ريبة فيه</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ثم ان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تقوية القول بالعدم مطلقا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مستدلا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ما يحصل به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الإشعار به بخلافه في الكتابة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أحمد بن عمر الحلال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تعليقة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محمد بن الحسن بن أبي خالد شتبولة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مشايخنا رووا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التقية شديدة فكتموا كتبهم فلم ترو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يرووا،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ماتوا صارت تلك الكتب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فإنها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من الروايات شاهدة على الجواز،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العبارة في الاعلام كما مرّ، إلا أن ذكر التحديث و الأخبار و لو مع قيد الاعلام لا يخلوا من شيء، لكونه أبعد عن ما تقدم من صدق التحديث و لو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أداء ما تحمل بالإعلام فمع أنا لم نجد أحدا في العصور المتقدمة روى به سوى ابن جريح، لا بد لمن أخذ به أن يبين ذلك حين الأداء،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أعلمني شيخي أن فلانا حدثه أو نحو ذلك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5042_154926"/>
    </w:p>
    <w:p>
      <w:pPr>
        <w:pStyle w:val="Heading6"/>
        <w:numPr>
          <w:ilvl w:val="5"/>
          <w:numId w:val="1"/>
        </w:numPr>
        <w:rPr/>
      </w:pPr>
      <w:bookmarkStart w:id="310" w:name="__RefHeading___Toc403463_2142443653"/>
      <w:bookmarkStart w:id="311" w:name="_Toc116"/>
      <w:bookmarkEnd w:id="309"/>
      <w:bookmarkEnd w:id="310"/>
      <w:r>
        <w:rPr>
          <w:rtl w:val="true"/>
        </w:rPr>
        <w:t>سابعها</w:t>
      </w:r>
      <w:r>
        <w:rPr>
          <w:rtl w:val="true"/>
        </w:rPr>
        <w:t xml:space="preserve">: </w:t>
      </w:r>
      <w:r>
        <w:rPr>
          <w:rtl w:val="true"/>
        </w:rPr>
        <w:t>الوصية</w:t>
      </w:r>
      <w:bookmarkEnd w:id="311"/>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الوصية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أن يوصي الشيخ عند موته أو سفره لشخص بكتاب</w:t>
      </w:r>
      <w:r>
        <w:rPr>
          <w:rStyle w:val="FootnoteAnchor"/>
          <w:rtl w:val="true"/>
        </w:rPr>
        <w:footnoteReference w:id="505"/>
      </w:r>
      <w:r>
        <w:rPr>
          <w:rFonts w:ascii="Amiri" w:hAnsi="Amiri" w:eastAsia="Amiri" w:cs="Amiri"/>
          <w:color w:val="111111"/>
          <w:sz w:val="28"/>
          <w:sz w:val="28"/>
          <w:szCs w:val="28"/>
          <w:rtl w:val="true"/>
          <w:lang w:bidi="ar-SA"/>
        </w:rPr>
        <w:t>يرويه ذلك الشيخ</w:t>
      </w:r>
      <w:r>
        <w:rPr>
          <w:rStyle w:val="FootnoteAnchor"/>
          <w:rtl w:val="true"/>
        </w:rPr>
        <w:footnoteReference w:id="506"/>
      </w:r>
      <w:r>
        <w:rPr>
          <w:rFonts w:ascii="Amiri" w:hAnsi="Amiri" w:eastAsia="Amiri" w:cs="Amiri"/>
          <w:color w:val="111111"/>
          <w:sz w:val="28"/>
          <w:sz w:val="28"/>
          <w:szCs w:val="28"/>
          <w:rtl w:val="true"/>
          <w:lang w:bidi="ar-SA"/>
        </w:rPr>
        <w:t>و قد جوّز بعض السلف كمحمد بن سيرين</w:t>
      </w:r>
      <w:r>
        <w:rPr>
          <w:rStyle w:val="FootnoteAnchor"/>
          <w:rtl w:val="true"/>
        </w:rPr>
        <w:footnoteReference w:id="50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214/9</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 و كذا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قلاية</w:t>
      </w:r>
      <w:r>
        <w:rPr>
          <w:rStyle w:val="FootnoteAnchor"/>
          <w:rtl w:val="true"/>
        </w:rPr>
        <w:footnoteReference w:id="508"/>
      </w:r>
      <w:r>
        <w:rPr>
          <w:rFonts w:ascii="Amiri" w:hAnsi="Amiri" w:eastAsia="Amiri" w:cs="Amiri"/>
          <w:color w:val="111111"/>
          <w:sz w:val="28"/>
          <w:sz w:val="28"/>
          <w:szCs w:val="28"/>
          <w:rtl w:val="true"/>
          <w:lang w:bidi="ar-SA"/>
        </w:rPr>
        <w:t>للموصى له روايته عنه بتلك الوصية لأن فى دفعه له نوعا من الإذن و شبها من العرض و المناولة، و أنها قريبة من الاعلام، و إنها أرفع رتبة من الوجادة بلا خلاف، و هي معمولة بها عند جمع فهذه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منعه الأكثر لبعد هذا الضرب جدا عن الإذن</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بل نقل الخطيب البغدادي في كفايته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بالمنع عن كافة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الوصية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ابتياعها بعد موته في عدم جواز الرواية إلا على سبيل الوجادة، و تبعه ابن الصلاح في مقدمته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بالجواز بعيد جدا، و هو زلة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حكاهما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كل هذا إذا لم يرد الوجادة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بذلك الجل، قال العراقي في ألفيته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ما لم يرد الوجادة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تشبيهه بالعرض و المناولة اشتباه كما أن ما 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القول بالجواز إما زلّة عالم أو متأول بإرادة الرواية على سبيل الوجادة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وجه له، لأن القائل بهذا النوع دون الوجادة موجود، و لما عرفت من عدم الخلاف في كونها أرفع من الوجادة، فلا وجه للتأويل بإرادة الرواية على سبيل الوجادة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الاستيناس من أكثر من رواية في صحة الوصاية بذلك، بل في رجحانها كما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و بثّ علمك في اخوانك، فإن مت فاورث كتبك 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غيرها، هذا مع ما في الوصية من اشعار بالإذن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أصول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اداء ما تحمل بالوصية فعلى من جوزه أن يبين ذلك في أدائه كأن يقول أوصى إليّ فلان أو أخبرني فلان بالوصية أو وجدت فيما أوصى إليّ فلان أن فلانا حدثه بكذا أو كذا، و لم نجد أحدا من المتقدمين حدث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 صرف الوصية ليست بتحديث لا اجمالا و لا تفصيلا و لا يتضمن الأعلام لا صريحا و لا كناية،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أوصى جمع من مشايخ الرواة بكتبهم كيحيى بن زيد و علي و داود بن النعمان، و غيرهم كما جاء في تراجمهم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5042_154928"/>
    </w:p>
    <w:p>
      <w:pPr>
        <w:pStyle w:val="Heading6"/>
        <w:numPr>
          <w:ilvl w:val="5"/>
          <w:numId w:val="1"/>
        </w:numPr>
        <w:rPr/>
      </w:pPr>
      <w:bookmarkStart w:id="313" w:name="__RefHeading___Toc403465_2142443653"/>
      <w:bookmarkStart w:id="314" w:name="_Toc117"/>
      <w:bookmarkEnd w:id="312"/>
      <w:bookmarkEnd w:id="313"/>
      <w:r>
        <w:rPr>
          <w:rtl w:val="true"/>
        </w:rPr>
        <w:t>ثامنها</w:t>
      </w:r>
      <w:r>
        <w:rPr>
          <w:rtl w:val="true"/>
        </w:rPr>
        <w:t xml:space="preserve">: </w:t>
      </w:r>
      <w:r>
        <w:rPr>
          <w:rtl w:val="true"/>
        </w:rPr>
        <w:t>الوجادة</w:t>
      </w:r>
      <w:r>
        <w:rPr>
          <w:rtl w:val="true"/>
        </w:rPr>
        <w:t>:</w:t>
      </w:r>
      <w:bookmarkEnd w:id="314"/>
    </w:p>
    <w:p>
      <w:pPr>
        <w:pStyle w:val="Heading6"/>
        <w:numPr>
          <w:ilvl w:val="5"/>
          <w:numId w:val="1"/>
        </w:numPr>
        <w:rPr/>
      </w:pPr>
      <w:bookmarkStart w:id="315" w:name="__RefHeading___Toc403467_2142443653"/>
      <w:bookmarkStart w:id="316" w:name="_Toc118"/>
      <w:bookmarkEnd w:id="315"/>
      <w:r>
        <w:rPr>
          <w:rtl w:val="true"/>
        </w:rPr>
        <w:t>اشارة</w:t>
      </w:r>
      <w:bookmarkEnd w:id="31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وجد يجد، مولّد غير مسموع من العرب الموثوق بعربيتهم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ولّده العلماء بلفظ الوجادة لما أخذ من العلم من صحيفة من غير سماع و لا إجازة و لا مناولة، حيث وجدوا العرب قد فرّقوا بين مصادر وجد للتمييز بين المعاني المختلفة،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w:t>
      </w:r>
    </w:p>
    <w:p>
      <w:pPr>
        <w:pStyle w:val="BookText"/>
        <w:rPr/>
      </w:pPr>
      <w:r>
        <w:rPr>
          <w:rFonts w:ascii="Amiri" w:hAnsi="Amiri" w:eastAsia="Amiri" w:cs="Amiri"/>
          <w:color w:val="111111"/>
          <w:sz w:val="28"/>
          <w:sz w:val="28"/>
          <w:szCs w:val="28"/>
          <w:rtl w:val="true"/>
          <w:lang w:bidi="ar-SA"/>
        </w:rPr>
        <w:t xml:space="preserve">ضالته وجدانا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المكسورة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 مطلوبه وجودا، و في الغضب موجدة و جدة، و في الغناء</w:t>
      </w:r>
      <w:r>
        <w:rPr>
          <w:rStyle w:val="FootnoteAnchor"/>
          <w:rtl w:val="true"/>
        </w:rPr>
        <w:footnoteReference w:id="510"/>
      </w:r>
      <w:r>
        <w:rPr>
          <w:rFonts w:ascii="Amiri" w:hAnsi="Amiri" w:eastAsia="Amiri" w:cs="Amiri"/>
          <w:color w:val="111111"/>
          <w:sz w:val="28"/>
          <w:sz w:val="28"/>
          <w:szCs w:val="28"/>
          <w:rtl w:val="true"/>
          <w:lang w:bidi="ar-SA"/>
        </w:rPr>
        <w:t xml:space="preserve">وجدا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جدة، و قرئ بالثلاثة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أَسْكِنُوهُنَّ مِنْ حَيْثُ سَكَنْتُمْ مِنْ وُجْدِكُمْ </w:t>
      </w:r>
      <w:r>
        <w:rPr>
          <w:rStyle w:val="FootnoteAnchor"/>
          <w:rtl w:val="true"/>
        </w:rPr>
        <w:footnoteReference w:id="511"/>
      </w:r>
      <w:r>
        <w:rPr>
          <w:rFonts w:ascii="Amiri" w:hAnsi="Amiri" w:eastAsia="Amiri" w:cs="Amiri"/>
          <w:color w:val="111111"/>
          <w:sz w:val="28"/>
          <w:sz w:val="28"/>
          <w:szCs w:val="28"/>
          <w:rtl w:val="true"/>
          <w:lang w:bidi="ar-SA"/>
        </w:rPr>
        <w:t>، و في الحب وجدا، فلما رأى المولدون مصادر هذا الفعل مختلفة بسبب اختلاف المعاني ولّدوا لهذا المعنى الوجادة للتمييز</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هذا الضرب من أخذ الحديث و تحمله هو أن يجد إنسان كتابا أو حديثا بخط راوية غير معاصر له كان، أو معاصرا لم يلقه، أو لقيه و لكن لم يسمع منه هذا الواجد و لا له منه إجازة و لا نحوها، فله أن يقول وجدت أو قرأت بخط فلان أو في كتاب فلان بخطه 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يسوق باقي الإسناد و المتن، أو يقول وجدت بخط فلان عن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الذي استمر</w:t>
      </w:r>
      <w:r>
        <w:rPr>
          <w:rStyle w:val="FootnoteAnchor"/>
          <w:rtl w:val="true"/>
        </w:rPr>
        <w:footnoteReference w:id="513"/>
      </w:r>
      <w:r>
        <w:rPr>
          <w:rFonts w:ascii="Amiri" w:hAnsi="Amiri" w:eastAsia="Amiri" w:cs="Amiri"/>
          <w:color w:val="111111"/>
          <w:sz w:val="28"/>
          <w:sz w:val="28"/>
          <w:szCs w:val="28"/>
          <w:rtl w:val="true"/>
          <w:lang w:bidi="ar-SA"/>
        </w:rPr>
        <w:t>عليه العمل قديما و حديثا، و هو منقطع مرسل و لكن فيه شوب اتصال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دلس بعضهم فذكر الذي وجد بخطه، و قال فيه عن فلان أو قال فلان، و ذلك تدليس قبيح إن أوهم سماعه، و جازف بعضهم فاطلق في هذا حدثنا و اخبرنا </w:t>
      </w:r>
    </w:p>
    <w:p>
      <w:pPr>
        <w:pStyle w:val="BookText"/>
        <w:rPr/>
      </w:pPr>
      <w:r>
        <w:rPr>
          <w:rFonts w:ascii="Amiri" w:hAnsi="Amiri" w:eastAsia="Amiri" w:cs="Amiri"/>
          <w:color w:val="111111"/>
          <w:sz w:val="28"/>
          <w:sz w:val="28"/>
          <w:szCs w:val="28"/>
          <w:rtl w:val="true"/>
          <w:lang w:bidi="ar-SA"/>
        </w:rPr>
        <w:t>و هو غلط منكر لم يجوزه أحد ممن يعتمد عليه، كما صرح بذلك كله في البداية</w:t>
      </w:r>
      <w:r>
        <w:rPr>
          <w:rStyle w:val="FootnoteAnchor"/>
          <w:rtl w:val="true"/>
        </w:rPr>
        <w:footnoteReference w:id="514"/>
      </w:r>
      <w:r>
        <w:rPr>
          <w:rFonts w:ascii="Amiri" w:hAnsi="Amiri" w:eastAsia="Amiri" w:cs="Amiri"/>
          <w:color w:val="111111"/>
          <w:sz w:val="28"/>
          <w:sz w:val="28"/>
          <w:szCs w:val="28"/>
          <w:rtl w:val="true"/>
          <w:lang w:bidi="ar-SA"/>
        </w:rPr>
        <w:t>، و غيرها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ذكروا أن هذا كلّه إذا وثق بأنه خط المذكور أو كتابه، و أما إذا لم يتحقق الواجد الخط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فلان أو وجدت في كتاب اخبرني فلان أنه بخط فلان إن كان اخبره به أحد، و في كتاب ظننت أنه بخط فلان أو في كتاب ذكر كاتبه أنه فلان أو قيل بخط فلان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 إذا نقل من نسخة موثوق بها في الصحة بأن قابلها هو أو ثقة على وجه يوثق بها المصنف من العلماء قال في نقله من تلك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 سمى ذلك المصنف، و إن لم يثق بالنسخة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فلان أنه ذكر كذا، أو وجدت في نسخة من الكتاب الفلاني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اشبه ذلك من العبارات، كما صرح بذلك في البداية</w:t>
      </w:r>
      <w:r>
        <w:rPr>
          <w:rStyle w:val="FootnoteAnchor"/>
          <w:rtl w:val="true"/>
        </w:rPr>
        <w:footnoteReference w:id="5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لنعم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تسامح أكثر الناس في هذه </w:t>
      </w:r>
      <w:bookmarkStart w:id="317" w:name="pg15042_154931"/>
    </w:p>
    <w:p>
      <w:pPr>
        <w:pStyle w:val="BookText"/>
        <w:rPr/>
      </w:pPr>
      <w:bookmarkEnd w:id="317"/>
      <w:r>
        <w:rPr>
          <w:rFonts w:ascii="Amiri" w:hAnsi="Amiri" w:eastAsia="Amiri" w:cs="Amiri"/>
          <w:color w:val="111111"/>
          <w:sz w:val="28"/>
          <w:sz w:val="28"/>
          <w:szCs w:val="28"/>
          <w:rtl w:val="true"/>
          <w:lang w:bidi="ar-SA"/>
        </w:rPr>
        <w:t>الأعصار بإطلاق اللفظ الجازم في ذلك من غير تحر و تثبت، فيطالع أحدهم كتابا منسوبا إلى مصنف معين، و ينقل منه عنه من غير أن يثق بصحة النسخة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أو ذكر فلان كذا، و هو كما ترى مسامحة في الدين، و الصواب ما ذكر، نعم إن كان الناقل فطنا متقنا يعرف الساقط من الكتاب و المغير منه و المصحف و تأمل و وثق بالعبارة كان المرجو له جواز إطلاق اللفظ الجازم فيما يحكيه من ذلك، و الظاهر أنه إلى هذا استراح كثير من المصنفين فيما نقلوه من ذلك</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403469_2142443653"/>
      <w:bookmarkStart w:id="319" w:name="_Toc119"/>
      <w:bookmarkEnd w:id="318"/>
      <w:r>
        <w:rPr>
          <w:rtl w:val="true"/>
        </w:rPr>
        <w:t>حكم الرواية بالوجادة مع الإجازة و عدمها</w:t>
      </w:r>
      <w:bookmarkEnd w:id="319"/>
    </w:p>
    <w:p>
      <w:pPr>
        <w:pStyle w:val="BookText"/>
        <w:rPr/>
      </w:pPr>
      <w:r>
        <w:rPr>
          <w:rFonts w:ascii="Amiri" w:hAnsi="Amiri" w:eastAsia="Amiri" w:cs="Amiri"/>
          <w:color w:val="111111"/>
          <w:sz w:val="28"/>
          <w:sz w:val="28"/>
          <w:szCs w:val="28"/>
          <w:rtl w:val="true"/>
          <w:lang w:bidi="ar-SA"/>
        </w:rPr>
        <w:t>و إذ قد عرفت ذلك كله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البداية</w:t>
      </w:r>
      <w:r>
        <w:rPr>
          <w:rStyle w:val="FootnoteAnchor"/>
          <w:rtl w:val="true"/>
        </w:rPr>
        <w:footnoteReference w:id="5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انظر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الرواية بالوجادة المجردة لفقد الأخبار فيها الذي هو المدار في صحة الرواية عن شخص، نعم لو اقترنت بالإجازة بأن كان الموجود خطه حيا و أجازه أو أجازه غيره عنه و لو بوسائط فلا إشكال في جواز الرواية، لأن الإجازة اخبار اجمالي،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الكتابة بعد لحوقها بمنزلة القول نظير ما ذكروا في الوصية و الإقرار، من أن كتابة الموصي و المقرّ ليست وصية و لا إقرارا إلا إذا لحق بها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w:t>
      </w:r>
      <w:bookmarkStart w:id="320" w:name="pg15042_154932"/>
    </w:p>
    <w:p>
      <w:pPr>
        <w:pStyle w:val="BookText"/>
        <w:rPr/>
      </w:pPr>
      <w:bookmarkEnd w:id="320"/>
      <w:r>
        <w:rPr>
          <w:rFonts w:ascii="Amiri" w:hAnsi="Amiri" w:eastAsia="Amiri" w:cs="Amiri"/>
          <w:color w:val="111111"/>
          <w:sz w:val="28"/>
          <w:sz w:val="28"/>
          <w:szCs w:val="28"/>
          <w:rtl w:val="true"/>
          <w:lang w:bidi="ar-SA"/>
        </w:rPr>
        <w:t>وصيتي و إقراري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اجزت لك أن تروي عني كتابي هذا أو الكتب الفلانية معناه إن هذه رواياتي اروها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نوقش في دلالته لغة على ذلك فلا يكاد ينكر قضاء العرف بذلك، فما توهمه بعضهم من عدم جواز الرواية بالوجادة حتى مع لحوق الإجازة لا وجه له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403471_2142443653"/>
      <w:bookmarkStart w:id="322" w:name="_Toc120"/>
      <w:bookmarkEnd w:id="321"/>
      <w:r>
        <w:rPr>
          <w:rtl w:val="true"/>
        </w:rPr>
        <w:t>حكم الرواية بالوجادة الموثوق بها من دون اجازه</w:t>
      </w:r>
      <w:bookmarkEnd w:id="322"/>
    </w:p>
    <w:p>
      <w:pPr>
        <w:pStyle w:val="Heading6"/>
        <w:numPr>
          <w:ilvl w:val="5"/>
          <w:numId w:val="1"/>
        </w:numPr>
        <w:rPr/>
      </w:pPr>
      <w:bookmarkStart w:id="323" w:name="__RefHeading___Toc403473_2142443653"/>
      <w:bookmarkStart w:id="324" w:name="_Toc121"/>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نعم وقع الخلاف بين المحدثين و الاصوليين في جواز العمل بالوجادة الموثوق بها من دون إجازة على قولين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 هو المنقول عن جمع منهم الشافعي و نظار اصحابه، و عن بعض المحققين التعبير بوجوب العمل بها</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قد فصل القول بالأقوال و القائلين و الأدلة السخاوي في شرحه على ألفية العراقي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الدربندي في القواميس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السيوطي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 جمع،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بما فيه، لأنه لا يمكن أن يقال أن 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الأزمان عن طرق تحمل الحديث و أداءه غير طريق الوجادة محل نظر، بل لا شك في أن هذه الدعوى من المجازفات الصرفة و التخمينات المحضة، و كيف لا فإن طريق الإجازة من الامور السهلة الجارية الموجودة في جميع الأزمنة، و لا سيما إذ لوحظ فيها القسم الأعم الأشمل الأسهل، على أنه فرق واضح بين كون المعتبرة كالكتب الأربعة مثلا عند الخاصة و الصحاح الست مثلا عند العامة من مصنفيها و جامعيها من الامور القطعية الحاصلة بالتسامع و التضافر، كذا كون وجوب العمل بهما من هذا الوجه و ذلك اللحاظ، و بين كونها من قبيل الوجادة المصطلحة، و وجوب العمل بها لأجل حصول الثقة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اللهم إلا أن يقال أن المراد من حصول الثقة هو ما أشرنا إليه، و مع هذا نقول أن اطلاق الوجادة على مثل ذلك كما ترى، اللهم إلا أن يبنى الأمر على التسامح، فتأمل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مراد الباقين بالجواز فإن من جوز العمل بها اوجبه</w:t>
      </w:r>
      <w:r>
        <w:rPr>
          <w:rFonts w:eastAsia="Amiri" w:cs="Amiri" w:ascii="Amiri" w:hAnsi="Amiri"/>
          <w:color w:val="111111"/>
          <w:sz w:val="28"/>
          <w:szCs w:val="28"/>
          <w:rtl w:val="true"/>
          <w:lang w:bidi="ar-SA"/>
        </w:rPr>
        <w:t>.</w:t>
      </w:r>
      <w:bookmarkStart w:id="325" w:name="pg15042_154933"/>
    </w:p>
    <w:p>
      <w:pPr>
        <w:pStyle w:val="BookText"/>
        <w:rPr/>
      </w:pPr>
      <w:bookmarkEnd w:id="325"/>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هو المعزى إلى معظم المحدثين و الفقهاء المالكيين</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6" w:name="__RefHeading___Toc403475_2142443653"/>
      <w:bookmarkStart w:id="327" w:name="_Toc122"/>
      <w:bookmarkEnd w:id="326"/>
      <w:r>
        <w:rPr>
          <w:rtl w:val="true"/>
        </w:rPr>
        <w:t>حجة المجوزين وجوه</w:t>
      </w:r>
      <w:r>
        <w:rPr>
          <w:rtl w:val="true"/>
        </w:rPr>
        <w:t>:</w:t>
      </w:r>
      <w:bookmarkEnd w:id="32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حجية الخبر السالم عن المعارض</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توهم منع صدق الخبر على الوجادة بدعوى ان الخبر هو القول و ليس القول إلا اللفظ و ليس شيء من الوجادة بلفظ، و إنما هي مجرد نقوش و 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ان المجوزين للعمل بالخبر اختلفوا في الوجادة، كما ترى، فإن عمدة دليل حجية الخبر و هو بناء العقلاء على العمل بالخبر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الخبر الكتبي كجريه في اللفظي فإنا نرى العقلاء متسالمين على اعتبار النقوش و الكتابة و الاعتماد عليها مع الوثوق بها و الأمن </w:t>
      </w:r>
    </w:p>
    <w:p>
      <w:pPr>
        <w:pStyle w:val="BookText"/>
        <w:rPr/>
      </w:pPr>
      <w:r>
        <w:rPr>
          <w:rFonts w:ascii="Amiri" w:hAnsi="Amiri" w:eastAsia="Amiri" w:cs="Amiri"/>
          <w:color w:val="111111"/>
          <w:sz w:val="28"/>
          <w:sz w:val="28"/>
          <w:szCs w:val="28"/>
          <w:rtl w:val="true"/>
          <w:lang w:bidi="ar-SA"/>
        </w:rPr>
        <w:t>من عروض التغير</w:t>
      </w:r>
      <w:r>
        <w:rPr>
          <w:rStyle w:val="FootnoteAnchor"/>
          <w:rtl w:val="true"/>
        </w:rPr>
        <w:footnoteReference w:id="524"/>
      </w:r>
      <w:r>
        <w:rPr>
          <w:rFonts w:ascii="Amiri" w:hAnsi="Amiri" w:eastAsia="Amiri" w:cs="Amiri"/>
          <w:color w:val="111111"/>
          <w:sz w:val="28"/>
          <w:sz w:val="28"/>
          <w:szCs w:val="28"/>
          <w:rtl w:val="true"/>
          <w:lang w:bidi="ar-SA"/>
        </w:rPr>
        <w:t>و التزوير عليها من دون تأمل من أحد و لا مناقشة أصلا و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توقف عن العمل بالوجادة لانسد باب العمل بالمنقول، لفقد شرط الخبر اللفظي غالبا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و الطريقة، فإنها قد استقرت في جميع الأعصار و الأمصار على العمل بالوجادة، و نراهم يعملون بها و يرتبون الآثار عليها من غير نكير، و يلزمون من لم يأخذ بها و لم يجر على هذا المنوال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جرت السيرة و الطريقة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اطلاعهم على ذلك و إقرارهم، بل و فعلهم هم في أنفسهم و جريهم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فترى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إليه الراوي بما يريد و يكتب إليه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بجوابه حتى عد العلماء المكاتبة قسما من الخبر</w:t>
      </w:r>
      <w:r>
        <w:rPr>
          <w:rStyle w:val="FootnoteAnchor"/>
          <w:rtl w:val="true"/>
        </w:rPr>
        <w:footnoteReference w:id="526"/>
      </w:r>
      <w:r>
        <w:rPr>
          <w:rFonts w:ascii="Amiri" w:hAnsi="Amiri" w:eastAsia="Amiri" w:cs="Amiri"/>
          <w:color w:val="111111"/>
          <w:sz w:val="28"/>
          <w:sz w:val="28"/>
          <w:szCs w:val="28"/>
          <w:rtl w:val="true"/>
          <w:lang w:bidi="ar-SA"/>
        </w:rPr>
        <w:t>، و على ذلك طريقة الناس و سيرتهم المستمرة في سائر الأعصار و الأمصار، فإنهم يتوصلون إلى أغراضهم بالكتابات كما يتوصلون إليها بالألفاظ و الخطابات الشفاهية من بعضهم لبعض من غير فرق أصلا، و لو لا ذلك ما انتفع الناس من العلماء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بجمع الكتب المدونة في جميع الفنون و العلوم، بل </w:t>
      </w:r>
    </w:p>
    <w:p>
      <w:pPr>
        <w:pStyle w:val="BookText"/>
        <w:rPr/>
      </w:pPr>
      <w:r>
        <w:rPr>
          <w:rFonts w:ascii="Amiri" w:hAnsi="Amiri" w:eastAsia="Amiri" w:cs="Amiri"/>
          <w:color w:val="111111"/>
          <w:sz w:val="28"/>
          <w:sz w:val="28"/>
          <w:szCs w:val="28"/>
          <w:rtl w:val="true"/>
          <w:lang w:bidi="ar-SA"/>
        </w:rPr>
        <w:t>تكون عاطلة باطلة، بل و ما كان القرآن حجة عليهم، و في ذلك إبطال للدين و المذهب بل و سائر الأديان و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قام الإجماع بل الضرورة على اعتبار النقوش و الاعتماد على ظاهرها، و لكن مع الأمن من التزوير و الوثوق بها، كما قام الإجماع و الضرورة على اعتبار ظواهر الألفاظ و الخطابات الشفاهية، و في هذا غنى و كفاية، بل فوق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الكثيرة الدالة على أمر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أصحابهم بكتابة ما يسمعونه منهم، و تأليفه و جمعه قائلين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على الناس زمان لا يأنسون إلا بكتبهم</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قد استقرّت سيرة الأصحاب و عملهم على النقل من الكتب المعلومة الانتساب إلى مؤلفيها من غير نظر منهم في رجال السند إليها،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بل و أمروا بالعمل بتلك الكتب كما في الخبر الذي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الغيبة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الكوفي خادم الشيخ أبي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w:t>
      </w:r>
    </w:p>
    <w:p>
      <w:pPr>
        <w:pStyle w:val="BookText"/>
        <w:rPr/>
      </w:pPr>
      <w:r>
        <w:rPr>
          <w:rFonts w:ascii="Amiri" w:hAnsi="Amiri" w:eastAsia="Amiri" w:cs="Amiri"/>
          <w:color w:val="111111"/>
          <w:sz w:val="28"/>
          <w:sz w:val="28"/>
          <w:szCs w:val="28"/>
          <w:rtl w:val="true"/>
          <w:lang w:bidi="ar-SA"/>
        </w:rPr>
        <w:t>بعد ما سئل الشيخ عن كتب الشلمغاني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ما قال العسكري في كتب بني فضال،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نصنع بكتبهم و بيوتنا منها ملىء؟</w:t>
      </w:r>
      <w:r>
        <w:rPr>
          <w:rStyle w:val="FootnoteAnchor"/>
          <w:rtl w:val="true"/>
        </w:rPr>
        <w:footnoteReference w:id="5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ما رووا و ذروا ما رأوا</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w:t>
      </w:r>
      <w:r>
        <w:rPr>
          <w:rStyle w:val="FootnoteAnchor"/>
          <w:rtl w:val="true"/>
        </w:rPr>
        <w:footnoteReference w:id="530"/>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w:t>
      </w:r>
      <w:r>
        <w:rPr>
          <w:rStyle w:val="FootnoteAnchor"/>
          <w:rtl w:val="true"/>
        </w:rPr>
        <w:footnoteReference w:id="531"/>
      </w:r>
      <w:r>
        <w:rPr>
          <w:rFonts w:ascii="Amiri" w:hAnsi="Amiri" w:eastAsia="Amiri" w:cs="Amiri"/>
          <w:color w:val="111111"/>
          <w:sz w:val="28"/>
          <w:sz w:val="28"/>
          <w:szCs w:val="28"/>
          <w:rtl w:val="true"/>
          <w:lang w:bidi="ar-SA"/>
        </w:rPr>
        <w:t>عن عدّة من أصحابنا عن أحمد بن محمد عن محمد بن الحسن بن خالد شنبولة</w:t>
      </w:r>
      <w:r>
        <w:rPr>
          <w:rStyle w:val="FootnoteAnchor"/>
          <w:rtl w:val="true"/>
        </w:rPr>
        <w:footnoteReference w:id="53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لأبي جعفر</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مشايخنا رووا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التقية شديدة فكتموا لكتبهم فلم يرو عنهم</w:t>
      </w:r>
      <w:r>
        <w:rPr>
          <w:rStyle w:val="FootnoteAnchor"/>
          <w:rtl w:val="true"/>
        </w:rPr>
        <w:footnoteReference w:id="534"/>
      </w:r>
      <w:r>
        <w:rPr>
          <w:rFonts w:ascii="Amiri" w:hAnsi="Amiri" w:eastAsia="Amiri" w:cs="Amiri"/>
          <w:color w:val="111111"/>
          <w:sz w:val="28"/>
          <w:sz w:val="28"/>
          <w:szCs w:val="28"/>
          <w:rtl w:val="true"/>
          <w:lang w:bidi="ar-SA"/>
        </w:rPr>
        <w:t>، فلما ماتوا صارت الكتب</w:t>
      </w:r>
      <w:r>
        <w:rPr>
          <w:rStyle w:val="FootnoteAnchor"/>
          <w:rtl w:val="true"/>
        </w:rPr>
        <w:footnoteReference w:id="535"/>
      </w:r>
      <w:r>
        <w:rPr>
          <w:rFonts w:ascii="Amiri" w:hAnsi="Amiri" w:eastAsia="Amiri" w:cs="Amiri"/>
          <w:color w:val="111111"/>
          <w:sz w:val="28"/>
          <w:sz w:val="28"/>
          <w:szCs w:val="28"/>
          <w:rtl w:val="true"/>
          <w:lang w:bidi="ar-SA"/>
        </w:rPr>
        <w:t>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بها فإنها حق</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نص في جواز التحديث بالوجادة مع عدم تعيين كتاب خاص حتى يكون تصديقا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لشخصه و يكون بحكم الصادر من </w:t>
      </w:r>
      <w:bookmarkStart w:id="328" w:name="pg15042_154937"/>
    </w:p>
    <w:p>
      <w:pPr>
        <w:pStyle w:val="BookText"/>
        <w:rPr/>
      </w:pPr>
      <w:bookmarkEnd w:id="328"/>
      <w:r>
        <w:rPr>
          <w:rFonts w:ascii="Amiri" w:hAnsi="Amiri" w:eastAsia="Amiri" w:cs="Amiri"/>
          <w:color w:val="111111"/>
          <w:sz w:val="28"/>
          <w:sz w:val="28"/>
          <w:szCs w:val="28"/>
          <w:rtl w:val="true"/>
          <w:lang w:bidi="ar-SA"/>
        </w:rPr>
        <w:t xml:space="preserve">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أقول لم أفهم وجه حسنه بعد فرض صحة سنده، لقصور دلالته، و عدم ظهوره في المراد، 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403477_2142443653"/>
      <w:bookmarkStart w:id="330" w:name="_Toc123"/>
      <w:bookmarkEnd w:id="329"/>
      <w:r>
        <w:rPr>
          <w:rtl w:val="true"/>
        </w:rPr>
        <w:t>حجة المانعين</w:t>
      </w:r>
      <w:r>
        <w:rPr>
          <w:rtl w:val="true"/>
        </w:rPr>
        <w:t>:</w:t>
      </w:r>
      <w:bookmarkEnd w:id="330"/>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38"/>
      </w:r>
      <w:r>
        <w:rPr>
          <w:rFonts w:ascii="Amiri" w:hAnsi="Amiri" w:eastAsia="Amiri" w:cs="Amiri"/>
          <w:color w:val="111111"/>
          <w:sz w:val="28"/>
          <w:sz w:val="28"/>
          <w:szCs w:val="28"/>
          <w:rtl w:val="true"/>
          <w:lang w:bidi="ar-SA"/>
        </w:rPr>
        <w:t>أمور لفّقها بعض أساطين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يحدث به لفظا و لا معنى، تفصيلا و لا إجمالا، فلا يجوز العمل به</w:t>
      </w:r>
      <w:r>
        <w:rPr>
          <w:rStyle w:val="FootnoteAnchor"/>
          <w:rtl w:val="true"/>
        </w:rPr>
        <w:footnoteReference w:id="539"/>
      </w:r>
      <w:r>
        <w:rPr>
          <w:rFonts w:ascii="Amiri" w:hAnsi="Amiri" w:eastAsia="Amiri" w:cs="Amiri"/>
          <w:color w:val="111111"/>
          <w:sz w:val="28"/>
          <w:sz w:val="28"/>
          <w:szCs w:val="28"/>
          <w:rtl w:val="true"/>
          <w:lang w:bidi="ar-SA"/>
        </w:rPr>
        <w:t>و إن كان قطعي الصدور إلا بعد لحوق الإجازة المنزّلة للفعل منزلة القول، الذي اتفق جميع الملل و أهل اللغات على اعتبار الظن الحاصل به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منع انحصار الحجة في الحديث و اللفظ، بل كل ما </w:t>
      </w:r>
    </w:p>
    <w:p>
      <w:pPr>
        <w:pStyle w:val="BookText"/>
        <w:rPr/>
      </w:pPr>
      <w:r>
        <w:rPr>
          <w:rFonts w:ascii="Amiri" w:hAnsi="Amiri" w:eastAsia="Amiri" w:cs="Amiri"/>
          <w:color w:val="111111"/>
          <w:sz w:val="28"/>
          <w:sz w:val="28"/>
          <w:szCs w:val="28"/>
          <w:rtl w:val="true"/>
          <w:lang w:bidi="ar-SA"/>
        </w:rPr>
        <w:t>يفيد الاطمئنان بالحكم فهو حجة، لبناء العقلاء عليه في أمور معاشهم و معادهم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القوم فيستمعون مني حديثكم فاضجر فلا أقوى</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عليهم من أوّله حديثا، و من وسطه حديثا، و من آخره حديثا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الكيفية المزبورة ليس اعتبارها إلا من حيث أن قراءة الأول و الوسط و الآخر متضمنة لإجازة الباقي، و ظاهر الرواية أن ذلك بيان لأقل ما يجتزي به في مقام الاعتداد بالروايات عملا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الكيفية المذكورة في الخبر متضمنة لإجازة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ذلك لبيان أقل ما يجتزي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الأولين أنه كما يمكن أن يكون لتوقف العمل بالحديث الموثوق به على إجازة راويه، فكذا يمكن أن يكون لبيان أقلّ ما يحصل به التيمن باتصال سلسلة الإسناد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أمر مهم</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سجية السلف إلى الخلف وضع كتاب الإجازات، و بيان أحوال المشايخ واحدا بعد واحد كالشيخ و المنتجب و الفاضلين و الشهيدين و الفاضل المجلسي و من تأخر عنهم، و لو لا أن الإجازة معتبرة و أنها ليست لمجرد التيمن و التبرك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الفاضل القمي</w:t>
      </w:r>
      <w:r>
        <w:rPr>
          <w:rStyle w:val="FootnoteAnchor"/>
          <w:rtl w:val="true"/>
        </w:rPr>
        <w:footnoteReference w:id="54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الاشتغال بما هو أهم أولى و أجدر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أن الإجازة إنما تفيد في غير المتواترات فما وجه تعميمها لها؟ مدفوعة بأنه خلاف ظاهرهم، حيث أن الظاهر منها أن المطمح في النظر هي الكتب الأربعة مع أنه لم يثبت اتصال الإجازات في غيرها، و هذا هو المنشأ في عدم فحصهم عن المخصص و المعارض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سجية الرواة المسافرة لأخذ الحديث و قطع الفيافي و القفار لملاقاة الأجلة و الأبرار مع إمكان التوسل</w:t>
      </w:r>
      <w:r>
        <w:rPr>
          <w:rStyle w:val="FootnoteAnchor"/>
          <w:rtl w:val="true"/>
        </w:rPr>
        <w:footnoteReference w:id="544"/>
      </w:r>
      <w:r>
        <w:rPr>
          <w:rFonts w:ascii="Amiri" w:hAnsi="Amiri" w:eastAsia="Amiri" w:cs="Amiri"/>
          <w:color w:val="111111"/>
          <w:sz w:val="28"/>
          <w:sz w:val="28"/>
          <w:szCs w:val="28"/>
          <w:rtl w:val="true"/>
          <w:lang w:bidi="ar-SA"/>
        </w:rPr>
        <w:t>إلى كتبهم بغير ذلك، و ليت شعري أي تيمن و تبرك في لفظ اجزت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اللغة و النحو و الصرف و كتب سيبويه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كما صرحوا بها في </w:t>
      </w:r>
    </w:p>
    <w:p>
      <w:pPr>
        <w:pStyle w:val="BookText"/>
        <w:rPr/>
      </w:pPr>
      <w:r>
        <w:rPr>
          <w:rFonts w:ascii="IRNazanin" w:hAnsi="IRNazanin" w:eastAsia="IRNazanin"/>
          <w:color w:val="111111"/>
          <w:sz w:val="28"/>
          <w:sz w:val="28"/>
          <w:szCs w:val="28"/>
          <w:rtl w:val="true"/>
          <w:lang w:bidi="fa-IR"/>
        </w:rPr>
        <w:t>أواخر الإجازات</w:t>
      </w:r>
      <w:r>
        <w:rPr>
          <w:rStyle w:val="FootnoteAnchor"/>
          <w:rtl w:val="true"/>
        </w:rPr>
        <w:footnoteReference w:id="545"/>
      </w:r>
      <w:r>
        <w:rPr>
          <w:rFonts w:ascii="Amiri" w:hAnsi="Amiri" w:eastAsia="Amiri" w:cs="Amiri"/>
          <w:color w:val="111111"/>
          <w:sz w:val="28"/>
          <w:sz w:val="28"/>
          <w:szCs w:val="28"/>
          <w:rtl w:val="true"/>
          <w:lang w:bidi="ar-SA"/>
        </w:rPr>
        <w:t>، و يتبين منها أنهم لم يتركوا طريق الإجازة فيما لا محيص لهم عن تنزيله منزلة الألفاظ، لشدة احتياجهم إليه كالنحو 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أنت خبير بأنه و إن بذل جهده في تنقيح دليله إلا أنه لم يأت بما يلزم خصمه، ضرورة أن للخصم أن يقول إن ما تكلفوا به من المسافرة إلى الأمكنة البعيدة إنما كان لقلّة الكتب و عدم الاطمئنان بالكتاب الذي يجدوه</w:t>
      </w:r>
      <w:r>
        <w:rPr>
          <w:rStyle w:val="FootnoteAnchor"/>
          <w:rtl w:val="true"/>
        </w:rPr>
        <w:footnoteReference w:id="546"/>
      </w:r>
      <w:r>
        <w:rPr>
          <w:rFonts w:ascii="Amiri" w:hAnsi="Amiri" w:eastAsia="Amiri" w:cs="Amiri"/>
          <w:color w:val="111111"/>
          <w:sz w:val="28"/>
          <w:sz w:val="28"/>
          <w:szCs w:val="28"/>
          <w:rtl w:val="true"/>
          <w:lang w:bidi="ar-SA"/>
        </w:rPr>
        <w:t>، فكانوا يسافرون إلى الشيوخ في البلاد البعيدة لتحصيل الاطمئنان بكتاب من كتب الأخبار يروى عنه، و أين ذلك من مفروض البحث الذي هو وجود كتب مطمأن بها عليها إجازة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عنوان التيمن و التبرك و اتصال النفس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أمرا لا يسوى بالمسافرة لأجله إلى البلاد البعيدة بل هو من الأغراض العقلائية التي يقام لها و يقعد</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ففعلهم الذي تمسك به هذا الشيخ الجليل غير معلوم الوجه، لأنه كما يمكن أن يكون لتوقف العمل بالرواية على الإجازة و كان فعلهم ذلك لتحصيل الشرط، فكذا يمكن أن يكون لتحصيل اتصال النّفس بنفس المعصوم، و ما هذا حاله مجمل لا حجة فيه، كما برهن عليه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من طريقة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ترجمة علي بن الحسن بن فضال</w:t>
      </w:r>
      <w:r>
        <w:rPr>
          <w:rStyle w:val="FootnoteAnchor"/>
          <w:rtl w:val="true"/>
        </w:rPr>
        <w:footnoteReference w:id="548"/>
      </w:r>
      <w:r>
        <w:rPr>
          <w:rFonts w:ascii="Amiri" w:hAnsi="Amiri" w:eastAsia="Amiri" w:cs="Amiri"/>
          <w:color w:val="111111"/>
          <w:sz w:val="28"/>
          <w:sz w:val="28"/>
          <w:szCs w:val="28"/>
          <w:rtl w:val="true"/>
          <w:lang w:bidi="ar-SA"/>
        </w:rPr>
        <w:t>و حسن بن علي الوشاء</w:t>
      </w:r>
      <w:r>
        <w:rPr>
          <w:rStyle w:val="FootnoteAnchor"/>
          <w:rtl w:val="true"/>
        </w:rPr>
        <w:footnoteReference w:id="54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اتفاقهم على عدم جواز الاعتماد على الرواية وجادة، و لم يعلم من المتأخرين خلاف ذلك من سيرة و غيرها كما توهم، فإن شيوع الإجازة ثابت إلى زماننا اليوم، فلعل من كان يأخذ الخبر من الكتب الأربعة لم يكن تعويله عليها وجادة، بل الاعتماد كان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بأنه كسابقه، ضرورة ان عدم اعتماد القدماء، بل و كذا المتأخرين على الرواية وجادة إنما كان فيما لا يطمئنون بكون الرواية ممن نسبت إليه، فاعتبروا إجازة الشيخ لتحصيل الوثوق بذلك لا لتوقف الرواية على الإجازة على وجه الموضوعية، و إذا كان اعتبار الإجازة من باب الطريقية إلى تحصيل الاطمئنان بالخبر جاز العمل لكل خبر يطمأن به و إن كان من الوجادة بغير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تعويل من كان يأخذ من الكتب الأربعة للاعتماد على الإجازة دون الوجادة المطمأن بها ممنوع</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يوضح ما ذكرنا ما رواه الكليني</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من أصحابنا يعطيني الكتاب و لا يقول </w:t>
      </w:r>
    </w:p>
    <w:p>
      <w:pPr>
        <w:pStyle w:val="BookText"/>
        <w:rPr/>
      </w:pPr>
      <w:r>
        <w:rPr>
          <w:rFonts w:ascii="Amiri" w:hAnsi="Amiri" w:eastAsia="Amiri" w:cs="Amiri"/>
          <w:color w:val="111111"/>
          <w:sz w:val="28"/>
          <w:sz w:val="28"/>
          <w:szCs w:val="28"/>
          <w:rtl w:val="true"/>
          <w:lang w:bidi="ar-SA"/>
        </w:rPr>
        <w:t>اروه عني</w:t>
      </w:r>
      <w:r>
        <w:rPr>
          <w:rStyle w:val="FootnoteAnchor"/>
          <w:rtl w:val="true"/>
        </w:rPr>
        <w:footnoteReference w:id="5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 الكتاب له فاروه عنه</w:t>
      </w:r>
      <w:r>
        <w:rPr>
          <w:rStyle w:val="FootnoteAnchor"/>
          <w:rtl w:val="true"/>
        </w:rPr>
        <w:footnoteReference w:id="552"/>
      </w:r>
      <w:r>
        <w:rPr>
          <w:rFonts w:ascii="Amiri" w:hAnsi="Amiri" w:eastAsia="Amiri" w:cs="Amiri"/>
          <w:color w:val="111111"/>
          <w:sz w:val="28"/>
          <w:sz w:val="28"/>
          <w:szCs w:val="28"/>
          <w:rtl w:val="true"/>
          <w:lang w:bidi="ar-SA"/>
        </w:rPr>
        <w:t xml:space="preserve">، بل في خبر شنبولة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دلالة على المطلوب،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قديما و حديثا لم يتفحصوا عن المخصص و المعارض في غير الكتب الأربعة، حتى 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الدراية</w:t>
      </w:r>
      <w:r>
        <w:rPr>
          <w:rStyle w:val="FootnoteAnchor"/>
          <w:rtl w:val="true"/>
        </w:rPr>
        <w:footnoteReference w:id="554"/>
      </w:r>
      <w:r>
        <w:rPr>
          <w:rFonts w:ascii="Amiri" w:hAnsi="Amiri" w:eastAsia="Amiri" w:cs="Amiri"/>
          <w:color w:val="111111"/>
          <w:sz w:val="28"/>
          <w:sz w:val="28"/>
          <w:szCs w:val="28"/>
          <w:rtl w:val="true"/>
          <w:lang w:bidi="ar-SA"/>
        </w:rPr>
        <w:t>ادعى انحصار عملهم فيها، و ليس ذلك إلا من حيث عدم معلومية اتصال الإجازات في غيرها من الكتب و الخطب و الزيارات و الدعوات، فبقيت بحكم النقوش و الأفعال التي لم ينهض دليل على اعتبار الظن الحاصل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أن وضع الكتب من المصنفين خصوصا الكتب الأربعة و نشرها بين الناس بمنزلة الإجازة الإجمالية بقرينة المقام، لكن ينقل الكلام في نفس هذه الإجازة، فمنع كونها معتبرة لكونها دلالة غير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بما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اختصاص فحصهم بالكتب الأربعة، لقضاء الوجدان بفحصهم عن جميع كتب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إجازاتهم من يوم حدوث الإجازة إلى الآن تعمّ جميع كتب الأخبار و غيرها حتى اللغة و النحو و الصرف،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انحصار عملهم في الفحص على الكتب الأربعة إلا من حيث عدم معلومية اتصال الإجازات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رجما بالغيب، بل تفوها بما يقضي الوجدان بخلافه، و لو تفوه بمثل ذلك من لم ير الإجازات لعذرناه، و أما مثل هذا الاستاذ فنطقه به لفي غاية الغرابة، و أهون شيء ما اعتذر به أخيرا و إن عقّبه بالردّ، و كان المناسب أن لا يتفوه بمثله حتى يحتاج إلى الجواب بما 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المعلوم من سيرتهم قديما و حديثا أنهم إذا رأوا في سند الخبر رجلا ضعيفا أو مجهولا يحكمون بسقوط الخبر عن درجة الاعتبار من غير ملاحظة كون المروي عنه صاحب أصل أو كتاب، فلو جاز الأخذ وجادة لما حكموا كذلك، بل حكموا بصحة الخبر بمجرد احتمال الأخذ وجادة، و كذلك يحكمون بانقطاع السند إذا كانت طبقة الراوي و المروي عنه غير ملائمة، و لو جازت الوجادة لما حكموا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محل البحث إنما هي الوجادة الموثوق بها، فإذا كان الراوي مجهولا أو ضعيفا لم يوثق بخبره، سواء كان للمروي عنه أصل أو كتاب أم لا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فلم أفهم لما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 فالقول بجواز العمل بالوجادة و إن لم تنضمّ إليها إجازة و لا غيرها من طرق التحمل للرواية مع الوثوق و الأمن من الغلط و التزوير هو </w:t>
      </w:r>
      <w:bookmarkStart w:id="331" w:name="pg15042_154944"/>
    </w:p>
    <w:p>
      <w:pPr>
        <w:pStyle w:val="BookText"/>
        <w:rPr/>
      </w:pPr>
      <w:bookmarkEnd w:id="331"/>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الأحسن ضمّ الإجازة إليها محافظة على اتصال السند و الخروج عن حد الإرسال للتيمن</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2" w:name="__RefHeading___Toc403479_2142443653"/>
      <w:bookmarkStart w:id="333" w:name="_Toc124"/>
      <w:bookmarkEnd w:id="332"/>
      <w:r>
        <w:rPr>
          <w:rtl w:val="true"/>
        </w:rPr>
        <w:t>دواعي الإجازة</w:t>
      </w:r>
      <w:bookmarkEnd w:id="333"/>
    </w:p>
    <w:p>
      <w:pPr>
        <w:pStyle w:val="BookText"/>
        <w:rPr/>
      </w:pPr>
      <w:r>
        <w:rPr>
          <w:rFonts w:ascii="Amiri" w:hAnsi="Amiri" w:eastAsia="Amiri" w:cs="Amiri"/>
          <w:color w:val="111111"/>
          <w:sz w:val="28"/>
          <w:sz w:val="28"/>
          <w:szCs w:val="28"/>
          <w:rtl w:val="true"/>
          <w:lang w:bidi="ar-SA"/>
        </w:rPr>
        <w:t>و ربّما ذكر بعض مشايخ الفن للإجازة</w:t>
      </w:r>
      <w:r>
        <w:rPr>
          <w:rStyle w:val="FootnoteAnchor"/>
          <w:rtl w:val="true"/>
        </w:rPr>
        <w:footnoteReference w:id="556"/>
      </w:r>
      <w:r>
        <w:rPr>
          <w:rFonts w:ascii="Amiri" w:hAnsi="Amiri" w:eastAsia="Amiri" w:cs="Amiri"/>
          <w:color w:val="111111"/>
          <w:sz w:val="28"/>
          <w:sz w:val="28"/>
          <w:szCs w:val="28"/>
          <w:rtl w:val="true"/>
          <w:lang w:bidi="ar-SA"/>
        </w:rPr>
        <w:t>دواعي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الإجازة تكشف عن كون المجاز في مرتبة القابلية للتحمل، فإن الظاهر من أحوال المجيزين أنهم كانوا يختارون للرواية من يكون اهلا، و ما كانوا يلقون الأخبار إلى من كان ظاهر الفسق و عدم</w:t>
      </w:r>
      <w:r>
        <w:rPr>
          <w:rStyle w:val="FootnoteAnchor"/>
          <w:rtl w:val="true"/>
        </w:rPr>
        <w:footnoteReference w:id="557"/>
      </w:r>
      <w:r>
        <w:rPr>
          <w:rFonts w:ascii="Amiri" w:hAnsi="Amiri" w:eastAsia="Amiri" w:cs="Amiri"/>
          <w:color w:val="111111"/>
          <w:sz w:val="28"/>
          <w:sz w:val="28"/>
          <w:szCs w:val="28"/>
          <w:rtl w:val="true"/>
          <w:lang w:bidi="ar-SA"/>
        </w:rPr>
        <w:t>الضبط، و يجيزون في نقل الأخبار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تكشف عن علو في الرواية، فإن الراوي له حالة عند القاء الرواية إلى المتحمل من اجتماع الحواس و الالتفات إلى متن الرواية و سندها غير حالته في نقل الخبر في غير هذا المقام، فيوجب علوا في الرواية لقوة احتمال 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الإجازة كاشفة عن اتصال السند على وجه الرسالة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الرعية، و لا ريب في الفرق بين الحكاية على سبيل الرسالة و بينها على غير ذلك</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إذا أخذت على وجه الإجازة كان أحوط، لإمكان المناقشة فيما أخذ من الكتب وجادة، بمنع </w:t>
      </w:r>
      <w:bookmarkStart w:id="334" w:name="pg15042_154945"/>
    </w:p>
    <w:p>
      <w:pPr>
        <w:pStyle w:val="BookText"/>
        <w:rPr/>
      </w:pPr>
      <w:bookmarkEnd w:id="334"/>
      <w:r>
        <w:rPr>
          <w:rFonts w:ascii="Amiri" w:hAnsi="Amiri" w:eastAsia="Amiri" w:cs="Amiri"/>
          <w:color w:val="111111"/>
          <w:sz w:val="28"/>
          <w:sz w:val="28"/>
          <w:szCs w:val="28"/>
          <w:rtl w:val="true"/>
          <w:lang w:bidi="ar-SA"/>
        </w:rPr>
        <w:t>صدق النبأ على المرسوم أو ظهوره فيما أخذ، كان الظاهر المتبادر من النبأ هو القول المحتمل للصدق و الكذب، و لا ريب في أن الكتابة ليست قولا بل و لا كاشفا عنه، لإمكان عدم التلفظ مطابقا للمرسوم، بل هي كاشفة عما في النفس ككشف اللفظ عنه</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403481_2142443653"/>
      <w:bookmarkStart w:id="336" w:name="_Toc125"/>
      <w:bookmarkEnd w:id="335"/>
      <w:r>
        <w:rPr>
          <w:rtl w:val="true"/>
        </w:rPr>
        <w:t>تنبيهان</w:t>
      </w:r>
      <w:bookmarkEnd w:id="336"/>
    </w:p>
    <w:p>
      <w:pPr>
        <w:pStyle w:val="Heading6"/>
        <w:numPr>
          <w:ilvl w:val="5"/>
          <w:numId w:val="1"/>
        </w:numPr>
        <w:rPr/>
      </w:pPr>
      <w:bookmarkStart w:id="337" w:name="__RefHeading___Toc403483_2142443653"/>
      <w:bookmarkStart w:id="338" w:name="_Toc126"/>
      <w:bookmarkEnd w:id="337"/>
      <w:r>
        <w:rPr>
          <w:rtl w:val="true"/>
        </w:rPr>
        <w:t>اشارة</w:t>
      </w:r>
      <w:bookmarkEnd w:id="338"/>
    </w:p>
    <w:p>
      <w:pPr>
        <w:pStyle w:val="BookText"/>
        <w:rPr/>
      </w:pPr>
      <w:r>
        <w:rPr>
          <w:rFonts w:ascii="Amiri" w:hAnsi="Amiri" w:eastAsia="Amiri" w:cs="Amiri"/>
          <w:color w:val="111111"/>
          <w:sz w:val="28"/>
          <w:sz w:val="28"/>
          <w:szCs w:val="28"/>
          <w:rtl w:val="true"/>
          <w:lang w:bidi="ar-SA"/>
        </w:rPr>
        <w:t>بقي هنا أمران نبّه عليهما بعض الأجلة</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9" w:name="__RefHeading___Toc403485_2142443653"/>
      <w:bookmarkStart w:id="340" w:name="_Toc127"/>
      <w:bookmarkEnd w:id="339"/>
      <w:r>
        <w:rPr>
          <w:rtl w:val="true"/>
        </w:rPr>
        <w:t>الاول</w:t>
      </w:r>
      <w:r>
        <w:rPr>
          <w:rtl w:val="true"/>
        </w:rPr>
        <w:t xml:space="preserve">: </w:t>
      </w:r>
      <w:r>
        <w:rPr>
          <w:rtl w:val="true"/>
        </w:rPr>
        <w:t>لو وجد كتابا شهد عدلان عندنا به فهل يجوز العمل به و الرواية عنه</w:t>
      </w:r>
      <w:bookmarkEnd w:id="340"/>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وجدنا كتابا من كتب الأخبار سواء ذكر فيه أنه تأليف فلان أو رواية فلان أو لم يذكر و لم يكن لنا علم بأنه لفلان لكن شهد عندنا عدلان بذلك، فهل يثبت ذلك بشهادتهما فيجوز لنا العمل به و الرواية عنه، و لو بقولنا روى فلان أو بإضافة في كتابه أو في كتاب كذا، و إن لم نقل اخبرنا أو عنه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شهدا بأنه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الشريف أو بغيره أو لا؟ وجهان، أظهرهما ذلك، لما حققناه في كتاب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منتهى المقاصد</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من عموم حجية البينة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علمنا أو ظننا بأن شهادتهما أو شهادة أحدهما من باب الاجتهاد أو العلم بالامارات لم تنفع شهادتهما و لم يجز لنا العمل به و الرواية عنه، لأصالة عدم الثبوت و الاعتبار بعد خروج قولهما عن عنوان الشهادة، و دخوله في عنوان الفتوى الذي لا حجة فيه على المجتهد الآخر، و لو جاز الاعتماد عليه للمجتهد </w:t>
      </w:r>
    </w:p>
    <w:p>
      <w:pPr>
        <w:pStyle w:val="BookText"/>
        <w:rPr/>
      </w:pPr>
      <w:r>
        <w:rPr>
          <w:rFonts w:ascii="Amiri" w:hAnsi="Amiri" w:eastAsia="Amiri" w:cs="Amiri"/>
          <w:color w:val="111111"/>
          <w:sz w:val="28"/>
          <w:sz w:val="28"/>
          <w:szCs w:val="28"/>
          <w:rtl w:val="true"/>
          <w:lang w:bidi="ar-SA"/>
        </w:rPr>
        <w:t>للزم جواز التقليد للمجتهد و رجوعه إلى مثله في الفتيا و الأحكام للمقلدين له و لغيرهم، بأن يجعله كسائر أدلة الأحكام، إذ لا فرق بين ما ذكر و بين شهادة عدلين منهم على أن حكم اللّه تعالى في هذه المسألة كذا، و ان الصلاة أو الصوم أو البيع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من الموضوعات المستنبطة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ذلك، و الملازمة واضحة، و بطلان اللازم أوضح للإجماع و الضرورة على عدم جواز التقليد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فالشهادة الاجتهادية إما بطريق الظن و هو الغالب في الاجتهاد، أو بطريق العلم الغير المستند إلى الحس، إذ لو استند إليه لم يكن من باب الاجتهاد، و الاولى غير مسموعة إجماعا، لاعتبار العلم في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فيها كلام، إن لم يكن الأظهر عدم السماع خصوصا فى أمثال هذه الامور العظيمة العامة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يظهر عدم سماع شهادة الواحد حيث كانت بطريق الاجتهاد و الأخذ بالامارات بطريق أولى</w:t>
      </w:r>
      <w:r>
        <w:rPr>
          <w:rStyle w:val="FootnoteAnchor"/>
          <w:rtl w:val="true"/>
        </w:rPr>
        <w:footnoteReference w:id="560"/>
      </w:r>
      <w:r>
        <w:rPr>
          <w:rFonts w:ascii="Amiri" w:hAnsi="Amiri" w:eastAsia="Amiri" w:cs="Amiri"/>
          <w:color w:val="111111"/>
          <w:sz w:val="28"/>
          <w:sz w:val="28"/>
          <w:szCs w:val="28"/>
          <w:rtl w:val="true"/>
          <w:lang w:bidi="ar-SA"/>
        </w:rPr>
        <w:t xml:space="preserve">، فلا وجه حينئذ لما صدر من جمع من القول باعتبار الفقه المنسوب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لدعواهم القطع العادي بكونه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قطعهم لا حجة فيه علينا، سيما مع امارات في نفس الكتاب المذكور تشهد بعدم كونه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على من تتبعه</w:t>
      </w:r>
      <w:r>
        <w:rPr>
          <w:rStyle w:val="FootnoteAnchor"/>
          <w:rtl w:val="true"/>
        </w:rPr>
        <w:footnoteReference w:id="561"/>
      </w:r>
      <w:r>
        <w:rPr>
          <w:rFonts w:ascii="Amiri" w:hAnsi="Amiri" w:eastAsia="Amiri" w:cs="Amiri"/>
          <w:color w:val="111111"/>
          <w:sz w:val="28"/>
          <w:sz w:val="28"/>
          <w:szCs w:val="28"/>
          <w:rtl w:val="true"/>
          <w:lang w:bidi="ar-SA"/>
        </w:rPr>
        <w:t xml:space="preserve">، و قد بسط كل من القائلين باعتباره و المنكرين له الكلام في ذلك، و اجمعها </w:t>
      </w:r>
      <w:bookmarkStart w:id="341" w:name="pg15042_154947"/>
    </w:p>
    <w:p>
      <w:pPr>
        <w:pStyle w:val="BookText"/>
        <w:rPr/>
      </w:pPr>
      <w:bookmarkEnd w:id="341"/>
      <w:r>
        <w:rPr>
          <w:rFonts w:ascii="Amiri" w:hAnsi="Amiri" w:eastAsia="Amiri" w:cs="Amiri"/>
          <w:color w:val="111111"/>
          <w:sz w:val="28"/>
          <w:sz w:val="28"/>
          <w:szCs w:val="28"/>
          <w:rtl w:val="true"/>
          <w:lang w:bidi="ar-SA"/>
        </w:rPr>
        <w:t xml:space="preserve">لذلك خاتمة مستدركات الفاضل المحدث التقي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و لكن لم يأت المعتبرون له بما يدفع ما ذكرناه من الإشكال، و لا يلزم مما ذكرناه نفي حجية خبر الواحد إذا كان بطريق النقل و الرواية المعتبر فيه شرائطه التي منها صدق الأخذ من المروي عنه و الرواية عنه و لو من كتابه مع اعترافه بأنه روايته أو كتابه، أو ثبوته بطريق يجري في حق الجميع، فتدبر و لا يختلط عليك الأمر، فلو قال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فلان أو روى عن فلان بطريق وقوفه على ذلك قبلناه، و لو قال ظننت أو علمت عاديا أو غير عادي ان فلانا الذي لم يلاقه ذكر ذلك أو روى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 بطريق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قبلناه منه، و الفرق بينهما في غاية الوضوح</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403487_2142443653"/>
      <w:bookmarkStart w:id="343" w:name="_Toc128"/>
      <w:bookmarkEnd w:id="342"/>
      <w:r>
        <w:rPr>
          <w:rtl w:val="true"/>
        </w:rPr>
        <w:t>الثاني</w:t>
      </w:r>
      <w:r>
        <w:rPr>
          <w:rtl w:val="true"/>
        </w:rPr>
        <w:t xml:space="preserve">: </w:t>
      </w:r>
      <w:r>
        <w:rPr>
          <w:rtl w:val="true"/>
        </w:rPr>
        <w:t>أن اقسام التحمل جارية في المعصوم عليه السّلام ايضا</w:t>
      </w:r>
      <w:bookmarkEnd w:id="343"/>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الكلام في أقسام تحمل الرواية المذكورة و إن كان في التحمل عن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التحقيق جريانها في التحمل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بل اكثرها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السماع فغاية كثرته لا تخفى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القراءة فإمكانها فيه أيضا معلوم، بل الظاهر وقوعها في بعض الروايات، مثل ما ورد أنه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صدق بعض الروايات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كذلك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فالمقابلة بينه و بين محفوظه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و إن لم يكن ذلك بقصد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جعل البعض المذكور من هذا الباب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كثيرة على الرواة، مثل ما نقله لهم عن خط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خطه و إملاء غيره كالصحيفة السجادية، فذكر راويها أنه املى عليّ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الأدعية، و كذا ما 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بطريق الرواية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أكثر روايات السكوني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ذلك كله من ضروب السماع دون القراءة، فإن المراد بالقراءة القراءة على الشيخ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قراءة الشيخ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الطالب،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من قلمه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الإجازة فقد اذنوا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 بل أمروهم بنقل ما ورد عنهم و ما يصدر لأمثالهم،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لحديثنا نشبت</w:t>
      </w:r>
      <w:r>
        <w:rPr>
          <w:rStyle w:val="FootnoteAnchor"/>
          <w:rtl w:val="true"/>
        </w:rPr>
        <w:footnoteReference w:id="563"/>
      </w:r>
      <w:r>
        <w:rPr>
          <w:rFonts w:ascii="Amiri" w:hAnsi="Amiri" w:eastAsia="Amiri" w:cs="Amiri"/>
          <w:color w:val="111111"/>
          <w:sz w:val="28"/>
          <w:sz w:val="28"/>
          <w:szCs w:val="28"/>
          <w:rtl w:val="true"/>
          <w:lang w:bidi="ar-SA"/>
        </w:rPr>
        <w:t>به قلوب شيعتنا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 الرواية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لحديثنا يشد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يسدده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شيعتنا أفضل من ألف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باسناده إلى</w:t>
      </w:r>
    </w:p>
    <w:p>
      <w:pPr>
        <w:pStyle w:val="BookText"/>
        <w:rPr/>
      </w:pPr>
      <w:r>
        <w:rPr>
          <w:rFonts w:ascii="Amiri" w:hAnsi="Amiri" w:eastAsia="Amiri" w:cs="Amiri"/>
          <w:color w:val="111111"/>
          <w:sz w:val="28"/>
          <w:sz w:val="28"/>
          <w:szCs w:val="28"/>
          <w:rtl w:val="true"/>
          <w:lang w:bidi="ar-SA"/>
        </w:rPr>
        <w:t xml:space="preserve">أبي خالد قال 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 مشايخنا رووا عن أبي جعفر و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التقية شديدة فكتموا كتبهم فلم نرو</w:t>
      </w:r>
      <w:r>
        <w:rPr>
          <w:rStyle w:val="FootnoteAnchor"/>
          <w:rtl w:val="true"/>
        </w:rPr>
        <w:footnoteReference w:id="565"/>
      </w:r>
      <w:r>
        <w:rPr>
          <w:rFonts w:ascii="Amiri" w:hAnsi="Amiri" w:eastAsia="Amiri" w:cs="Amiri"/>
          <w:color w:val="111111"/>
          <w:sz w:val="28"/>
          <w:sz w:val="28"/>
          <w:szCs w:val="28"/>
          <w:rtl w:val="true"/>
          <w:lang w:bidi="ar-SA"/>
        </w:rPr>
        <w:t>عنهم، فلما ماتوا صارت الكتب إلينا، فقالوا</w:t>
      </w:r>
      <w:r>
        <w:rPr>
          <w:rStyle w:val="FootnoteAnchor"/>
          <w:rtl w:val="true"/>
        </w:rPr>
        <w:footnoteReference w:id="566"/>
      </w:r>
      <w:r>
        <w:rPr>
          <w:rFonts w:ascii="IRNazanin" w:hAnsi="IRNazanin" w:eastAsia="IRNazanin"/>
          <w:color w:val="111111"/>
          <w:sz w:val="28"/>
          <w:sz w:val="28"/>
          <w:szCs w:val="28"/>
          <w:rtl w:val="true"/>
          <w:lang w:bidi="fa-IR"/>
        </w:rPr>
        <w:t>حدثوا بها فإنها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أحمد بن عمر الحلال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المناولة دالّ على الإجازة أيضا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المناولة فيدلّ عليها خبر ابن عباس المتقدم</w:t>
      </w:r>
      <w:r>
        <w:rPr>
          <w:rStyle w:val="FootnoteAnchor"/>
          <w:rtl w:val="true"/>
        </w:rPr>
        <w:footnoteReference w:id="569"/>
      </w:r>
      <w:r>
        <w:rPr>
          <w:rFonts w:ascii="Amiri" w:hAnsi="Amiri" w:eastAsia="Amiri" w:cs="Amiri"/>
          <w:color w:val="111111"/>
          <w:sz w:val="28"/>
          <w:sz w:val="28"/>
          <w:szCs w:val="28"/>
          <w:rtl w:val="true"/>
          <w:lang w:bidi="ar-SA"/>
        </w:rPr>
        <w:t>في المناولة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الكتابة فوقوعها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الكثرة، و لذا جعلت من أقسام الخبر كما مرّ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الاعلام فقد وقع بالنسبة إلى كثير من الكتب ككتاب </w:t>
      </w:r>
    </w:p>
    <w:p>
      <w:pPr>
        <w:pStyle w:val="BookText"/>
        <w:rPr/>
      </w:pPr>
      <w:r>
        <w:rPr>
          <w:rFonts w:ascii="Amiri" w:hAnsi="Amiri" w:eastAsia="Amiri" w:cs="Amiri"/>
          <w:color w:val="111111"/>
          <w:sz w:val="28"/>
          <w:sz w:val="28"/>
          <w:szCs w:val="28"/>
          <w:rtl w:val="true"/>
          <w:lang w:bidi="ar-SA"/>
        </w:rPr>
        <w:t>يونس في عمل يوم و ليلة</w:t>
      </w:r>
      <w:r>
        <w:rPr>
          <w:rStyle w:val="FootnoteAnchor"/>
          <w:rtl w:val="true"/>
        </w:rPr>
        <w:footnoteReference w:id="571"/>
      </w:r>
      <w:r>
        <w:rPr>
          <w:rFonts w:ascii="Amiri" w:hAnsi="Amiri" w:eastAsia="Amiri" w:cs="Amiri"/>
          <w:color w:val="111111"/>
          <w:sz w:val="28"/>
          <w:sz w:val="28"/>
          <w:szCs w:val="28"/>
          <w:rtl w:val="true"/>
          <w:lang w:bidi="ar-SA"/>
        </w:rPr>
        <w:t xml:space="preserve">، و كتاب عبيد اللّه بن أبي شعبة الحلبي فإنه عرض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فصححه و استحسنه</w:t>
      </w:r>
      <w:r>
        <w:rPr>
          <w:rStyle w:val="FootnoteAnchor"/>
          <w:rtl w:val="true"/>
        </w:rPr>
        <w:footnoteReference w:id="572"/>
      </w:r>
      <w:r>
        <w:rPr>
          <w:rFonts w:ascii="Amiri" w:hAnsi="Amiri" w:eastAsia="Amiri" w:cs="Amiri"/>
          <w:color w:val="111111"/>
          <w:sz w:val="28"/>
          <w:sz w:val="28"/>
          <w:szCs w:val="28"/>
          <w:rtl w:val="true"/>
          <w:lang w:bidi="ar-SA"/>
        </w:rPr>
        <w:t>، و هو أول كتاب صنفه الشيعة</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ذكر النديم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ان كتاب سليم بن قيس الهلالي هو أول كتاب ظهر للشيعة، انظر تأسيس الشيعة لعلوم الإسلام للعلامة 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شك بأن للشيعة من المصنفات قبل ذلك ما شاء اللّه، و حسبنا منها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مصحف فاطمة صلوات اللّه عليها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الوجادة فالظاهر وقوعها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الفقه المنسوب إلى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وجده القاضي أمير حسين عند جماعة من شيعة قم الواردين إلى مكة المعظمة، و هو كجمع ممن تأخر عنه بنوا على اعتباره، لثبوت النسبة عندهم بقطع 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كالأكثر خالفناهم في ذلك، لأمور مرت الإشارة إليها إجمالا آنفا</w:t>
      </w:r>
      <w:r>
        <w:rPr>
          <w:rStyle w:val="FootnoteAnchor"/>
          <w:rtl w:val="true"/>
        </w:rPr>
        <w:footnoteReference w:id="574"/>
      </w:r>
      <w:r>
        <w:rPr>
          <w:rFonts w:ascii="Amiri" w:hAnsi="Amiri" w:eastAsia="Amiri" w:cs="Amiri"/>
          <w:color w:val="111111"/>
          <w:sz w:val="28"/>
          <w:sz w:val="28"/>
          <w:szCs w:val="28"/>
          <w:rtl w:val="true"/>
          <w:lang w:bidi="ar-SA"/>
        </w:rPr>
        <w:t xml:space="preserve">، و صرح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من كتبه و كذا بعض من قارب عصره أو سبقه بوجود جملة من مكاتبات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توقيعاتهم عندهم، و من المستبعد أن لا يكون وقوفهم على </w:t>
      </w:r>
    </w:p>
    <w:p>
      <w:pPr>
        <w:pStyle w:val="BookText"/>
        <w:rPr/>
      </w:pPr>
      <w:r>
        <w:rPr>
          <w:rFonts w:ascii="Amiri" w:hAnsi="Amiri" w:eastAsia="Amiri" w:cs="Amiri"/>
          <w:color w:val="111111"/>
          <w:sz w:val="28"/>
          <w:sz w:val="28"/>
          <w:szCs w:val="28"/>
          <w:rtl w:val="true"/>
          <w:lang w:bidi="ar-SA"/>
        </w:rPr>
        <w:t>بعض ذلك بطريق الوجادة و لو في كتب من قاربهم أو سبقهم</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فلا ينبغي التأمل فيما ذكرناه من عدم اختصاص الأقسام المزبورة بالتحمل عن غير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بعضها أدون من بعض في معلومية الثبوت أو ظهوره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5042_154953"/>
      <w:bookmarkStart w:id="345" w:name="pg15042_154953"/>
      <w:bookmarkEnd w:id="345"/>
    </w:p>
    <w:p>
      <w:pPr>
        <w:pStyle w:val="Heading3"/>
        <w:numPr>
          <w:ilvl w:val="2"/>
          <w:numId w:val="1"/>
        </w:numPr>
        <w:rPr/>
      </w:pPr>
      <w:bookmarkStart w:id="346" w:name="pg15042_154953"/>
      <w:bookmarkStart w:id="347" w:name="__RefHeading___Toc403489_2142443653"/>
      <w:bookmarkStart w:id="348" w:name="_Toc129"/>
      <w:bookmarkEnd w:id="346"/>
      <w:bookmarkEnd w:id="347"/>
      <w:r>
        <w:rPr>
          <w:rtl w:val="true"/>
        </w:rPr>
        <w:t>المقام الثالث في كتابة الحديث و ضبطه و فيه مطالب</w:t>
      </w:r>
      <w:r>
        <w:rPr>
          <w:rtl w:val="true"/>
        </w:rPr>
        <w:t>:</w:t>
      </w:r>
      <w:bookmarkEnd w:id="348"/>
    </w:p>
    <w:p>
      <w:pPr>
        <w:pStyle w:val="Heading4"/>
        <w:numPr>
          <w:ilvl w:val="3"/>
          <w:numId w:val="1"/>
        </w:numPr>
        <w:rPr/>
      </w:pPr>
      <w:bookmarkStart w:id="349" w:name="__RefHeading___Toc403491_2142443653"/>
      <w:bookmarkStart w:id="350" w:name="_Toc130"/>
      <w:bookmarkEnd w:id="349"/>
      <w:r>
        <w:rPr>
          <w:rtl w:val="true"/>
        </w:rPr>
        <w:t>اشارة</w:t>
      </w:r>
      <w:bookmarkEnd w:id="350"/>
    </w:p>
    <w:p>
      <w:pPr>
        <w:pStyle w:val="BookText"/>
        <w:rPr/>
      </w:pPr>
      <w:r>
        <w:rPr>
          <w:rFonts w:ascii="Amiri" w:hAnsi="Amiri" w:eastAsia="Amiri" w:cs="Amiri"/>
          <w:color w:val="111111"/>
          <w:sz w:val="28"/>
          <w:sz w:val="28"/>
          <w:szCs w:val="28"/>
          <w:rtl w:val="true"/>
          <w:lang w:bidi="ar-SA"/>
        </w:rPr>
        <w:t>المقام الثالث في كتابة الحديث و ضبطه</w:t>
      </w:r>
      <w:r>
        <w:rPr>
          <w:rStyle w:val="FootnoteAnchor"/>
          <w:rtl w:val="true"/>
        </w:rPr>
        <w:footnoteReference w:id="577"/>
      </w: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403493_2142443653"/>
      <w:bookmarkStart w:id="352" w:name="_Toc131"/>
      <w:bookmarkEnd w:id="351"/>
      <w:r>
        <w:rPr>
          <w:rtl w:val="true"/>
        </w:rPr>
        <w:t>الأول</w:t>
      </w:r>
      <w:r>
        <w:rPr>
          <w:rtl w:val="true"/>
        </w:rPr>
        <w:t xml:space="preserve">: </w:t>
      </w:r>
      <w:r>
        <w:rPr>
          <w:rtl w:val="true"/>
        </w:rPr>
        <w:t>في حكمها</w:t>
      </w:r>
      <w:r>
        <w:rPr>
          <w:rtl w:val="true"/>
        </w:rPr>
        <w:t>:</w:t>
      </w:r>
      <w:bookmarkEnd w:id="3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وقع الخلاف بين الصحابة و التابعين في ذلك</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فكرهها جمع منهم ابن مسعود و زيد بن ثابت و أبو موسى و أبو سعيد الخدري و أبو هريرة و ابن عباس</w:t>
      </w:r>
      <w:r>
        <w:rPr>
          <w:rStyle w:val="FootnoteAnchor"/>
          <w:rtl w:val="true"/>
        </w:rPr>
        <w:footnoteReference w:id="579"/>
      </w:r>
      <w:r>
        <w:rPr>
          <w:rFonts w:ascii="Amiri" w:hAnsi="Amiri" w:eastAsia="Amiri" w:cs="Amiri"/>
          <w:color w:val="111111"/>
          <w:sz w:val="28"/>
          <w:sz w:val="28"/>
          <w:szCs w:val="28"/>
          <w:rtl w:val="true"/>
          <w:lang w:bidi="ar-SA"/>
        </w:rPr>
        <w:t xml:space="preserve">استنادا إلى ما رواه مسلم عن أبي سعيد الخدري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تكتبوا عني شيئا إلا القرآن، و من كتب عني شيئا غير القرآن فليمحه</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 لعل كل هذا و غيره لتوجيه نظر خليفتهم الثاني في التحريم و اعطاء شيء من الشرعية لفعله، لذا تجد أن هذه الروايات معارضة بما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طريقهم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قيّدوا العلم بالكتاب و ما جاء في جامع بيان العلم لابن عبد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أنه جاء عبد اللّه يستفتي رسول اللّه في شأن الكتابة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كل ما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الرضا و 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أقول في ذلك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مما سنوافيك 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أباحها من غير كراهة آخرون منهم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2"/>
      </w:r>
      <w:r>
        <w:rPr>
          <w:rFonts w:ascii="IRNazanin" w:hAnsi="IRNazanin" w:eastAsia="IRNazanin"/>
          <w:color w:val="111111"/>
          <w:sz w:val="28"/>
          <w:sz w:val="28"/>
          <w:szCs w:val="28"/>
          <w:rtl w:val="true"/>
          <w:lang w:bidi="fa-IR"/>
        </w:rPr>
        <w:t xml:space="preserve">و ابن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Style w:val="FootnoteAnchor"/>
          <w:rtl w:val="true"/>
        </w:rPr>
        <w:footnoteReference w:id="583"/>
      </w:r>
      <w:r>
        <w:rPr>
          <w:rFonts w:ascii="Amiri" w:hAnsi="Amiri" w:eastAsia="Amiri" w:cs="Amiri"/>
          <w:color w:val="111111"/>
          <w:sz w:val="28"/>
          <w:sz w:val="28"/>
          <w:szCs w:val="28"/>
          <w:rtl w:val="true"/>
          <w:lang w:bidi="ar-SA"/>
        </w:rPr>
        <w:t>و أنس و جابر و عطا و سعيد بن جبير و 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غيرهم</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قال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دون الحديث ابن شهاب الزهري على رأس المائة الثانية بأمر عمر بن عبد العزيز و بعث به إلى كل أرض له عليها سلطان، ثم كثّر اللّه التدوين ثم التصنيف و حصل بذلك خير كثير، و حينئذ فقد قال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للمرء أن يتخذ كتابة العلم عبادة، سواء توقع أن تترتب عليها فائدة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الخاصة فتبعا لمدرسة أهل البيت سلام اللّه عليهم الرائدة السبّاقة كان عصر التأليف و الجمع عندهم من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كفاك صحيفة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مصحف فاطمة سلام اللّه عليها و غيرهما، و وسعت زمن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 كتابة و دراية و نشرا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عودة للبحث في مقدمة مستدركنا على هذا الكتاب باذن اللّه، و في أول من دون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نسب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ذلك إلى أكثر الصحابة و التابعين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قيل أنه وقع الإجماع بعد الصحابة و التابعين على الجواز من غير</w:t>
      </w:r>
    </w:p>
    <w:p>
      <w:pPr>
        <w:pStyle w:val="BookText"/>
        <w:rPr/>
      </w:pPr>
      <w:r>
        <w:rPr>
          <w:rFonts w:ascii="Amiri" w:hAnsi="Amiri" w:eastAsia="Amiri" w:cs="Amiri"/>
          <w:color w:val="111111"/>
          <w:sz w:val="28"/>
          <w:sz w:val="28"/>
          <w:szCs w:val="28"/>
          <w:rtl w:val="true"/>
          <w:lang w:bidi="ar-SA"/>
        </w:rPr>
        <w:t>كراهة و زال الخلاف</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 قد نسب للبلقيني قول ثالث في المسألة مسندا إياه إلى الرامهرمزي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 المحو بعد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أنه قد فعله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حماد بن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قام اجماع المتقدمين و المتأخرين على جوازها في القرآن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لاحظ تقييد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رجحان كتابة الحديث فضلا عن إباحته مما يستقل به العقل و استمرت عليه السيرة القطعية خلفا عن سلف من لدن زمان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استفاضت النصوص بالأمر بها، و قد صدر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الحديث في جواب أسئلة</w:t>
      </w:r>
      <w:r>
        <w:rPr>
          <w:rStyle w:val="FootnoteAnchor"/>
          <w:rtl w:val="true"/>
        </w:rPr>
        <w:footnoteReference w:id="586"/>
      </w:r>
      <w:r>
        <w:rPr>
          <w:rFonts w:ascii="Amiri" w:hAnsi="Amiri" w:eastAsia="Amiri" w:cs="Amiri"/>
          <w:color w:val="111111"/>
          <w:sz w:val="28"/>
          <w:sz w:val="28"/>
          <w:szCs w:val="28"/>
          <w:rtl w:val="true"/>
          <w:lang w:bidi="ar-SA"/>
        </w:rPr>
        <w:t xml:space="preserve">المكاتبات عن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لا كتابة الأحاديث و الأحكام لا ندرس الدين في الأعصار المتأخرة، و لانمحى آثار الإسلام في الأزمنة اللاحقة</w:t>
      </w:r>
      <w:r>
        <w:rPr>
          <w:rStyle w:val="FootnoteAnchor"/>
          <w:rtl w:val="true"/>
        </w:rPr>
        <w:footnoteReference w:id="587"/>
      </w:r>
      <w:r>
        <w:rPr>
          <w:rFonts w:ascii="Amiri" w:hAnsi="Amiri" w:eastAsia="Amiri" w:cs="Amiri"/>
          <w:color w:val="111111"/>
          <w:sz w:val="28"/>
          <w:sz w:val="28"/>
          <w:szCs w:val="28"/>
          <w:rtl w:val="true"/>
          <w:lang w:bidi="ar-SA"/>
        </w:rPr>
        <w:t xml:space="preserve">، فالقول بكراهتها من بعض السلف من الخرافات التي لا يعتنى بها، و النبوي المزبور لا بد من حمله على ما لا ينافي ذلك، على أن سنده قاصر، </w:t>
      </w:r>
    </w:p>
    <w:p>
      <w:pPr>
        <w:pStyle w:val="BookText"/>
        <w:rPr/>
      </w:pPr>
      <w:r>
        <w:rPr>
          <w:rFonts w:ascii="Amiri" w:hAnsi="Amiri" w:eastAsia="Amiri" w:cs="Amiri"/>
          <w:color w:val="111111"/>
          <w:sz w:val="28"/>
          <w:sz w:val="28"/>
          <w:szCs w:val="28"/>
          <w:rtl w:val="true"/>
          <w:lang w:bidi="ar-SA"/>
        </w:rPr>
        <w:t>و بأخبار عديدة 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 ابن عمر</w:t>
      </w:r>
      <w:r>
        <w:rPr>
          <w:rStyle w:val="FootnoteAnchor"/>
          <w:rtl w:val="true"/>
        </w:rPr>
        <w:footnoteReference w:id="5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اسمع منك الشيء فاكتبه؟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الغضب و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لا أقول فيهما إلا حقا</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الترمذي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الأنصار يجلس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فيسمع منه الحديث فيعجبه و لا يحفظه، فشكى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استعن بيمينك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أومأ بيده إلى الخط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اسنده الرامهرمزي عن رافع بن خديج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نسمع منك أشياء أ فنكتبها؟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ذلك و لا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نبذة من روايات الخاصة الحاثّة على الكتابة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صدر منهم في الجمع بين هذه الأخبار و النبوي </w:t>
      </w:r>
    </w:p>
    <w:p>
      <w:pPr>
        <w:pStyle w:val="BookText"/>
        <w:rPr/>
      </w:pPr>
      <w:r>
        <w:rPr>
          <w:rFonts w:ascii="IRNazanin" w:hAnsi="IRNazanin" w:eastAsia="IRNazanin"/>
          <w:color w:val="111111"/>
          <w:sz w:val="28"/>
          <w:sz w:val="28"/>
          <w:szCs w:val="28"/>
          <w:rtl w:val="true"/>
          <w:lang w:bidi="fa-IR"/>
        </w:rPr>
        <w:t>المزبور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الاذن لمن خيف نسيانه و النهي لمن أمن النسيان و وثق بحفظه و خيف اتكاله على الخط إذا كتب فيكون النهي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عن الأوزاعي انه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العلم كريما يتلقاه الرجال بينهم، فلما دخل في الكتب دخل فيه غير أهله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الكتابة حين خيف اختلاطه بالقرآن، و الاذن فيه حين أمن ذلك، فيكون النهي منسوخا</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 يدّل عليه ما رواه البيهقي في المدخل عن عروة بن الزبير من أن عمر بن الخطاب أراد أن يكتب السنن فاستشار في ذلك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فأشاروا عليه أن يكتبها، فطفق عمر يستخير اللّه فيها، ثم أصبح يوما و قد عزم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أردت أن أكتب السنن و إني ذكرت قوما كانوا قبلكم كتبوا كتبا فاكبوا عليها و تركوا كتاب اللّه، و إني و اللّه لا ألبس كتاب اللّه بشيء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تقييد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هذه الروايات بهذا المضمون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إنما هو عن كتابة الحديث مع القرآن في صحيفة واحدة، لأنهم كانوا يسمعون تأويل الآية فربما كتبوه معها فنهوا عن ذلك لخوف الاشتباه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خاص بوقت نزول القرآن خشية التباسه، و الاذن في غيره</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 انظر عن كتابة القرآن بين المنع و عدمه، 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مجلد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ascii="Amiri" w:hAnsi="Amiri" w:eastAsia="Amiri" w:cs="Amiri"/>
          <w:color w:val="111111"/>
          <w:sz w:val="28"/>
          <w:sz w:val="28"/>
          <w:szCs w:val="28"/>
          <w:rtl w:val="true"/>
          <w:lang w:bidi="ar-SA"/>
        </w:rPr>
        <w:t xml:space="preserve">، و سنن الترمذي، كتاب الاستئذان و الآداب 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2714</w:t>
      </w:r>
      <w:r>
        <w:rPr>
          <w:rFonts w:ascii="Amiri" w:hAnsi="Amiri" w:eastAsia="Amiri" w:cs="Amiri"/>
          <w:color w:val="111111"/>
          <w:sz w:val="28"/>
          <w:sz w:val="28"/>
          <w:szCs w:val="28"/>
          <w:rtl w:val="true"/>
          <w:lang w:bidi="ar-SA"/>
        </w:rPr>
        <w:t>، و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الأدب باب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طبقات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باب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و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الزهد حديث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3004</w:t>
      </w:r>
      <w:r>
        <w:rPr>
          <w:rFonts w:ascii="Amiri" w:hAnsi="Amiri" w:eastAsia="Amiri" w:cs="Amiri"/>
          <w:color w:val="111111"/>
          <w:sz w:val="28"/>
          <w:sz w:val="28"/>
          <w:szCs w:val="28"/>
          <w:rtl w:val="true"/>
          <w:lang w:bidi="ar-SA"/>
        </w:rPr>
        <w:t xml:space="preserve">، و سنن أبي داود، كتاب العلم، باب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318/3</w:t>
      </w:r>
      <w:r>
        <w:rPr>
          <w:rFonts w:ascii="Amiri" w:hAnsi="Amiri" w:eastAsia="Amiri" w:cs="Amiri"/>
          <w:color w:val="111111"/>
          <w:sz w:val="28"/>
          <w:sz w:val="28"/>
          <w:szCs w:val="28"/>
          <w:rtl w:val="true"/>
          <w:lang w:bidi="ar-SA"/>
        </w:rPr>
        <w:t>، و مسند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في غيرها، و فيها في موارد اخر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3" w:name="pg15042_154962"/>
    </w:p>
    <w:p>
      <w:pPr>
        <w:pStyle w:val="BookText"/>
        <w:rPr/>
      </w:pPr>
      <w:bookmarkEnd w:id="353"/>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مخصوص بأبي سعيد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المحامل التي بعضها أقرب من بعض</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ذكر البلقيني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وجها آخر عن الرامهرمزي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من السلف من كان يكتب فإذا حفظ محاه، و حكاه عن غير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 w:name="__RefHeading___Toc403495_2142443653"/>
      <w:bookmarkStart w:id="355" w:name="_Toc132"/>
      <w:bookmarkEnd w:id="354"/>
      <w:r>
        <w:rPr>
          <w:rtl w:val="true"/>
        </w:rPr>
        <w:t>الثاني</w:t>
      </w:r>
      <w:r>
        <w:rPr>
          <w:rtl w:val="true"/>
        </w:rPr>
        <w:t xml:space="preserve">: </w:t>
      </w:r>
      <w:r>
        <w:rPr>
          <w:rtl w:val="true"/>
        </w:rPr>
        <w:t>ما يشترط في كاتب الحديث</w:t>
      </w:r>
      <w:bookmarkEnd w:id="35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اللازم</w:t>
      </w:r>
      <w:r>
        <w:rPr>
          <w:rStyle w:val="FootnoteAnchor"/>
          <w:rtl w:val="true"/>
        </w:rPr>
        <w:footnoteReference w:id="598"/>
      </w:r>
      <w:r>
        <w:rPr>
          <w:rFonts w:ascii="Amiri" w:hAnsi="Amiri" w:eastAsia="Amiri" w:cs="Amiri"/>
          <w:color w:val="111111"/>
          <w:sz w:val="28"/>
          <w:sz w:val="28"/>
          <w:szCs w:val="28"/>
          <w:rtl w:val="true"/>
          <w:lang w:bidi="ar-SA"/>
        </w:rPr>
        <w:t xml:space="preserve">على كاتب الحديث صرف الهمّة إلى ضبطه و تحقيقه شكلا و نقطا حتى يؤمن معهما اللبس بكلمة </w:t>
      </w:r>
    </w:p>
    <w:p>
      <w:pPr>
        <w:pStyle w:val="BookText"/>
        <w:rPr/>
      </w:pPr>
      <w:r>
        <w:rPr>
          <w:rFonts w:ascii="Amiri" w:hAnsi="Amiri" w:eastAsia="Amiri" w:cs="Amiri"/>
          <w:color w:val="111111"/>
          <w:sz w:val="28"/>
          <w:sz w:val="28"/>
          <w:szCs w:val="28"/>
          <w:rtl w:val="true"/>
          <w:lang w:bidi="ar-SA"/>
        </w:rPr>
        <w:t xml:space="preserve">أخرى مغيرة للحديث، ليؤديه كما سمعه، و لا يكون قد كذب من حيث لا يشعر على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بالنقط ظاهر، و هو تمييز المهمل عن المعجم، و ذي النقطة الواحدة عن ذي النقطتين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كالباء و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ذي النقط من فوق عن ذي النقطة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كالياء و 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بالشكل تقييد الإعراب سيما حيث يقع الاشتباه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أن النصارى كفروا بلفظة اخطئوا في إعجامها و شكلها، قال اللّه تعالى في الإنجيل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نبي ولّدتك من البتول، فصحفوها ولدتك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مخففا</w:t>
      </w:r>
      <w:r>
        <w:rPr>
          <w:rStyle w:val="FootnoteAnchor"/>
          <w:rtl w:val="true"/>
        </w:rPr>
        <w:footnoteReference w:id="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أن عثمان بن عفان كتب للذي ارسله أميرا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فاقبلوه، فصحفوها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فاقتلوه، فجرى ما جرى، و كتب بعض الخلفاء إلى عامل له ببلدان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فصحفها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فخصاهم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رجحان ضبط الشكل و النقط يعمّ ما يلتبس و ما لا يلتبس، و إن كان في الأول أرجح</w:t>
      </w:r>
      <w:r>
        <w:rPr>
          <w:rStyle w:val="FootnoteAnchor"/>
          <w:rtl w:val="true"/>
        </w:rPr>
        <w:footnoteReference w:id="601"/>
      </w:r>
      <w:r>
        <w:rPr>
          <w:rFonts w:ascii="IRNazanin" w:hAnsi="IRNazanin" w:eastAsia="IRNazanin"/>
          <w:color w:val="111111"/>
          <w:sz w:val="28"/>
          <w:sz w:val="28"/>
          <w:szCs w:val="28"/>
          <w:rtl w:val="true"/>
          <w:lang w:bidi="fa-IR"/>
        </w:rPr>
        <w:t xml:space="preserve">، و ما نقل عن بعض أهل </w:t>
      </w:r>
    </w:p>
    <w:p>
      <w:pPr>
        <w:pStyle w:val="BookText"/>
        <w:rPr/>
      </w:pPr>
      <w:r>
        <w:rPr>
          <w:rFonts w:ascii="Amiri" w:hAnsi="Amiri" w:eastAsia="Amiri" w:cs="Amiri"/>
          <w:color w:val="111111"/>
          <w:sz w:val="28"/>
          <w:sz w:val="28"/>
          <w:szCs w:val="28"/>
          <w:rtl w:val="true"/>
          <w:lang w:bidi="ar-SA"/>
        </w:rPr>
        <w:t>العلم من كراهية الإعجام و الإعراب في الثاني غلط</w:t>
      </w:r>
      <w:r>
        <w:rPr>
          <w:rStyle w:val="FootnoteAnchor"/>
          <w:rtl w:val="true"/>
        </w:rPr>
        <w:footnoteReference w:id="602"/>
      </w:r>
      <w:r>
        <w:rPr>
          <w:rFonts w:ascii="Amiri" w:hAnsi="Amiri" w:eastAsia="Amiri" w:cs="Amiri"/>
          <w:color w:val="111111"/>
          <w:sz w:val="28"/>
          <w:sz w:val="28"/>
          <w:szCs w:val="28"/>
          <w:rtl w:val="true"/>
          <w:lang w:bidi="ar-SA"/>
        </w:rPr>
        <w:t>، و التعليل بعدم الحاجة إليهما عليل، فإنه مع الإعجام و الإعراب ينفع كل أحد، حتى غير المتبحر في العلم، بخلافه مع عدمهما، فإن غير المتبحر لا يميز ما يشكّل مما لا يشكّل، و لا صواب وجه إعراب الكلمة عن خطأه، و تعميم النفع للجميع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فالإعجام و الإعراب إتقان، فيندرج فيما يروى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عمل عملا فاتقنه</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جعل بعضهم</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بحمرة و كذا العنوان و النقص يحذف عليه بحمرة، و كذا نسخ البدل و غيرها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 في المشكّل مضافا إلى ضبطه في نفس الكتاب كتابته مضبوطا واضحا في الحاشية قبالته أيضا، لأن ذلك أبلغ، لأن المضبوط في نفس الأسطر ربما داخله نقط غيره، و شكله مما فوقه أو تحته لا سيما عند ضيق الأسطر و دقة الخط، فإذا كتبه في الحاشية أيضا مضبوطا واضحا أمن من الاشتباه، و أوضح من ذلك أن يقطع حروف الكلمة المشكلة في الهامش لأنه يظهر شكل الحرف بكتابته مفردا في بعض الحروف كالنون و الياء التحتانية، بخلاف ما إذا كتبت</w:t>
      </w:r>
    </w:p>
    <w:p>
      <w:pPr>
        <w:pStyle w:val="BookText"/>
        <w:rPr/>
      </w:pPr>
      <w:r>
        <w:rPr>
          <w:rFonts w:ascii="Amiri" w:hAnsi="Amiri" w:eastAsia="Amiri" w:cs="Amiri"/>
          <w:color w:val="111111"/>
          <w:sz w:val="28"/>
          <w:sz w:val="28"/>
          <w:szCs w:val="28"/>
          <w:rtl w:val="true"/>
          <w:lang w:bidi="ar-SA"/>
        </w:rPr>
        <w:t xml:space="preserve">الكلمة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تحقيق الخط وتبيينه والتحرز من مشقه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الإسراع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وتعليقه وتدقيقه</w:t>
      </w:r>
      <w:r>
        <w:rPr>
          <w:rStyle w:val="FootnoteAnchor"/>
          <w:rtl w:val="true"/>
        </w:rPr>
        <w:footnoteReference w:id="605"/>
      </w:r>
      <w:r>
        <w:rPr>
          <w:rFonts w:ascii="Amiri" w:hAnsi="Amiri" w:eastAsia="Amiri" w:cs="Amiri"/>
          <w:color w:val="111111"/>
          <w:sz w:val="28"/>
          <w:sz w:val="28"/>
          <w:szCs w:val="28"/>
          <w:rtl w:val="true"/>
          <w:lang w:bidi="ar-SA"/>
        </w:rPr>
        <w:t xml:space="preserve">، فإن المكتوب مشقاً وتعليقاً يكثر الاشتباه فيه ، وقد يصعب قراءته ، والمكتوب دقيقاً لا ينتفع به صاحب النظر الضعيف ، وربما ضعف بصر كاتبه بعد ذلك فلا ينتفع به هو أيضاً ، نعم لا بأس بالتدقيق لعذر كضيق الورق وتخفيفه للحمل في السفر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ضبط الحروف المهملة أيضاً ثم اختلف في كيفية ضبطها على أقوال</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يجعل تحت الدال والراء والسين والصاد والطاء والعين النقط التي فوق نظائرها ، واختلف على هذا في نقط السين من تحت ، فقيل كصورة النقط من فوق ، وصورته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تجعل من تحت مبسوطة صفاً هكذا</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يجعل فوق المهملات المذكورة صورة هلال </w:t>
      </w:r>
    </w:p>
    <w:p>
      <w:pPr>
        <w:pStyle w:val="BookText"/>
        <w:rPr/>
      </w:pPr>
      <w:r>
        <w:rPr>
          <w:rFonts w:ascii="Amiri" w:hAnsi="Amiri" w:eastAsia="Amiri" w:cs="Amiri"/>
          <w:color w:val="111111"/>
          <w:sz w:val="28"/>
          <w:sz w:val="28"/>
          <w:szCs w:val="28"/>
          <w:rtl w:val="true"/>
          <w:lang w:bidi="ar-SA"/>
        </w:rPr>
        <w:t xml:space="preserve">كقلامة الظفر مضجعة على قفاها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يجعل تحتها حرف صغير مثلها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وعليه عمل أهل المشرق والأندلس</w:t>
      </w:r>
      <w:r>
        <w:rPr>
          <w:rStyle w:val="FootnoteAnchor"/>
          <w:rtl w:val="true"/>
        </w:rPr>
        <w:footnoteReference w:id="608"/>
      </w:r>
      <w:r>
        <w:rPr>
          <w:rFonts w:ascii="Amiri" w:hAnsi="Amiri" w:eastAsia="Amiri" w:cs="Amiri"/>
          <w:color w:val="111111"/>
          <w:sz w:val="28"/>
          <w:sz w:val="28"/>
          <w:szCs w:val="28"/>
          <w:rtl w:val="true"/>
          <w:lang w:bidi="ar-SA"/>
        </w:rPr>
        <w:t xml:space="preserve">، وفي بعض الكتب القديمة فوقها خط صغير كفتحة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كهمزة ، وفي بعضها تحتها همزة</w:t>
      </w:r>
      <w:r>
        <w:rPr>
          <w:rStyle w:val="FootnoteAnchor"/>
          <w:rtl w:val="true"/>
        </w:rPr>
        <w:footnoteReference w:id="609"/>
      </w:r>
      <w:r>
        <w:rPr>
          <w:rFonts w:ascii="Amiri" w:hAnsi="Amiri" w:eastAsia="Amiri" w:cs="Amiri"/>
          <w:color w:val="111111"/>
          <w:sz w:val="28"/>
          <w:sz w:val="28"/>
          <w:szCs w:val="28"/>
          <w:rtl w:val="true"/>
          <w:lang w:bidi="ar-SA"/>
        </w:rPr>
        <w:t xml:space="preserve">ولم يتعرض أهل هذا الفن للكاف واللام ، وذكرهما أصحاب التصانيف في الخط ، فالكاف إذا لم تكتب مبسوطة تكتب في بطنها كاف صغيرة أو همزة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واللام يكتب في بطنها لام، أي هذه الكلمة بحروفها الثلاثة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ويوجد ذلك في خط الأدباء ، والهاء آخر الكلمة يكتب عليها هاء مشقوقة ،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تميزها من هاء التأنيث التي في الصفات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المكسورة هل تكتب فوق الألف والكسرة اسفلها أو كلاهما اسفل ؟ اصطلاحان للكتاب ، والثاني أوضح ولا ينبغي أن يصطلح كاتب الحديث مع نفسه في كتاب برمز لا يعرفه الناس فيوق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غيره في حيرة في فهم مراده ، فإن فعل فليبين ذلك في أول الكتاب أو آخره</w:t>
      </w:r>
      <w:r>
        <w:rPr>
          <w:rStyle w:val="FootnoteAnchor"/>
          <w:rtl w:val="true"/>
        </w:rPr>
        <w:footnoteReference w:id="610"/>
      </w:r>
      <w:bookmarkStart w:id="356" w:name="pg15042_154967"/>
    </w:p>
    <w:p>
      <w:pPr>
        <w:pStyle w:val="BookText"/>
        <w:rPr/>
      </w:pPr>
      <w:bookmarkEnd w:id="356"/>
      <w:r>
        <w:rPr>
          <w:rFonts w:ascii="IRNazanin" w:hAnsi="IRNazanin" w:eastAsia="IRNazanin"/>
          <w:color w:val="111111"/>
          <w:sz w:val="28"/>
          <w:sz w:val="28"/>
          <w:szCs w:val="28"/>
          <w:rtl w:val="true"/>
          <w:lang w:bidi="fa-IR"/>
        </w:rPr>
        <w:t>ثم أنهم قالوا</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ينبغي أن يكون اعتناء كاتب الحديث بضبط الملتبس من الأسماء أكثر من غيرها، لأن الأسماء لا يدخلها القياس و لا تستدرك بالمعنى و لا يستدل عليها بما قبل و لا ما بعد بخلاف غيرها، و قد نقل عن عبد اللّه بن إدريس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حدثني شعبة بحديث أبي الحوراء</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الثقاة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عين لئلا اغلط فاقرأه أبا الجوزاء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 الزاي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403497_2142443653"/>
      <w:bookmarkStart w:id="358" w:name="_Toc133"/>
      <w:bookmarkEnd w:id="357"/>
      <w:r>
        <w:rPr>
          <w:rtl w:val="true"/>
        </w:rPr>
        <w:t>الثالث</w:t>
      </w:r>
      <w:r>
        <w:rPr>
          <w:rtl w:val="true"/>
        </w:rPr>
        <w:t xml:space="preserve">: </w:t>
      </w:r>
      <w:r>
        <w:rPr>
          <w:rtl w:val="true"/>
        </w:rPr>
        <w:t>انه ينبغي لكاتب الحديث أمور</w:t>
      </w:r>
      <w:r>
        <w:rPr>
          <w:rtl w:val="true"/>
        </w:rPr>
        <w:t>.</w:t>
      </w:r>
      <w:bookmarkEnd w:id="358"/>
    </w:p>
    <w:p>
      <w:pPr>
        <w:pStyle w:val="Heading5"/>
        <w:numPr>
          <w:ilvl w:val="4"/>
          <w:numId w:val="1"/>
        </w:numPr>
        <w:rPr/>
      </w:pPr>
      <w:bookmarkStart w:id="359" w:name="__RefHeading___Toc403499_2142443653"/>
      <w:bookmarkStart w:id="360" w:name="_Toc134"/>
      <w:bookmarkEnd w:id="359"/>
      <w:r>
        <w:rPr>
          <w:rtl w:val="true"/>
        </w:rPr>
        <w:t>منها</w:t>
      </w:r>
      <w:r>
        <w:rPr>
          <w:rtl w:val="true"/>
        </w:rPr>
        <w:t xml:space="preserve">: </w:t>
      </w:r>
      <w:r>
        <w:rPr>
          <w:rtl w:val="true"/>
        </w:rPr>
        <w:t>إن يجعل بين كل حديثين دائرة للفصل بينهما</w:t>
      </w:r>
      <w:bookmarkEnd w:id="36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بين كل حديثين دائرة للفصل بينهما</w:t>
      </w:r>
      <w:r>
        <w:rPr>
          <w:rStyle w:val="FootnoteAnchor"/>
          <w:rtl w:val="true"/>
        </w:rPr>
        <w:footnoteReference w:id="613"/>
      </w:r>
      <w:r>
        <w:rPr>
          <w:rFonts w:ascii="Amiri" w:hAnsi="Amiri" w:eastAsia="Amiri" w:cs="Amiri"/>
          <w:color w:val="111111"/>
          <w:sz w:val="28"/>
          <w:sz w:val="28"/>
          <w:szCs w:val="28"/>
          <w:rtl w:val="true"/>
          <w:lang w:bidi="ar-SA"/>
        </w:rPr>
        <w:t xml:space="preserve">، كما صرح بذلك جمع من المتقدمين كأحمد بن </w:t>
      </w:r>
    </w:p>
    <w:p>
      <w:pPr>
        <w:pStyle w:val="BookText"/>
        <w:rPr/>
      </w:pPr>
      <w:r>
        <w:rPr>
          <w:rFonts w:ascii="Amiri" w:hAnsi="Amiri" w:eastAsia="Amiri" w:cs="Amiri"/>
          <w:color w:val="111111"/>
          <w:sz w:val="28"/>
          <w:sz w:val="28"/>
          <w:szCs w:val="28"/>
          <w:rtl w:val="true"/>
          <w:lang w:bidi="ar-SA"/>
        </w:rPr>
        <w:t>حنبل و أبي الزناد</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إبراهيم الحوبي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ابن جرير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205/3</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 استحسن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كون الدائرات خالية الوسط، فإذا قابل نقط وسط كل دائرة عقيب الحديث الذي يفرغ من مقابلتها، أو خط في وسطها خطا، و قد كان بعض أهل الحديث لا يعتد من سماعه إلا بما كان كذلك، أو في معناه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تجعل بين كل حديثين دائرة حمراء أو سوداء كبيرة بيّنة، أبين من كتابة الأحاديث، كما كان يفعله المتقدمون، و لو ترك بياضا متسعا بينا جاز، لأن القصد التمييز، و آكد من ذلك أن يفصل بين الحديث و غيره مما يتصل به من كلام المؤلف بهاء مشقوقة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نحوها، لئلا يختلط لفظ الحديث بغيره، كما وقع لنا في بعض أحاديث التهذيب من الالتباس بكلام المقنعة و كلام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5042_154969"/>
    </w:p>
    <w:p>
      <w:pPr>
        <w:pStyle w:val="Heading5"/>
        <w:numPr>
          <w:ilvl w:val="4"/>
          <w:numId w:val="1"/>
        </w:numPr>
        <w:rPr/>
      </w:pPr>
      <w:bookmarkStart w:id="362" w:name="__RefHeading___Toc403501_2142443653"/>
      <w:bookmarkStart w:id="363" w:name="_Toc135"/>
      <w:bookmarkEnd w:id="361"/>
      <w:bookmarkEnd w:id="362"/>
      <w:r>
        <w:rPr>
          <w:rtl w:val="true"/>
        </w:rPr>
        <w:t>و منها</w:t>
      </w:r>
      <w:r>
        <w:rPr>
          <w:rtl w:val="true"/>
        </w:rPr>
        <w:t xml:space="preserve">: </w:t>
      </w:r>
      <w:r>
        <w:rPr>
          <w:rtl w:val="true"/>
        </w:rPr>
        <w:t>إن لا يفصل بين الاسماء المضافة</w:t>
      </w:r>
      <w:bookmarkEnd w:id="36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يحترز في مثل عبد اللّه و عبد الرحمن بن فلان، و كل اسم مضاف إلى كلمة اللّه أو سائر اسمائه المقدسة ملحوق بابن فلان من كتابة المضاف في آخر السطر، و اسم اللّه مع ابن فلان أول السطر الآخر، لأن من بدأ بالسطر قرأ اللّه بن فلان و ذلك محذور</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403503_2142443653"/>
      <w:bookmarkStart w:id="365" w:name="_Toc136"/>
      <w:bookmarkEnd w:id="364"/>
      <w:r>
        <w:rPr>
          <w:rtl w:val="true"/>
        </w:rPr>
        <w:t>و منها</w:t>
      </w:r>
      <w:r>
        <w:rPr>
          <w:rtl w:val="true"/>
        </w:rPr>
        <w:t xml:space="preserve">: </w:t>
      </w:r>
      <w:r>
        <w:rPr>
          <w:rtl w:val="true"/>
        </w:rPr>
        <w:t>إن لا يكتب رسول اللّه أو نبي اللّه بشكل منفصل في الاسطر</w:t>
      </w:r>
      <w:bookmarkEnd w:id="365"/>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يحترز في مثل رسول اللّه و نبي اللّه من كتابة الرسول أو النبي آخر السطر و كتابة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السطر الآخر، لأن من بدأ بالسطر اللاحق وجده موهما مستبشعا، و مثله الحال في سائر الموهمات و المستبشعات، مثل أن يكتب قاتل،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ابن صفية في النار في آخر السطر، و ابن صفية في النار في أول السطر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يتأتى مثل ذلك في المتضايفين كسبحان اللّه العظيم، إذا كتب سبحان آخر السطر، و اللّه العظيم أول السطر اللاحق، و إن قيل أن جمعهما أيضا في سطر واحد أولى</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366" w:name="pg15042_154970"/>
    </w:p>
    <w:p>
      <w:pPr>
        <w:pStyle w:val="Heading5"/>
        <w:numPr>
          <w:ilvl w:val="4"/>
          <w:numId w:val="1"/>
        </w:numPr>
        <w:rPr/>
      </w:pPr>
      <w:bookmarkStart w:id="367" w:name="__RefHeading___Toc403505_2142443653"/>
      <w:bookmarkStart w:id="368" w:name="_Toc137"/>
      <w:bookmarkEnd w:id="366"/>
      <w:bookmarkEnd w:id="367"/>
      <w:r>
        <w:rPr>
          <w:rtl w:val="true"/>
        </w:rPr>
        <w:t>و منها</w:t>
      </w:r>
      <w:r>
        <w:rPr>
          <w:rtl w:val="true"/>
        </w:rPr>
        <w:t xml:space="preserve">: </w:t>
      </w:r>
      <w:r>
        <w:rPr>
          <w:rtl w:val="true"/>
        </w:rPr>
        <w:t>كتابة الثناء على اللّه سبحانه</w:t>
      </w:r>
      <w:bookmarkEnd w:id="368"/>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 على كتابة الثناء على اللّه سبحانه عقيب اسماء اللّه تعالى بكتابة عزّ و جلّ أو تعالى أو تقدس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403507_2142443653"/>
      <w:bookmarkStart w:id="370" w:name="_Toc138"/>
      <w:bookmarkEnd w:id="369"/>
      <w:r>
        <w:rPr>
          <w:rtl w:val="true"/>
        </w:rPr>
        <w:t>و منها</w:t>
      </w:r>
      <w:r>
        <w:rPr>
          <w:rtl w:val="true"/>
        </w:rPr>
        <w:t xml:space="preserve">: </w:t>
      </w:r>
      <w:r>
        <w:rPr>
          <w:rtl w:val="true"/>
        </w:rPr>
        <w:t>كتابة التحية و السّلام بعد اسماء المعصومين عليهم الصلاة و السّلام</w:t>
      </w:r>
      <w:bookmarkEnd w:id="370"/>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كتابة الصلاة و السّلام عقيب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كتابة الصلاة أو السّلام أو هما عقيب بقية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كتابة على نبينا و آله و عليه السّلام عقيب اسماء سائر الأنبياء، و لا يسأم من تكرر الصلاة و السّلام عليهم، و من اغفله عند التكرر حرم أجرا عظيما، فقد ارسل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أولى الناس بي يوم القيامة أكثرهم عليّ صلاة</w:t>
      </w:r>
      <w:r>
        <w:rPr>
          <w:rStyle w:val="FootnoteAnchor"/>
          <w:rtl w:val="true"/>
        </w:rPr>
        <w:footnoteReference w:id="617"/>
      </w:r>
      <w:r>
        <w:rPr>
          <w:rFonts w:ascii="Amiri" w:hAnsi="Amiri" w:eastAsia="Amiri" w:cs="Amiri"/>
          <w:color w:val="111111"/>
          <w:sz w:val="28"/>
          <w:sz w:val="28"/>
          <w:szCs w:val="28"/>
          <w:rtl w:val="true"/>
          <w:lang w:bidi="ar-SA"/>
        </w:rPr>
        <w:t xml:space="preserve">، 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في كتاب لم تزل الملائكة تستغفر له ما دام اسمي في ذلك الكتاب</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يضيف إلى كتابة الصلاة عليه و آله التلفظ </w:t>
      </w:r>
      <w:bookmarkStart w:id="371" w:name="pg15042_154971"/>
    </w:p>
    <w:p>
      <w:pPr>
        <w:pStyle w:val="BookText"/>
        <w:rPr/>
      </w:pPr>
      <w:bookmarkEnd w:id="371"/>
      <w:r>
        <w:rPr>
          <w:rFonts w:ascii="Amiri" w:hAnsi="Amiri" w:eastAsia="Amiri" w:cs="Amiri"/>
          <w:color w:val="111111"/>
          <w:sz w:val="28"/>
          <w:sz w:val="28"/>
          <w:szCs w:val="28"/>
          <w:rtl w:val="true"/>
          <w:lang w:bidi="ar-SA"/>
        </w:rPr>
        <w:t>بالصلاة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بعضهم الاقتصار على الصلاة من دون اتباعه بالسلام للجمع في الأمر بهما في الآية</w:t>
      </w:r>
      <w:r>
        <w:rPr>
          <w:rStyle w:val="FootnoteAnchor"/>
          <w:rtl w:val="true"/>
        </w:rPr>
        <w:footnoteReference w:id="619"/>
      </w:r>
      <w:r>
        <w:rPr>
          <w:rFonts w:ascii="Amiri" w:hAnsi="Amiri" w:eastAsia="Amiri" w:cs="Amiri"/>
          <w:color w:val="111111"/>
          <w:sz w:val="28"/>
          <w:sz w:val="28"/>
          <w:szCs w:val="28"/>
          <w:rtl w:val="true"/>
          <w:lang w:bidi="ar-SA"/>
        </w:rPr>
        <w:t>، و هو كما ترى، فإن غاية ذلك استحباب الجمع لا كراهة التفريق</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كره أيضا جمع الرمز إلى الصلاة و السّلام بحرف أو حرفين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رمز بصلعم قطعت يده، و لكني لم أفهم لهذه الكراهة وجها، لأن هذه الخطوط للكشف عن المرادات، فإذا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المراد، ينطق به القارئ تماما دون الحرف، فما معنى الكراهة؟ إلا أن يستأنس لذلك بكشف الرمز عن التثاقل من كتابة التمام، و عدم الاهتمام بالصلاة و السّلام، فتأمل</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403509_2142443653"/>
      <w:bookmarkStart w:id="373" w:name="_Toc139"/>
      <w:bookmarkEnd w:id="372"/>
      <w:r>
        <w:rPr>
          <w:rtl w:val="true"/>
        </w:rPr>
        <w:t>و منها</w:t>
      </w:r>
      <w:r>
        <w:rPr>
          <w:rtl w:val="true"/>
        </w:rPr>
        <w:t xml:space="preserve">: </w:t>
      </w:r>
      <w:r>
        <w:rPr>
          <w:rtl w:val="true"/>
        </w:rPr>
        <w:t>كتابة الترضي و الترحم على الفقهاء و المحدثين</w:t>
      </w:r>
      <w:bookmarkEnd w:id="37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الترضي و الترحم على الفقهاء و المحدثين </w:t>
      </w:r>
      <w:bookmarkStart w:id="374" w:name="pg15042_154972"/>
    </w:p>
    <w:p>
      <w:pPr>
        <w:pStyle w:val="BookText"/>
        <w:rPr/>
      </w:pPr>
      <w:bookmarkEnd w:id="374"/>
      <w:r>
        <w:rPr>
          <w:rFonts w:ascii="Amiri" w:hAnsi="Amiri" w:eastAsia="Amiri" w:cs="Amiri"/>
          <w:color w:val="111111"/>
          <w:sz w:val="28"/>
          <w:sz w:val="28"/>
          <w:szCs w:val="28"/>
          <w:rtl w:val="true"/>
          <w:lang w:bidi="ar-SA"/>
        </w:rPr>
        <w:t xml:space="preserve">و الأخيار عقيب اسمائهم، و لا يستعمل عزّ و جلّ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عزيزا جليلا، و لا الصلاة و السّلام في 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للاصطلاح، و إن جاز ذلك لغة</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قال السيد حسن الصدر في نهاية 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أشد مواظبة على كل ذلك مثل السيد الأواه السيد جمال الدين علي بن طاوس طاب ثراه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403511_2142443653"/>
      <w:bookmarkStart w:id="376" w:name="_Toc140"/>
      <w:bookmarkEnd w:id="375"/>
      <w:r>
        <w:rPr>
          <w:rtl w:val="true"/>
        </w:rPr>
        <w:t>الرابع</w:t>
      </w:r>
      <w:r>
        <w:rPr>
          <w:rtl w:val="true"/>
        </w:rPr>
        <w:t xml:space="preserve">: </w:t>
      </w:r>
      <w:r>
        <w:rPr>
          <w:rtl w:val="true"/>
        </w:rPr>
        <w:t>يلزم على كاتب الحديث مقابلة كتابه باصل شيخه</w:t>
      </w:r>
      <w:bookmarkEnd w:id="37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أوجب جمع</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ثم أن منهم من يجعل عقب كل باب أو كراس ما يعلم منه المقرض، و ربما اقتصر بعضهم على الاعلام بذلك آخر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 كما حكاه السخاوي في فتحه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صح بالمعارضة و سلم بالمقابلة من المناقضة و ذلك من البسملة إلى الحسبلة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كاتب الحديث مقابلة كتابه بأصل شيخه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أجازه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لأن المقابلة تورث شدّة الاطمئنان بصحته، و ترك المقابلة قد يؤدي إلى الزيادة و النقصان في الاخبار، و قد ارسل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لمن كتب و لم يعارض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تكتب حتى تعرضه فيصح</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 سبق منّا عدّة مصادر و أقوال في أنواع التحمل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العرض،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اساء يحيى بن أبي كثير</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268/12</w:t>
      </w:r>
      <w:r>
        <w:rPr>
          <w:rFonts w:ascii="Amiri" w:hAnsi="Amiri" w:eastAsia="Amiri" w:cs="Amiri"/>
          <w:color w:val="111111"/>
          <w:sz w:val="28"/>
          <w:sz w:val="28"/>
          <w:szCs w:val="28"/>
          <w:rtl w:val="true"/>
          <w:lang w:bidi="ar-SA"/>
        </w:rPr>
        <w:t>،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كتب الحديث و لم يقابله كان كمن دخل الخلاء و لم يستنج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تشبيه كتابة الحديث بقضاء الحاجة في الخلاء كما ترى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الأفضل في المقابلة أن يمسك هو و شيخه كتابيهما حال التسميع، و من لا نسخة له من الطلبة حال السماع ينظر مع من له نسخة إن أراد النقل من نسخته</w:t>
      </w:r>
      <w:r>
        <w:rPr>
          <w:rStyle w:val="FootnoteAnchor"/>
          <w:rtl w:val="true"/>
        </w:rPr>
        <w:footnoteReference w:id="625"/>
      </w:r>
      <w:r>
        <w:rPr>
          <w:rFonts w:ascii="IRNazanin" w:hAnsi="IRNazanin" w:eastAsia="IRNazanin"/>
          <w:color w:val="111111"/>
          <w:sz w:val="28"/>
          <w:sz w:val="28"/>
          <w:szCs w:val="28"/>
          <w:rtl w:val="true"/>
          <w:lang w:bidi="fa-IR"/>
        </w:rPr>
        <w:t xml:space="preserve">، و الأظهر جواز نقله عن </w:t>
      </w:r>
    </w:p>
    <w:p>
      <w:pPr>
        <w:pStyle w:val="BookText"/>
        <w:rPr/>
      </w:pPr>
      <w:r>
        <w:rPr>
          <w:rFonts w:ascii="Amiri" w:hAnsi="Amiri" w:eastAsia="Amiri" w:cs="Amiri"/>
          <w:color w:val="111111"/>
          <w:sz w:val="28"/>
          <w:sz w:val="28"/>
          <w:szCs w:val="28"/>
          <w:rtl w:val="true"/>
          <w:lang w:bidi="ar-SA"/>
        </w:rPr>
        <w:t>تلك النسخة إذا كان صاحبها المستمع لها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جمع في الرواية عما كتبه بمقابلته بفرع قوبل بأصل الشيخ، أو مقابلته بأصل أصل الشيخ المقابل به أصل الشيخ لأن الغرض مطابقة كتابته لأصل الشيخ ، فسواء حصل ذلك بغير واسطة أو بواسطة</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تخريج الساقط في الحواشي ، ويسمى عند أهل الحديث والكتابة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والحاء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من الإلحاق ، أو من الزيادة ، فإنه يطلق على</w:t>
      </w:r>
    </w:p>
    <w:p>
      <w:pPr>
        <w:pStyle w:val="BookText"/>
        <w:rPr/>
      </w:pPr>
      <w:r>
        <w:rPr>
          <w:rFonts w:ascii="Amiri" w:hAnsi="Amiri" w:eastAsia="Amiri" w:cs="Amiri"/>
          <w:color w:val="111111"/>
          <w:sz w:val="28"/>
          <w:sz w:val="28"/>
          <w:szCs w:val="28"/>
          <w:rtl w:val="true"/>
          <w:lang w:bidi="ar-SA"/>
        </w:rPr>
        <w:t xml:space="preserve">كل منهما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لذلك آداباً</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 من موضع سقوطه في السطر خطاً صاعداً لفوق معطوفاً بين السطرين عطفة يسيرة إلى جهة الحاشية التي يكتب فيها اللحق ، هكذا </w:t>
      </w:r>
      <w:r>
        <w:rPr>
          <w:rFonts w:eastAsia="Amiri" w:cs="Amiri" w:ascii="Amiri" w:hAnsi="Amiri"/>
          <w:color w:val="111111"/>
          <w:sz w:val="28"/>
          <w:szCs w:val="28"/>
          <w:rtl w:val="true"/>
          <w:lang w:bidi="ar-SA"/>
        </w:rPr>
        <w:t xml:space="preserve">: </w:t>
      </w:r>
      <w:r>
        <w:rPr>
          <w:rStyle w:val="FootnoteAnchor"/>
          <w:rtl w:val="true"/>
        </w:rPr>
        <w:footnoteReference w:id="62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العطف من موضع التخريج إلى أول اللحق الذي في الهامش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ورد</w:t>
      </w:r>
      <w:r>
        <w:rPr>
          <w:rStyle w:val="FootnoteAnchor"/>
          <w:rtl w:val="true"/>
        </w:rPr>
        <w:footnoteReference w:id="627"/>
      </w:r>
      <w:r>
        <w:rPr>
          <w:rFonts w:ascii="Amiri" w:hAnsi="Amiri" w:eastAsia="Amiri" w:cs="Amiri"/>
          <w:color w:val="111111"/>
          <w:sz w:val="28"/>
          <w:sz w:val="28"/>
          <w:szCs w:val="28"/>
          <w:rtl w:val="true"/>
          <w:lang w:bidi="ar-SA"/>
        </w:rPr>
        <w:t xml:space="preserve">بأنه وإن كان فيه زيادة تبيين لكنه تسخيم للكتاب وتسويد له لا سيما عند كثرة الإلحاقات </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رفع اللبس والاشتباه وتبين الخارج من ذلك الموضع ، وذلك بأي وجه حصل كفى ، ولو بجعل علامة بين الكلمتين المسقط مما بينهما أي علامة كانت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نحوهما ، وكلما كانت العلامة أبعد عن الاشتباه كانت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اللحق قبالة العطفة في الحاشية اليمنى إن اتسعت له ، لاحتمال أن يطرأ في بقية السطر سقط آخر فيخرج له إلى جهة اليسار فلو خرجت للأولى إلى اليسار ثم ظهر في السطر سقط آخر، فإن خرج له إلى اليسار أيضاً اشتبه موضع هذا بموضع ذاك ، وإن خرج إلى اليمين 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التخريجتين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التقيا لقربهما ، فيظن أنه ضرب على ما بينهما ، إلا أن يسقط إلا أن يسقط في آخر السطر فيخ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إلى جهة</w:t>
      </w:r>
    </w:p>
    <w:p>
      <w:pPr>
        <w:pStyle w:val="BookText"/>
        <w:rPr/>
      </w:pPr>
      <w:r>
        <w:rPr>
          <w:rFonts w:ascii="IRNazanin" w:hAnsi="IRNazanin" w:eastAsia="IRNazanin"/>
          <w:color w:val="111111"/>
          <w:sz w:val="28"/>
          <w:sz w:val="28"/>
          <w:szCs w:val="28"/>
          <w:rtl w:val="true"/>
          <w:lang w:bidi="fa-IR"/>
        </w:rPr>
        <w:t>الشمال</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وعندي أن ذلك كله مما لا وجه له لعدم عموم العلة ، والأولى إدارة الأمر مدار البعد عن الاشتباه ، فكل ما كان من طريق كتابة اللحق أبعد عن الاشتباه كان أولى ، وذلك يتبع نظر الكاتب في الموارد الخاصة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الساقط صاعداً إلى أعلى الصفحة من </w:t>
      </w:r>
    </w:p>
    <w:p>
      <w:pPr>
        <w:pStyle w:val="BookText"/>
        <w:rPr/>
      </w:pPr>
      <w:r>
        <w:rPr>
          <w:rFonts w:ascii="Amiri" w:hAnsi="Amiri" w:eastAsia="Amiri" w:cs="Amiri"/>
          <w:color w:val="111111"/>
          <w:sz w:val="28"/>
          <w:sz w:val="28"/>
          <w:szCs w:val="28"/>
          <w:rtl w:val="true"/>
          <w:lang w:bidi="ar-SA"/>
        </w:rPr>
        <w:t>أي جهة كان، ليبقى الأسفل للسقط الآخر المحتمل وقوعه نعم لو علم بعدم سقط آخر في الصفحة أو عدم منع الكتابة إلى أسفل من مقابلة اللحق الآخر لموضع التخريج تخيّر بين الكتابة إلى أعلى أو أسفل، مع اولوية اختياره لما كان أبعد من اشتباه القاري بعد ذلك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كلمة صح في آخر اللحق و منتهاه، و زاد بعضهم كتابة كلمة رجع بعد صح</w:t>
      </w:r>
      <w:r>
        <w:rPr>
          <w:rStyle w:val="FootnoteAnchor"/>
          <w:rtl w:val="true"/>
        </w:rPr>
        <w:footnoteReference w:id="629"/>
      </w:r>
      <w:r>
        <w:rPr>
          <w:rFonts w:ascii="Amiri" w:hAnsi="Amiri" w:eastAsia="Amiri" w:cs="Amiri"/>
          <w:color w:val="111111"/>
          <w:sz w:val="28"/>
          <w:sz w:val="28"/>
          <w:szCs w:val="28"/>
          <w:rtl w:val="true"/>
          <w:lang w:bidi="ar-SA"/>
        </w:rPr>
        <w:t>، و ثالث كتابة الكلمة المتصلة به داخل الكتاب ليدلّ على أن الكلام انتظم، و كلتا الزيادتين لا وجه لهما لما فيهما من التطويل الموهم، لأنه قد يشتبه القارئ بجعل رجع جزء من العبارة، و قد يجيء في الكلام ما هو مكرر مرتين أو ثلاثا لمعنى صحيح، فإذا كررنا الحرف لم نأمن أن يوافق ما يتكرر حقيقة</w:t>
      </w:r>
      <w:r>
        <w:rPr>
          <w:rStyle w:val="FootnoteAnchor"/>
          <w:rtl w:val="true"/>
        </w:rPr>
        <w:footnoteReference w:id="630"/>
      </w:r>
      <w:r>
        <w:rPr>
          <w:rFonts w:ascii="Amiri" w:hAnsi="Amiri" w:eastAsia="Amiri" w:cs="Amiri"/>
          <w:color w:val="111111"/>
          <w:sz w:val="28"/>
          <w:sz w:val="28"/>
          <w:szCs w:val="28"/>
          <w:rtl w:val="true"/>
          <w:lang w:bidi="ar-SA"/>
        </w:rPr>
        <w:t xml:space="preserve">، أو يشكل أمره فيوجب ارتيابا و زيادة إشكال، و ربما اختصر بعضهم علامة التصحيح فيكتبها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الحواشي المكتوبة من غير الأصل كشرح و بيان غلطا</w:t>
      </w:r>
      <w:r>
        <w:rPr>
          <w:rStyle w:val="FootnoteAnchor"/>
          <w:rtl w:val="true"/>
        </w:rPr>
        <w:footnoteReference w:id="631"/>
      </w:r>
      <w:r>
        <w:rPr>
          <w:rFonts w:ascii="Amiri" w:hAnsi="Amiri" w:eastAsia="Amiri" w:cs="Amiri"/>
          <w:color w:val="111111"/>
          <w:sz w:val="28"/>
          <w:sz w:val="28"/>
          <w:szCs w:val="28"/>
          <w:rtl w:val="true"/>
          <w:lang w:bidi="ar-SA"/>
        </w:rPr>
        <w:t>، و اختلاف في رواية أو صفة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لا يخرج له خط، لأنه يدخل اللبس و يحسب من الأصل، بل يجعل على الكلمة ضبّة أو نحوها تدلّ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bookmarkStart w:id="377" w:name="pg15042_154977"/>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نحوهما، و جعل بعضهم</w:t>
      </w:r>
      <w:r>
        <w:rPr>
          <w:rStyle w:val="FootnoteAnchor"/>
          <w:rtl w:val="true"/>
        </w:rPr>
        <w:footnoteReference w:id="632"/>
      </w:r>
      <w:r>
        <w:rPr>
          <w:rFonts w:ascii="Amiri" w:hAnsi="Amiri" w:eastAsia="Amiri" w:cs="Amiri"/>
          <w:color w:val="111111"/>
          <w:sz w:val="28"/>
          <w:sz w:val="28"/>
          <w:szCs w:val="28"/>
          <w:rtl w:val="true"/>
          <w:lang w:bidi="ar-SA"/>
        </w:rPr>
        <w:t xml:space="preserve">الأولى التخريج لها لكن من على وسط الكلمة المخرج لأجلها، لا بين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ليفارق التخريج للساقط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قلناه أولى، لكونه أبعد عن اشتباه الحاشية باللّحق فقد يشتبه الناسخ و يقدم التخريج قليلا أو يؤخره قليلا فيشتبه بتخريج اللّحق</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03513_2142443653"/>
      <w:bookmarkStart w:id="379" w:name="_Toc141"/>
      <w:bookmarkEnd w:id="378"/>
      <w:r>
        <w:rPr>
          <w:rtl w:val="true"/>
        </w:rPr>
        <w:t>السادس</w:t>
      </w:r>
      <w:r>
        <w:rPr>
          <w:rtl w:val="true"/>
        </w:rPr>
        <w:t xml:space="preserve">: </w:t>
      </w:r>
      <w:r>
        <w:rPr>
          <w:rtl w:val="true"/>
        </w:rPr>
        <w:t>معنى التصحيح و التضبيب</w:t>
      </w:r>
      <w:bookmarkEnd w:id="37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استعمالات المتقنين لكتابة الحديث التصحيح و التضبيب مبالغة في العناية بضبط الكتاب، فالتصحيح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صح رواية و معنى، و هو عرضة للشك فيه أو الخلاف، فيكتب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القارئ أن الكاتب لم يغفل عنه، و انه قد ضبط و صح على ذلك الوجه، و التضبيب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التمريض أيضا</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يمدّ على الكلمة الثابتة نقلا الفاسدة لفظا أو معنى أو خطا أو المصحفة أو الناقصة خطا أوّله كالصاد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ليلتفت القارئ إلى أن النسخة كانت هكذا، و لكنه محل شك، فيدلّ نقص الحرف على اختلاف الكلمة كدلالة صح تاما على تمامية الكلمة المكتوب عليها، و تسمية الخط الذي أوله الصاد بالضبّة لكون الكلمة مقفلة بها، لا تتجه لقراءة كضبّة الباب مقفل بها</w:t>
      </w:r>
      <w:r>
        <w:rPr>
          <w:rStyle w:val="FootnoteAnchor"/>
          <w:rtl w:val="true"/>
        </w:rPr>
        <w:footnoteReference w:id="634"/>
      </w:r>
      <w:r>
        <w:rPr>
          <w:rFonts w:ascii="Amiri" w:hAnsi="Amiri" w:eastAsia="Amiri" w:cs="Amiri"/>
          <w:color w:val="111111"/>
          <w:sz w:val="28"/>
          <w:sz w:val="28"/>
          <w:szCs w:val="28"/>
          <w:rtl w:val="true"/>
          <w:lang w:bidi="ar-SA"/>
        </w:rPr>
        <w:t xml:space="preserve">و لا يلزق التضبيب بالممدود عليه لئلا يظن ضربا، </w:t>
      </w:r>
      <w:bookmarkStart w:id="380" w:name="pg15042_154978"/>
    </w:p>
    <w:p>
      <w:pPr>
        <w:pStyle w:val="BookText"/>
        <w:rPr/>
      </w:pPr>
      <w:bookmarkEnd w:id="380"/>
      <w:r>
        <w:rPr>
          <w:rFonts w:ascii="Amiri" w:hAnsi="Amiri" w:eastAsia="Amiri" w:cs="Amiri"/>
          <w:color w:val="111111"/>
          <w:sz w:val="28"/>
          <w:sz w:val="28"/>
          <w:szCs w:val="28"/>
          <w:rtl w:val="true"/>
          <w:lang w:bidi="ar-SA"/>
        </w:rPr>
        <w:t>و من الناقص الذي تمد عليه الضبة موضع الإرسال أو الانقطاع في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يوجد في بعض الاصول القديمة في الإسناد الجامع جماعة من الرواة في طبقة معطوفا بعضهم على بعض علامة تشبه الضبّة فيما بين اسمائهم فيتوهّم من لا خبرة له أنها ضبّة و ليست ضبّة، بل هي علامة اتصال بينهم اثبتت تأكيدا للعطف خوفا من أن يجعل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الواو</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لم أجد الأخير في كتب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ابن الصلاح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403515_2142443653"/>
      <w:bookmarkStart w:id="382" w:name="_Toc142"/>
      <w:bookmarkEnd w:id="381"/>
      <w:r>
        <w:rPr>
          <w:rtl w:val="true"/>
        </w:rPr>
        <w:t>السابع</w:t>
      </w:r>
      <w:r>
        <w:rPr>
          <w:rtl w:val="true"/>
        </w:rPr>
        <w:t xml:space="preserve">: </w:t>
      </w:r>
      <w:r>
        <w:rPr>
          <w:rtl w:val="true"/>
        </w:rPr>
        <w:t>اذا وقع في الكتاب ما ليس منه نفي عنه اما بالضرب عليه أو الحك له أو المحو</w:t>
      </w:r>
      <w:bookmarkEnd w:id="382"/>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الكتاب ما ليس منه نفي عنه، إما بالضرب عليه أو الحك له أو المحو</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الضرب أولى، لأن في الحك يبقى محل </w:t>
      </w:r>
    </w:p>
    <w:p>
      <w:pPr>
        <w:pStyle w:val="BookText"/>
        <w:rPr/>
      </w:pPr>
      <w:r>
        <w:rPr>
          <w:rFonts w:ascii="Amiri" w:hAnsi="Amiri" w:eastAsia="Amiri" w:cs="Amiri"/>
          <w:color w:val="111111"/>
          <w:sz w:val="28"/>
          <w:sz w:val="28"/>
          <w:szCs w:val="28"/>
          <w:rtl w:val="true"/>
          <w:lang w:bidi="ar-SA"/>
        </w:rPr>
        <w:t>الكلمة خالياً ، فقد يشتبه الأمر على القارىء ، وفي المح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يبقى الأثر فيزعمه القاريء صحيحاً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كيفية الضرب أقوال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الأكثر من مدّ خط واضح فوق المضروب عليه مختلطاً بأوائل كلماته ليدلّ على إبطاله ، ولا يطمسه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يكون ما تحته ممكن القراءة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xml:space="preserve">ويسمى هذا عند أهل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 وعند أهل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بفتح الشين المعجمة وتشديد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الشق وهو الصدع ، أو من شق العصا وهو التفريق ، كأنه فرق بين الزائد وما قبله وبعده من الثابت 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Style w:val="FootnoteAnchor"/>
          <w:rtl w:val="true"/>
        </w:rPr>
        <w:footnoteReference w:id="639"/>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نشق الضبي في حبالته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فيها ، فكأنه أبطل حركة الكلمة وأعمالها بجعلها في وثاق يمنعها من التصرف</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خط فوق المضروب عليه من دون خلطه به بل ، يكون فوقه منفصلاً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معطوفاً طرفا الخط على أوله وآخره ، مثاله هكذا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نصف دائرة على 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ونصف دائرة على آخره ، هكذا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دائرة صغيرة أول الزيادة وآخرها، سماهما صفراً لإشعارهما بخلو ما بينهما من صحة ، مثاله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يكتب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زائدة في أوله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وأول الأقوال أجودها لكونه أبعد عن الاشتباه</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الزيادة من قبيل المكرر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على الثاني مطلقاً دون الأول ، لأنه كتب على صواب ، فالخطأ أولى بالضرب عليه والإبطال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يبقى أحسنهما صورة وأبينهما قراءة ويضرب على الآخر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في أول السطر ضرب على الثاني وإن كانا في آخره فعلى الأول ، صوناً لأوائل السطور وأواخ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عن ، وإن كان الأول في آخر السطر والثاني في أول السطر </w:t>
      </w:r>
      <w:bookmarkStart w:id="383" w:name="pg15042_154981"/>
    </w:p>
    <w:p>
      <w:pPr>
        <w:pStyle w:val="BookText"/>
        <w:rPr/>
      </w:pPr>
      <w:bookmarkEnd w:id="383"/>
      <w:r>
        <w:rPr>
          <w:rFonts w:ascii="Amiri" w:hAnsi="Amiri" w:eastAsia="Amiri" w:cs="Amiri"/>
          <w:color w:val="111111"/>
          <w:sz w:val="28"/>
          <w:sz w:val="28"/>
          <w:szCs w:val="28"/>
          <w:rtl w:val="true"/>
          <w:lang w:bidi="ar-SA"/>
        </w:rPr>
        <w:t>الثاني ضرب على آخر السطر، لأن مراعاة عدم طمس أول السطر أولى، و لو تكرر المضاف و المضاف إليه و الموصوف و الصفة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روعي اتصالهما، بأن لا يضرب على المتكرر بينهما، بل على الأول في المضاف و الموصوف، أو الآخر في المضاف إليه و الصفة، لأن ذلك مضطر إليه للفهم، فمراعاته أولى من مراعاة تحسين الصورة في الخط</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403517_2142443653"/>
      <w:bookmarkStart w:id="385" w:name="_Toc143"/>
      <w:bookmarkEnd w:id="384"/>
      <w:r>
        <w:rPr>
          <w:rtl w:val="true"/>
        </w:rPr>
        <w:t>الثامن</w:t>
      </w:r>
      <w:r>
        <w:rPr>
          <w:rtl w:val="true"/>
        </w:rPr>
        <w:t xml:space="preserve">: </w:t>
      </w:r>
      <w:r>
        <w:rPr>
          <w:rtl w:val="true"/>
        </w:rPr>
        <w:t>ذكر جملة من الرموز المتعارفة عند المحدثين</w:t>
      </w:r>
      <w:bookmarkEnd w:id="385"/>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شاع منهم الاقتصار في الخط على الرمز في حدثنا و أخبرنا و جملة من اسماء الكتب لتكررها، و قد ظهر ذلك لكثرة استعمالهم له بحيث لا يختفي و لا يلتبس، فيرمزون لحدثنا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w:t>
      </w:r>
      <w:r>
        <w:rPr>
          <w:rStyle w:val="FootnoteAnchor"/>
          <w:rtl w:val="true"/>
        </w:rPr>
        <w:footnoteReference w:id="642"/>
      </w:r>
      <w:r>
        <w:rPr>
          <w:rFonts w:ascii="Amiri" w:hAnsi="Amiri" w:eastAsia="Amiri" w:cs="Amiri"/>
          <w:color w:val="111111"/>
          <w:sz w:val="28"/>
          <w:sz w:val="28"/>
          <w:szCs w:val="28"/>
          <w:rtl w:val="true"/>
          <w:lang w:bidi="ar-SA"/>
        </w:rPr>
        <w:t xml:space="preserve">، و لحدثني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بحذف الحاء و الدال و إبقاء الثاء و النون و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يحذف أيضا و يقتصر على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يرمزون لاخبرنا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بإبقاء الهمزة و الضمير، و حذف الخاء و الباء و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تزاد راء و خاء بعد الهمزة، و لا تحسن زيادة الباء قبل النون، لئلا يلتبس برمز حدثنا، و إن فعله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يرمز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بقاف، ثم منهم من يجمعها مع أداة التحديث فيكتب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قثنا،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يفردها فيكتب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 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اصطلاح متروك</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قال في وصول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فعله عامة محدثينا كابن بابويه و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أمثالهما من ذكر الرجل فقط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الرمز له فإنما يفعلونه في الأكثر في أعالي السند إذا حذفوا أوله للعلم به، فيكون المعنى عن محمد بن يحيى مثلا، فيحذفون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اختصارا، و إنما فعلوا ذلك لأن كيفية الأخذ في أعالي السند يخفى في الأغلب على متأخري المحدثين، و إنما المقصود أن يثبتوا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مروي عنهم، أعم من أن يكون بقراءة أو اجازة أو غير ذلك من طرق النقل، فلهذا اقتصروا على ذكر الراوي فقط، و من غير الأكثر ما فعله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حذف ذلك من الأول أيضا، لما ذكرناه من أن المراد اثبات الرواية، أما إذا اتصل بهم السند فلا يكادون يخلون بذكر حدثنا و أخبرنا، أو الرمز له كما هو في كثير من التهذيب و باقي كتب الأحاديث</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يرمز للكافي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بالكاف بعده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ثم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المثناة ثم الباء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المهملة بعدها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الرموز المذكورة في أول كل من كتب الأخبار و الرجال المستعمل فيها الرموز كالوافي و البحار و منتهى المقال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bookmarkStart w:id="386" w:name="pg15042_154983"/>
    </w:p>
    <w:p>
      <w:pPr>
        <w:pStyle w:val="BookText"/>
        <w:rPr/>
      </w:pPr>
      <w:bookmarkEnd w:id="386"/>
      <w:r>
        <w:rPr>
          <w:rFonts w:ascii="Amiri" w:hAnsi="Amiri" w:eastAsia="Amiri" w:cs="Amiri"/>
          <w:color w:val="111111"/>
          <w:sz w:val="28"/>
          <w:sz w:val="28"/>
          <w:szCs w:val="28"/>
          <w:rtl w:val="true"/>
          <w:lang w:bidi="ar-SA"/>
        </w:rPr>
        <w:t>و إذا كان للحديث إسنادان أو أكثر و جمعوا بينهما في متن واحد كتبوا عند الانتقال من إسناد إلى 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مفردة مهملة، و قد اختلفوا في المراد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رمز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استعمله جمع من كتابة كلمة صح بين الإسنادين، لئلا يتوهم أن حديث الإسناد الأول ساقط، و لا يركب الإسناد الثاني على الأول فيجعلا إسنادا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رمز التحويل من إسناد إلى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رمز حائل، لأنها تحول بين إسنادين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رمز الحديث</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403519_2142443653"/>
      <w:bookmarkStart w:id="388" w:name="_Toc144"/>
      <w:bookmarkEnd w:id="387"/>
      <w:r>
        <w:rPr>
          <w:rtl w:val="true"/>
        </w:rPr>
        <w:t>التاسع</w:t>
      </w:r>
      <w:r>
        <w:rPr>
          <w:rtl w:val="true"/>
        </w:rPr>
        <w:t xml:space="preserve">: </w:t>
      </w:r>
      <w:r>
        <w:rPr>
          <w:rtl w:val="true"/>
        </w:rPr>
        <w:t>كيفية كتابة التسميع</w:t>
      </w:r>
      <w:bookmarkEnd w:id="38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ينبغي في كتابة التسميع</w:t>
      </w:r>
      <w:r>
        <w:rPr>
          <w:rStyle w:val="FootnoteAnchor"/>
          <w:rtl w:val="true"/>
        </w:rPr>
        <w:footnoteReference w:id="646"/>
      </w:r>
      <w:r>
        <w:rPr>
          <w:rFonts w:ascii="Amiri" w:hAnsi="Amiri" w:eastAsia="Amiri" w:cs="Amiri"/>
          <w:color w:val="111111"/>
          <w:sz w:val="28"/>
          <w:sz w:val="28"/>
          <w:szCs w:val="28"/>
          <w:rtl w:val="true"/>
          <w:lang w:bidi="ar-SA"/>
        </w:rPr>
        <w:t>أن يكتب الطالب بعد البسملة اسم الشيخ المسمع و نسبه و كنيته، بأن يكتب حدثنا فلان بن فلان الفلاني قال حدثنا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يسوق المسموع </w:t>
      </w:r>
    </w:p>
    <w:p>
      <w:pPr>
        <w:pStyle w:val="BookText"/>
        <w:rPr/>
      </w:pPr>
      <w:r>
        <w:rPr>
          <w:rFonts w:ascii="Amiri" w:hAnsi="Amiri" w:eastAsia="Amiri" w:cs="Amiri"/>
          <w:color w:val="111111"/>
          <w:sz w:val="28"/>
          <w:sz w:val="28"/>
          <w:szCs w:val="28"/>
          <w:rtl w:val="true"/>
          <w:lang w:bidi="ar-SA"/>
        </w:rPr>
        <w:t xml:space="preserve">على لفظه، و يكتب فوق البسملة اسماء السامعين و أنسابهم و تاريخ وقت السماع، أو يكتبه في حاشية أول ورقة من الكتاب أو آخر الكتاب أو موضع آخر حيث لا يخفى منه، و إن كان السماع في مجالس عديدة كتب عند انتهاء السماع في كل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ينبغي أن يكون ذلك بخط ثقة معروف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الشيخ هو السامع كتب علامة البلاغ بخط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كاتب التسميع التحري في ذلك و الاحتياط و بيان السامع و المسمع و المسموع بلفظ غير محتمل، و مجانبة التساهل فيمن يثبته، و الحذر من إسقاط بعض السامعين لغرض فاسد، فإن ذلك مما يؤديه إلى عدم انتفاعه بما سمع، فإن لم يحضر مثبت السامع ما سمع فله أن يعتمد في إثباته في حضورهم على خبر ثقة حضر ذلك، و من ثبت في كتابه سماع غيره فلا يكتمه، و لا يمنع نقل سماعه منه و لا نسخ الكتاب، فإن أول بركة الحديث إعارة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بخل بالعلم ابتلى بأحد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ينساه، أو يموت و لا ينتفع به، أو تذهب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ذم اللّه تعالى في كتابه مانع عارية الماعون بقوله وَ يَمْنَعُونَ اَلْماعُونَ </w:t>
      </w:r>
      <w:r>
        <w:rPr>
          <w:rStyle w:val="FootnoteAnchor"/>
          <w:rtl w:val="true"/>
        </w:rPr>
        <w:footnoteReference w:id="647"/>
      </w:r>
      <w:r>
        <w:rPr>
          <w:rFonts w:ascii="Amiri" w:hAnsi="Amiri" w:eastAsia="Amiri" w:cs="Amiri"/>
          <w:color w:val="111111"/>
          <w:sz w:val="28"/>
          <w:sz w:val="28"/>
          <w:szCs w:val="28"/>
          <w:rtl w:val="true"/>
          <w:lang w:bidi="ar-SA"/>
        </w:rPr>
        <w:t>، و إعارة الكتب أهم من إعارة الماعون، و لا يبطي المستعير بكتاب المعير إلا بقدر حاجته</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قال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كاتب التسميع التحري و الاحتياط و بيان السامع و المسموع و المسموع منه بلفظ غير محتمل، و مجانبة التساهل فيمن يثبت اسمه، و الحذر من اسقاط اسم أحد منهم لغرض فاسد، فإن كان مثبت السماع غير حاضر في جميعه لكن أثبته معتمدا على إخبار من يثق بخبره من حاضريه فلا بأس بذلك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اصطلح حذفه من الكتاب دون القراءة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الباب</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9" w:name="pg15042_154985"/>
    </w:p>
    <w:p>
      <w:pPr>
        <w:pStyle w:val="Heading3"/>
        <w:numPr>
          <w:ilvl w:val="2"/>
          <w:numId w:val="1"/>
        </w:numPr>
        <w:rPr/>
      </w:pPr>
      <w:bookmarkStart w:id="390" w:name="__RefHeading___Toc403521_2142443653"/>
      <w:bookmarkStart w:id="391" w:name="_Toc145"/>
      <w:bookmarkEnd w:id="389"/>
      <w:bookmarkEnd w:id="390"/>
      <w:r>
        <w:rPr>
          <w:rtl w:val="true"/>
        </w:rPr>
        <w:t xml:space="preserve">المقام الرابع في كيفية رواية الحديث و ما يتعلق بذلك </w:t>
      </w:r>
      <w:r>
        <w:rPr>
          <w:rtl w:val="true"/>
        </w:rPr>
        <w:t xml:space="preserve">. </w:t>
      </w:r>
      <w:r>
        <w:rPr>
          <w:rtl w:val="true"/>
        </w:rPr>
        <w:t>و فيه مطالب</w:t>
      </w:r>
      <w:r>
        <w:rPr>
          <w:rtl w:val="true"/>
        </w:rPr>
        <w:t>:</w:t>
      </w:r>
      <w:bookmarkEnd w:id="391"/>
    </w:p>
    <w:p>
      <w:pPr>
        <w:pStyle w:val="Heading4"/>
        <w:numPr>
          <w:ilvl w:val="3"/>
          <w:numId w:val="1"/>
        </w:numPr>
        <w:rPr/>
      </w:pPr>
      <w:bookmarkStart w:id="392" w:name="__RefHeading___Toc403523_2142443653"/>
      <w:bookmarkStart w:id="393" w:name="_Toc146"/>
      <w:bookmarkEnd w:id="392"/>
      <w:r>
        <w:rPr>
          <w:rtl w:val="true"/>
        </w:rPr>
        <w:t>اشارة</w:t>
      </w:r>
      <w:bookmarkEnd w:id="393"/>
    </w:p>
    <w:p>
      <w:pPr>
        <w:pStyle w:val="BookText"/>
        <w:rPr/>
      </w:pPr>
      <w:r>
        <w:rPr>
          <w:rFonts w:ascii="Amiri" w:hAnsi="Amiri" w:eastAsia="Amiri" w:cs="Amiri"/>
          <w:color w:val="111111"/>
          <w:sz w:val="28"/>
          <w:sz w:val="28"/>
          <w:szCs w:val="28"/>
          <w:rtl w:val="true"/>
          <w:lang w:bidi="ar-SA"/>
        </w:rPr>
        <w:t>المقام الرابع في كيفية رواية الحديث و ما يتعلق بذلك</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03525_2142443653"/>
      <w:bookmarkStart w:id="395" w:name="_Toc147"/>
      <w:bookmarkEnd w:id="394"/>
      <w:r>
        <w:rPr>
          <w:rtl w:val="true"/>
        </w:rPr>
        <w:t>المطلب الاول</w:t>
      </w:r>
      <w:r>
        <w:rPr>
          <w:rtl w:val="true"/>
        </w:rPr>
        <w:t xml:space="preserve">: </w:t>
      </w:r>
      <w:r>
        <w:rPr>
          <w:rtl w:val="true"/>
        </w:rPr>
        <w:t>ما يجوز به رواية الحديث</w:t>
      </w:r>
      <w:bookmarkEnd w:id="39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هذا الفن قد اختلفوا فيما يجوز به رواية الحديث، ففرط فيه قوم و تساهلوا أو جوّزوا الرواية بكل من الوجادة و الأعلام و الوصية كما مرّ</w:t>
      </w:r>
      <w:r>
        <w:rPr>
          <w:rStyle w:val="FootnoteAnchor"/>
          <w:rtl w:val="true"/>
        </w:rPr>
        <w:footnoteReference w:id="650"/>
      </w:r>
      <w:r>
        <w:rPr>
          <w:rFonts w:ascii="Amiri" w:hAnsi="Amiri" w:eastAsia="Amiri" w:cs="Amiri"/>
          <w:color w:val="111111"/>
          <w:sz w:val="28"/>
          <w:sz w:val="28"/>
          <w:szCs w:val="28"/>
          <w:rtl w:val="true"/>
          <w:lang w:bidi="ar-SA"/>
        </w:rPr>
        <w:t>، و أفرط فيه آخرون و بالغوا في التشديد، و قالوا أنه لا حجة إلا فيما رواه الراوي من حفظه و تذكره، حكي ذلك عن مالك و أبي حنيفة و بعض الشافعية</w:t>
      </w:r>
      <w:r>
        <w:rPr>
          <w:rStyle w:val="FootnoteAnchor"/>
          <w:rtl w:val="true"/>
        </w:rPr>
        <w:footnoteReference w:id="65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سئل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يؤخذ العلم ممن لا يحفظ حديثه و هو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أتى بكتب؟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و هو ثقة؟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عنه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هناك قول ثالث و هو جواز الاعتماد على الكتاب في رواية ما سمعه و لم يحفظ بشرط بقائه في يده، فلو أخرجه عن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باعارة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 الرواية منه لغيبته عنه المجوزة للتغيير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جواز الاعتماد في رواية ما سمعه و لم يحفظه على الكتاب و إن خرج من يده مع أمن التغيير و التبديل و الدسّ، و عدم جواز الاعتماد مع عدم أمن ذلك، و هذا هو القول الفصل الذي استقر عليه عمل الأكثر و ساعده الدليل</w:t>
      </w:r>
      <w:r>
        <w:rPr>
          <w:rStyle w:val="FootnoteAnchor"/>
          <w:rtl w:val="true"/>
        </w:rPr>
        <w:footnoteReference w:id="654"/>
      </w:r>
      <w:r>
        <w:rPr>
          <w:rFonts w:ascii="IRNazanin" w:hAnsi="IRNazanin" w:eastAsia="IRNazanin"/>
          <w:color w:val="111111"/>
          <w:sz w:val="28"/>
          <w:sz w:val="28"/>
          <w:szCs w:val="28"/>
          <w:rtl w:val="true"/>
          <w:lang w:bidi="fa-IR"/>
        </w:rPr>
        <w:t xml:space="preserve">، فإن الاطمئنان مرجع </w:t>
      </w:r>
    </w:p>
    <w:p>
      <w:pPr>
        <w:pStyle w:val="BookText"/>
        <w:rPr/>
      </w:pPr>
      <w:r>
        <w:rPr>
          <w:rFonts w:ascii="Amiri" w:hAnsi="Amiri" w:eastAsia="Amiri" w:cs="Amiri"/>
          <w:color w:val="111111"/>
          <w:sz w:val="28"/>
          <w:sz w:val="28"/>
          <w:szCs w:val="28"/>
          <w:rtl w:val="true"/>
          <w:lang w:bidi="ar-SA"/>
        </w:rPr>
        <w:t>كافة العقلاء في جميع امور معاشهم و معادهم، و رواية الحديث من جملتها، فيجوز بناؤها على ما يطمأن بكونه ما سمعه من شيخه، و التزام أزيد من ذلك يؤدي إلى العسر و الحرج و تعطيل الأحكام</w:t>
      </w:r>
      <w:r>
        <w:rPr>
          <w:rStyle w:val="FootnoteAnchor"/>
          <w:rtl w:val="true"/>
        </w:rPr>
        <w:footnoteReference w:id="655"/>
      </w:r>
      <w:r>
        <w:rPr>
          <w:rFonts w:ascii="Amiri" w:hAnsi="Amiri" w:eastAsia="Amiri" w:cs="Amiri"/>
          <w:color w:val="111111"/>
          <w:sz w:val="28"/>
          <w:sz w:val="28"/>
          <w:szCs w:val="28"/>
          <w:rtl w:val="true"/>
          <w:lang w:bidi="ar-SA"/>
        </w:rPr>
        <w:t>، كما أن تجويز الرواية بدون ذلك يؤدي إلى تضييع الأحكام، و لذا إن المفرطين بتجويز الرواية من نسخة غير مقابلة باصول كتبوا بذلك في طبقات المجروحين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ظريف ما نقل عن بعض المتساهلين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ابن لهيعة الحضرمي قاضي مصر</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يحيى بن حسان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197/11</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190/13</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مصادر</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قوما معهم جزء سمعوه من ابن لهيعة فنظر فيه فإذا ليس فيه حديث واحد من حديث ابن لهيعة، فجاء إليه فأخبره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يجيئوني بكتاب فيقولون هذا من حديثك</w:t>
      </w:r>
      <w:bookmarkStart w:id="396" w:name="pg15042_154988"/>
    </w:p>
    <w:p>
      <w:pPr>
        <w:pStyle w:val="BookText"/>
        <w:rPr/>
      </w:pPr>
      <w:bookmarkEnd w:id="396"/>
      <w:r>
        <w:rPr>
          <w:rFonts w:ascii="Amiri" w:hAnsi="Amiri" w:eastAsia="Amiri" w:cs="Amiri"/>
          <w:color w:val="111111"/>
          <w:sz w:val="28"/>
          <w:sz w:val="28"/>
          <w:szCs w:val="28"/>
          <w:rtl w:val="true"/>
          <w:lang w:bidi="ar-SA"/>
        </w:rPr>
        <w:t>فأحدثهم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خطأ عظيم، و غفلة فاحشة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403527_2142443653"/>
      <w:bookmarkStart w:id="398" w:name="_Toc148"/>
      <w:bookmarkEnd w:id="397"/>
      <w:r>
        <w:rPr>
          <w:rtl w:val="true"/>
        </w:rPr>
        <w:t>المطلب الثاني</w:t>
      </w:r>
      <w:r>
        <w:rPr>
          <w:rtl w:val="true"/>
        </w:rPr>
        <w:t xml:space="preserve">: </w:t>
      </w:r>
      <w:r>
        <w:rPr>
          <w:rtl w:val="true"/>
        </w:rPr>
        <w:t>كيفية رواية الاعمى</w:t>
      </w:r>
      <w:bookmarkEnd w:id="39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في ذيل الكلام على شروط العمل بالخبر من الفصل الرابع عدم اعتبار البصر في راوي الحديث، فيجوز للضرير الذي عرضه عدم البصر و الذي تولد غير بصير رواية الحديث الذي تحمله و حفظه، و لو لم يحفظ الأعمى ما سمعه من فم من حدثه لم يجز له الرواية إلا أن يستعين بثقة في ضبط سماعه و حفظ كتابته عن التغيير، و يحتاط عند القراءة عليه على حسب حاله حتى يغلب على ظنه سلامته من التغيير، فإنه تصح حينئذ روايته</w:t>
      </w:r>
      <w:r>
        <w:rPr>
          <w:rStyle w:val="FootnoteAnchor"/>
          <w:rtl w:val="true"/>
        </w:rPr>
        <w:footnoteReference w:id="659"/>
      </w:r>
      <w:r>
        <w:rPr>
          <w:rFonts w:ascii="Amiri" w:hAnsi="Amiri" w:eastAsia="Amiri" w:cs="Amiri"/>
          <w:color w:val="111111"/>
          <w:sz w:val="28"/>
          <w:sz w:val="28"/>
          <w:szCs w:val="28"/>
          <w:rtl w:val="true"/>
          <w:lang w:bidi="ar-SA"/>
        </w:rPr>
        <w:t>، و مثله الامي الذي لا يقرأ الخط و لم يحفظ ما 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منع من رواية البصير الذي ضبط كتابه قبل العمى و إن استعان بثقة في قراءة ذلك الكتاب عليه يلزمه المنع من رواية الضرير إذا استعان بكتاب الثقة، لكن المنع قد عرفت سابقا ما فيه، لأن مدار العالم و مجرى عادة بني آدم على الاعتماد على الاطمئنان، فإذا حصل للأعمى الاطمئنان برواية جاز له أن يرويها على الأشهر الأقوى</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403529_2142443653"/>
      <w:bookmarkStart w:id="400" w:name="_Toc149"/>
      <w:bookmarkEnd w:id="399"/>
      <w:r>
        <w:rPr>
          <w:rtl w:val="true"/>
        </w:rPr>
        <w:t>المطلب الثالث</w:t>
      </w:r>
      <w:r>
        <w:rPr>
          <w:rtl w:val="true"/>
        </w:rPr>
        <w:t xml:space="preserve">: </w:t>
      </w:r>
      <w:r>
        <w:rPr>
          <w:rtl w:val="true"/>
        </w:rPr>
        <w:t>كيفية رواية الكتابة او النسخة</w:t>
      </w:r>
      <w:bookmarkEnd w:id="40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سمع الثقة كتابا و لم يحفظه و أراد روايته، فإن روى من النسخة التي سمعها و قابلها و ضبطها فلا كلام، </w:t>
      </w:r>
      <w:bookmarkStart w:id="401" w:name="pg15042_154989"/>
    </w:p>
    <w:p>
      <w:pPr>
        <w:pStyle w:val="BookText"/>
        <w:rPr/>
      </w:pPr>
      <w:bookmarkEnd w:id="401"/>
      <w:r>
        <w:rPr>
          <w:rFonts w:ascii="Amiri" w:hAnsi="Amiri" w:eastAsia="Amiri" w:cs="Amiri"/>
          <w:color w:val="111111"/>
          <w:sz w:val="28"/>
          <w:sz w:val="28"/>
          <w:szCs w:val="28"/>
          <w:rtl w:val="true"/>
          <w:lang w:bidi="ar-SA"/>
        </w:rPr>
        <w:t>و كذا إن روى من نسخة قوبلت بنسخة سماعه مقابلة موثوقا بها، و إن أراد الرّواية من نسخة لم يسمعها بعينها و لم تقابل بنسخة سماعه أيضا لكنها سمعت على شيخه الذي سمع هو عليه، أو فيها سماع شيخه على الشيخ الأعلى، أو كتبت عن شيخه و سكنت نفسه إليها، فإن كانت له من شيخه اجازة عامة لمرويّاته فلا ينبغي التأمل أيضا في صحة روايته لها، إذ ليس فيها حينئذ أكثر من رواية الزيادة على مسموعاته إن كانت بالإجازة، و إن لم تكن له اجازة عامة فإن وثق هو بعدم مغايرتها لنسخة سماعه جازت له روايتها أيضا، لعدم المانع، و إن لم يثق بذلك فالمعزي إلى عامة المحدثين المنع من روايته لها</w:t>
      </w:r>
      <w:r>
        <w:rPr>
          <w:rStyle w:val="FootnoteAnchor"/>
          <w:rtl w:val="true"/>
        </w:rPr>
        <w:footnoteReference w:id="660"/>
      </w:r>
      <w:r>
        <w:rPr>
          <w:rFonts w:ascii="Amiri" w:hAnsi="Amiri" w:eastAsia="Amiri" w:cs="Amiri"/>
          <w:color w:val="111111"/>
          <w:sz w:val="28"/>
          <w:sz w:val="28"/>
          <w:szCs w:val="28"/>
          <w:rtl w:val="true"/>
          <w:lang w:bidi="ar-SA"/>
        </w:rPr>
        <w:t>، لاحتمال أن تكون فيها رواية ليست في نسخة سماعه، و مجرد كونها مسموعة عن شيخه أو شيخ شيخه لا ينفع بعد عدم اجازة عامة له تشمل روايته لمثلها حتى تسوغ له الرواية لها، فتدبر جيدا</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403531_2142443653"/>
      <w:bookmarkStart w:id="403" w:name="_Toc150"/>
      <w:bookmarkEnd w:id="402"/>
      <w:r>
        <w:rPr>
          <w:rtl w:val="true"/>
        </w:rPr>
        <w:t>المطلب الرابع</w:t>
      </w:r>
      <w:r>
        <w:rPr>
          <w:rtl w:val="true"/>
        </w:rPr>
        <w:t xml:space="preserve">: </w:t>
      </w:r>
      <w:r>
        <w:rPr>
          <w:rtl w:val="true"/>
        </w:rPr>
        <w:t>اذا وجد الحافظ في كتابه خلاف ما حفظه</w:t>
      </w:r>
      <w:bookmarkEnd w:id="40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وجد الحافظ للحديث في كتابه خلاف ما في حفظه، فإن كان مستند حفظه ذلك الكتاب رجع إليه، لأنه الأصل، و تبين أن الخطأ من قبل الحفظ، و إن كان حفظه من فم شيخه اعتمد حفظه إن لم يشك، و الأحسن أن يجمع حينئذ بينهما في روايته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حفظي كذا و في كتابي كذا، منبها على الاختلاف لاحتمال الخطأ على كل منهما، فينبغي أن يتخلص بذلك</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خالف ما يحفظه لما يحفظه غيره </w:t>
      </w:r>
    </w:p>
    <w:p>
      <w:pPr>
        <w:pStyle w:val="BookText"/>
        <w:rPr/>
      </w:pPr>
      <w:r>
        <w:rPr>
          <w:rFonts w:ascii="Amiri" w:hAnsi="Amiri" w:eastAsia="Amiri" w:cs="Amiri"/>
          <w:color w:val="111111"/>
          <w:sz w:val="28"/>
          <w:sz w:val="28"/>
          <w:szCs w:val="28"/>
          <w:rtl w:val="true"/>
          <w:lang w:bidi="ar-SA"/>
        </w:rPr>
        <w:t>من الحفاظ المضبوطين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يقول في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حفظي كذا و غيري أو فلان يقول كذا، ليتخلص من تبعته</w:t>
      </w:r>
      <w:r>
        <w:rPr>
          <w:rStyle w:val="FootnoteAnchor"/>
          <w:rtl w:val="true"/>
        </w:rPr>
        <w:footnoteReference w:id="662"/>
      </w:r>
      <w:r>
        <w:rPr>
          <w:rFonts w:ascii="Amiri" w:hAnsi="Amiri" w:eastAsia="Amiri" w:cs="Amiri"/>
          <w:color w:val="111111"/>
          <w:sz w:val="28"/>
          <w:sz w:val="28"/>
          <w:szCs w:val="28"/>
          <w:rtl w:val="true"/>
          <w:lang w:bidi="ar-SA"/>
        </w:rPr>
        <w:t>، و لو اطلق و روى ما عنده جاز، لكن الأول هو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وجد الكتاب بخطه أو خط ثقة بسماع له أو رواية بأحد وجوهها و هو لا يذكر سماع الحديث الذي في الكتاب؛ فمن منع من الرواية لما لا يحفظه مطلقا كأبي حنيفة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ممن مرّ فلا كلام في منعه من الرواية، و من جوّز رواية ما لا يحفظه مع 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عنده جواز أن يروي ما في الكتاب، إذ كما يعتمد على كتاب في ضبطه ما سمعه فكذا يعتمد عليه في ضبط أصل السماع، فإن ضبط أصل السماع كضبط المسموع، فإذا جاز اعتماده عليه و إن لم يذكره حديثا حديثا فكذا هنا، غايته أنه يشترط كون الكتاب بخطه أو بخط من يثق به، و كونه مصونا بحيث يغلب على الظن سلامته من تطرق التزوير، و تسكن إليه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يذكر أحاديثه حديثا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شك فيه لم يجز الاعتماد عليه، و كذا إذا لم يكن الكتاب بخط ثقة بلا خلاف</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قال بعضهم أن المعتمد عند العلماء قديما و حديثا العمل بما يوجد من السماع و الإجازة مكتوبا في الطباق التي يغلب على الظن صحتها، و إن لم يتذكر السماع و لا الإجازة </w:t>
      </w:r>
      <w:bookmarkStart w:id="404" w:name="pg15042_154991"/>
    </w:p>
    <w:p>
      <w:pPr>
        <w:pStyle w:val="BookText"/>
        <w:rPr/>
      </w:pPr>
      <w:bookmarkEnd w:id="404"/>
      <w:r>
        <w:rPr>
          <w:rFonts w:ascii="Amiri" w:hAnsi="Amiri" w:eastAsia="Amiri" w:cs="Amiri"/>
          <w:color w:val="111111"/>
          <w:sz w:val="28"/>
          <w:sz w:val="28"/>
          <w:szCs w:val="28"/>
          <w:rtl w:val="true"/>
          <w:lang w:bidi="ar-SA"/>
        </w:rPr>
        <w:t>و لم تكن الطبقة محفوظة عنده</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403533_2142443653"/>
      <w:bookmarkStart w:id="406" w:name="_Toc151"/>
      <w:bookmarkEnd w:id="405"/>
      <w:r>
        <w:rPr>
          <w:rtl w:val="true"/>
        </w:rPr>
        <w:t>المطلب الخامس</w:t>
      </w:r>
      <w:r>
        <w:rPr>
          <w:rtl w:val="true"/>
        </w:rPr>
        <w:t xml:space="preserve">: </w:t>
      </w:r>
      <w:r>
        <w:rPr>
          <w:rtl w:val="true"/>
        </w:rPr>
        <w:t>حكم رواية الحديث بالمعنى، ثمان اقوال</w:t>
      </w:r>
      <w:bookmarkEnd w:id="406"/>
    </w:p>
    <w:p>
      <w:pPr>
        <w:pStyle w:val="Heading5"/>
        <w:numPr>
          <w:ilvl w:val="4"/>
          <w:numId w:val="1"/>
        </w:numPr>
        <w:rPr/>
      </w:pPr>
      <w:bookmarkStart w:id="407" w:name="__RefHeading___Toc403535_2142443653"/>
      <w:bookmarkStart w:id="408" w:name="_Toc152"/>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لم يكن عالما بالألفاظ و مدلولاتها و مقاصدها خبيرا بما يحلّ‌</w:t>
      </w:r>
      <w:r>
        <w:rPr>
          <w:rStyle w:val="FootnoteAnchor"/>
          <w:rtl w:val="true"/>
        </w:rPr>
        <w:footnoteReference w:id="663"/>
      </w:r>
      <w:r>
        <w:rPr>
          <w:rFonts w:ascii="Amiri" w:hAnsi="Amiri" w:eastAsia="Amiri" w:cs="Amiri"/>
          <w:color w:val="111111"/>
          <w:sz w:val="28"/>
          <w:sz w:val="28"/>
          <w:szCs w:val="28"/>
          <w:rtl w:val="true"/>
          <w:lang w:bidi="ar-SA"/>
        </w:rPr>
        <w:t>معانيها، بصيرا بمقادير التفاوت بينها لا يجوز له أن يروي الحديث بالمعنى، بل يقتصر على رواية ما سمعه باللفظ الذي سمعه بغير خلاف، كما في البداية</w:t>
      </w:r>
      <w:r>
        <w:rPr>
          <w:rStyle w:val="FootnoteAnchor"/>
          <w:rtl w:val="true"/>
        </w:rPr>
        <w:footnoteReference w:id="66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غيرها</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هذا و يظهر من كلمات أعلام العامة و مشايخهم صحة النقل بالمعنى مطلقا، كما أورد جملة منها في قواعد التحديث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وقع الخلاف في أن العالم بذلك كله هل يجوز له النقل بالمعنى أم لا</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الساري إلى شرح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النزاع أعم، فتدبر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على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إذا قطع باداء المعنى تماما و عدم سقوطه بذلك عن الحجية، و هو المعروف بين أصحابنا و المعزى إلى جمهور السلف و الخلف من الطوائف</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و 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الأقوال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المعتمد الأول، و هو الذي استقر 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في القوانين أنه لا خلاف فيه بين أصحابنا، و أن المخالف بعض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نفى في الفصول معرفة الخلاف في ذلك بين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أكثر مخالفينا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منه مطلقا</w:t>
      </w:r>
      <w:r>
        <w:rPr>
          <w:rStyle w:val="FootnoteAnchor"/>
          <w:rtl w:val="true"/>
        </w:rPr>
        <w:footnoteReference w:id="668"/>
      </w:r>
      <w:r>
        <w:rPr>
          <w:rFonts w:ascii="Amiri" w:hAnsi="Amiri" w:eastAsia="Amiri" w:cs="Amiri"/>
          <w:color w:val="111111"/>
          <w:sz w:val="28"/>
          <w:sz w:val="28"/>
          <w:szCs w:val="28"/>
          <w:rtl w:val="true"/>
          <w:lang w:bidi="ar-SA"/>
        </w:rPr>
        <w:t xml:space="preserve">، عزاه بعض العامة إلى طائفة </w:t>
      </w:r>
    </w:p>
    <w:p>
      <w:pPr>
        <w:pStyle w:val="BookText"/>
        <w:rPr/>
      </w:pPr>
      <w:r>
        <w:rPr>
          <w:rFonts w:ascii="Amiri" w:hAnsi="Amiri" w:eastAsia="Amiri" w:cs="Amiri"/>
          <w:color w:val="111111"/>
          <w:sz w:val="28"/>
          <w:sz w:val="28"/>
          <w:szCs w:val="28"/>
          <w:rtl w:val="true"/>
          <w:lang w:bidi="ar-SA"/>
        </w:rPr>
        <w:t>من أصحاب الحديث و الفقه و الاصول</w:t>
      </w:r>
      <w:r>
        <w:rPr>
          <w:rStyle w:val="FootnoteAnchor"/>
          <w:rtl w:val="true"/>
        </w:rPr>
        <w:footnoteReference w:id="669"/>
      </w:r>
      <w:r>
        <w:rPr>
          <w:rFonts w:ascii="Amiri" w:hAnsi="Amiri" w:eastAsia="Amiri" w:cs="Amiri"/>
          <w:color w:val="111111"/>
          <w:sz w:val="28"/>
          <w:sz w:val="28"/>
          <w:szCs w:val="28"/>
          <w:rtl w:val="true"/>
          <w:lang w:bidi="ar-SA"/>
        </w:rPr>
        <w:t>، و آخر إلى ابن سيرين و ثعلب</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204/5</w:t>
      </w:r>
      <w:r>
        <w:rPr>
          <w:rFonts w:ascii="Amiri" w:hAnsi="Amiri" w:eastAsia="Amiri" w:cs="Amiri"/>
          <w:color w:val="111111"/>
          <w:sz w:val="28"/>
          <w:sz w:val="28"/>
          <w:szCs w:val="28"/>
          <w:rtl w:val="true"/>
          <w:lang w:bidi="ar-SA"/>
        </w:rPr>
        <w:t>، أنباء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بغية الوعاة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أبي بكر الرازي من الحنفية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هذا و غير خفي أن جمع من من أجاز ذلك إنما أجازه بشرط أن لا يكون المروي مما يتعبد به أو من جوامع كلماته صلوات اللّه و سلامه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بالجواز في النقل بالمرادف و المنع في </w:t>
      </w:r>
    </w:p>
    <w:p>
      <w:pPr>
        <w:pStyle w:val="BookText"/>
        <w:rPr/>
      </w:pPr>
      <w:r>
        <w:rPr>
          <w:rFonts w:ascii="Amiri" w:hAnsi="Amiri" w:eastAsia="Amiri" w:cs="Amiri"/>
          <w:color w:val="111111"/>
          <w:sz w:val="28"/>
          <w:sz w:val="28"/>
          <w:szCs w:val="28"/>
          <w:rtl w:val="true"/>
          <w:lang w:bidi="ar-SA"/>
        </w:rPr>
        <w:t>غيره، و حكي اختياره عن الخطيب</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الحديث النبوي و غيره، بجواز نقل غير النبوي بالمعنى و المنع في النبوي، أرسله في البداية</w:t>
      </w:r>
      <w:r>
        <w:rPr>
          <w:rStyle w:val="FootnoteAnchor"/>
          <w:rtl w:val="true"/>
        </w:rPr>
        <w:footnoteReference w:id="672"/>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النقل بالمعنى للصحابي دون غيره، حكي اختياره عن ابن العربي</w:t>
      </w:r>
      <w:r>
        <w:rPr>
          <w:rStyle w:val="FootnoteAnchor"/>
          <w:rtl w:val="true"/>
        </w:rPr>
        <w:footnoteReference w:id="673"/>
      </w:r>
      <w:r>
        <w:rPr>
          <w:rFonts w:ascii="Amiri" w:hAnsi="Amiri" w:eastAsia="Amiri" w:cs="Amiri"/>
          <w:color w:val="111111"/>
          <w:sz w:val="28"/>
          <w:sz w:val="28"/>
          <w:szCs w:val="28"/>
          <w:rtl w:val="true"/>
          <w:lang w:bidi="ar-SA"/>
        </w:rPr>
        <w:t>في اعجاز القرآن</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لو جوّزنا لكل أحد لما كنّا على ثقة من الأخذ بالحديث، إذ كل أحد إلى زماننا هذا قد بدّل ما نقل، و جعل الحرف بدل الحرف فيما رواه، فيكون خروجا من الاخبار بالجملة، و الصحابة بخلاف ذلك، فإنهم اجتمع فيهم أمران عظيمان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الفصاحة و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شاهدوا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التعليل هو ظهور الخلل في اللسان بالنسبة لمن قبلهم، بخلاف الصحابة، فهم أرباب اللسان و أعلم الخلق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في اختصاص النسبة لابن العربي مسامحة، و إلا فقد حكاه الماوردي و الروياني في باب القضاء، بل جزما بأنه لا يجوز لغير الصحابي، و جعلا الخلاف في الصحابي دون غيره، كما نص عليه غير واحد، و نسبه لهما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لمن نسي اللفظ دون غيره، حكي ذلك عن الماوردي</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فيما كان موجبه علما، و المنع فيما كان موجبه عملا، أرسله بعضهم قولا</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الأقوال في الباب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9" w:name="pg15042_154996"/>
    </w:p>
    <w:p>
      <w:pPr>
        <w:pStyle w:val="Heading5"/>
        <w:numPr>
          <w:ilvl w:val="4"/>
          <w:numId w:val="1"/>
        </w:numPr>
        <w:rPr/>
      </w:pPr>
      <w:bookmarkStart w:id="410" w:name="__RefHeading___Toc403537_2142443653"/>
      <w:bookmarkStart w:id="411" w:name="_Toc153"/>
      <w:bookmarkEnd w:id="409"/>
      <w:bookmarkEnd w:id="410"/>
      <w:r>
        <w:rPr>
          <w:rtl w:val="true"/>
        </w:rPr>
        <w:t>حجة المجوزين امور</w:t>
      </w:r>
      <w:r>
        <w:rPr>
          <w:rtl w:val="true"/>
        </w:rPr>
        <w:t>:</w:t>
      </w:r>
      <w:bookmarkEnd w:id="411"/>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هو الذي جرت عليه طريقة الصحابة و السلف الأولين كما يظهر بالتتبع و التدبر، فإنهم كثيرا ما كانوا ينقلون معنى واحدا في أمر واحد بألفاظ مختلفة، و ما ذلك إلا لأن معوّلهم كان على المعنى دون اللفظ، و أيضا فأنا نعلم بالضرورة أن الصحابة الذين رووا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ما كانوا يكتبونها في ذلك المجلس و لا كانوا يكررون عليها بحيث تصير محفوظة لهم، بل كانوا يتركونها و لا يذكرونها إلا بعد مدة، و من المعلوم أن بقاء تلك الألفاظ التي خاطبهم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أذهانهم بحيث لا يشذّ منها شيء متعذر، فعلم من ذلك اقتصارهم على حفظ المعنى دون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فطريقة السلف قد جرت على ذلك، و لم يسبق من أحد انكار على الناقل و لا على العامل، مع ما نرى من اكثارهم الإنكار و القدح بما كانوا يعدونه من أسبابه، كالرواية عن الضعفاء و التعويل على المراسيل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ذلك، و ذلك اجماع منهم على جوازه و حجيته، و هو المطلوب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هو الطريقة المعهودة في العرف و العادة من لدن زمان آدم على نبينا و آله و عليه الصلاة و السّلام إلى زماننا </w:t>
      </w:r>
    </w:p>
    <w:p>
      <w:pPr>
        <w:pStyle w:val="BookText"/>
        <w:rPr/>
      </w:pPr>
      <w:r>
        <w:rPr>
          <w:rFonts w:ascii="Amiri" w:hAnsi="Amiri" w:eastAsia="Amiri" w:cs="Amiri"/>
          <w:color w:val="111111"/>
          <w:sz w:val="28"/>
          <w:sz w:val="28"/>
          <w:szCs w:val="28"/>
          <w:rtl w:val="true"/>
          <w:lang w:bidi="ar-SA"/>
        </w:rPr>
        <w:t>هذا، و الشارع أيضا بناؤه في المحاورات على طريقة العرف و العادة، فإن المقصود في العرف و العادة هو افهام المراد من دون اعتبار خصوصية لفظه، و حيث أن اللّه تعالى ما أرسل رسولا إلا بلسان قومه و مجرى عادتهم في التفهيم و التفهم تبيّن بالضرورة امضاؤه لتلك الطريقة و تجويزه النقل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هذا الوجه يوهن سابقه، لأن مطرح النظر في ذلك استكشاف رضا الشرع بالنقل بالمعنى من جريان طريقة المتشرعة على ذلك، و في هذا استكشاف امضائه للطريقة العادية العامة، فلا تذهل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يجوز تفسير الحديث لغير العربي بلغته اتفاقا، و إذا جاز ابدال ألفاظ الحديث العربية بألفاظ غير عربية مفيدة للمعنى، فجواز ابدالها بألفاظ عربية أولى، فإن من المعلوم أن التفاوت بين العربية و ترجمتها العربية أقل مما بينها و بين ترجمتها الغير العربية، و تنظر في ذلك السيد عميد الدين بالمنع من الأولوية، و ذلك لأن 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تقتضي اعتقاد سامعها أنها من ألفاظ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جهل، بخلاف الترجمة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موضع الاتفاق جواز ذلك مع القرينة، و الاعتداد به تعذر الوصول إلى الأصل لا مطلقا، و هو خارج عن محل البحث</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قال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الحجة فيه، أن في ضبط الألفاظ و الجمود عليها ما لا يخفى من الحرج و النصب المؤدي إلى تعطيل الانتفاع بكثير من الأحاديث، حتى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المعنى ما حدثنا، و قال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نحدثكم بالحديث كما سمعناه ما حدثناكم بحرف واحد، و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المعنى واسعا فقد هلك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الفصول</w:t>
      </w:r>
      <w:r>
        <w:rPr>
          <w:rStyle w:val="FootnoteAnchor"/>
          <w:rtl w:val="true"/>
        </w:rPr>
        <w:footnoteReference w:id="678"/>
      </w:r>
      <w:r>
        <w:rPr>
          <w:rFonts w:ascii="Amiri" w:hAnsi="Amiri" w:eastAsia="Amiri" w:cs="Amiri"/>
          <w:color w:val="111111"/>
          <w:sz w:val="28"/>
          <w:sz w:val="28"/>
          <w:szCs w:val="28"/>
          <w:rtl w:val="true"/>
          <w:lang w:bidi="ar-SA"/>
        </w:rPr>
        <w:t>من أن الغرض من الخطابات إفادة المعنى، فلا معنى للعبرة بخصوص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قصّ القصص بلغة العرب و حكاها بلفظ القول، و هي بين ما لم يقع بلغتهم، و بين ما وقع بلغتهم لكن بلفظ و اسلوب آخر، لاشتمال القرآن على فصاحة لا توجد في غيره، و لا يساعد عليها وسع البشر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قد قص القصة الواحدة بعبارات مختلفة مع أن الواقع غير متعدد، فالمنقول ليس إلا المعنى، تمسك بذلك في القوانين</w:t>
      </w:r>
      <w:r>
        <w:rPr>
          <w:rStyle w:val="FootnoteAnchor"/>
          <w:rtl w:val="true"/>
        </w:rPr>
        <w:footnoteReference w:id="679"/>
      </w:r>
      <w:r>
        <w:rPr>
          <w:rFonts w:ascii="Amiri" w:hAnsi="Amiri" w:eastAsia="Amiri" w:cs="Amiri"/>
          <w:color w:val="111111"/>
          <w:sz w:val="28"/>
          <w:sz w:val="28"/>
          <w:szCs w:val="28"/>
          <w:rtl w:val="true"/>
          <w:lang w:bidi="ar-SA"/>
        </w:rPr>
        <w:t xml:space="preserve">، ثم أمر بالتأمل مشيرا به إما إلى أن جواز النقل بالمعنى من اللّه تعالى لا يستلزم جوازه من غيره تعالى،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في الفصول</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ما دلّ دليل أو امارة، على كونه نقلا بالمعنى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منها الوجوه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اشكال فيه، لأنه نقل بالمعنى مع القرينة، و الكلام فيما تجرد عنها، و أما فيما عدى ذلك فنمنع كونه نقلا بالمعنى تعويلا على الظاهر</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عدّة من الاخبار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الحديث منك فأزيده و انقص،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تريد معانيه فلا بأس</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ظاهر في المطلوب، إذ الظاهر من الزيادة و النقصان هي الزيادة و النقصان اللتان لا مدخلية لهما في تغيير المراد، بقرينة جلالة شأن الراوي و جواب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معانيه، يعني إن لم تقصد نسبة اللفظ إلينا فإنه كذب، قال في القوانين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أفراد العام كلها من مدلولات العام، و كذلك لوازم المفهوم، فيصدق أن الكل معاني اللفظ، فإذا أراد أن ينقل أن</w:t>
      </w:r>
      <w:r>
        <w:rPr>
          <w:rStyle w:val="FootnoteAnchor"/>
          <w:rtl w:val="true"/>
        </w:rPr>
        <w:footnoteReference w:id="683"/>
      </w:r>
      <w:r>
        <w:rPr>
          <w:rFonts w:ascii="Amiri" w:hAnsi="Amiri" w:eastAsia="Amiri" w:cs="Amiri"/>
          <w:color w:val="111111"/>
          <w:sz w:val="28"/>
          <w:sz w:val="28"/>
          <w:szCs w:val="28"/>
          <w:rtl w:val="true"/>
          <w:lang w:bidi="ar-SA"/>
        </w:rPr>
        <w:t>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مثلا،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من اللّه و اجتنبوا عمّا نهاكم اللّه عنه من الشرك و الفسق و شرب الخمر و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و واظبوا على ما أوجبه عليكم من اقامة الصلاة و ايتاء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ذلك، فيصدق على ذلك أنه نقل لمعاني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الزيادة و النقصان في مقام التفسير أو </w:t>
      </w:r>
    </w:p>
    <w:p>
      <w:pPr>
        <w:pStyle w:val="BookText"/>
        <w:rPr/>
      </w:pPr>
      <w:r>
        <w:rPr>
          <w:rFonts w:ascii="Amiri" w:hAnsi="Amiri" w:eastAsia="Amiri" w:cs="Amiri"/>
          <w:color w:val="111111"/>
          <w:sz w:val="28"/>
          <w:sz w:val="28"/>
          <w:szCs w:val="28"/>
          <w:rtl w:val="true"/>
          <w:lang w:bidi="ar-SA"/>
        </w:rPr>
        <w:t>الفتوى و التفريع أو النقل المقرون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الرواية يقتضي عدم الاختصاص بذلك، و التقييد يستدعي دليلا، و إذ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الكلام منك فأريد أن أرويه كما سمعته منك فلا يجيء،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تتعمد ذلك؟ فقلت</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المعاني؟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كسابقه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آخر لداود بن فرقد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الحديث منك فلعلي لا أرويه كما سمعته؟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حفظت الصلب منه فلا بأس، إنما هو بمنزلة تعال هلم، اقعد</w:t>
      </w:r>
      <w:r>
        <w:rPr>
          <w:rStyle w:val="FootnoteAnchor"/>
          <w:rtl w:val="true"/>
        </w:rPr>
        <w:footnoteReference w:id="687"/>
      </w:r>
      <w:r>
        <w:rPr>
          <w:rFonts w:ascii="IRNazanin" w:hAnsi="IRNazanin" w:eastAsia="IRNazanin"/>
          <w:color w:val="111111"/>
          <w:sz w:val="28"/>
          <w:sz w:val="28"/>
          <w:szCs w:val="28"/>
          <w:rtl w:val="true"/>
          <w:lang w:bidi="fa-IR"/>
        </w:rPr>
        <w:t>و اجلس</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 يستشهد للمقام بما ذكره في المقام ابن إدريس في آخر 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حجري، النوادر تحقيق 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معنى حديثنا فاعرب عنه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نقّصت أو زدت أو قدّمت أو أخّرت، اذا اصبت المعنى،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يأتون بالحديث مستويا كما يسمعونه، و إنا ربما قدّمنا و أخّرنا و زدنا و نقصنا،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زخرف القول غرورا، إذا أصبت المعنى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كأنها روايات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 الوسائل </w:t>
      </w:r>
      <w:r>
        <w:rPr>
          <w:rFonts w:eastAsia="Amiri" w:cs="Amiri" w:ascii="Amiri" w:hAnsi="Amiri"/>
          <w:color w:val="111111"/>
          <w:sz w:val="28"/>
          <w:szCs w:val="28"/>
          <w:lang w:bidi="ar-SA"/>
        </w:rPr>
        <w:t>75/18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درج بعض الروايات المجوزة للنقل للحديث عن غير من سمعه من المعصومين سلام اللّه عليهم أجمعين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أظهر من سابقيه في الدلالة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رووه عن عبد اللّه بن سليمان بن أكتمة</w:t>
      </w:r>
      <w:r>
        <w:rPr>
          <w:rStyle w:val="FootnoteAnchor"/>
          <w:rtl w:val="true"/>
        </w:rPr>
        <w:footnoteReference w:id="689"/>
      </w:r>
      <w:r>
        <w:rPr>
          <w:rFonts w:ascii="Amiri" w:hAnsi="Amiri" w:eastAsia="Amiri" w:cs="Amiri"/>
          <w:color w:val="111111"/>
          <w:sz w:val="28"/>
          <w:sz w:val="28"/>
          <w:szCs w:val="28"/>
          <w:rtl w:val="true"/>
          <w:lang w:bidi="ar-SA"/>
        </w:rPr>
        <w:t>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منك الحديث لا أستطيع أن أرويه كما أسمع منك يزيد حرفا أو ينقص حرفا؟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تحلّوا حراما و لم تحرموا حلالا و أصبتم المعنى فلا بأس</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روى </w:t>
      </w:r>
      <w:bookmarkStart w:id="412" w:name="pg15042_155002"/>
    </w:p>
    <w:p>
      <w:pPr>
        <w:pStyle w:val="BookText"/>
        <w:rPr/>
      </w:pPr>
      <w:bookmarkEnd w:id="412"/>
      <w:r>
        <w:rPr>
          <w:rFonts w:ascii="Amiri" w:hAnsi="Amiri" w:eastAsia="Amiri" w:cs="Amiri"/>
          <w:color w:val="111111"/>
          <w:sz w:val="28"/>
          <w:sz w:val="28"/>
          <w:szCs w:val="28"/>
          <w:rtl w:val="true"/>
          <w:lang w:bidi="ar-SA"/>
        </w:rPr>
        <w:t>من الطريقين</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403539_2142443653"/>
      <w:bookmarkStart w:id="414" w:name="_Toc154"/>
      <w:bookmarkEnd w:id="413"/>
      <w:r>
        <w:rPr>
          <w:rtl w:val="true"/>
        </w:rPr>
        <w:t>حجة المانعين امور</w:t>
      </w:r>
      <w:r>
        <w:rPr>
          <w:rtl w:val="true"/>
        </w:rPr>
        <w:t>:</w:t>
      </w:r>
      <w:bookmarkEnd w:id="414"/>
    </w:p>
    <w:p>
      <w:pPr>
        <w:pStyle w:val="Heading6"/>
        <w:numPr>
          <w:ilvl w:val="5"/>
          <w:numId w:val="1"/>
        </w:numPr>
        <w:rPr/>
      </w:pPr>
      <w:bookmarkStart w:id="415" w:name="__RefHeading___Toc403541_2142443653"/>
      <w:bookmarkStart w:id="416" w:name="_Toc155"/>
      <w:bookmarkEnd w:id="415"/>
      <w:r>
        <w:rPr>
          <w:rtl w:val="true"/>
        </w:rPr>
        <w:t>اشارة</w:t>
      </w:r>
      <w:bookmarkEnd w:id="41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صدور اللفظ، فإذا اطلقه و أراد به نقل المعنى فقط كان كذبا و تدليسا، فيكون ممنوعا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الظهور المدعى، لجريان العادة في الحكايات على خلافه، فإن السامع إنما يحفظ المعاني غالبا دون الألفاظ، لتعسر ضبطها مع عرائه عن فائدة يعتد بها، فلفظ القول إما حقيقة في القدر المشترك أو مجاز شائع فيه بحيث لا ينصرف عند الإطلاق إلى نقل اللفظ</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المعاني من الألفاظ بالاجتهاد، و تعويل الفقيه فيه على نظر الراوي تقليد له، فلا يجوز العمل بالخبر المنقول بالمعنى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كونه تقليدا له، بل التعويل عليه من حيث افادته الظن بالمراد، كالتعويل على نقل اللغوي، بل كالتعويل عليه في نقل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سلّم أن مثل ذلك تقليد فبطلانه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سند المنع بعد كون حرمة التقليد للمجتهد 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الخطاب الشفاهي كثيرا ما يفهم معانيه بطريق الضرورة، فاطلاق القول بأن المعنى يفهم بالاجتهاد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النقل بالمعنى يوجب اختلال المقصود، و استحالة المعنى، سيما مع كثرة الطبقات و تطاول الأزمنة و تغيير كل منهم للفظ، لاختلاف أهل اللسان بل العلماء في فهم الألفاظ و استنباط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لا نجوّز النقل مطلقا، بل عند خلوصه عن التفاوت و الاختلاف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صدر المقال، و يأتي إن شاء اللّه تعالى في ذيل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امكانه عادة واضح الفساد، و لو فرض الاشتباه و الغفلة في مورد فهو معفو عنه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 اللّه عبدا سمع مقالتي فحفظها و وعاها و أداها كما سمعها، فربّ حامل فقه غير </w:t>
      </w:r>
    </w:p>
    <w:p>
      <w:pPr>
        <w:pStyle w:val="BookText"/>
        <w:rPr/>
      </w:pPr>
      <w:r>
        <w:rPr>
          <w:rFonts w:ascii="Amiri" w:hAnsi="Amiri" w:eastAsia="Amiri" w:cs="Amiri"/>
          <w:color w:val="111111"/>
          <w:sz w:val="28"/>
          <w:sz w:val="28"/>
          <w:szCs w:val="28"/>
          <w:rtl w:val="true"/>
          <w:lang w:bidi="ar-SA"/>
        </w:rPr>
        <w:t>فقيه، و ربّ حامل فقه إلى من هو أفقه منه</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ثم أنه قد ذكره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به، إلى القول بأنه دلّ على أن النقصان منه جائز مقابل من لم يستجز أن يحذف منه حرف واحدا، بل و لا حركة و لو كان ملحونا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صحة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مضطربة المتن، ففي البداية كما نقلناه، و في نسخة 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بالضاد المعجمة</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قد روى عن طريق العامة بطرق متعددة قد مرت منا و ألفاظ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سمع، مقالتي، بلغه، و أفقه، لا فقه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و امرؤ، و منّا حديثا، و أداه، و أوعى، و ليس بفقيه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و قارن بين المصادر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يرشد إلى الفرق بين العارف و غيره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مبلغ أوعى من 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بالصاد المهملة، 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بدل نضّر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جملة من النسخ اقتصرت على الفقرة الأخيرة، و اخرى على التي قبلها بتلك العبارة أو بتغييرها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w:t>
      </w:r>
      <w:bookmarkStart w:id="417" w:name="pg15042_155005"/>
    </w:p>
    <w:p>
      <w:pPr>
        <w:pStyle w:val="Heading6"/>
        <w:numPr>
          <w:ilvl w:val="5"/>
          <w:numId w:val="1"/>
        </w:numPr>
        <w:rPr/>
      </w:pPr>
      <w:bookmarkStart w:id="418" w:name="__RefHeading___Toc403543_2142443653"/>
      <w:bookmarkStart w:id="419" w:name="_Toc156"/>
      <w:bookmarkEnd w:id="417"/>
      <w:bookmarkEnd w:id="418"/>
      <w:r>
        <w:rPr>
          <w:rtl w:val="true"/>
        </w:rPr>
        <w:t>حامل فقه إلى من لا فقه له</w:t>
      </w:r>
      <w:r>
        <w:rPr>
          <w:rtl w:val="true"/>
        </w:rPr>
        <w:t>.</w:t>
      </w:r>
      <w:bookmarkEnd w:id="419"/>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قد تضمنت دعاء، و لا دلالة في ذلك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الدلالة على وجوب التأدية بلفظه، لصدق التأدية كما سمعه عرفا بمجرد اداء المعنى كما هو 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معارضة بما مرّ مما هو أقوى منها سندا و دلالة، و قضية الجمع تنزيلها على تأدية المعنى كما سمع، أو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حجج المانعين</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 فيه؛ أن الكلام في غير موضع جوامع الكلم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يخفى عليك أنها لو تمت لدلّ بعضها على منع الجواز و بعضها الآخر على منع الحجية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403545_2142443653"/>
      <w:bookmarkStart w:id="421" w:name="_Toc157"/>
      <w:bookmarkEnd w:id="420"/>
      <w:r>
        <w:rPr>
          <w:rtl w:val="true"/>
        </w:rPr>
        <w:t>حجة القول الثالث</w:t>
      </w:r>
      <w:r>
        <w:rPr>
          <w:rtl w:val="true"/>
        </w:rPr>
        <w:t>:</w:t>
      </w:r>
      <w:bookmarkEnd w:id="42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الجواز في النقل عن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فحجة المجوز</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على المنع في 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أفصح من نطق بالضاد، و في تراكيبه أسرار و دقائق لا يوقف عليها إلا بها كما هي، فإن لكل تركيب من التراكيب معنى بحسب الفصل و الوصل و التقديم و التأخير، لو لم يراع لذهبت مقاصدها، بل لكل كلمة مع صاحبتها خاصية مستقلة كالتخصيص و الإتمام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و كذا الألفاظ التي ترى مشتركة أو مرادفة إذا وضع كل موضع الآخر فات المعنى الذي قصد به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أنه إن تمّ لجرى في النقل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مذهبنا، لأنهم أيضا أفصح أهل أزمنتهم بالضرورة من مذهبنا، إلا أن الجواب عن الكل أنهم صلوات اللّه عليهم لم يكونوا في أجوبة السؤالات و عند بيان الأحكام بصدد أعمال الفصاحة و البلاغة، بل لمّا كانت كلماتهم في هذا المقام على نحو كتب المصنفين للبقاء أبد الدهر و استفادة كل جيل منها أحكام اللّه تعالى تركوا أعمال قواعد الفصاحة و البلاغة و نطقوا نطق أواسط الناس، كما لا يخفى </w:t>
      </w:r>
      <w:bookmarkStart w:id="422" w:name="pg15042_155007"/>
    </w:p>
    <w:p>
      <w:pPr>
        <w:pStyle w:val="BookText"/>
        <w:rPr/>
      </w:pPr>
      <w:bookmarkEnd w:id="422"/>
      <w:r>
        <w:rPr>
          <w:rFonts w:ascii="IRNazanin" w:hAnsi="IRNazanin" w:eastAsia="IRNazanin"/>
          <w:color w:val="111111"/>
          <w:sz w:val="28"/>
          <w:sz w:val="28"/>
          <w:szCs w:val="28"/>
          <w:rtl w:val="true"/>
          <w:lang w:bidi="fa-IR"/>
        </w:rPr>
        <w:t>على المتتبع المتدبر</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403547_2142443653"/>
      <w:bookmarkStart w:id="424" w:name="_Toc158"/>
      <w:bookmarkEnd w:id="423"/>
      <w:r>
        <w:rPr>
          <w:rtl w:val="true"/>
        </w:rPr>
        <w:t>حجة القول الرابع</w:t>
      </w:r>
      <w:r>
        <w:rPr>
          <w:rtl w:val="true"/>
        </w:rPr>
        <w:t>:</w:t>
      </w:r>
      <w:bookmarkEnd w:id="424"/>
    </w:p>
    <w:p>
      <w:pPr>
        <w:pStyle w:val="BookText"/>
        <w:rPr/>
      </w:pPr>
      <w:r>
        <w:rPr>
          <w:rFonts w:ascii="Amiri" w:hAnsi="Amiri" w:eastAsia="Amiri" w:cs="Amiri"/>
          <w:color w:val="111111"/>
          <w:sz w:val="28"/>
          <w:sz w:val="28"/>
          <w:szCs w:val="28"/>
          <w:rtl w:val="true"/>
          <w:lang w:bidi="ar-SA"/>
        </w:rPr>
        <w:t>عدم تغيير المعنى في المرادف دون غير المرادف، فيجوز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عدم الفرق بينهما، و جريان أدلة الجواز بالنسبة إليهما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مفروض البحث هو النقل الغير المغير، و لو تمّ دليل المانع لجرى فيهما أيضا، كما لا يخفى</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403549_2142443653"/>
      <w:bookmarkStart w:id="426" w:name="_Toc159"/>
      <w:bookmarkEnd w:id="425"/>
      <w:r>
        <w:rPr>
          <w:rtl w:val="true"/>
        </w:rPr>
        <w:t>حجة القول الخامس</w:t>
      </w:r>
      <w:r>
        <w:rPr>
          <w:rtl w:val="true"/>
        </w:rPr>
        <w:t>:</w:t>
      </w:r>
      <w:bookmarkEnd w:id="426"/>
    </w:p>
    <w:p>
      <w:pPr>
        <w:pStyle w:val="BookText"/>
        <w:rPr/>
      </w:pPr>
      <w:r>
        <w:rPr>
          <w:rFonts w:ascii="Amiri" w:hAnsi="Amiri" w:eastAsia="Amiri" w:cs="Amiri"/>
          <w:color w:val="111111"/>
          <w:sz w:val="28"/>
          <w:sz w:val="28"/>
          <w:szCs w:val="28"/>
          <w:rtl w:val="true"/>
          <w:lang w:bidi="ar-SA"/>
        </w:rPr>
        <w:t>إنا لو جوّزنا النقل بالمعنى لكل أحد لما كنّا على ثقة من الأخذ بالحديث، و الصحابة اجتمع فيهم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الفصاحة و البلاغة جبلة، و مشاهدة أقوال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أفعاله، فأفادتهم المشاهدة عقل المعنى جملة و استيفاء المقصد كلّه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لو تمّ لجرى في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على أن حجة المانع بالنسبة إلى الجميع على السواء، و أيضا فقد عرفت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في مقام بيان الأحكام بصدد أعمال قواعد </w:t>
      </w:r>
      <w:bookmarkStart w:id="427" w:name="pg15042_155008"/>
    </w:p>
    <w:p>
      <w:pPr>
        <w:pStyle w:val="BookText"/>
        <w:rPr/>
      </w:pPr>
      <w:bookmarkEnd w:id="427"/>
      <w:r>
        <w:rPr>
          <w:rFonts w:ascii="Amiri" w:hAnsi="Amiri" w:eastAsia="Amiri" w:cs="Amiri"/>
          <w:color w:val="111111"/>
          <w:sz w:val="28"/>
          <w:sz w:val="28"/>
          <w:szCs w:val="28"/>
          <w:rtl w:val="true"/>
          <w:lang w:bidi="ar-SA"/>
        </w:rPr>
        <w:t>الفصاحة و البلاغة حتى يتأتى ما ذكره</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403551_2142443653"/>
      <w:bookmarkStart w:id="429" w:name="_Toc160"/>
      <w:bookmarkEnd w:id="428"/>
      <w:r>
        <w:rPr>
          <w:rtl w:val="true"/>
        </w:rPr>
        <w:t>حجة القول السادس</w:t>
      </w:r>
      <w:r>
        <w:rPr>
          <w:rtl w:val="true"/>
        </w:rPr>
        <w:t>:</w:t>
      </w:r>
      <w:bookmarkEnd w:id="429"/>
    </w:p>
    <w:p>
      <w:pPr>
        <w:pStyle w:val="BookText"/>
        <w:rPr/>
      </w:pPr>
      <w:r>
        <w:rPr>
          <w:rFonts w:ascii="Amiri" w:hAnsi="Amiri" w:eastAsia="Amiri" w:cs="Amiri"/>
          <w:color w:val="111111"/>
          <w:sz w:val="28"/>
          <w:sz w:val="28"/>
          <w:szCs w:val="28"/>
          <w:rtl w:val="true"/>
          <w:lang w:bidi="ar-SA"/>
        </w:rPr>
        <w:t xml:space="preserve">أما على المنع في غير الناسي للفظ فحجة المانع، و أما على الجواز في ناسي اللفظ فهي أنه قد تحمل اللفظ و المعنى و عجز عن اداء أحدهما، فيلزمه اداء، الآخر لا سيما أنّ تركه قد يكون كتما للأحكام، فإن لم ينسبه لم يجز أن يورده بغيره، لأن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الفصاحة ما ليس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 تمّت حجة المانع لجرت بالنسبة إلى الناسي للفظ أيضا، و يكون نسيان اللفظ عذرا له في ترك اظهار الحكم و لا يعاقب على الكتمان، و إن لم تتم جاز لناسي اللفظ و ذاكره جميعا النقل بالمعنى</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403553_2142443653"/>
      <w:bookmarkStart w:id="431" w:name="_Toc161"/>
      <w:bookmarkEnd w:id="430"/>
      <w:r>
        <w:rPr>
          <w:rtl w:val="true"/>
        </w:rPr>
        <w:t>حجة القول السابع</w:t>
      </w:r>
      <w:r>
        <w:rPr>
          <w:rtl w:val="true"/>
        </w:rPr>
        <w:t>:</w:t>
      </w:r>
      <w:bookmarkEnd w:id="431"/>
    </w:p>
    <w:p>
      <w:pPr>
        <w:pStyle w:val="BookText"/>
        <w:rPr/>
      </w:pPr>
      <w:r>
        <w:rPr>
          <w:rFonts w:ascii="Amiri" w:hAnsi="Amiri" w:eastAsia="Amiri" w:cs="Amiri"/>
          <w:color w:val="111111"/>
          <w:sz w:val="28"/>
          <w:sz w:val="28"/>
          <w:szCs w:val="28"/>
          <w:rtl w:val="true"/>
          <w:lang w:bidi="ar-SA"/>
        </w:rPr>
        <w:t>ان الذاكر للفظ متمكن من التصرف فيه دون من نسيه، فيجوز النقل بالمعنى دون الذاكر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في سابقه</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403555_2142443653"/>
      <w:bookmarkStart w:id="433" w:name="_Toc162"/>
      <w:bookmarkEnd w:id="432"/>
      <w:r>
        <w:rPr>
          <w:rtl w:val="true"/>
        </w:rPr>
        <w:t>حجة القول الثامن</w:t>
      </w:r>
      <w:r>
        <w:rPr>
          <w:rtl w:val="true"/>
        </w:rPr>
        <w:t>:</w:t>
      </w:r>
      <w:bookmarkEnd w:id="433"/>
    </w:p>
    <w:p>
      <w:pPr>
        <w:pStyle w:val="BookText"/>
        <w:rPr/>
      </w:pPr>
      <w:r>
        <w:rPr>
          <w:rFonts w:ascii="Amiri" w:hAnsi="Amiri" w:eastAsia="Amiri" w:cs="Amiri"/>
          <w:color w:val="111111"/>
          <w:sz w:val="28"/>
          <w:sz w:val="28"/>
          <w:szCs w:val="28"/>
          <w:rtl w:val="true"/>
          <w:lang w:bidi="ar-SA"/>
        </w:rPr>
        <w:t>ان المعول في العمليات على المعنى دون اللفظ، فيجوز فيها النقل بالمعنى دون العمليات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سابقيه، على أن هذا القول مشتبه المراد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فتلخص من ذلك كله أن القول المعروف بين الأصحاب </w:t>
      </w:r>
      <w:bookmarkStart w:id="434" w:name="pg15042_155009"/>
    </w:p>
    <w:p>
      <w:pPr>
        <w:pStyle w:val="BookText"/>
        <w:rPr/>
      </w:pPr>
      <w:bookmarkEnd w:id="434"/>
      <w:r>
        <w:rPr>
          <w:rFonts w:ascii="Amiri" w:hAnsi="Amiri" w:eastAsia="Amiri" w:cs="Amiri"/>
          <w:color w:val="111111"/>
          <w:sz w:val="28"/>
          <w:sz w:val="28"/>
          <w:szCs w:val="28"/>
          <w:rtl w:val="true"/>
          <w:lang w:bidi="ar-SA"/>
        </w:rPr>
        <w:t>هو الحق المألوف في هذا الباب</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403557_2142443653"/>
      <w:bookmarkStart w:id="436" w:name="_Toc163"/>
      <w:bookmarkEnd w:id="435"/>
      <w:r>
        <w:rPr>
          <w:rtl w:val="true"/>
        </w:rPr>
        <w:t>بقي هنا امور ينبغي التنبيه عليها</w:t>
      </w:r>
      <w:r>
        <w:rPr>
          <w:rtl w:val="true"/>
        </w:rPr>
        <w:t>:</w:t>
      </w:r>
      <w:bookmarkEnd w:id="436"/>
    </w:p>
    <w:p>
      <w:pPr>
        <w:pStyle w:val="Heading6"/>
        <w:numPr>
          <w:ilvl w:val="5"/>
          <w:numId w:val="1"/>
        </w:numPr>
        <w:rPr/>
      </w:pPr>
      <w:bookmarkStart w:id="437" w:name="__RefHeading___Toc403559_2142443653"/>
      <w:bookmarkStart w:id="438" w:name="_Toc164"/>
      <w:bookmarkEnd w:id="437"/>
      <w:r>
        <w:rPr>
          <w:rtl w:val="true"/>
        </w:rPr>
        <w:t>الأمر الاول</w:t>
      </w:r>
      <w:r>
        <w:rPr>
          <w:rtl w:val="true"/>
        </w:rPr>
        <w:t xml:space="preserve">: </w:t>
      </w:r>
      <w:r>
        <w:rPr>
          <w:rtl w:val="true"/>
        </w:rPr>
        <w:t>الشروط التي تلزم في نقل الحديث بالمعنى</w:t>
      </w:r>
      <w:bookmarkEnd w:id="43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المجوزين لنقل الحديث بالمعنى اشترطوا في جوازه امورا تقدمت الإشارة إليها في صدر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الناقل عالما بمواقع الألفاظ و معانيها بوضعها، و بالقرائن الدالة على خلافه، قيل</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الشرط كما يعتبر بالنسبة إلى الكلام المنقول منه كذلك يعتبر بالنسبة إلى الكلام المنقول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العلم بمواقع الألفاظ العلم بمداليلها و بما يلزمها باعتبار الهيئات و الأحوال، سواء علم ذلك بمساعدة الطبع أو بأعمال القواعد المقرّرة، و الظاهر منه اعتبار العلم التفصيلي، فيتوجه عليه الإشكال بامكان التعويل في ذلك على قول الثقة العارف بوحدة المفاد، فيصح الإسناد حينئذ مع انتفاء الشرط</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التفصي عنه بأن يراد بالعلم ما يعمّ التفصيلي و الإجمالي الذي في الفرض المذكور، فإن علم الناقل فيه بوحدة المفادين علم بمواقع تلك الألفاظ اجمالا، أو يعتبر</w:t>
      </w:r>
      <w:r>
        <w:rPr>
          <w:rStyle w:val="FootnoteAnchor"/>
          <w:rtl w:val="true"/>
        </w:rPr>
        <w:footnoteReference w:id="699"/>
      </w:r>
      <w:r>
        <w:rPr>
          <w:rFonts w:ascii="Amiri" w:hAnsi="Amiri" w:eastAsia="Amiri" w:cs="Amiri"/>
          <w:color w:val="111111"/>
          <w:sz w:val="28"/>
          <w:sz w:val="28"/>
          <w:szCs w:val="28"/>
          <w:rtl w:val="true"/>
          <w:lang w:bidi="ar-SA"/>
        </w:rPr>
        <w:t xml:space="preserve">بالنسبة إلى الناقل من قبل نفسه كما هو الغالب، كذا في </w:t>
      </w:r>
    </w:p>
    <w:p>
      <w:pPr>
        <w:pStyle w:val="BookText"/>
        <w:rPr/>
      </w:pPr>
      <w:r>
        <w:rPr>
          <w:rFonts w:ascii="IRNazanin" w:hAnsi="IRNazanin" w:eastAsia="IRNazanin"/>
          <w:color w:val="111111"/>
          <w:sz w:val="28"/>
          <w:sz w:val="28"/>
          <w:szCs w:val="28"/>
          <w:rtl w:val="true"/>
          <w:lang w:bidi="fa-IR"/>
        </w:rPr>
        <w:t>الفصول</w:t>
      </w: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الذيل ليس تفصيا عن الإشكال، بل التزاما به، و لعله أولى من الاعتذار بأعمية العلم من التفصيلي و الإجمالي، ضرورة بعد الالتزام بكون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استفادة وحدة المفادين من قول الثقة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يقصر النقل عن افادة المراد، يعني لا يكون النقل بحيث يظهر منه خلاف مراد المروي عنه، كنقل المقيد بمطلق مجرد عن القيد، و الحقيقة بمجاز مجرد عن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مجرد القصور عن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كنقل المبين بلفظ 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على منعه في غير مقام الحاجة، بعد جواز تأخير البيان عن غير وقت الحاجة، كما نبّه على ذلك في الفصول</w:t>
      </w:r>
      <w:r>
        <w:rPr>
          <w:rStyle w:val="FootnoteAnchor"/>
          <w:rtl w:val="true"/>
        </w:rPr>
        <w:footnoteReference w:id="701"/>
      </w:r>
      <w:r>
        <w:rPr>
          <w:rFonts w:ascii="Amiri" w:hAnsi="Amiri" w:eastAsia="Amiri" w:cs="Amiri"/>
          <w:color w:val="111111"/>
          <w:sz w:val="28"/>
          <w:sz w:val="28"/>
          <w:szCs w:val="28"/>
          <w:rtl w:val="true"/>
          <w:lang w:bidi="ar-SA"/>
        </w:rPr>
        <w:t>، و ينبغي تقييده بما إذا لم يؤد ذلك إلى اختفاء الحكم المبين عند الحاجة أيضا، و إلا لكان ممنوعا منه، لكونه اخفاء لحكم اللّه تعالى، و هو محظور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مساويا للأصل في الخفاء و الجلاء، و علّل بأن الخطاب الشرعي تارة يكون بالمحكم، و اخرى بالمتشابه، لحكم و أسرار لا يصل إليها عقول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نقل أحدهما بلفظ الآخر أدى إلى فوات تلك المصلحة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ناقش في ذلك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 xml:space="preserve">بعدم </w:t>
      </w:r>
    </w:p>
    <w:p>
      <w:pPr>
        <w:pStyle w:val="BookText"/>
        <w:rPr/>
      </w:pPr>
      <w:r>
        <w:rPr>
          <w:rFonts w:ascii="Amiri" w:hAnsi="Amiri" w:eastAsia="Amiri" w:cs="Amiri"/>
          <w:color w:val="111111"/>
          <w:sz w:val="28"/>
          <w:sz w:val="28"/>
          <w:szCs w:val="28"/>
          <w:rtl w:val="true"/>
          <w:lang w:bidi="ar-SA"/>
        </w:rPr>
        <w:t>وضوحه، لأن المتشابه إذا اقترن بقرينة تدلّ السامع على المراد فلا يضرّ نقله بالمعنى، فإنه ليس بمتشابه عند السامع، بل هو كأحد الظواهر فلا يضرّ تغييره و إن لم يقترن بقرينة، فحمله على أحد المعاني المحتملة من دون علم من جانب الشارع باطل، و لا معنى لاشتراط المساواة في الخفاء و الجلاء، بل الشرطان السابقان يكفيان مئونة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اريد مثل ما لو نقل غير السامع من الرواة الوسائط و ادّاه بمعنى أدى إليه اجتهاده، بملاحظة سائر الأخبار و الأدلة فهو كذلك، إذ ربّما كانت الرواية في الأصل متشابهة بالنسبة إلى السامع أيضا و الحكمة اقتضت ذلك، أو الحكمة اقتضت أن يوصل إلى المراد بالاجتهاد و الفحص، فحينئذ لا بد للناقل من ذكر اللفظ المتشابه و تعقيبه بالتفسير الذي فهمه، و هذا ليس من باب النقل بالمعنى، بل هو مسألة اخرى ذكروها بعنوان آخر، و سنشير إليها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إلا أن يكون المراد أنه لو أدى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بلفظ متشابه بالذات مبين للسامع بانضمام القرائن، فيجب على الناقل ذكر هذا اللفظ المتشابه، و إن عقبه ببيان ما قارنه بالعرض من القرينة المبينة له بانضمام أحوال التحاور و التخاطب، بناء على الفرق بين أقسام الدلالات، مثل ما</w:t>
      </w:r>
      <w:r>
        <w:rPr>
          <w:rStyle w:val="FootnoteAnchor"/>
          <w:rtl w:val="true"/>
        </w:rPr>
        <w:footnoteReference w:id="703"/>
      </w:r>
      <w:r>
        <w:rPr>
          <w:rFonts w:ascii="Amiri" w:hAnsi="Amiri" w:eastAsia="Amiri" w:cs="Amiri"/>
          <w:color w:val="111111"/>
          <w:sz w:val="28"/>
          <w:sz w:val="28"/>
          <w:szCs w:val="28"/>
          <w:rtl w:val="true"/>
          <w:lang w:bidi="ar-SA"/>
        </w:rPr>
        <w:t>حصل من المشترك مع القرينة أو من اللفظ الآحادي المعنى،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ذلك أنه ينبغي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مراعاة النص و الظاهر أيضا، بل و أقسام الظواهر، إذ في عدم مراعاة ذلك يحصل الاختلال في مدلول الأخبار في غاية الكثرة، فإذا ذكر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القرء في بيان العدة و فهم الراوي بقرينة المقام الطهر مثلا، فلا يروي الحديث بلفظ الطهر، إذ ربما كان فهم الراوي خطأ لاشتباه القرينة عليه، فلو أراد بيان ذلك فليذكر لفظ القرء ثم يفسره بما فهمه، و كذا في النص و الظاهر، مثلا إذا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 من اليوم بمقدار صلاة العصر فهو مختص به، فنقله الراوي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بقي من اليوم بمقدار أربع ركعات العصر فهو مختص به، مريدا به صلاة العصر، أيضا لم يجز ذلك</w:t>
      </w:r>
      <w:r>
        <w:rPr>
          <w:rStyle w:val="FootnoteAnchor"/>
          <w:rtl w:val="true"/>
        </w:rPr>
        <w:footnoteReference w:id="704"/>
      </w:r>
      <w:r>
        <w:rPr>
          <w:rFonts w:ascii="Amiri" w:hAnsi="Amiri" w:eastAsia="Amiri" w:cs="Amiri"/>
          <w:color w:val="111111"/>
          <w:sz w:val="28"/>
          <w:sz w:val="28"/>
          <w:szCs w:val="28"/>
          <w:rtl w:val="true"/>
          <w:lang w:bidi="ar-SA"/>
        </w:rPr>
        <w:t>، إذ يتفاوت الأمر بين اللفظين بملاحظة شمول صلاة العصر لركعتي المسافر و أقلّ منه كصلاة الخوف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في صلاة العشاء و نصف الليل، و من أجل ذلك الفرق انفردت</w:t>
      </w:r>
      <w:r>
        <w:rPr>
          <w:rStyle w:val="FootnoteAnchor"/>
          <w:rtl w:val="true"/>
        </w:rPr>
        <w:footnoteReference w:id="705"/>
      </w:r>
      <w:r>
        <w:rPr>
          <w:rFonts w:ascii="Amiri" w:hAnsi="Amiri" w:eastAsia="Amiri" w:cs="Amiri"/>
          <w:color w:val="111111"/>
          <w:sz w:val="28"/>
          <w:sz w:val="28"/>
          <w:szCs w:val="28"/>
          <w:rtl w:val="true"/>
          <w:lang w:bidi="ar-SA"/>
        </w:rPr>
        <w:t>في هذه المسألة عن الأصحاب في جواز الإتيان بصلاة المغرب و العشاء كليهما إذا بقي من نصف الليل مقدار أربع ركعات، فإنهم يخصونه بالعشاء، و أنا أجمع بينهما لما استفاض من النقل الصحيح من أن من أدرك ركعة من الوقت فقد أدرك الوقت كله</w:t>
      </w:r>
      <w:r>
        <w:rPr>
          <w:rStyle w:val="FootnoteAnchor"/>
          <w:rtl w:val="true"/>
        </w:rPr>
        <w:footnoteReference w:id="706"/>
      </w:r>
      <w:r>
        <w:rPr>
          <w:rFonts w:ascii="Amiri" w:hAnsi="Amiri" w:eastAsia="Amiri" w:cs="Amiri"/>
          <w:color w:val="111111"/>
          <w:sz w:val="28"/>
          <w:sz w:val="28"/>
          <w:szCs w:val="28"/>
          <w:rtl w:val="true"/>
          <w:lang w:bidi="ar-SA"/>
        </w:rPr>
        <w:t>، فيصدق على هذا أنه أدرك وقت الصلاتين، و إن لم يدرك وقت الثلاث و الأربع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 فلا بد لناقل الحديث بالمعنى من ملاحظة العنوانات المتواردة على مصداق واحد مع اختلاف الحكم باختلافها، و ملاحظة تفاوت الأحكام بتفاوت العنوانات أهم شيء للمجتهد في المسائل الشرعية، فبأدنى غفلة يختل الأمر و يحصل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أما ضبط مراتب الوضوح و الخفاء بالنسبة إلى مؤدي الألفاظ فهو ما يصعب اثبات اشتراطه، إذ الظاهر أن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يقصد من الاخبار غالبا تفهيم المخاطب و رفع حاجته في الموارد الخاصة المحتاج إليها بحسب اتفاق الوقائع التي دعتهم إلى السؤال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علم المعصوم عليه الصلاة و السّلام احتياجهم إليها، فهم يتكلمون مع أصحابهم بقدر فهمهم، 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يتكلمون على معيار خاص يكون هو المرجع و المعول حتى يعتبر نقله للآخر ذلك المقدار، بل الناقل للغير أيضا لا بد أن يلاحظ مقدار فهم مخاطبه لا كل مخاطب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فنقل المطلوب بعبارة أوجز إذا كان المخاطب ألمعيا فطنا ذكيا لا مانع منه، و كذلك نقله أبسط و أوضح إذا كان بليدا غبيا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كلام الفاضل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نقلناه بتمامه لاستيفائه المقال</w:t>
      </w:r>
      <w:r>
        <w:rPr>
          <w:rStyle w:val="FootnoteAnchor"/>
          <w:rtl w:val="true"/>
        </w:rPr>
        <w:footnoteReference w:id="707"/>
      </w:r>
      <w:r>
        <w:rPr>
          <w:rFonts w:ascii="IRNazanin" w:hAnsi="IRNazanin" w:eastAsia="IRNazanin"/>
          <w:color w:val="111111"/>
          <w:sz w:val="28"/>
          <w:sz w:val="28"/>
          <w:szCs w:val="28"/>
          <w:rtl w:val="true"/>
          <w:lang w:bidi="fa-IR"/>
        </w:rPr>
        <w:t>، و لقد أجاد و أفاد و أتى بما هو الحق المراد</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و يمكن توجيه المنع من تبديل الظاهر بالنص بأدائه إلى اختلاف طريق الجمع عند التعارض، مع أن الغالب وقوعه، و أما مع العلم بوجود المعارض و حصول الاختلاف فأوضح، و هذا لا يجري في عكسه، إذ غاية الأمر أن لا يترتب على النقل فائدة ما لم يكن هناك مقام حاجة، فيجب المساواة لما مرّ</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ذكره من لزوم</w:t>
      </w:r>
      <w:bookmarkStart w:id="439" w:name="pg15042_155014"/>
    </w:p>
    <w:p>
      <w:pPr>
        <w:pStyle w:val="BookText"/>
        <w:rPr/>
      </w:pPr>
      <w:bookmarkEnd w:id="439"/>
      <w:r>
        <w:rPr>
          <w:rFonts w:ascii="Amiri" w:hAnsi="Amiri" w:eastAsia="Amiri" w:cs="Amiri"/>
          <w:color w:val="111111"/>
          <w:sz w:val="28"/>
          <w:sz w:val="28"/>
          <w:szCs w:val="28"/>
          <w:rtl w:val="true"/>
          <w:lang w:bidi="ar-SA"/>
        </w:rPr>
        <w:t xml:space="preserve">الإتيان بالعشاءين جميعا فيما إذا بقي من الوقت مقدار أربع ركعات مما جزمنا به سابقا، و إن كان لنا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المنتهى</w:t>
      </w:r>
      <w:r>
        <w:rPr>
          <w:rStyle w:val="FootnoteAnchor"/>
          <w:rtl w:val="true"/>
        </w:rPr>
        <w:footnoteReference w:id="709"/>
      </w:r>
      <w:r>
        <w:rPr>
          <w:rFonts w:ascii="Amiri" w:hAnsi="Amiri" w:eastAsia="Amiri" w:cs="Amiri"/>
          <w:color w:val="111111"/>
          <w:sz w:val="28"/>
          <w:sz w:val="28"/>
          <w:szCs w:val="28"/>
          <w:rtl w:val="true"/>
          <w:lang w:bidi="ar-SA"/>
        </w:rPr>
        <w:t xml:space="preserve">عند الكلام في ثمرات القول بالاختصاص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ليس هنا محل نقله، فراجع و تدبر</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403561_2142443653"/>
      <w:bookmarkStart w:id="441" w:name="_Toc165"/>
      <w:bookmarkEnd w:id="440"/>
      <w:r>
        <w:rPr>
          <w:rtl w:val="true"/>
        </w:rPr>
        <w:t>الأمر الثاني</w:t>
      </w:r>
      <w:r>
        <w:rPr>
          <w:rtl w:val="true"/>
        </w:rPr>
        <w:t xml:space="preserve">: </w:t>
      </w:r>
      <w:r>
        <w:rPr>
          <w:rtl w:val="true"/>
        </w:rPr>
        <w:t>لا يجوز نقل الاحاديث الواردة في الأدعية و الاذكار و الأوراد</w:t>
      </w:r>
      <w:bookmarkEnd w:id="44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محل النزاع إنما هو نقل أحاديث الأحكام بالمعنى، و أما مثل الأحاديث الواردة في الأدعية و الأذكار و الأوراد فلا كلام ظاهرا في عدم جواز نقلها بالمعنى و لا تغييرها بزيادة و لا نقصان، لأن لترتيب الألفاظ فيها خصوصية، و قراءتها على ما وردت تعبدية توقيفية، و طريقة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غالبا أنهم كانوا يملون على أصحابهم و هم يكتبون، و لذلك ندر الاختلاف فيها، </w:t>
      </w:r>
      <w:bookmarkStart w:id="442" w:name="pg15042_155015"/>
    </w:p>
    <w:p>
      <w:pPr>
        <w:pStyle w:val="BookText"/>
        <w:rPr/>
      </w:pPr>
      <w:bookmarkEnd w:id="442"/>
      <w:r>
        <w:rPr>
          <w:rFonts w:ascii="Amiri" w:hAnsi="Amiri" w:eastAsia="Amiri" w:cs="Amiri"/>
          <w:color w:val="111111"/>
          <w:sz w:val="28"/>
          <w:sz w:val="28"/>
          <w:szCs w:val="28"/>
          <w:rtl w:val="true"/>
          <w:lang w:bidi="ar-SA"/>
        </w:rPr>
        <w:t>بخلاف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ببالي أني عثرت على رواية فيما بعد السّلام من أبواب صلاة الوسائل ناطقة بعدم جواز الزيادة فيها و لو بما يكون وضعا مؤكدا، حيث زاد السائل على كلمة لا قوة إلا باللّه،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فنهره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أنكر عليه ذلك</w:t>
      </w:r>
      <w:r>
        <w:rPr>
          <w:rStyle w:val="FootnoteAnchor"/>
          <w:rtl w:val="true"/>
        </w:rPr>
        <w:footnoteReference w:id="7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نبهنا على ذلك في ذيل المقام الثالث و آخر المقام الثاني من الفصل العاشر، و موضع ثالث من مرآة الكمال</w:t>
      </w:r>
      <w:r>
        <w:rPr>
          <w:rStyle w:val="FootnoteAnchor"/>
          <w:rtl w:val="true"/>
        </w:rPr>
        <w:footnoteReference w:id="711"/>
      </w:r>
      <w:r>
        <w:rPr>
          <w:rFonts w:ascii="Amiri" w:hAnsi="Amiri" w:eastAsia="Amiri" w:cs="Amiri"/>
          <w:color w:val="111111"/>
          <w:sz w:val="28"/>
          <w:sz w:val="28"/>
          <w:szCs w:val="28"/>
          <w:rtl w:val="true"/>
          <w:lang w:bidi="ar-SA"/>
        </w:rPr>
        <w:t>لا أذكره، فراجع</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 و أوضح من الأدعية في عدم جواز نقلها بالمعنى كلام اللّه تعالى بعنوان أنه قرآن، لما علم من خصوصية ترتيبه و اسلوبه</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403563_2142443653"/>
      <w:bookmarkStart w:id="444" w:name="_Toc166"/>
      <w:bookmarkEnd w:id="443"/>
      <w:r>
        <w:rPr>
          <w:rtl w:val="true"/>
        </w:rPr>
        <w:t>الأمر الثالث</w:t>
      </w:r>
      <w:r>
        <w:rPr>
          <w:rtl w:val="true"/>
        </w:rPr>
        <w:t xml:space="preserve">: </w:t>
      </w:r>
      <w:r>
        <w:rPr>
          <w:rtl w:val="true"/>
        </w:rPr>
        <w:t>عدم جريان الحكم في النقل عن المصنفات</w:t>
      </w:r>
      <w:bookmarkEnd w:id="444"/>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الخلاف المذكور لا يجري في المصنفات، فإنها لا </w:t>
      </w:r>
      <w:bookmarkStart w:id="445" w:name="pg15042_155016"/>
    </w:p>
    <w:p>
      <w:pPr>
        <w:pStyle w:val="BookText"/>
        <w:rPr/>
      </w:pPr>
      <w:bookmarkEnd w:id="445"/>
      <w:r>
        <w:rPr>
          <w:rFonts w:ascii="Amiri" w:hAnsi="Amiri" w:eastAsia="Amiri" w:cs="Amiri"/>
          <w:color w:val="111111"/>
          <w:sz w:val="28"/>
          <w:sz w:val="28"/>
          <w:szCs w:val="28"/>
          <w:rtl w:val="true"/>
          <w:lang w:bidi="ar-SA"/>
        </w:rPr>
        <w:t xml:space="preserve">يجوز تغييرها أصلا و ابدالها بلفظ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يخرج بالتغيير عن وضعه و مقصود مصنفه، كما صرح بذلك جمع</w:t>
      </w:r>
      <w:r>
        <w:rPr>
          <w:rStyle w:val="FootnoteAnchor"/>
          <w:rtl w:val="true"/>
        </w:rPr>
        <w:footnoteReference w:id="713"/>
      </w:r>
      <w:r>
        <w:rPr>
          <w:rFonts w:ascii="Amiri" w:hAnsi="Amiri" w:eastAsia="Amiri" w:cs="Amiri"/>
          <w:color w:val="111111"/>
          <w:sz w:val="28"/>
          <w:sz w:val="28"/>
          <w:szCs w:val="28"/>
          <w:rtl w:val="true"/>
          <w:lang w:bidi="ar-SA"/>
        </w:rPr>
        <w:t xml:space="preserve">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714"/>
      </w:r>
      <w:r>
        <w:rPr>
          <w:rFonts w:ascii="Amiri" w:hAnsi="Amiri" w:eastAsia="Amiri" w:cs="Amiri"/>
          <w:color w:val="111111"/>
          <w:sz w:val="28"/>
          <w:sz w:val="28"/>
          <w:szCs w:val="28"/>
          <w:rtl w:val="true"/>
          <w:lang w:bidi="ar-SA"/>
        </w:rPr>
        <w:t>لأن النقل بالمعنى إنما رخص فيه لما في الجمود على الألفاظ من الحرج، و ذلك غير موجود في المصنفات المدونة في الأوراق، و لأنه إن ملك تغيير اللفظ فليس يملك تغيير تصنيف غيره، كما هو ظاهر</w:t>
      </w:r>
      <w:r>
        <w:rPr>
          <w:rStyle w:val="FootnoteAnchor"/>
          <w:rtl w:val="true"/>
        </w:rPr>
        <w:footnoteReference w:id="715"/>
      </w:r>
      <w:r>
        <w:rPr>
          <w:rFonts w:ascii="Amiri" w:hAnsi="Amiri" w:eastAsia="Amiri" w:cs="Amiri"/>
          <w:color w:val="111111"/>
          <w:sz w:val="28"/>
          <w:sz w:val="28"/>
          <w:szCs w:val="28"/>
          <w:rtl w:val="true"/>
          <w:lang w:bidi="ar-SA"/>
        </w:rPr>
        <w:t>، نعم لو دعى إلى النقل بالمعنى شيء و نبّه على كون نقله بالمعنى جاز</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403565_2142443653"/>
      <w:bookmarkStart w:id="447" w:name="_Toc167"/>
      <w:bookmarkEnd w:id="446"/>
      <w:r>
        <w:rPr>
          <w:rtl w:val="true"/>
        </w:rPr>
        <w:t>الأمر الرابع</w:t>
      </w:r>
      <w:r>
        <w:rPr>
          <w:rtl w:val="true"/>
        </w:rPr>
        <w:t xml:space="preserve">: </w:t>
      </w:r>
      <w:r>
        <w:rPr>
          <w:rtl w:val="true"/>
        </w:rPr>
        <w:t>من نقل حديثا بالمعنى إن يقول بعده</w:t>
      </w:r>
      <w:r>
        <w:rPr>
          <w:rtl w:val="true"/>
        </w:rPr>
        <w:t xml:space="preserve">: </w:t>
      </w:r>
      <w:r>
        <w:rPr>
          <w:rtl w:val="true"/>
        </w:rPr>
        <w:t>او كما قال او نحوه</w:t>
      </w:r>
      <w:bookmarkEnd w:id="447"/>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ينبغي لراوي حديث بالمعنى و الشاك في أنه نقل </w:t>
      </w:r>
    </w:p>
    <w:p>
      <w:pPr>
        <w:pStyle w:val="BookText"/>
        <w:rPr/>
      </w:pPr>
      <w:r>
        <w:rPr>
          <w:rFonts w:ascii="Amiri" w:hAnsi="Amiri" w:eastAsia="Amiri" w:cs="Amiri"/>
          <w:color w:val="111111"/>
          <w:sz w:val="28"/>
          <w:sz w:val="28"/>
          <w:szCs w:val="28"/>
          <w:rtl w:val="true"/>
          <w:lang w:bidi="ar-SA"/>
        </w:rPr>
        <w:t>باللفظ أو بالمعنى أن يقول بعد الفراغ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أو نحوه أو شبهه أو ما أشبهه عاطفا له على كلمة قال التي ذكرها في ابتداء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أن قوما من الصحابة</w:t>
      </w:r>
      <w:r>
        <w:rPr>
          <w:rStyle w:val="FootnoteAnchor"/>
          <w:rtl w:val="true"/>
        </w:rPr>
        <w:footnoteReference w:id="716"/>
      </w:r>
      <w:r>
        <w:rPr>
          <w:rFonts w:ascii="Amiri" w:hAnsi="Amiri" w:eastAsia="Amiri" w:cs="Amiri"/>
          <w:color w:val="111111"/>
          <w:sz w:val="28"/>
          <w:sz w:val="28"/>
          <w:szCs w:val="28"/>
          <w:rtl w:val="true"/>
          <w:lang w:bidi="ar-SA"/>
        </w:rPr>
        <w:t>كانوا يفعلون ذلك و هم أعلم الناس بمعاني الكلام خوفا من الزلل، لمعرفتهم بما في الرواية بالمعنى من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ابن مسعود أنه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فاغرورقت عيناه و انتفخت أوداجه ثم قال أو مثله أو نحوه أو شبيه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الدرداء</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ascii="Amiri" w:hAnsi="Amiri" w:eastAsia="Amiri" w:cs="Amiri"/>
          <w:color w:val="111111"/>
          <w:sz w:val="28"/>
          <w:sz w:val="28"/>
          <w:szCs w:val="28"/>
          <w:rtl w:val="true"/>
          <w:lang w:bidi="ar-SA"/>
        </w:rPr>
        <w:t>،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إذا 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أو شبهه، و عن أنس بن مالك أنه كان إذا حدّث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اشتبهت على القارئ لفظة فحسن أن يقول بعد قراءتها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قال لتضمنه اجازة من الشيخ و إذنا في رواية صوابها عنه إذا بآن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8" w:name="pg15042_155018"/>
    </w:p>
    <w:p>
      <w:pPr>
        <w:pStyle w:val="Heading6"/>
        <w:numPr>
          <w:ilvl w:val="5"/>
          <w:numId w:val="1"/>
        </w:numPr>
        <w:rPr/>
      </w:pPr>
      <w:bookmarkStart w:id="449" w:name="__RefHeading___Toc403567_2142443653"/>
      <w:bookmarkStart w:id="450" w:name="_Toc168"/>
      <w:bookmarkEnd w:id="448"/>
      <w:bookmarkEnd w:id="449"/>
      <w:r>
        <w:rPr>
          <w:rtl w:val="true"/>
        </w:rPr>
        <w:t>الأمر الخامس</w:t>
      </w:r>
      <w:r>
        <w:rPr>
          <w:rtl w:val="true"/>
        </w:rPr>
        <w:t xml:space="preserve">: </w:t>
      </w:r>
      <w:r>
        <w:rPr>
          <w:rtl w:val="true"/>
        </w:rPr>
        <w:t>من نقل مجملا و فسره بأحد محامله</w:t>
      </w:r>
      <w:bookmarkEnd w:id="450"/>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الراوي الثقة إذا روى مجملا و فسره بأحد محامله فالأكثر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القوانين</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حمله عليه، بخلاف ما لو روى ظاهرا و حمله على خلاف الظاهر، لأن فهم الراوي الثقة قرينة، و ليس له معارض من جهة اللفظ لعدم دلالة المجمل على شيء، بخلاف الثاني، فإن فهمه معارض بالظاهر الذي هو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في ذلك في القوانين</w:t>
      </w:r>
      <w:r>
        <w:rPr>
          <w:rStyle w:val="FootnoteAnchor"/>
          <w:rtl w:val="true"/>
        </w:rPr>
        <w:footnoteReference w:id="719"/>
      </w:r>
      <w:r>
        <w:rPr>
          <w:rFonts w:ascii="Amiri" w:hAnsi="Amiri" w:eastAsia="Amiri" w:cs="Amiri"/>
          <w:color w:val="111111"/>
          <w:sz w:val="28"/>
          <w:sz w:val="28"/>
          <w:szCs w:val="28"/>
          <w:rtl w:val="true"/>
          <w:lang w:bidi="ar-SA"/>
        </w:rPr>
        <w:t xml:space="preserve">بأن مقتضى الظاهر العمل عليه، فمقتضى المجمل السكوت عنه، و لا يتفاوت الحال، مع أن الظاهر إنما يعتبر لأن الظاهر أنه هو الظاهر عند المخاطب بالحديث لا لظهوره عندنا، لأن الخطاب مختص بالمشافهين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 المخاطب به أن مراده هو ما هو خلاف الظاهر فالظاهر اعتباره، و لا أقلّ من التوقف، و أما تقديم الظاهر فلا، و الأولى ادارة الأمر مدار الظن الفعلي</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1" w:name="__RefHeading___Toc403569_2142443653"/>
      <w:bookmarkStart w:id="452" w:name="_Toc169"/>
      <w:bookmarkEnd w:id="451"/>
      <w:r>
        <w:rPr>
          <w:rtl w:val="true"/>
        </w:rPr>
        <w:t>الأمر السادس</w:t>
      </w:r>
      <w:r>
        <w:rPr>
          <w:rtl w:val="true"/>
        </w:rPr>
        <w:t xml:space="preserve">: </w:t>
      </w:r>
      <w:r>
        <w:rPr>
          <w:rtl w:val="true"/>
        </w:rPr>
        <w:t>حكم تقطيع الحديث و اختصاره</w:t>
      </w:r>
      <w:bookmarkEnd w:id="45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اختاره المانعون من رواية الحديث بالمعنى، لتحقق التغيير و عدم ادائه كما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بعض مجوزي رواية الحديث بالمعنى أيضا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إن لم يكن هذا المقطع قد رواه في محل آخر أو رواه غيره تماما ليرجع إلى تمامه من ذلك المحل، أرسله غير واحد قولا</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مطلقا</w:t>
      </w:r>
      <w:r>
        <w:rPr>
          <w:rStyle w:val="FootnoteAnchor"/>
          <w:rtl w:val="true"/>
        </w:rPr>
        <w:footnoteReference w:id="723"/>
      </w:r>
      <w:r>
        <w:rPr>
          <w:rFonts w:ascii="IRNazanin" w:hAnsi="IRNazanin" w:eastAsia="IRNazanin"/>
          <w:color w:val="111111"/>
          <w:sz w:val="28"/>
          <w:sz w:val="28"/>
          <w:szCs w:val="28"/>
          <w:rtl w:val="true"/>
          <w:lang w:bidi="fa-IR"/>
        </w:rPr>
        <w:t xml:space="preserve">، اختاره بعضهم، و فسر الإطلاق </w:t>
      </w:r>
    </w:p>
    <w:p>
      <w:pPr>
        <w:pStyle w:val="BookText"/>
        <w:rPr/>
      </w:pPr>
      <w:r>
        <w:rPr>
          <w:rFonts w:ascii="Amiri" w:hAnsi="Amiri" w:eastAsia="Amiri" w:cs="Amiri"/>
          <w:color w:val="111111"/>
          <w:sz w:val="28"/>
          <w:sz w:val="28"/>
          <w:szCs w:val="28"/>
          <w:rtl w:val="true"/>
          <w:lang w:bidi="ar-SA"/>
        </w:rPr>
        <w:t>في البداية</w:t>
      </w:r>
      <w:r>
        <w:rPr>
          <w:rStyle w:val="FootnoteAnchor"/>
          <w:rtl w:val="true"/>
        </w:rPr>
        <w:footnoteReference w:id="724"/>
      </w:r>
      <w:r>
        <w:rPr>
          <w:rFonts w:ascii="Amiri" w:hAnsi="Amiri" w:eastAsia="Amiri" w:cs="Amiri"/>
          <w:color w:val="111111"/>
          <w:sz w:val="28"/>
          <w:sz w:val="28"/>
          <w:szCs w:val="28"/>
          <w:rtl w:val="true"/>
          <w:lang w:bidi="ar-SA"/>
        </w:rPr>
        <w:t>بأنه سواء كان قد رواه أو غيره على التمام أم لا</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ثم ان ما ذهب إليه الجمهور لا ينازع فيه من لم يجز النقل بالمعنى، لأن الذي نقله و الذي حذفه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الحالة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خبرين منفصلين في أمرين لا تعلق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ينبغي تقييد هذا القول بما إذا لم يكن المحذوف متعلقا بالمأتي به تعلقا يخل بالمعنى حذفه كالاستثناء و الشرط و الغاية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 إلا فالظاهر عدم الخلاف في المنع منه، و ادعى بعضهم الاتفاق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من هنا يتحد هذا القول 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التفصيل بالجواز إن وقع ذلك ممن يعرف تمييز ما تركه منه عمّا نقله، و عدم تعلقه به بحيث لا يختل البيان و لا تختلف الدلالة فيما نقله بترك ما تركه، فيجوز حينئذ و إن لم تجز الرواية بالمعنى، لأن المروي و المتروك حينئذ بمنزلة خبرين منفصلين، و المنع إن وقع ذلك من غير العارف، و هذا القول هو الأظهر</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ثم ان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قولا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نختاره في ذلك أنه إن كان فيما حذف من الخبر معرفة حكم و شرط و أمر لا يتم التعبد و المراد بالخبر إلا بروايته على وجهه، فإنه يجب نقله على تمامه، و يحرم حذفه، لأن القصد بالخبر لا يتم إلا به، فلا فرق بين أن يكون ذلك تركا لنقل العبادة كنقل بعض أفعال الصلاة، أو تركا لنقل فرض آخر هو الشرط في صحة العبادة كترك نقل وجوب الطهارة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يحمل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اختصار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ذلك فيما إذا</w:t>
      </w:r>
      <w:bookmarkStart w:id="453" w:name="pg15042_155021"/>
    </w:p>
    <w:p>
      <w:pPr>
        <w:pStyle w:val="BookText"/>
        <w:rPr/>
      </w:pPr>
      <w:bookmarkEnd w:id="453"/>
      <w:r>
        <w:rPr>
          <w:rFonts w:ascii="Amiri" w:hAnsi="Amiri" w:eastAsia="Amiri" w:cs="Amiri"/>
          <w:color w:val="111111"/>
          <w:sz w:val="28"/>
          <w:sz w:val="28"/>
          <w:szCs w:val="28"/>
          <w:rtl w:val="true"/>
          <w:lang w:bidi="ar-SA"/>
        </w:rPr>
        <w:t>ارتفعت منزلته عن التهمة، فأما من رواه مرة تاما فخاف إن رواه ثانيا ناقصا أن يتهم بزيادة فيما رواه أولا أو نسيان لغفلة و قلّة ضبط فيما رواه ثانيا فلا يجوز له النقصان ثانيا و لا ابتداءا ان تعين عليه اداء تمامه، لئلا يخرج بذلك باقية عن حيز الاحتجاج</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4" w:name="__RefHeading___Toc403571_2142443653"/>
      <w:bookmarkStart w:id="455" w:name="_Toc170"/>
      <w:bookmarkEnd w:id="454"/>
      <w:r>
        <w:rPr>
          <w:rtl w:val="true"/>
        </w:rPr>
        <w:t>الأمر السابع</w:t>
      </w:r>
      <w:r>
        <w:rPr>
          <w:rtl w:val="true"/>
        </w:rPr>
        <w:t xml:space="preserve">: </w:t>
      </w:r>
      <w:r>
        <w:rPr>
          <w:rtl w:val="true"/>
        </w:rPr>
        <w:t>جواز تقطيع الحديث الواحد في المصنف</w:t>
      </w:r>
      <w:bookmarkEnd w:id="455"/>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صرح جمع بجواز تقطيع المصنف الحديث الواحد في مصنفه؛ بأن يفرقه على الأبواب اللائقة به للاحتجاج المناسب في كل مسألة مع مراعاة ما سبق من تمامية معنى المقطوع، و قد فعله أئمة الحديث منّا و من الجمهور و لا مانع منه</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ثم أنه قد مرّ منّا نقل قول آخر في تجويز النقصان في الحديث و عدم جواز الزيادة كما حكي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انقص من الحديث و لا تزد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أن تخطئ في الحديث فانقص منه و لا تزد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نعرف وجه ذلك إلا برجوعه إلى قول المشهور أو القول الثالث مما عدّه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من سمع مقالتي فلم يزد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حيث دلّ على جواز النقصان مقابل المنع المطلق،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قول سادس بالتوقف حكي عن البدر بن جماعة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عن ابن</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الصلاح</w:t>
      </w:r>
      <w:r>
        <w:rPr>
          <w:rStyle w:val="FootnoteAnchor"/>
          <w:rtl w:val="true"/>
        </w:rPr>
        <w:footnoteReference w:id="729"/>
      </w:r>
      <w:r>
        <w:rPr>
          <w:rFonts w:ascii="Amiri" w:hAnsi="Amiri" w:eastAsia="Amiri" w:cs="Amiri"/>
          <w:color w:val="111111"/>
          <w:sz w:val="28"/>
          <w:sz w:val="28"/>
          <w:szCs w:val="28"/>
          <w:rtl w:val="true"/>
          <w:lang w:bidi="ar-SA"/>
        </w:rPr>
        <w:t>أنه لا يخلو من كراهة</w:t>
      </w:r>
      <w:r>
        <w:rPr>
          <w:rStyle w:val="FootnoteAnchor"/>
          <w:rtl w:val="true"/>
        </w:rPr>
        <w:footnoteReference w:id="730"/>
      </w:r>
      <w:r>
        <w:rPr>
          <w:rFonts w:ascii="Amiri" w:hAnsi="Amiri" w:eastAsia="Amiri" w:cs="Amiri"/>
          <w:color w:val="111111"/>
          <w:sz w:val="28"/>
          <w:sz w:val="28"/>
          <w:szCs w:val="28"/>
          <w:rtl w:val="true"/>
          <w:lang w:bidi="ar-SA"/>
        </w:rPr>
        <w:t xml:space="preserve">و لم يوافقه أحد، و لا ساعد </w:t>
      </w:r>
      <w:bookmarkStart w:id="456" w:name="pg15042_155023"/>
    </w:p>
    <w:p>
      <w:pPr>
        <w:pStyle w:val="BookText"/>
        <w:rPr/>
      </w:pPr>
      <w:bookmarkEnd w:id="456"/>
      <w:r>
        <w:rPr>
          <w:rFonts w:ascii="Amiri" w:hAnsi="Amiri" w:eastAsia="Amiri" w:cs="Amiri"/>
          <w:color w:val="111111"/>
          <w:sz w:val="28"/>
          <w:sz w:val="28"/>
          <w:szCs w:val="28"/>
          <w:rtl w:val="true"/>
          <w:lang w:bidi="ar-SA"/>
        </w:rPr>
        <w:t>عليه الدليل</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7" w:name="__RefHeading___Toc403573_2142443653"/>
      <w:bookmarkStart w:id="458" w:name="_Toc171"/>
      <w:bookmarkEnd w:id="457"/>
      <w:r>
        <w:rPr>
          <w:rtl w:val="true"/>
        </w:rPr>
        <w:t>المطلب السادس</w:t>
      </w:r>
      <w:r>
        <w:rPr>
          <w:rtl w:val="true"/>
        </w:rPr>
        <w:t xml:space="preserve">: </w:t>
      </w:r>
      <w:r>
        <w:rPr>
          <w:rtl w:val="true"/>
        </w:rPr>
        <w:t>ما ينبغي تعلمه للمحدث قبل الشروع في الحديث</w:t>
      </w:r>
      <w:bookmarkEnd w:id="458"/>
    </w:p>
    <w:p>
      <w:pPr>
        <w:pStyle w:val="Heading5"/>
        <w:numPr>
          <w:ilvl w:val="4"/>
          <w:numId w:val="1"/>
        </w:numPr>
        <w:rPr/>
      </w:pPr>
      <w:bookmarkStart w:id="459" w:name="__RefHeading___Toc403575_2142443653"/>
      <w:bookmarkStart w:id="460" w:name="_Toc172"/>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انه صرح جمع</w:t>
      </w:r>
      <w:r>
        <w:rPr>
          <w:rStyle w:val="FootnoteAnchor"/>
          <w:rtl w:val="true"/>
        </w:rPr>
        <w:footnoteReference w:id="732"/>
      </w:r>
      <w:r>
        <w:rPr>
          <w:rFonts w:ascii="Amiri" w:hAnsi="Amiri" w:eastAsia="Amiri" w:cs="Amiri"/>
          <w:color w:val="111111"/>
          <w:sz w:val="28"/>
          <w:sz w:val="28"/>
          <w:szCs w:val="28"/>
          <w:rtl w:val="true"/>
          <w:lang w:bidi="ar-SA"/>
        </w:rPr>
        <w:t>بأنه ينبغي للشيخ أن لا يروي الحديث بقراءة لحّان و لا مصحّف</w:t>
      </w:r>
      <w:r>
        <w:rPr>
          <w:rStyle w:val="FootnoteAnchor"/>
          <w:rtl w:val="true"/>
        </w:rPr>
        <w:footnoteReference w:id="733"/>
      </w:r>
      <w:r>
        <w:rPr>
          <w:rFonts w:ascii="Amiri" w:hAnsi="Amiri" w:eastAsia="Amiri" w:cs="Amiri"/>
          <w:color w:val="111111"/>
          <w:sz w:val="28"/>
          <w:sz w:val="28"/>
          <w:szCs w:val="28"/>
          <w:rtl w:val="true"/>
          <w:lang w:bidi="ar-SA"/>
        </w:rPr>
        <w:t xml:space="preserve">، بل لا يتولاه إلا متقن اللغة و العربية ليكون مطابقا لما 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يتحقق اداؤه كما سمعه امتثالا لأمر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اعربوا حديثنا فإنا قوم فصحاء</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ينبغي لمن يريد قراءة الحديث أن يتعلم قبل الشروع فيه من العربية و اللغة ما يسلم به من اللحن</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عليه قراءة الحديث من العلوم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يسلم من</w:t>
      </w:r>
    </w:p>
    <w:p>
      <w:pPr>
        <w:pStyle w:val="BookText"/>
        <w:rPr/>
      </w:pPr>
      <w:r>
        <w:rPr>
          <w:rFonts w:ascii="Amiri" w:hAnsi="Amiri" w:eastAsia="Amiri" w:cs="Amiri"/>
          <w:color w:val="111111"/>
          <w:sz w:val="28"/>
          <w:sz w:val="28"/>
          <w:szCs w:val="28"/>
          <w:rtl w:val="true"/>
          <w:lang w:bidi="ar-SA"/>
        </w:rPr>
        <w:t>التصحيف بذلك، بل بالأخذ من أفواه الرجال العارفين بأحوال الرواة و ضبط أسمائهم و بالروايات و ضبط كلماتها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أحرز لحنا أو تصحيفا فيما تحمله من الرواية و تحقق ذلك ففي كيفية روايته لها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فالأكثر على أنه يرويه على الصواب لا سيما في اللحن الذي لا يختلف المعنى به،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روايتنا كذا، أو يقدم الرواية الملحونة أو المصحفة، و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صوابه كذا، و عن ابن سيرين</w:t>
      </w:r>
      <w:r>
        <w:rPr>
          <w:rStyle w:val="FootnoteAnchor"/>
          <w:rtl w:val="true"/>
        </w:rPr>
        <w:footnoteReference w:id="737"/>
      </w:r>
      <w:r>
        <w:rPr>
          <w:rFonts w:ascii="Amiri" w:hAnsi="Amiri" w:eastAsia="Amiri" w:cs="Amiri"/>
          <w:color w:val="111111"/>
          <w:sz w:val="28"/>
          <w:sz w:val="28"/>
          <w:szCs w:val="28"/>
          <w:rtl w:val="true"/>
          <w:lang w:bidi="ar-SA"/>
        </w:rPr>
        <w:t>و عبد اللّه بن سخيرة</w:t>
      </w:r>
      <w:r>
        <w:rPr>
          <w:rStyle w:val="FootnoteAnchor"/>
          <w:rtl w:val="true"/>
        </w:rPr>
        <w:footnoteReference w:id="738"/>
      </w:r>
      <w:r>
        <w:rPr>
          <w:rFonts w:ascii="Amiri" w:hAnsi="Amiri" w:eastAsia="Amiri" w:cs="Amiri"/>
          <w:color w:val="111111"/>
          <w:sz w:val="28"/>
          <w:sz w:val="28"/>
          <w:szCs w:val="28"/>
          <w:rtl w:val="true"/>
          <w:lang w:bidi="ar-SA"/>
        </w:rPr>
        <w:t>و أبي معمر</w:t>
      </w:r>
      <w:r>
        <w:rPr>
          <w:rStyle w:val="FootnoteAnchor"/>
          <w:rtl w:val="true"/>
        </w:rPr>
        <w:footnoteReference w:id="739"/>
      </w:r>
      <w:r>
        <w:rPr>
          <w:rFonts w:ascii="Amiri" w:hAnsi="Amiri" w:eastAsia="Amiri" w:cs="Amiri"/>
          <w:color w:val="111111"/>
          <w:sz w:val="28"/>
          <w:sz w:val="28"/>
          <w:szCs w:val="28"/>
          <w:rtl w:val="true"/>
          <w:lang w:bidi="ar-SA"/>
        </w:rPr>
        <w:t>و أبي عبيدة القاسم بن سلام</w:t>
      </w:r>
      <w:r>
        <w:rPr>
          <w:rStyle w:val="FootnoteAnchor"/>
          <w:rtl w:val="true"/>
        </w:rPr>
        <w:footnoteReference w:id="740"/>
      </w:r>
      <w:r>
        <w:rPr>
          <w:rFonts w:ascii="Amiri" w:hAnsi="Amiri" w:eastAsia="Amiri" w:cs="Amiri"/>
          <w:color w:val="111111"/>
          <w:sz w:val="28"/>
          <w:sz w:val="28"/>
          <w:szCs w:val="28"/>
          <w:rtl w:val="true"/>
          <w:lang w:bidi="ar-SA"/>
        </w:rPr>
        <w:t>أنه يرويه كما سمعه باللحن و التصحيف الذي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ردّه ابن الصلاح و غيره بأنه غلو في اتباع اللفظ و المنع من الرواية بالمعنى</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قول ثالث يحكى عن عبد السّلام</w:t>
      </w:r>
      <w:r>
        <w:rPr>
          <w:rStyle w:val="FootnoteAnchor"/>
          <w:rtl w:val="true"/>
        </w:rPr>
        <w:footnoteReference w:id="742"/>
      </w:r>
      <w:r>
        <w:rPr>
          <w:rFonts w:ascii="Amiri" w:hAnsi="Amiri" w:eastAsia="Amiri" w:cs="Amiri"/>
          <w:color w:val="111111"/>
          <w:sz w:val="28"/>
          <w:sz w:val="28"/>
          <w:szCs w:val="28"/>
          <w:rtl w:val="true"/>
          <w:lang w:bidi="ar-SA"/>
        </w:rPr>
        <w:t xml:space="preserve">و هو ترك الخطأ </w:t>
      </w:r>
      <w:bookmarkStart w:id="461" w:name="pg15042_155025"/>
    </w:p>
    <w:p>
      <w:pPr>
        <w:pStyle w:val="BookText"/>
        <w:rPr/>
      </w:pPr>
      <w:bookmarkEnd w:id="461"/>
      <w:r>
        <w:rPr>
          <w:rFonts w:ascii="Amiri" w:hAnsi="Amiri" w:eastAsia="Amiri" w:cs="Amiri"/>
          <w:color w:val="111111"/>
          <w:sz w:val="28"/>
          <w:sz w:val="28"/>
          <w:szCs w:val="28"/>
          <w:rtl w:val="true"/>
          <w:lang w:bidi="ar-SA"/>
        </w:rPr>
        <w:t xml:space="preserve">و الصواب جميعا، أما الصواب فلأنه لم يسمع كذلك، و أما الخطأ فلأن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 كذلك</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أن يروي كما سمعه و ينبّه على كونه خطأ و كون الصواب كذا و كذا، حتى يسلم من شبهتي اخفاء الحكم الشرعي و رواية ما لم يسمعه</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403577_2142443653"/>
      <w:bookmarkStart w:id="463" w:name="_Toc173"/>
      <w:bookmarkEnd w:id="462"/>
      <w:r>
        <w:rPr>
          <w:rtl w:val="true"/>
        </w:rPr>
        <w:t>اصلاح التحريف و التصحيف في الكتاب</w:t>
      </w:r>
      <w:bookmarkEnd w:id="463"/>
    </w:p>
    <w:p>
      <w:pPr>
        <w:pStyle w:val="BookText"/>
        <w:rPr/>
      </w:pPr>
      <w:r>
        <w:rPr>
          <w:rFonts w:ascii="Amiri" w:hAnsi="Amiri" w:eastAsia="Amiri" w:cs="Amiri"/>
          <w:color w:val="111111"/>
          <w:sz w:val="28"/>
          <w:sz w:val="28"/>
          <w:szCs w:val="28"/>
          <w:rtl w:val="true"/>
          <w:lang w:bidi="ar-SA"/>
        </w:rPr>
        <w:t>و أما اصلاح التحريف و التصحيف في الكتاب و تغيير ما وقع فيه فجوّزه بعضهم، و الأولى ما ذكره جمع</w:t>
      </w:r>
      <w:r>
        <w:rPr>
          <w:rStyle w:val="FootnoteAnchor"/>
          <w:rtl w:val="true"/>
        </w:rPr>
        <w:footnoteReference w:id="744"/>
      </w:r>
      <w:r>
        <w:rPr>
          <w:rFonts w:ascii="Amiri" w:hAnsi="Amiri" w:eastAsia="Amiri" w:cs="Amiri"/>
          <w:color w:val="111111"/>
          <w:sz w:val="28"/>
          <w:sz w:val="28"/>
          <w:szCs w:val="28"/>
          <w:rtl w:val="true"/>
          <w:lang w:bidi="ar-SA"/>
        </w:rPr>
        <w:t>من ترك التحريف و التصحيف في الأصل على حاله، و التضبيب عليه و بيان صوابه في الحاشية، فإن ذلك أجمع للمصلحة و أنفى للمفسدة، و قد يأتي من يظهر له وجه صحته، و لو فتح باب التغيير لجسر عليه من ليس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أن بعض أصحاب الحديث رأى في المنام و كأنه قد ذهب شيء من لسانه أو شفته، فسئل عن سببه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من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غيّرتها برأيي ففعل بي هذا، و كثيرا ما ترى ما يتوهمه كثير من أهل العلم خطأ و هو صواب ذو وجه صحيح خفي</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الإصلاح أن يكون بما جاء في رواية اخرى أو حديث آخر، فإن ذاكره أمن من النقول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الإصلاح بزيادة الساقط من الأصل فإن لم يغاير معنى الأصل فلا بأس بإلحاقه في الأصل من غير تنبيه على سقوطه، بأن يعلم أنه سقط في الكتابة كلفظة ابن في النسب و كحرف لا يختلف المعنى به، و إن غاير الساقط معنى ما وقع في الأصل تأكد الحكم بذكر الأصل مقرونا بالبيان لما سقط، فإن علم أن بعض الرواة له أسقطه وحده و أن من فوقه من الرواة أتى به فله أيضا أن يلحقه في نفس الكتاب مع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قبله، هذا إذا علم أن شيخه رواه له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رواه في كتاب نفسه و غلب على ظنه أن السقط من كتابه لا من شيخه اتّجه حينئذ اصلاحه في كتابه، و في روايته عند تحديثه، كما إذا درس من كتابه بعض الإسناد أو المتن بتقطع أو بلل و نحوه، فإنه يجوز له استدراكه من كتاب غيره إذا عرف صحته و وثق به، بأن يكون أخذه عن شيخه و هو ثقة و سكنت نفسه إلى أن ذلك هو الساقط، و منع بعضهم من ذلك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بيان حال الرواية و كتابة أن الإصلاح من نسخة موثوق بها أولى، و كذا الكلام في استثبات الحافظ ما شك فيه من كتاب ثقة غيره أو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البداية</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على كل حال سد باب الإصلاح ما أمكن لئلا يجسر على ذلك من لا يحسن و هم يحسبون أنهم يحسنون صنعا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وجد المحدث في كتابه كلمة من غريب العربية غير </w:t>
      </w:r>
      <w:bookmarkStart w:id="464" w:name="pg15042_155027"/>
    </w:p>
    <w:p>
      <w:pPr>
        <w:pStyle w:val="BookText"/>
        <w:rPr/>
      </w:pPr>
      <w:bookmarkEnd w:id="464"/>
      <w:r>
        <w:rPr>
          <w:rFonts w:ascii="Amiri" w:hAnsi="Amiri" w:eastAsia="Amiri" w:cs="Amiri"/>
          <w:color w:val="111111"/>
          <w:sz w:val="28"/>
          <w:sz w:val="28"/>
          <w:szCs w:val="28"/>
          <w:rtl w:val="true"/>
          <w:lang w:bidi="ar-SA"/>
        </w:rPr>
        <w:t>مضبوطة اشكلت عليه جاز أن يسأل عنها العلماء بها و يرويها على ما يخبرونه به، و الأولى أن يشرح الحال و يذكر ما في كتابه أو حفظه و ما أخبر به المسئول عنه</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403579_2142443653"/>
      <w:bookmarkStart w:id="466" w:name="_Toc174"/>
      <w:bookmarkEnd w:id="465"/>
      <w:r>
        <w:rPr>
          <w:rtl w:val="true"/>
        </w:rPr>
        <w:t>المطلب السابع</w:t>
      </w:r>
      <w:r>
        <w:rPr>
          <w:rtl w:val="true"/>
        </w:rPr>
        <w:t xml:space="preserve">: </w:t>
      </w:r>
      <w:r>
        <w:rPr>
          <w:rtl w:val="true"/>
        </w:rPr>
        <w:t>في من روى عن اثنين او اكثر متفقين في المعنى دون اللفظ</w:t>
      </w:r>
      <w:bookmarkEnd w:id="466"/>
    </w:p>
    <w:p>
      <w:pPr>
        <w:pStyle w:val="Heading5"/>
        <w:numPr>
          <w:ilvl w:val="4"/>
          <w:numId w:val="1"/>
        </w:numPr>
        <w:rPr/>
      </w:pPr>
      <w:bookmarkStart w:id="467" w:name="__RefHeading___Toc403581_2142443653"/>
      <w:bookmarkStart w:id="468" w:name="_Toc175"/>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انه إذا كان الحديث عنده عن اثنين أو أكثر من الشيوخ و اتفقا في المعنى دون اللفظ فله جمعهما أو جمعهم في الإسناد بأسمائهم، ثم يسوق الحديث على لفظ رواية أحدهما أو أحدهم مبينا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فلان و فلان و اللفظ لفلان أو هذا لفظ فلان،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ذلك من العبارات، و لو لم يخصّ أحدهما بنسبة اللفظ إليه بل أتى ببعض لفظ هذا و بعض لفظ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فلان و فلان و تقاربا في اللفظ أو و المعنى واحد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فلان جاز، بناء على جواز الرواية بالمعنى، و لم يجز بناء على عدم جوازها، و لو لم يقلّ تقاربا و نحوه فلا بأس به أيضا بناء على جواز الرواية بالمعنى، و إن كان الإتيان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تقاربا في اللفظ أو ما يؤدي ذلك أولى</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9" w:name="__RefHeading___Toc403583_2142443653"/>
      <w:bookmarkStart w:id="470" w:name="_Toc176"/>
      <w:bookmarkEnd w:id="469"/>
      <w:r>
        <w:rPr>
          <w:rtl w:val="true"/>
        </w:rPr>
        <w:t>اذا سمع من جماعة كتابا و قابل نسخته باصل بعضهم دون الباقي</w:t>
      </w:r>
      <w:bookmarkEnd w:id="47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سمع من جماعة كتابا مصنفا فقابل نسخته بأصل بعضهم دون الباقي ثم رواه عنهم كلّهم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لفلان المقابل بأصله ففي جوازه وجهان؛ من أن ما أورده قد سمعه </w:t>
      </w:r>
      <w:bookmarkStart w:id="471" w:name="pg15042_155028"/>
    </w:p>
    <w:p>
      <w:pPr>
        <w:pStyle w:val="BookText"/>
        <w:rPr/>
      </w:pPr>
      <w:bookmarkEnd w:id="471"/>
      <w:r>
        <w:rPr>
          <w:rFonts w:ascii="Amiri" w:hAnsi="Amiri" w:eastAsia="Amiri" w:cs="Amiri"/>
          <w:color w:val="111111"/>
          <w:sz w:val="28"/>
          <w:sz w:val="28"/>
          <w:szCs w:val="28"/>
          <w:rtl w:val="true"/>
          <w:lang w:bidi="ar-SA"/>
        </w:rPr>
        <w:t>ممن ذكره أنه بلفظه، و من أنه لا علم عنده بكيفية رواية الآخرين حتى يخبر عنها، بخلاف ما سبق، فإنه اطلع على رواية غير من نسب اللفظ إليه و على موافقتها معنى فأخبر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بدر بن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العامة </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التفصيل بين تباين الطرق بأحاديث مستقلة و بين تفاوتها في ألفاظ و لغات أو اختلاف ضبط بالجواز في الثاني دون الأول</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403585_2142443653"/>
      <w:bookmarkStart w:id="473" w:name="_Toc177"/>
      <w:bookmarkEnd w:id="472"/>
      <w:r>
        <w:rPr>
          <w:rtl w:val="true"/>
        </w:rPr>
        <w:t>المطلب الثامن</w:t>
      </w:r>
      <w:r>
        <w:rPr>
          <w:rtl w:val="true"/>
        </w:rPr>
        <w:t xml:space="preserve">: </w:t>
      </w:r>
      <w:r>
        <w:rPr>
          <w:rtl w:val="true"/>
        </w:rPr>
        <w:t>لا يصح للراوي إن يزيد في نسب غير شيخه من رجال السنة</w:t>
      </w:r>
      <w:bookmarkEnd w:id="47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صرح جمع</w:t>
      </w:r>
      <w:r>
        <w:rPr>
          <w:rStyle w:val="FootnoteAnchor"/>
          <w:rtl w:val="true"/>
        </w:rPr>
        <w:footnoteReference w:id="748"/>
      </w:r>
      <w:r>
        <w:rPr>
          <w:rFonts w:ascii="Amiri" w:hAnsi="Amiri" w:eastAsia="Amiri" w:cs="Amiri"/>
          <w:color w:val="111111"/>
          <w:sz w:val="28"/>
          <w:sz w:val="28"/>
          <w:szCs w:val="28"/>
          <w:rtl w:val="true"/>
          <w:lang w:bidi="ar-SA"/>
        </w:rPr>
        <w:t>بأنه ليس للراوي أن يزيد في نسب غير شيخه من رجال السند أو صفته مدرجا ذلك حيث اقتصر شيخه على بعضه، إلا أن يميزه بهو أو يعني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ذلك، مثاله أن يروي الشيخ عن أحمد بن محمد كما يتفق للشيخ أبي جعفر الطوسي و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فليس للراوي أن يروي عنهما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أخبرني أحمد بن محمد بن عيسى، بل يقول أحمد بن محمد هو ابن عيسى أو يعني ابن عيسى و نحوه، ليتميز كلامه و زيادته عن كلام شيخه، و إذا ذكر شيخه نسب شيخه بتمامه أو وصفه بما هو أهله في أول حديث، </w:t>
      </w:r>
    </w:p>
    <w:p>
      <w:pPr>
        <w:pStyle w:val="BookText"/>
        <w:rPr/>
      </w:pPr>
      <w:r>
        <w:rPr>
          <w:rFonts w:ascii="Amiri" w:hAnsi="Amiri" w:eastAsia="Amiri" w:cs="Amiri"/>
          <w:color w:val="111111"/>
          <w:sz w:val="28"/>
          <w:sz w:val="28"/>
          <w:szCs w:val="28"/>
          <w:rtl w:val="true"/>
          <w:lang w:bidi="ar-SA"/>
        </w:rPr>
        <w:t>ثم اقتصر في باقي أحاديث الكتاب على اسمه أو بعض نسبه فالأكثر على جواز روايته تلك الأحاديث مفصولة عن الحديث الأول مستوفيا نسب شيخ شيخه على ما في أول الحديث الأول</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بعضهم أن الأولى فيه أيضا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فلان،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فلان أن فلانا بن فلان حدثه</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الأظهر عندي المنع من اقتصاره على ما اقتصر عليه شيخه في باقي الأحاديث، لأنه يؤدي إلى صيرورة الرجل مشتركا، و وهن الرواية لذلك، بل الأظهر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أيضا مرجوح فيما إذا علم أن المراد بالرجل في باقي الأحاديث هو الذي في اسناد الحديث الأول، لأن كلمة يعني و نحوه ظاهرة في اجتهاده، بخلاف ما لو قال فلان بن فلان بن فلان فإنه ظاهر في كون النسب من شيخه، و لا ريب في كون الثاني أضبط، فلا وجه لجعل السند من قبيل الأول، فتدبر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منع بعضهم من زيادته تاريخ سماع شيخه إذا لم يذكره </w:t>
      </w:r>
      <w:bookmarkStart w:id="474" w:name="pg15042_155030"/>
    </w:p>
    <w:p>
      <w:pPr>
        <w:pStyle w:val="BookText"/>
        <w:rPr/>
      </w:pPr>
      <w:bookmarkEnd w:id="474"/>
      <w:r>
        <w:rPr>
          <w:rFonts w:ascii="Amiri" w:hAnsi="Amiri" w:eastAsia="Amiri" w:cs="Amiri"/>
          <w:color w:val="111111"/>
          <w:sz w:val="28"/>
          <w:sz w:val="28"/>
          <w:szCs w:val="28"/>
          <w:rtl w:val="true"/>
          <w:lang w:bidi="ar-SA"/>
        </w:rPr>
        <w:t>الشيخ</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هذا و قد استحب المحدثين ذكر الراوي شيخه متميزا بوصفه و نسبه في أول ما يرويه و بعده إن شاء ذكره كذلك أو اقتصر على الأول،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رحمه اللّه مثلا ثم يقول في آخر محمد عن فلان إلى آخره اعتمادا في الإجمال على ما فصّله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403587_2142443653"/>
      <w:bookmarkStart w:id="476" w:name="_Toc178"/>
      <w:bookmarkEnd w:id="475"/>
      <w:r>
        <w:rPr>
          <w:rtl w:val="true"/>
        </w:rPr>
        <w:t>المطلب التاسع</w:t>
      </w:r>
      <w:r>
        <w:rPr>
          <w:rtl w:val="true"/>
        </w:rPr>
        <w:t xml:space="preserve">: </w:t>
      </w:r>
      <w:r>
        <w:rPr>
          <w:rtl w:val="true"/>
        </w:rPr>
        <w:t>جرت العادة بحذف بعض الألفاظ كقال و نحوه بين رجال السنة</w:t>
      </w:r>
      <w:bookmarkEnd w:id="47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قد جرت العادة بحذف قال و نحوه بين رجال السند خطا اختصارا، و قد قال جمع</w:t>
      </w:r>
      <w:r>
        <w:rPr>
          <w:rStyle w:val="FootnoteAnchor"/>
          <w:rtl w:val="true"/>
        </w:rPr>
        <w:footnoteReference w:id="752"/>
      </w:r>
      <w:r>
        <w:rPr>
          <w:rFonts w:ascii="Amiri" w:hAnsi="Amiri" w:eastAsia="Amiri" w:cs="Amiri"/>
          <w:color w:val="111111"/>
          <w:sz w:val="28"/>
          <w:sz w:val="28"/>
          <w:szCs w:val="28"/>
          <w:rtl w:val="true"/>
          <w:lang w:bidi="ar-SA"/>
        </w:rPr>
        <w:t>أنه ينبغي للقارئ التلفظ بها، و إذا وجد في الإسناد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فلان أخبرك فلان يقول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فلان، و إذا وجد قراء</w:t>
      </w:r>
      <w:r>
        <w:rPr>
          <w:rStyle w:val="FootnoteAnchor"/>
          <w:rtl w:val="true"/>
        </w:rPr>
        <w:footnoteReference w:id="753"/>
      </w:r>
      <w:r>
        <w:rPr>
          <w:rFonts w:ascii="Amiri" w:hAnsi="Amiri" w:eastAsia="Amiri" w:cs="Amiri"/>
          <w:color w:val="111111"/>
          <w:sz w:val="28"/>
          <w:sz w:val="28"/>
          <w:szCs w:val="28"/>
          <w:rtl w:val="true"/>
          <w:lang w:bidi="ar-SA"/>
        </w:rPr>
        <w:t>على فلان حدثنا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فلان، و إذا وجد قرأت على فلان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تكررت كلمة قال كما في قوله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فالعادة أنهم يحذفون إحداهما خطا، و على القارئ أن يلفظ بهما، و لو ترك القارئ أحدهما فقد أخطأ، لأن حذف أحدهما يخلّ بالمعنى، لأن ضمير الأول </w:t>
      </w:r>
      <w:bookmarkStart w:id="477" w:name="pg15042_155031"/>
    </w:p>
    <w:p>
      <w:pPr>
        <w:pStyle w:val="BookText"/>
        <w:rPr/>
      </w:pPr>
      <w:bookmarkEnd w:id="477"/>
      <w:r>
        <w:rPr>
          <w:rFonts w:ascii="Amiri" w:hAnsi="Amiri" w:eastAsia="Amiri" w:cs="Amiri"/>
          <w:color w:val="111111"/>
          <w:sz w:val="28"/>
          <w:sz w:val="28"/>
          <w:szCs w:val="28"/>
          <w:rtl w:val="true"/>
          <w:lang w:bidi="ar-SA"/>
        </w:rPr>
        <w:t>للراوي الأول و هو الفاعل و فاعل الفعل الثاني هو الاسم الظاهر الذي بعده، فإذا اقتصر على واحدة صار الموجود فعل الاسم الظاهر الثاني، فلا يرتبط الإسناد بالراوي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غير واحد أنه لو حذف أحدهما نطقا صح السماع، لأن حذف القول جائز اختصارا جاء به القرآن المجيد، بل عن شهاب الدين عبد اللطيف بن المرحل</w:t>
      </w:r>
      <w:r>
        <w:rPr>
          <w:rStyle w:val="FootnoteAnchor"/>
          <w:rtl w:val="true"/>
        </w:rPr>
        <w:footnoteReference w:id="754"/>
      </w:r>
      <w:r>
        <w:rPr>
          <w:rFonts w:ascii="Amiri" w:hAnsi="Amiri" w:eastAsia="Amiri" w:cs="Amiri"/>
          <w:color w:val="111111"/>
          <w:sz w:val="28"/>
          <w:sz w:val="28"/>
          <w:szCs w:val="28"/>
          <w:rtl w:val="true"/>
          <w:lang w:bidi="ar-SA"/>
        </w:rPr>
        <w:t>انكار أصل اعتبار التلفظ بقال في أثناء السند، و وجّهه بعضهم</w:t>
      </w:r>
      <w:r>
        <w:rPr>
          <w:rStyle w:val="FootnoteAnchor"/>
          <w:rtl w:val="true"/>
        </w:rPr>
        <w:footnoteReference w:id="755"/>
      </w:r>
      <w:r>
        <w:rPr>
          <w:rFonts w:ascii="IRNazanin" w:hAnsi="IRNazanin" w:eastAsia="IRNazanin"/>
          <w:color w:val="111111"/>
          <w:sz w:val="28"/>
          <w:sz w:val="28"/>
          <w:szCs w:val="28"/>
          <w:rtl w:val="true"/>
          <w:lang w:bidi="fa-IR"/>
        </w:rPr>
        <w:t>بأن أخبرنا و حدثنا بمعنى قال لنا، إذ حدّث بمعنى قال، و نا بمعنى لنا، فقوله حدثنا فلان حدثنا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فلان قال لنا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وقع حينئذ للمناقشة فيما ذكره شهاب الدين</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 لكن لا نعرف لقب له بعنوان شهاب الدين،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الأصل هو الفصل بين كلامي المتكلمين للتمييز بينهما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حيث لم يفصّل فهو مضمر، و الإضمار خلاف الأصل فإن فيها أنه لا اضمار بعد التوجيه المذكور</w:t>
      </w:r>
      <w:r>
        <w:rPr>
          <w:rFonts w:eastAsia="Amiri" w:cs="Amiri" w:ascii="Amiri" w:hAnsi="Amiri"/>
          <w:color w:val="111111"/>
          <w:sz w:val="28"/>
          <w:szCs w:val="28"/>
          <w:rtl w:val="true"/>
          <w:lang w:bidi="ar-SA"/>
        </w:rPr>
        <w:t>.</w:t>
      </w:r>
    </w:p>
    <w:p>
      <w:pPr>
        <w:pStyle w:val="Heading4"/>
        <w:numPr>
          <w:ilvl w:val="3"/>
          <w:numId w:val="1"/>
        </w:numPr>
        <w:rPr/>
      </w:pPr>
      <w:bookmarkStart w:id="478" w:name="__RefHeading___Toc403589_2142443653"/>
      <w:bookmarkStart w:id="479" w:name="_Toc179"/>
      <w:bookmarkEnd w:id="478"/>
      <w:r>
        <w:rPr>
          <w:rtl w:val="true"/>
        </w:rPr>
        <w:t>المطلب العاشر</w:t>
      </w:r>
      <w:r>
        <w:rPr>
          <w:rtl w:val="true"/>
        </w:rPr>
        <w:t xml:space="preserve">: </w:t>
      </w:r>
      <w:r>
        <w:rPr>
          <w:rtl w:val="true"/>
        </w:rPr>
        <w:t>ما اشتمل من النسخ و الابواب على احاديث متعدده باسناد واحد</w:t>
      </w:r>
      <w:bookmarkEnd w:id="47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اشتمل من النسخ و الأبواب و نحوها على أحاديث </w:t>
      </w:r>
    </w:p>
    <w:p>
      <w:pPr>
        <w:pStyle w:val="BookText"/>
        <w:rPr/>
      </w:pPr>
      <w:r>
        <w:rPr>
          <w:rFonts w:ascii="Amiri" w:hAnsi="Amiri" w:eastAsia="Amiri" w:cs="Amiri"/>
          <w:color w:val="111111"/>
          <w:sz w:val="28"/>
          <w:sz w:val="28"/>
          <w:szCs w:val="28"/>
          <w:rtl w:val="true"/>
          <w:lang w:bidi="ar-SA"/>
        </w:rPr>
        <w:t>متعددة باسناد واحد، فإن شاء ذكر الإسناد في كل حديث، و إن شاء ذكره عند أول حديث منها، أو في كل مجلس من مجالس سماعها، و يقول بعد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بالإسناد، أو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بالإسناد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أحوط</w:t>
      </w:r>
      <w:r>
        <w:rPr>
          <w:rStyle w:val="FootnoteAnchor"/>
          <w:rtl w:val="true"/>
        </w:rPr>
        <w:footnoteReference w:id="757"/>
      </w:r>
      <w:r>
        <w:rPr>
          <w:rFonts w:ascii="Amiri" w:hAnsi="Amiri" w:eastAsia="Amiri" w:cs="Amiri"/>
          <w:color w:val="111111"/>
          <w:sz w:val="28"/>
          <w:sz w:val="28"/>
          <w:szCs w:val="28"/>
          <w:rtl w:val="true"/>
          <w:lang w:bidi="ar-SA"/>
        </w:rPr>
        <w:t>، إلا أنه لطوله كان الأغلب الأكثر في الاستعمال الثاني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سمع هكذا فأراد تفريق تلك الأحاديث و رواية كل حديث منها بالإسناد المذكور في أولها جاز له ذلك عند الأكثر</w:t>
      </w:r>
      <w:r>
        <w:rPr>
          <w:rStyle w:val="FootnoteAnchor"/>
          <w:rtl w:val="true"/>
        </w:rPr>
        <w:footnoteReference w:id="758"/>
      </w:r>
      <w:r>
        <w:rPr>
          <w:rFonts w:ascii="Amiri" w:hAnsi="Amiri" w:eastAsia="Amiri" w:cs="Amiri"/>
          <w:color w:val="111111"/>
          <w:sz w:val="28"/>
          <w:sz w:val="28"/>
          <w:szCs w:val="28"/>
          <w:rtl w:val="true"/>
          <w:lang w:bidi="ar-SA"/>
        </w:rPr>
        <w:t>، لأن الجميع معطوف على الأول، فالإسناد في حكم المذكور في كل حديث، و هو بمثابة تقطيع المتن الواحد في الأبواب بإسناده المذكور في أوله</w:t>
      </w:r>
      <w:r>
        <w:rPr>
          <w:rStyle w:val="FootnoteAnchor"/>
          <w:rtl w:val="true"/>
        </w:rPr>
        <w:footnoteReference w:id="759"/>
      </w:r>
      <w:r>
        <w:rPr>
          <w:rFonts w:ascii="Amiri" w:hAnsi="Amiri" w:eastAsia="Amiri" w:cs="Amiri"/>
          <w:color w:val="111111"/>
          <w:sz w:val="28"/>
          <w:sz w:val="28"/>
          <w:szCs w:val="28"/>
          <w:rtl w:val="true"/>
          <w:lang w:bidi="ar-SA"/>
        </w:rPr>
        <w:t xml:space="preserve">، و لكن المحكي عن أبي </w:t>
      </w:r>
      <w:bookmarkStart w:id="480" w:name="pg15042_155033"/>
    </w:p>
    <w:p>
      <w:pPr>
        <w:pStyle w:val="BookText"/>
        <w:rPr/>
      </w:pPr>
      <w:bookmarkEnd w:id="480"/>
      <w:r>
        <w:rPr>
          <w:rFonts w:ascii="Amiri" w:hAnsi="Amiri" w:eastAsia="Amiri" w:cs="Amiri"/>
          <w:color w:val="111111"/>
          <w:sz w:val="28"/>
          <w:sz w:val="28"/>
          <w:szCs w:val="28"/>
          <w:rtl w:val="true"/>
          <w:lang w:bidi="ar-SA"/>
        </w:rPr>
        <w:t>إسحاق الأسفرايني</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268/3</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و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من ذلك إلا مبينا للحال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نظرا إلى أن ذلك من دون بيان الحال تدليس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إعادة بعض المحدثين الإسناد في آخر الكتاب أو الجزء فلا يرفع هذا الخلاف الذي يمنع إفراد كل حديث بذلك الإسناد عند روايتها، لكونه لا يقع متصلا بواحد منها، إلا أنه تفيد احتياطا و يتضمن اجازة بالغة من أعلى أنواعها، و يفيد سماعه لمن لم يسمعه أولا</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403591_2142443653"/>
      <w:bookmarkStart w:id="482" w:name="_Toc180"/>
      <w:bookmarkEnd w:id="481"/>
      <w:r>
        <w:rPr>
          <w:rtl w:val="true"/>
        </w:rPr>
        <w:t>المطلب الحادي عشر</w:t>
      </w:r>
      <w:r>
        <w:rPr>
          <w:rtl w:val="true"/>
        </w:rPr>
        <w:t xml:space="preserve">: </w:t>
      </w:r>
      <w:r>
        <w:rPr>
          <w:rtl w:val="true"/>
        </w:rPr>
        <w:t>من قدم المتن على الاسناد</w:t>
      </w:r>
      <w:bookmarkEnd w:id="482"/>
    </w:p>
    <w:p>
      <w:pPr>
        <w:pStyle w:val="Heading5"/>
        <w:numPr>
          <w:ilvl w:val="4"/>
          <w:numId w:val="1"/>
        </w:numPr>
        <w:rPr/>
      </w:pPr>
      <w:bookmarkStart w:id="483" w:name="__RefHeading___Toc403593_2142443653"/>
      <w:bookmarkStart w:id="484" w:name="_Toc181"/>
      <w:bookmarkEnd w:id="483"/>
      <w:r>
        <w:rPr>
          <w:rtl w:val="true"/>
        </w:rPr>
        <w:t>اشارة</w:t>
      </w:r>
      <w:bookmarkEnd w:id="48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إذا قدم الراوي المتن على الإسناد</w:t>
      </w:r>
      <w:r>
        <w:rPr>
          <w:rStyle w:val="FootnoteAnchor"/>
          <w:rtl w:val="true"/>
        </w:rPr>
        <w:footnoteReference w:id="761"/>
      </w:r>
      <w:r>
        <w:rPr>
          <w:rFonts w:ascii="Amiri" w:hAnsi="Amiri" w:eastAsia="Amiri" w:cs="Amiri"/>
          <w:color w:val="111111"/>
          <w:sz w:val="28"/>
          <w:sz w:val="28"/>
          <w:szCs w:val="28"/>
          <w:rtl w:val="true"/>
          <w:lang w:bidi="ar-SA"/>
        </w:rPr>
        <w:t xml:space="preserve">كقال رسول اللّه </w:t>
      </w:r>
      <w:bookmarkStart w:id="485" w:name="pg15042_155034"/>
    </w:p>
    <w:p>
      <w:pPr>
        <w:pStyle w:val="BookText"/>
        <w:rPr/>
      </w:pPr>
      <w:bookmarkEnd w:id="4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الإسناد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فلان عن فلان، أو يذكر آخر الإسناد ثم المتن ثم ما قبل ذلك من الإسناد،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رواه علي بن إبراهيم عن أبيه عن ابن أبي عمير عن حماد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 كان متصلا، فإذا أراد من سمعه هكذا تقديم جميع الأسناد بأن يبدأ به أولا ثم يذكر المتن فالأظهر جواز ذلك إذا لم يتغير المعنى، وفاقا لجمع من أهل الحديث</w:t>
      </w:r>
      <w:r>
        <w:rPr>
          <w:rStyle w:val="FootnoteAnchor"/>
          <w:rtl w:val="true"/>
        </w:rPr>
        <w:footnoteReference w:id="762"/>
      </w:r>
      <w:r>
        <w:rPr>
          <w:rFonts w:ascii="Amiri" w:hAnsi="Amiri" w:eastAsia="Amiri" w:cs="Amiri"/>
          <w:color w:val="111111"/>
          <w:sz w:val="28"/>
          <w:sz w:val="28"/>
          <w:szCs w:val="28"/>
          <w:rtl w:val="true"/>
          <w:lang w:bidi="ar-SA"/>
        </w:rPr>
        <w:t>، و حكي عن بعضهم المنع منه بناء على المنع من نقل الحديث بالمعنى</w:t>
      </w:r>
      <w:r>
        <w:rPr>
          <w:rStyle w:val="FootnoteAnchor"/>
          <w:rtl w:val="true"/>
        </w:rPr>
        <w:footnoteReference w:id="763"/>
      </w:r>
      <w:r>
        <w:rPr>
          <w:rFonts w:ascii="Amiri" w:hAnsi="Amiri" w:eastAsia="Amiri" w:cs="Amiri"/>
          <w:color w:val="111111"/>
          <w:sz w:val="28"/>
          <w:sz w:val="28"/>
          <w:szCs w:val="28"/>
          <w:rtl w:val="true"/>
          <w:lang w:bidi="ar-SA"/>
        </w:rPr>
        <w:t>، و هو كما ترى، بل مقتضى القاعدة جوازه حتى على القول بعدم جواز نقل الحديث بالمعنى، فإن تقديم بعض السند أو كله لا ربط له بالنقل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403595_2142443653"/>
      <w:bookmarkStart w:id="487" w:name="_Toc182"/>
      <w:bookmarkEnd w:id="486"/>
      <w:r>
        <w:rPr>
          <w:rtl w:val="true"/>
        </w:rPr>
        <w:t>من روى حديثا باسناد له ثم اتبعه باسناد آخر و حذف متنه</w:t>
      </w:r>
      <w:bookmarkEnd w:id="48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روى الشيخ حديثا بإسناد له ثم اتبعه بإسناد آخر و حذف متنه احالة على المتن الأول، و قال في آخر السند الثاني </w:t>
      </w:r>
    </w:p>
    <w:p>
      <w:pPr>
        <w:pStyle w:val="BookText"/>
        <w:rPr/>
      </w:pPr>
      <w:r>
        <w:rPr>
          <w:rFonts w:ascii="Amiri" w:hAnsi="Amiri" w:eastAsia="Amiri" w:cs="Amiri"/>
          <w:color w:val="111111"/>
          <w:sz w:val="28"/>
          <w:sz w:val="28"/>
          <w:szCs w:val="28"/>
          <w:rtl w:val="true"/>
          <w:lang w:bidi="ar-SA"/>
        </w:rPr>
        <w:t>مثله، فأراد السامع لذلك منه رواية المتن المذكور بعد الإسناد الأول بالإسناد الثاني فقط، فعن جمع منهم شعبة المنع منه لاحتمال أن يكون الثاني مماثلا للأول في المعنى و مغايرا له في اللفظ</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سفيان الثوري</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انظر ترجمته في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عدّة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تجويز ذلك إذا كان الراوي متحفظا ضابطا مميزا بين الألفاظ، و لم يكن الثاني مغايرا للأول في اللفظ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و قد كان جماعة من العلماء إذا روى أحدهم مثل هذا يورد الإسناد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حديث قبله متنه كذا و كذا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يسوقه، و أما لو كان بدل مثله نحوه فالحال فيه هي الحال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بعضهم</w:t>
      </w:r>
      <w:r>
        <w:rPr>
          <w:rStyle w:val="FootnoteAnchor"/>
          <w:rtl w:val="true"/>
        </w:rPr>
        <w:footnoteReference w:id="767"/>
      </w:r>
      <w:r>
        <w:rPr>
          <w:rFonts w:ascii="Amiri" w:hAnsi="Amiri" w:eastAsia="Amiri" w:cs="Amiri"/>
          <w:color w:val="111111"/>
          <w:sz w:val="28"/>
          <w:sz w:val="28"/>
          <w:szCs w:val="28"/>
          <w:rtl w:val="true"/>
          <w:lang w:bidi="ar-SA"/>
        </w:rPr>
        <w:t xml:space="preserve">بينهما بأن مثله لا يطلق إلا إذا اتفقا </w:t>
      </w:r>
      <w:bookmarkStart w:id="488" w:name="pg15042_155036"/>
    </w:p>
    <w:p>
      <w:pPr>
        <w:pStyle w:val="BookText"/>
        <w:rPr/>
      </w:pPr>
      <w:bookmarkEnd w:id="488"/>
      <w:r>
        <w:rPr>
          <w:rFonts w:ascii="Amiri" w:hAnsi="Amiri" w:eastAsia="Amiri" w:cs="Amiri"/>
          <w:color w:val="111111"/>
          <w:sz w:val="28"/>
          <w:sz w:val="28"/>
          <w:szCs w:val="28"/>
          <w:rtl w:val="true"/>
          <w:lang w:bidi="ar-SA"/>
        </w:rPr>
        <w:t xml:space="preserve">لفظا و معنى، و أما نحوه، فيكفي في صحة اطلاقه الاتفاق معنى و إن اختلفا لفظا، و لعل من هذا الباب استعمال 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الوسائل لكلمة</w:t>
      </w:r>
      <w:r>
        <w:rPr>
          <w:rStyle w:val="FootnoteAnchor"/>
          <w:rtl w:val="true"/>
        </w:rPr>
        <w:footnoteReference w:id="768"/>
      </w:r>
      <w:r>
        <w:rPr>
          <w:rFonts w:ascii="IRNazanin" w:hAnsi="IRNazanin" w:eastAsia="IRNazanin"/>
          <w:color w:val="111111"/>
          <w:sz w:val="28"/>
          <w:sz w:val="28"/>
          <w:szCs w:val="28"/>
          <w:rtl w:val="true"/>
          <w:lang w:bidi="fa-IR"/>
        </w:rPr>
        <w:t>مثله و نحوه فراجع و تدبر</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قال والد الشيخ البهائي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للراوي أن يقدم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يورد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فإذا أراد النقل في أثناء المتن إلى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أو الخبر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أن يتعمد تغيير صورة المتن و الاختصار منه، و ابدال لفظ بمرادفه للعالم بمدلولات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بتحريم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9" w:name="__RefHeading___Toc403597_2142443653"/>
      <w:bookmarkStart w:id="490" w:name="_Toc183"/>
      <w:bookmarkEnd w:id="489"/>
      <w:r>
        <w:rPr>
          <w:rtl w:val="true"/>
        </w:rPr>
        <w:t>المطلب الثاني عشر</w:t>
      </w:r>
      <w:r>
        <w:rPr>
          <w:rtl w:val="true"/>
        </w:rPr>
        <w:t xml:space="preserve">: </w:t>
      </w:r>
      <w:r>
        <w:rPr>
          <w:rtl w:val="true"/>
        </w:rPr>
        <w:t>اذا ذكر حديثا بسنده و متنه ثم ذكر اسنادا آخر و بعض المتن</w:t>
      </w:r>
      <w:bookmarkEnd w:id="49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إذا ذكر المحدث حديثا بسنده و متنه ثم ذكر اسنادا آخر و بعض المتن، ثم قال بدل اتمامه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الحديث، أو ذكر الحديث بطوله أو قال بطوله أو الحديث أو الخبر و أضمر كلمة ذكر مشيرا بذلك كلّه إلى كون ذيله الذي تركه كذيل سابقه، فأراد السامع أو الواجد روايته عنه بكماله، ففي جواز رواية الحديث السابق كلّه بالإسناد الثاني القولان السابقان في </w:t>
      </w:r>
    </w:p>
    <w:p>
      <w:pPr>
        <w:pStyle w:val="BookText"/>
        <w:rPr/>
      </w:pPr>
      <w:r>
        <w:rPr>
          <w:rFonts w:ascii="Amiri" w:hAnsi="Amiri" w:eastAsia="Amiri" w:cs="Amiri"/>
          <w:color w:val="111111"/>
          <w:sz w:val="28"/>
          <w:sz w:val="28"/>
          <w:szCs w:val="28"/>
          <w:rtl w:val="true"/>
          <w:lang w:bidi="ar-SA"/>
        </w:rPr>
        <w:t>قوله مثله و نحوه، من حيث أن الحديث الثاني قد يغاير الأول في بعض الألفاظ و إن اتحد المعنى، و من أن الظاهر أنه هو بعينه</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الفائدة العاشرة من فوائد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الخطيب إلى الاستحباب في بيانه كما قاله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يستحب ذلك يستحب بيان ما فيه من دلالة لمزيد ضبط و اتقان، كتكرر سماعه للمروي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لا يخفى أن من منع في نحوه و مثله لزمه المنع هنا بطريق أولى، لأنه لم يصرح بالمماثلة، و من الممكن كون اللام في الحديث الثاني للعهد الذهني، و هو الحديث الذي لم يكمله و إنما اقتصر عليه لكونه بمعنى الأول، و الأحوط و الأولى أن يقتصر على ما ذكره الشيخ ثم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و هو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 تمامه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يسوقه بكماله، و عن ابن كثير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عماد الدين أبو الفداء إسماعيل بن عمر بن كثير البصروي الدمشقي الشافعي المعروف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مؤرخ، مفسر فقيه، له مختصر علوم الحديث، و التفسير، و البداية و النهاية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w:t>
      </w:r>
      <w:r>
        <w:rPr>
          <w:rFonts w:ascii="Amiri" w:hAnsi="Amiri" w:eastAsia="Amiri" w:cs="Amiri"/>
          <w:color w:val="111111"/>
          <w:sz w:val="28"/>
          <w:sz w:val="28"/>
          <w:szCs w:val="28"/>
          <w:rtl w:val="true"/>
          <w:lang w:bidi="ar-SA"/>
        </w:rPr>
        <w:t>، النجوم الزاهرة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123/11</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ضعيفا أن يكون ولده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التفصيل بأنه إن كان سمع الحديث المشار إليه قبل ذلك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في</w:t>
      </w:r>
      <w:bookmarkStart w:id="491" w:name="pg15042_155038"/>
    </w:p>
    <w:p>
      <w:pPr>
        <w:pStyle w:val="BookText"/>
        <w:rPr/>
      </w:pPr>
      <w:bookmarkEnd w:id="491"/>
      <w:r>
        <w:rPr>
          <w:rFonts w:ascii="Amiri" w:hAnsi="Amiri" w:eastAsia="Amiri" w:cs="Amiri"/>
          <w:color w:val="111111"/>
          <w:sz w:val="28"/>
          <w:sz w:val="28"/>
          <w:szCs w:val="28"/>
          <w:rtl w:val="true"/>
          <w:lang w:bidi="ar-SA"/>
        </w:rPr>
        <w:t>ذلك المجلس أو غيره جاز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بناء على الجواز فقد قيل أنه بطريق الإجازة القوية الأكيدة من جهات عديدة فيما لم يذكره الشيخ، فجاز لهذا مع كونه أوّله سماعا ادراج الباقي عليه، و لا يفتقر إلى إفراده بالإجازة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403599_2142443653"/>
      <w:bookmarkStart w:id="493" w:name="_Toc184"/>
      <w:bookmarkEnd w:id="492"/>
      <w:r>
        <w:rPr>
          <w:rtl w:val="true"/>
        </w:rPr>
        <w:t>المطلب الثالث عشر</w:t>
      </w:r>
      <w:r>
        <w:rPr>
          <w:rtl w:val="true"/>
        </w:rPr>
        <w:t xml:space="preserve">: </w:t>
      </w:r>
      <w:r>
        <w:rPr>
          <w:rtl w:val="true"/>
        </w:rPr>
        <w:t xml:space="preserve">اذا روى حديثا عن رسول اللّه </w:t>
      </w:r>
      <w:r>
        <w:rPr>
          <w:rtl w:val="true"/>
        </w:rPr>
        <w:t>(</w:t>
      </w:r>
      <w:r>
        <w:rPr>
          <w:rtl w:val="true"/>
        </w:rPr>
        <w:t>ص</w:t>
      </w:r>
      <w:r>
        <w:rPr>
          <w:rtl w:val="true"/>
        </w:rPr>
        <w:t xml:space="preserve">) </w:t>
      </w:r>
      <w:r>
        <w:rPr>
          <w:rtl w:val="true"/>
        </w:rPr>
        <w:t xml:space="preserve">حاز رواية المتحمل عن النبي </w:t>
      </w:r>
      <w:r>
        <w:rPr>
          <w:rtl w:val="true"/>
        </w:rPr>
        <w:t>(</w:t>
      </w:r>
      <w:r>
        <w:rPr>
          <w:rtl w:val="true"/>
        </w:rPr>
        <w:t>ص</w:t>
      </w:r>
      <w:r>
        <w:rPr>
          <w:rtl w:val="true"/>
        </w:rPr>
        <w:t xml:space="preserve">) </w:t>
      </w:r>
      <w:r>
        <w:rPr>
          <w:rtl w:val="true"/>
        </w:rPr>
        <w:t>و كذا العكس</w:t>
      </w:r>
      <w:bookmarkEnd w:id="493"/>
    </w:p>
    <w:p>
      <w:pPr>
        <w:pStyle w:val="BookText"/>
        <w:rPr/>
      </w:pPr>
      <w:r>
        <w:rPr>
          <w:rFonts w:ascii="Amiri" w:hAnsi="Amiri" w:eastAsia="Amiri" w:cs="Amiri"/>
          <w:color w:val="111111"/>
          <w:sz w:val="28"/>
          <w:sz w:val="28"/>
          <w:szCs w:val="28"/>
          <w:rtl w:val="true"/>
          <w:lang w:bidi="ar-SA"/>
        </w:rPr>
        <w:t xml:space="preserve">ان الشيخ إذا روى حديثه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جواز رواية المتحمل للحديث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العكس، فيجوز تبديل أحد التعبيرين بالآخر، و حكي عن بعض محدثي العامة المنع من ذلك</w:t>
      </w:r>
      <w:r>
        <w:rPr>
          <w:rStyle w:val="FootnoteAnchor"/>
          <w:rtl w:val="true"/>
        </w:rPr>
        <w:footnoteReference w:id="771"/>
      </w:r>
      <w:r>
        <w:rPr>
          <w:rFonts w:ascii="Amiri" w:hAnsi="Amiri" w:eastAsia="Amiri" w:cs="Amiri"/>
          <w:color w:val="111111"/>
          <w:sz w:val="28"/>
          <w:sz w:val="28"/>
          <w:szCs w:val="28"/>
          <w:rtl w:val="true"/>
          <w:lang w:bidi="ar-SA"/>
        </w:rPr>
        <w:t xml:space="preserve">، و إن جازت الرواية بالمعنى، لاختلاف معنى النبي و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الرسول من اوحي إليه للتبليغ، و النبي من اوحي إليه للعمل فقط</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اختلاف معناهما بحسب المادة لا يضر بعد عدم اختلاف المعنى المقصود بهما هنا، و هو الذات الشريفة المتشخصة في الخارج، فإن المقصود نسبة القول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حاصل فيهما، و من هنا ظهر سقوط ما فصّل به ثالث</w:t>
      </w:r>
      <w:r>
        <w:rPr>
          <w:rStyle w:val="FootnoteAnchor"/>
          <w:rtl w:val="true"/>
        </w:rPr>
        <w:footnoteReference w:id="772"/>
      </w:r>
      <w:r>
        <w:rPr>
          <w:rFonts w:ascii="Amiri" w:hAnsi="Amiri" w:eastAsia="Amiri" w:cs="Amiri"/>
          <w:color w:val="111111"/>
          <w:sz w:val="28"/>
          <w:sz w:val="28"/>
          <w:szCs w:val="28"/>
          <w:rtl w:val="true"/>
          <w:lang w:bidi="ar-SA"/>
        </w:rPr>
        <w:t xml:space="preserve">من جواز تغيير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494" w:name="pg15042_155039"/>
    </w:p>
    <w:p>
      <w:pPr>
        <w:pStyle w:val="BookText"/>
        <w:rPr/>
      </w:pPr>
      <w:bookmarkEnd w:id="494"/>
      <w:r>
        <w:rPr>
          <w:rFonts w:ascii="Amiri" w:hAnsi="Amiri" w:eastAsia="Amiri" w:cs="Amiri"/>
          <w:color w:val="111111"/>
          <w:sz w:val="28"/>
          <w:sz w:val="28"/>
          <w:szCs w:val="28"/>
          <w:rtl w:val="true"/>
          <w:lang w:bidi="ar-SA"/>
        </w:rPr>
        <w:t>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العكس، لأن في الرسول معنى زائدا على النبي</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نبيك الذي أرسلت، فاعاده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رسولك الذي أرسلت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نبيك الذي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كنوز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جملة 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و كتاب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الذكر و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الترمذي في كتاب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و النسائي في كتاب السهو باب </w:t>
      </w:r>
      <w:r>
        <w:rPr>
          <w:rFonts w:eastAsia="Amiri" w:cs="Amiri" w:ascii="Amiri" w:hAnsi="Amiri"/>
          <w:color w:val="111111"/>
          <w:sz w:val="28"/>
          <w:szCs w:val="28"/>
          <w:lang w:bidi="ar-SA"/>
        </w:rPr>
        <w:t>74/3:91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ماجة في كتاب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1274/2</w:t>
      </w:r>
      <w:r>
        <w:rPr>
          <w:rFonts w:ascii="Amiri" w:hAnsi="Amiri" w:eastAsia="Amiri" w:cs="Amiri"/>
          <w:color w:val="111111"/>
          <w:sz w:val="28"/>
          <w:sz w:val="28"/>
          <w:szCs w:val="28"/>
          <w:rtl w:val="true"/>
          <w:lang w:bidi="ar-SA"/>
        </w:rPr>
        <w:t>، الدارمي، كتاب الاستئذان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و أحمد بن حنبل في مسنده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موارد متعددة، و الموطأ 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بالإضافة إلى ما ذكره الشيخ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من باب أن الفاظ الذكر و الدعاء توقيفية على الأقوى، و قد يكون في اللفظ سر لا يحصل بغيره، و قد مرّ تفصيل ذلك في جواز نقل الحديث بالمعنى،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5" w:name="__RefHeading___Toc403601_2142443653"/>
      <w:bookmarkStart w:id="496" w:name="_Toc185"/>
      <w:bookmarkEnd w:id="495"/>
      <w:r>
        <w:rPr>
          <w:rtl w:val="true"/>
        </w:rPr>
        <w:t>المطلب الرابع عشر</w:t>
      </w:r>
      <w:r>
        <w:rPr>
          <w:rtl w:val="true"/>
        </w:rPr>
        <w:t xml:space="preserve">: </w:t>
      </w:r>
      <w:r>
        <w:rPr>
          <w:rtl w:val="true"/>
        </w:rPr>
        <w:t>من كان في سماعه وهن أو ضعف لزم بيانه</w:t>
      </w:r>
      <w:bookmarkEnd w:id="49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إذا كان في سماعه بعض الوهن و الضعف فعليه بيان</w:t>
      </w:r>
      <w:r>
        <w:rPr>
          <w:rStyle w:val="FootnoteAnchor"/>
          <w:rtl w:val="true"/>
        </w:rPr>
        <w:footnoteReference w:id="774"/>
      </w:r>
      <w:r>
        <w:rPr>
          <w:rFonts w:ascii="Amiri" w:hAnsi="Amiri" w:eastAsia="Amiri" w:cs="Amiri"/>
          <w:color w:val="111111"/>
          <w:sz w:val="28"/>
          <w:sz w:val="28"/>
          <w:szCs w:val="28"/>
          <w:rtl w:val="true"/>
          <w:lang w:bidi="ar-SA"/>
        </w:rPr>
        <w:t xml:space="preserve">حال الرواية، لأن في اغفاله نوعا من التدليس، و ذلك كأنّ </w:t>
      </w:r>
      <w:bookmarkStart w:id="497" w:name="pg15042_155040"/>
    </w:p>
    <w:p>
      <w:pPr>
        <w:pStyle w:val="BookText"/>
        <w:rPr/>
      </w:pPr>
      <w:bookmarkEnd w:id="497"/>
      <w:r>
        <w:rPr>
          <w:rFonts w:ascii="Amiri" w:hAnsi="Amiri" w:eastAsia="Amiri" w:cs="Amiri"/>
          <w:color w:val="111111"/>
          <w:sz w:val="28"/>
          <w:sz w:val="28"/>
          <w:szCs w:val="28"/>
          <w:rtl w:val="true"/>
          <w:lang w:bidi="ar-SA"/>
        </w:rPr>
        <w:t>يسمع من غير أصل أو يحدّث هو أو الشيخ وقت القراءة، أو يحصل نوم أو نسخ، أو يسمع بقراءة مصحّف أو لحّان و كان التسميع بخط من فيه نظر، و منه إذا حدثه من حفظه في المذاكرة لتساهلهم فيها، فليقل حينئذ حدثنا في المذاكرة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 بل منع جمع من أئمة الحديث</w:t>
      </w:r>
      <w:r>
        <w:rPr>
          <w:rStyle w:val="FootnoteAnchor"/>
          <w:rtl w:val="true"/>
        </w:rPr>
        <w:footnoteReference w:id="775"/>
      </w:r>
      <w:r>
        <w:rPr>
          <w:rFonts w:ascii="Amiri" w:hAnsi="Amiri" w:eastAsia="Amiri" w:cs="Amiri"/>
          <w:color w:val="111111"/>
          <w:sz w:val="28"/>
          <w:sz w:val="28"/>
          <w:szCs w:val="28"/>
          <w:rtl w:val="true"/>
          <w:lang w:bidi="ar-SA"/>
        </w:rPr>
        <w:t>التحمل حال المذاكرة للتساهل المعتاد حالها، و لأن الحفظ خوان</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403603_2142443653"/>
      <w:bookmarkStart w:id="499" w:name="_Toc186"/>
      <w:bookmarkEnd w:id="498"/>
      <w:r>
        <w:rPr>
          <w:rtl w:val="true"/>
        </w:rPr>
        <w:t>المطلب الخامس عشر</w:t>
      </w:r>
      <w:r>
        <w:rPr>
          <w:rtl w:val="true"/>
        </w:rPr>
        <w:t xml:space="preserve">: </w:t>
      </w:r>
      <w:r>
        <w:rPr>
          <w:rtl w:val="true"/>
        </w:rPr>
        <w:t>من تحمل حديثا عن رجلين أحدهما ثقة و الآخر مجروح</w:t>
      </w:r>
      <w:bookmarkEnd w:id="499"/>
    </w:p>
    <w:p>
      <w:pPr>
        <w:pStyle w:val="Heading5"/>
        <w:numPr>
          <w:ilvl w:val="4"/>
          <w:numId w:val="1"/>
        </w:numPr>
        <w:rPr/>
      </w:pPr>
      <w:bookmarkStart w:id="500" w:name="__RefHeading___Toc403605_2142443653"/>
      <w:bookmarkStart w:id="501" w:name="_Toc187"/>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إذا تحمل حديثا واحدا عن رجلين أحدهما ثقة و الآخر مجروح، فالأولى أن يذكر ما سمعه من كل منهما، لجواز أن يكون فيه شيء لأحدهما لم يذكره الآخر، و إن اقتصر على رواية الثقة لم يكن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حكي</w:t>
      </w:r>
      <w:r>
        <w:rPr>
          <w:rStyle w:val="FootnoteAnchor"/>
          <w:rtl w:val="true"/>
        </w:rPr>
        <w:footnoteReference w:id="776"/>
      </w:r>
      <w:r>
        <w:rPr>
          <w:rFonts w:ascii="Amiri" w:hAnsi="Amiri" w:eastAsia="Amiri" w:cs="Amiri"/>
          <w:color w:val="111111"/>
          <w:sz w:val="28"/>
          <w:sz w:val="28"/>
          <w:szCs w:val="28"/>
          <w:rtl w:val="true"/>
          <w:lang w:bidi="ar-SA"/>
        </w:rPr>
        <w:t>عن مسلم بن الحجاج أنه كان في مثل هذا يذكر الثقة و يسقط المجروح و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403607_2142443653"/>
      <w:bookmarkStart w:id="503" w:name="_Toc188"/>
      <w:bookmarkEnd w:id="502"/>
      <w:r>
        <w:rPr>
          <w:rtl w:val="true"/>
        </w:rPr>
        <w:t>من تحمل بعض حديثا عن شيخ و بعضه عن آخر لم يجز إن يرويه جميعا عن احدهما</w:t>
      </w:r>
      <w:bookmarkEnd w:id="50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سمع بعض حديث عن شيخ و بعضه عن شيخ آخر لم يجز له أن يروي جميعه عن أحدهما، بل يروي كلا من البعضين عن صاحبه، و لو روى الجملة عنهما مبينا أن بعضه </w:t>
      </w:r>
    </w:p>
    <w:p>
      <w:pPr>
        <w:pStyle w:val="BookText"/>
        <w:rPr/>
      </w:pPr>
      <w:r>
        <w:rPr>
          <w:rFonts w:ascii="Amiri" w:hAnsi="Amiri" w:eastAsia="Amiri" w:cs="Amiri"/>
          <w:color w:val="111111"/>
          <w:sz w:val="28"/>
          <w:sz w:val="28"/>
          <w:szCs w:val="28"/>
          <w:rtl w:val="true"/>
          <w:lang w:bidi="ar-SA"/>
        </w:rPr>
        <w:t>عن أحدهما و بعضه الآخر عن الآخر غير مميز لما سمعه من كل شيخ عن الآخر جاز، و صار الحديث لذلك مشاعا بينهما، حيث لم يبين مقدار ما روى منه عن كل منهما، فإذا كانا ثقتين فالأمر سهل، لأنه يعمل به على كل حال</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صحة المجروح فالظاهر عدم صحة الاقتصار عليه، لما قد ينشأ عنه تضعيف المتن و عدم الاحتجاج به للقاصر أو المشروح، مع ما فيه من الضرر و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إن كان أحدهما مجروحا لم يحتج بشيء منه، إذ ما من جزء منه إلا و يجوز أن يكون عن ذلك المجروح، حيث لم يبين مقدار ما رواه عن كل واحد منهما ليحتج بالخبر الذي رواه عن الثقة إن أمكن و يطرح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فيلزمه أن ينسب كل بعض إلى صاحبه حتى لا يسقط ما رواه عن الثقة عن الحجية بسبب الاشتباه بما رواه عن غير الثقة، و قد يتعطل لذلك حكم اللّه المتعال لانحصار طريق الحكم فيما رواه عن الثقة، كما لا يخفى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4" w:name="pg15042_155043"/>
      <w:bookmarkStart w:id="505" w:name="pg15042_155043"/>
      <w:bookmarkEnd w:id="505"/>
    </w:p>
    <w:p>
      <w:pPr>
        <w:pStyle w:val="Heading3"/>
        <w:numPr>
          <w:ilvl w:val="2"/>
          <w:numId w:val="1"/>
        </w:numPr>
        <w:rPr/>
      </w:pPr>
      <w:bookmarkStart w:id="506" w:name="pg15042_155043"/>
      <w:bookmarkStart w:id="507" w:name="__RefHeading___Toc403609_2142443653"/>
      <w:bookmarkStart w:id="508" w:name="_Toc189"/>
      <w:bookmarkEnd w:id="506"/>
      <w:bookmarkEnd w:id="507"/>
      <w:r>
        <w:rPr>
          <w:rtl w:val="true"/>
        </w:rPr>
        <w:t>المقام الخامس في آداب التحديث و المحدث و طالب الحديث</w:t>
      </w:r>
      <w:r>
        <w:rPr>
          <w:rtl w:val="true"/>
        </w:rPr>
        <w:t xml:space="preserve">: </w:t>
      </w:r>
      <w:r>
        <w:rPr>
          <w:rtl w:val="true"/>
        </w:rPr>
        <w:t>و فيه موضعان</w:t>
      </w:r>
      <w:r>
        <w:rPr>
          <w:rtl w:val="true"/>
        </w:rPr>
        <w:t>:</w:t>
      </w:r>
      <w:bookmarkEnd w:id="508"/>
    </w:p>
    <w:p>
      <w:pPr>
        <w:pStyle w:val="Heading4"/>
        <w:numPr>
          <w:ilvl w:val="3"/>
          <w:numId w:val="1"/>
        </w:numPr>
        <w:rPr/>
      </w:pPr>
      <w:bookmarkStart w:id="509" w:name="__RefHeading___Toc403611_2142443653"/>
      <w:bookmarkStart w:id="510" w:name="_Toc190"/>
      <w:bookmarkEnd w:id="509"/>
      <w:r>
        <w:rPr>
          <w:rtl w:val="true"/>
        </w:rPr>
        <w:t>اشارة</w:t>
      </w:r>
      <w:bookmarkEnd w:id="510"/>
    </w:p>
    <w:p>
      <w:pPr>
        <w:pStyle w:val="BookText"/>
        <w:rPr/>
      </w:pPr>
      <w:r>
        <w:rPr>
          <w:rFonts w:ascii="Amiri" w:hAnsi="Amiri" w:eastAsia="Amiri" w:cs="Amiri"/>
          <w:color w:val="111111"/>
          <w:sz w:val="28"/>
          <w:sz w:val="28"/>
          <w:szCs w:val="28"/>
          <w:rtl w:val="true"/>
          <w:lang w:bidi="ar-SA"/>
        </w:rPr>
        <w:t>فيما لم يسبق ذكره من آداب التحديث و المحدث و طالب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موضعان</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03613_2142443653"/>
      <w:bookmarkStart w:id="512" w:name="_Toc191"/>
      <w:bookmarkEnd w:id="511"/>
      <w:r>
        <w:rPr>
          <w:rtl w:val="true"/>
        </w:rPr>
        <w:t>الموضع الأول</w:t>
      </w:r>
      <w:r>
        <w:rPr>
          <w:rtl w:val="true"/>
        </w:rPr>
        <w:t xml:space="preserve">: </w:t>
      </w:r>
      <w:r>
        <w:rPr>
          <w:rtl w:val="true"/>
        </w:rPr>
        <w:t xml:space="preserve">في آداب التحديث و المحدث </w:t>
      </w:r>
      <w:r>
        <w:rPr>
          <w:rtl w:val="true"/>
        </w:rPr>
        <w:t>.</w:t>
      </w:r>
      <w:bookmarkEnd w:id="512"/>
    </w:p>
    <w:p>
      <w:pPr>
        <w:pStyle w:val="Heading5"/>
        <w:numPr>
          <w:ilvl w:val="4"/>
          <w:numId w:val="1"/>
        </w:numPr>
        <w:rPr/>
      </w:pPr>
      <w:bookmarkStart w:id="513" w:name="__RefHeading___Toc403615_2142443653"/>
      <w:bookmarkStart w:id="514" w:name="_Toc192"/>
      <w:bookmarkEnd w:id="513"/>
      <w:r>
        <w:rPr>
          <w:rtl w:val="true"/>
        </w:rPr>
        <w:t>اشارة</w:t>
      </w:r>
      <w:bookmarkEnd w:id="514"/>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التحديث و المحدث</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515" w:name="pg15042_155044"/>
    </w:p>
    <w:p>
      <w:pPr>
        <w:pStyle w:val="BookText"/>
        <w:rPr/>
      </w:pPr>
      <w:bookmarkEnd w:id="515"/>
      <w:r>
        <w:rPr>
          <w:rFonts w:ascii="Amiri" w:hAnsi="Amiri" w:eastAsia="Amiri" w:cs="Amiri"/>
          <w:color w:val="111111"/>
          <w:sz w:val="28"/>
          <w:sz w:val="28"/>
          <w:szCs w:val="28"/>
          <w:rtl w:val="true"/>
          <w:lang w:bidi="ar-SA"/>
        </w:rPr>
        <w:t>و هي امور</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403617_2142443653"/>
      <w:bookmarkStart w:id="517" w:name="_Toc193"/>
      <w:bookmarkEnd w:id="516"/>
      <w:r>
        <w:rPr>
          <w:rtl w:val="true"/>
        </w:rPr>
        <w:t>منها</w:t>
      </w:r>
      <w:r>
        <w:rPr>
          <w:rtl w:val="true"/>
        </w:rPr>
        <w:t xml:space="preserve">: </w:t>
      </w:r>
      <w:r>
        <w:rPr>
          <w:rtl w:val="true"/>
        </w:rPr>
        <w:t>التطهير لمجلس الحديث</w:t>
      </w:r>
      <w:bookmarkEnd w:id="517"/>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يتطهر المحدّث إذا أراد حضور مجلس التحديث و يتطيب و يتبخر و يستاك</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هذه الشروط أخلاقية، و بعضها الزامي، و لم نفهم وجه الباقي،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عمدة الشروط تصحيح النية و تطهير القلب من أعراض الدنيا و أدناسها لما فيه من خيلاء في القلب، و ليكن غايته و همّه نشر الحديث و التبليغ عن بيت العصمة 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سنوافيك به في كلمات شيخنا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الشروط في المحدّث و المحدّث و قد غفل مولانا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الشروط و لعله أهملها لوضوحها أو كونها شرطا في كل عبادة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يسرح لحيته للتأكيد فيها</w:t>
      </w:r>
      <w:bookmarkStart w:id="518" w:name="pg15042_155045"/>
    </w:p>
    <w:p>
      <w:pPr>
        <w:pStyle w:val="BookText"/>
        <w:rPr/>
      </w:pPr>
      <w:bookmarkEnd w:id="518"/>
      <w:r>
        <w:rPr>
          <w:rFonts w:ascii="Amiri" w:hAnsi="Amiri" w:eastAsia="Amiri" w:cs="Amiri"/>
          <w:color w:val="111111"/>
          <w:sz w:val="28"/>
          <w:sz w:val="28"/>
          <w:szCs w:val="28"/>
          <w:rtl w:val="true"/>
          <w:lang w:bidi="ar-SA"/>
        </w:rPr>
        <w:t>عند العبادات التي منها التحديث و التحدث، و يجلس المحدّث في صدر مجلسه متمكنا في جلوسه بوقار و هيبة</w:t>
      </w:r>
      <w:r>
        <w:rPr>
          <w:rStyle w:val="FootnoteAnchor"/>
          <w:rtl w:val="true"/>
        </w:rPr>
        <w:footnoteReference w:id="780"/>
      </w:r>
      <w:r>
        <w:rPr>
          <w:rFonts w:ascii="Amiri" w:hAnsi="Amiri" w:eastAsia="Amiri" w:cs="Amiri"/>
          <w:color w:val="111111"/>
          <w:sz w:val="28"/>
          <w:sz w:val="28"/>
          <w:szCs w:val="28"/>
          <w:rtl w:val="true"/>
          <w:lang w:bidi="ar-SA"/>
        </w:rPr>
        <w:t>و لا يحدث محدثا و لا مضطجعا لأنه خلاف الأدب، و لا يقوم في أثناء التحديث لأحد،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قام القارئ لحديث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 فإنه يكتب عليه بخطيئة</w:t>
      </w:r>
      <w:r>
        <w:rPr>
          <w:rStyle w:val="FootnoteAnchor"/>
          <w:rtl w:val="true"/>
        </w:rPr>
        <w:footnoteReference w:id="781"/>
      </w:r>
      <w:r>
        <w:rPr>
          <w:rFonts w:ascii="Amiri" w:hAnsi="Amiri" w:eastAsia="Amiri" w:cs="Amiri"/>
          <w:color w:val="111111"/>
          <w:sz w:val="28"/>
          <w:sz w:val="28"/>
          <w:szCs w:val="28"/>
          <w:rtl w:val="true"/>
          <w:lang w:bidi="ar-SA"/>
        </w:rPr>
        <w:t>، و إن رفع أحد صوته في المجلس زجره و انتهره،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تَرْفَعُوا أَصْواتَكُمْ فَوْقَ صَوْتِ اَلنَّبِيِّ </w:t>
      </w:r>
      <w:r>
        <w:rPr>
          <w:rStyle w:val="FootnoteAnchor"/>
          <w:rtl w:val="true"/>
        </w:rPr>
        <w:footnoteReference w:id="782"/>
      </w:r>
      <w:r>
        <w:rPr>
          <w:rFonts w:ascii="Amiri" w:hAnsi="Amiri" w:eastAsia="Amiri" w:cs="Amiri"/>
          <w:color w:val="111111"/>
          <w:sz w:val="28"/>
          <w:sz w:val="28"/>
          <w:szCs w:val="28"/>
          <w:rtl w:val="true"/>
          <w:lang w:bidi="ar-SA"/>
        </w:rPr>
        <w:t xml:space="preserve">، فمن رفع صوته عند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رفع صوته فوق صوته، و أن يقبل على الحاضرين كلهم، و يفتتح مجلسه بالبسملة و حمد اللّه تعالى و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دعاء يليق بالحال بعد قراءة قارئ حسن الصوت شيئا من القرآن، و أن لا يسرد الحديث سردا عجلا يمنع فهم بعضه</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403619_2142443653"/>
      <w:bookmarkStart w:id="520" w:name="_Toc194"/>
      <w:bookmarkEnd w:id="519"/>
      <w:r>
        <w:rPr>
          <w:rtl w:val="true"/>
        </w:rPr>
        <w:t>منها</w:t>
      </w:r>
      <w:r>
        <w:rPr>
          <w:rtl w:val="true"/>
        </w:rPr>
        <w:t xml:space="preserve">: </w:t>
      </w:r>
      <w:r>
        <w:rPr>
          <w:rtl w:val="true"/>
        </w:rPr>
        <w:t>ان لا يتحدث بحضرة من هو اولى منه</w:t>
      </w:r>
      <w:bookmarkEnd w:id="52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يحدّث بحضرة من هو أولى منه لسنه أو </w:t>
      </w:r>
      <w:bookmarkStart w:id="521" w:name="pg15042_155046"/>
    </w:p>
    <w:p>
      <w:pPr>
        <w:pStyle w:val="BookText"/>
        <w:rPr/>
      </w:pPr>
      <w:bookmarkEnd w:id="521"/>
      <w:r>
        <w:rPr>
          <w:rFonts w:ascii="Amiri" w:hAnsi="Amiri" w:eastAsia="Amiri" w:cs="Amiri"/>
          <w:color w:val="111111"/>
          <w:sz w:val="28"/>
          <w:sz w:val="28"/>
          <w:szCs w:val="28"/>
          <w:rtl w:val="true"/>
          <w:lang w:bidi="ar-SA"/>
        </w:rPr>
        <w:t>علمه أو كونه أعلى سندا أو سماعه متصلا، بل كره بعضهم</w:t>
      </w:r>
      <w:r>
        <w:rPr>
          <w:rStyle w:val="FootnoteAnchor"/>
          <w:rtl w:val="true"/>
        </w:rPr>
        <w:footnoteReference w:id="784"/>
      </w:r>
      <w:r>
        <w:rPr>
          <w:rFonts w:ascii="Amiri" w:hAnsi="Amiri" w:eastAsia="Amiri" w:cs="Amiri"/>
          <w:color w:val="111111"/>
          <w:sz w:val="28"/>
          <w:sz w:val="28"/>
          <w:szCs w:val="28"/>
          <w:rtl w:val="true"/>
          <w:lang w:bidi="ar-SA"/>
        </w:rPr>
        <w:t>التحديث في بلد فيه أولى منه، و إن كان هو كما ترى</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403621_2142443653"/>
      <w:bookmarkStart w:id="523" w:name="_Toc195"/>
      <w:bookmarkEnd w:id="522"/>
      <w:r>
        <w:rPr>
          <w:rtl w:val="true"/>
        </w:rPr>
        <w:t>منها</w:t>
      </w:r>
      <w:r>
        <w:rPr>
          <w:rtl w:val="true"/>
        </w:rPr>
        <w:t xml:space="preserve">: </w:t>
      </w:r>
      <w:r>
        <w:rPr>
          <w:rtl w:val="true"/>
        </w:rPr>
        <w:t>أنه إذا طلب منه ما يعلمه عند ارجح منه أن يرشد إليه</w:t>
      </w:r>
      <w:bookmarkEnd w:id="523"/>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طلب منه ما يعلمه عند ارجح منه أن يرشد إليه، فإن الدين النصيحة</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403623_2142443653"/>
      <w:bookmarkStart w:id="525" w:name="_Toc196"/>
      <w:bookmarkEnd w:id="524"/>
      <w:r>
        <w:rPr>
          <w:rtl w:val="true"/>
        </w:rPr>
        <w:t>منها</w:t>
      </w:r>
      <w:r>
        <w:rPr>
          <w:rtl w:val="true"/>
        </w:rPr>
        <w:t xml:space="preserve">: </w:t>
      </w:r>
      <w:r>
        <w:rPr>
          <w:rtl w:val="true"/>
        </w:rPr>
        <w:t>ان لا يمتنع من تحديث أحد</w:t>
      </w:r>
      <w:bookmarkEnd w:id="525"/>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يمتنع من تحديث أحد لكونه غير صحيح النية، فإنه يرجى له صحتها بعد ذلك، فقد ورد الأمر بطلب العلم و لو لغير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يدعو إلى اللّه تعالى</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403625_2142443653"/>
      <w:bookmarkStart w:id="527" w:name="_Toc197"/>
      <w:bookmarkEnd w:id="526"/>
      <w:r>
        <w:rPr>
          <w:rtl w:val="true"/>
        </w:rPr>
        <w:t>منها</w:t>
      </w:r>
      <w:r>
        <w:rPr>
          <w:rtl w:val="true"/>
        </w:rPr>
        <w:t xml:space="preserve">: </w:t>
      </w:r>
      <w:r>
        <w:rPr>
          <w:rtl w:val="true"/>
        </w:rPr>
        <w:t>الحرص على نشر الحديث</w:t>
      </w:r>
      <w:bookmarkEnd w:id="527"/>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نشر الحديث مبتغيا جزيل أجره، فقد وردت أوامر أكيدة بنشره و اشاعته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403627_2142443653"/>
      <w:bookmarkStart w:id="529" w:name="_Toc198"/>
      <w:bookmarkEnd w:id="528"/>
      <w:r>
        <w:rPr>
          <w:rtl w:val="true"/>
        </w:rPr>
        <w:t>منها</w:t>
      </w:r>
      <w:r>
        <w:rPr>
          <w:rtl w:val="true"/>
        </w:rPr>
        <w:t xml:space="preserve">: </w:t>
      </w:r>
      <w:r>
        <w:rPr>
          <w:rtl w:val="true"/>
        </w:rPr>
        <w:t>عقد مجلس الاملاء</w:t>
      </w:r>
      <w:bookmarkEnd w:id="52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يعقد المحدث العارف مجلسا لإملاء الحديث، فإنه أعلى مراتب الرواية، و السماع فيه أحسن وجوه التحمل و أقواها، و يتخذ مستمليا محصلا متيقظا يبلغ عنه إذا كثر </w:t>
      </w:r>
      <w:bookmarkStart w:id="530" w:name="pg15042_155047"/>
    </w:p>
    <w:p>
      <w:pPr>
        <w:pStyle w:val="BookText"/>
        <w:rPr/>
      </w:pPr>
      <w:bookmarkEnd w:id="530"/>
      <w:r>
        <w:rPr>
          <w:rFonts w:ascii="Amiri" w:hAnsi="Amiri" w:eastAsia="Amiri" w:cs="Amiri"/>
          <w:color w:val="111111"/>
          <w:sz w:val="28"/>
          <w:sz w:val="28"/>
          <w:szCs w:val="28"/>
          <w:rtl w:val="true"/>
          <w:lang w:bidi="ar-SA"/>
        </w:rPr>
        <w:t>الجمع، و إن كثر الجمع بحيث لا يكفي مستملي واحد اتخذ مستمليين فأكثر</w:t>
      </w:r>
      <w:r>
        <w:rPr>
          <w:rStyle w:val="FootnoteAnchor"/>
          <w:rtl w:val="true"/>
        </w:rPr>
        <w:footnoteReference w:id="788"/>
      </w:r>
      <w:r>
        <w:rPr>
          <w:rFonts w:ascii="Amiri" w:hAnsi="Amiri" w:eastAsia="Amiri" w:cs="Amiri"/>
          <w:color w:val="111111"/>
          <w:sz w:val="28"/>
          <w:sz w:val="28"/>
          <w:szCs w:val="28"/>
          <w:rtl w:val="true"/>
          <w:lang w:bidi="ar-SA"/>
        </w:rPr>
        <w:t>، و يستملي مرتفعا على كرسي و نحوه، و إلا فقائما على قدميه ليكون أبلغ للسامعين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المستملي تبليغ لفظ المملى و اداؤه على وجهه من غير تغيير، و فائدة المستملي تفهيم السامع لفظ المملي على بعد ليتحققه بصوته، و أما من لم يسمع إلا المبلّغ فلا يروي عن المملي إلا أن يبيّن الحال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يستنصت المستملي أهل المجلس حيث احتيج إلى الاستنصات، و أن يدعو للشيخ المملي إذا أراد استفسار شيء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أو رضي عنك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 w:name="__RefHeading___Toc403629_2142443653"/>
      <w:bookmarkStart w:id="532" w:name="_Toc199"/>
      <w:bookmarkEnd w:id="531"/>
      <w:r>
        <w:rPr>
          <w:rtl w:val="true"/>
        </w:rPr>
        <w:t>منها</w:t>
      </w:r>
      <w:r>
        <w:rPr>
          <w:rtl w:val="true"/>
        </w:rPr>
        <w:t xml:space="preserve">: </w:t>
      </w:r>
      <w:r>
        <w:rPr>
          <w:rtl w:val="true"/>
        </w:rPr>
        <w:t>غير ذلك</w:t>
      </w:r>
      <w:bookmarkEnd w:id="532"/>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يترك المحدث عند ذكر اللّه تعظيمه و لا عند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عليهم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يحسن المحدث الثناء على شيخه حال الرواية عنه بما هو أهله، و يعتني بالدعاء له، و يجمع في الشيخ بين اسمه و كنيته، لأنه أبلغ في اعظامه، و لا بأس بذكر من يروي عنه بلقب أو وصف أو حرفة أو أمّ عرف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تعريفه لا عيبه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المملي في املائه الرواية ذكر جميع شيوخه و لا يقتصر على شيخ واحد، مقدما أرجحهم بعلو سنده و غيره، و لا يروي إلا عن ثقاة من شيوخه دون كذاب أو فاسق أو مبتدع، و يروي عن كل شيخ حديثا واحدا في مجلس، و يختار من الأحاديث ما علا سنده و قصر متنه و كان في الفقه أو 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يتحرى المستفاد من الحديث الذي يرويه و ينبّه على صحته أو حسنه أو ضعفه أو علته إن كان معلولا، و على ما فيه من علو في الإسناد و فائدة في الحديث أو السند كتقديم تاريخ سماعه و انفراده عن شيخه، و كونه لا يوجد إلا عنده، و ضبط مشكّل في الأسماء أو غريب أو معنى غامض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يجتنب من الأحاديث ما لا يحتمله عقول السامعين و ما لا يفهمونه</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و جاء الحديث بمضامين مختلفة، لاحظ الخصال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المجلد الرابع منه أبواب صلاة الجماعة باب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نزّل المحدث 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نص عليه كل من تعرض للآداب كالعراقي في ألفيته و شارحها في فتحه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و استدل له بقول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حدّثوا الناس بما يعرفون و دعوا ما ينكرون، أ تحبون أن يكذّب اللّه و رسوله؟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كأحاديث الصفات لما لا يؤمن</w:t>
      </w:r>
    </w:p>
    <w:p>
      <w:pPr>
        <w:pStyle w:val="BookText"/>
        <w:rPr/>
      </w:pPr>
      <w:r>
        <w:rPr>
          <w:rFonts w:ascii="Amiri" w:hAnsi="Amiri" w:eastAsia="Amiri" w:cs="Amiri"/>
          <w:color w:val="111111"/>
          <w:sz w:val="28"/>
          <w:sz w:val="28"/>
          <w:szCs w:val="28"/>
          <w:rtl w:val="true"/>
          <w:lang w:bidi="ar-SA"/>
        </w:rPr>
        <w:t>عليهم من الخطأ و الوهم و الوقوع في التشبيه و التجسيم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الإملاء بحكايات و نوادر و انشادات بأسانيدها، و أولاها ما كان في الزهد و الأدب و مكارم الأخلاق</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رواه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حكاه في التدريب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روحوا القلوب و ابتغوا لها طرف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نقله في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قصر المحدث عن تخريج الإملاء لقصوره عن المعرفة بالحديث و علمه و اختلاف وجوهه أو اشتغل عن تخريج الإملاء استعان ببعض الحفاظ في تخريج الأحاديث التي يريد املاءها قبل يوم مجلسه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فرغ من الإملاء قابله و اتقنه لإصلاح ما فسد منه بزيغ القلم و طغيانه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الآداب</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5042_155051"/>
      <w:bookmarkStart w:id="534" w:name="pg15042_155051"/>
      <w:bookmarkEnd w:id="534"/>
    </w:p>
    <w:p>
      <w:pPr>
        <w:pStyle w:val="Heading4"/>
        <w:numPr>
          <w:ilvl w:val="3"/>
          <w:numId w:val="1"/>
        </w:numPr>
        <w:rPr/>
      </w:pPr>
      <w:bookmarkStart w:id="535" w:name="pg15042_155051"/>
      <w:bookmarkStart w:id="536" w:name="__RefHeading___Toc403631_2142443653"/>
      <w:bookmarkStart w:id="537" w:name="_Toc200"/>
      <w:bookmarkEnd w:id="535"/>
      <w:bookmarkEnd w:id="536"/>
      <w:r>
        <w:rPr>
          <w:rtl w:val="true"/>
        </w:rPr>
        <w:t>الموضع الثاني</w:t>
      </w:r>
      <w:r>
        <w:rPr>
          <w:rtl w:val="true"/>
        </w:rPr>
        <w:t xml:space="preserve">: </w:t>
      </w:r>
      <w:r>
        <w:rPr>
          <w:rtl w:val="true"/>
        </w:rPr>
        <w:t xml:space="preserve">في آداب طالب الحديث </w:t>
      </w:r>
      <w:r>
        <w:rPr>
          <w:rtl w:val="true"/>
        </w:rPr>
        <w:t>.</w:t>
      </w:r>
      <w:bookmarkEnd w:id="537"/>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طالب الحديث</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 أنت خبير بما في هذه الآداب من تسامح مبنا و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فصّلها غير واحد كما في المقدمة لابن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الثامن و العشرون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و شرح ألفية النووي للسخاوي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جملة مهمة من هذه الآداب حرية بكل مؤمن، و لازمة لكل متدين؛ فضلا عن طالب الحديث و سالكه، و هي شرط الإيمان قبل أن تكون لطالب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النية و الإخلاص للّه تعالى في طلبه، و الحذر من التوصل به إلى أغراض الدنيا، فقد روى مسندا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لم يكن له في الآخرة نصيب</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 بهذا المضمون رواية عامية راجع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و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و غيرهما، بل ان ملازمة التقوى و مكارم الأخلاق و التواضع و محاسن الشيم ضرورية لطالب الحديث و حامله، مع ما يلزمه من تطهير القلب من دنس المباهات و رجس الممارات كما مر قريبا، فقد 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ليباهي به العلماء أو يماري به السفهاء أو يصرف وجوه الناس إليه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العلامة المجلسي 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إبراهيم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ثلاثة فاعرفهم بأعيانهم و 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يطلبه للجهل و المراء، و صنف يطلبه للاستظهار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الختل، و صنف يطلبه للفقه و العقل، فصاحب الجهل و المراء مؤذ ممار متعرض للمقال في أندية الرجال بتذاكر العلم و صفة الحلم، قد تسربل بالخشوع و تخلى من الورع فدق اللّه من هذا خيشومه و قطع منه حيزومه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الاستطالة و الحيل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خب و ملق يستطيل على مثله من أشباهه، و يتواضع للأغنياء من دونه، فهو لحلوائهم هاضم و لدينه حاطم، فأعمى اللّه على هذا خبره، و قطع من العلماء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الفقه و العقل ذو كآبة و حزن و سهر، قد تحنك في برنسه، و قام الليل في حندسه، يعمل و يخشى و جلا داعيا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مشفقا مقبلا على شأنه عارفا بأهل زمانه، مستوحشا من أوثق اخوانه، فشد اللّه من هذا أركانه، و أعطاه يوم القيامة امانه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اجعلنا منهم و احشرنا معهم، آمين رب العالمين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تعالى التوفيق و التسديد لذلك، و التيسير و الإعانة عليه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الأخلاق الجميلة و الآداب الرضية </w:t>
      </w:r>
    </w:p>
    <w:p>
      <w:pPr>
        <w:pStyle w:val="BookText"/>
        <w:rPr/>
      </w:pPr>
      <w:r>
        <w:rPr>
          <w:rFonts w:ascii="Amiri" w:hAnsi="Amiri" w:eastAsia="Amiri" w:cs="Amiri"/>
          <w:color w:val="111111"/>
          <w:sz w:val="28"/>
          <w:sz w:val="28"/>
          <w:szCs w:val="28"/>
          <w:rtl w:val="true"/>
          <w:lang w:bidi="ar-SA"/>
        </w:rPr>
        <w:t>و يجتنب الأخلاق الردية الرذيلة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يفرغ جهده في تحصيله و يغتنم امكانه، و يجتنب الكسل و التملل و التثاقل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 بالسماع عن أرجح شيوخ بلده إسنادا و علما و تقوى و دينا و غيره إلى أن يفرغ منهم، و يبدأ بإفرادهم، و يأخذ من كل منهم ما تفرد به، فإذا فرغ من مهماتهم و سماع عواليهم فليرحل إلى سائر البلدان على عادة الحفاظ المبرزين و لا يرحل قبل ذلك، فإن المقصود بالرحلة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علو الإسناد و قدم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 الحفاظ و المذاكرة لهم و الاستفادة منهم</w:t>
      </w:r>
      <w:r>
        <w:rPr>
          <w:rStyle w:val="FootnoteAnchor"/>
          <w:rtl w:val="true"/>
        </w:rPr>
        <w:footnoteReference w:id="794"/>
      </w:r>
      <w:r>
        <w:rPr>
          <w:rFonts w:ascii="Amiri" w:hAnsi="Amiri" w:eastAsia="Amiri" w:cs="Amiri"/>
          <w:color w:val="111111"/>
          <w:sz w:val="28"/>
          <w:sz w:val="28"/>
          <w:szCs w:val="28"/>
          <w:rtl w:val="true"/>
          <w:lang w:bidi="ar-SA"/>
        </w:rPr>
        <w:t>، فإذا كان الأمران موجودين في بلده و معدومين في غيره فلا فائدة في الرحلة، أو موجودين في كل منهما فليحصّل حديث بلده ثم يرحل، و إذا عزم على الرحلة فلا يترك أحدا في بلده من الرواة إلا و يكتب عنه ما تيسر من الأحاديث،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 ورقة و لا تضيّع شيخا</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السالف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الرحلة في طلب الحديث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ما يسمعه من أحاديث العبادات و الآداب و فضائل الأعمال، فذلك زكاة الحديث و سبب حفظه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يعظّم شيخه و من يسمع منه</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 قد جاء من طرق العامة و الخاصة في تبجيل و توقير كبرائنا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الشيخ و المعلم الذي هو منزّل بمنزلة الوالد و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من اجلال العلم و أسباب الانتفاع به، و أن يتحرى رضاه و يحذر سخطه، و لا يطيل الكلام معه بحيث يضجره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قاله في منية المريد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و جاء بألفاظ متعددة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بل يقنع بما يحدثه به، فإن الإضجار يغيّر الأفهام، و يفسد الأخلاق، و يحيل</w:t>
      </w:r>
    </w:p>
    <w:p>
      <w:pPr>
        <w:pStyle w:val="BookText"/>
        <w:rPr/>
      </w:pPr>
      <w:r>
        <w:rPr>
          <w:rFonts w:ascii="Amiri" w:hAnsi="Amiri" w:eastAsia="Amiri" w:cs="Amiri"/>
          <w:color w:val="111111"/>
          <w:sz w:val="28"/>
          <w:sz w:val="28"/>
          <w:szCs w:val="28"/>
          <w:rtl w:val="true"/>
          <w:lang w:bidi="ar-SA"/>
        </w:rPr>
        <w:t>الطباع، و يخشى على فاعله أن يحرم من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يستشير شيخه في اموره التي تعرض له، و في كيفية اشتغاله و ما يشتغل به، و على الشيخ نصحه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ظفر بسماع لشيخ يرشد إليه غيره من الطلبة، فإن كتمانه عنهم لؤم يقع فيه جهلة الطلبة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يحذر كل الحذر من أن يمنعه الحياء أو الكبر من السعي التام في تحصيل العلم ممن دونه في نسب أو سن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يصبر على جفاء شيخه، و أن يعتني بالمهم، و لا يضيّع وقته في الاستكثار من الشيوخ لمجرد اسم الكثرة وصيتها، فإن ذلك شيء لا طائل تحته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و يسمع ما يقع له من كتاب أو جزء بكماله و لا ينتخب، فربّما احتاج بعد ذلك إلى رواية شيء منه لم يكن فيما انتخبه فيندم، و إن احتاج إلى الانتخاب لكون الشيخ مكثرا و في الرواية عسرا، أو كون الطالب غريبا لا يمكنه طول الإقامة تولاه بنفسه و انتخب عواليه و ما تكرر من رواياته و ما لا يجده عند غيره، فإن قصر عنه لقلّة معرفته استعان عليه بحافظ، و يعلّم في الأصل على أول اسناد الأحاديث المنتخبة بخط عريض أحمر أو بصاد ممدودة أو بطاء ممدودة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ذلك، و فائدته لأجل المعارضة أو لاحتمال ذهاب الفرع فيرجع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يقتصر من الحديث على سماعه و كتبه دون معرفته و فهمه، فيكون قد اتعب نفسه من غير أن يظفر بطائل، و ليتعرف أيضا صحته و حسنه و ضعفه و فقهه و معانيه و لغته و اعرابه و أسماء رجاله محققا ذلك كله معتنيا باتقان مشكلها حفظا و كتابة، و ليذاكر بمحفوظه و يباحث أهل المعرفة، فإن المذاكرة تعين على دوام الحفظ</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فقد روى عن صادق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مقرون بالعمل فمن علم عمل و من عمل علم، و العلم يهتف بالعمل، فإن أجابه و إلا ارتحل عنه،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و عمل به و علّم للّه دعي في ملكوت السماوات عظيما، فقيل تعلّم للّه و عمل للّه و علّم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الروايات الكثيرة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يشتغل بالتخريج و التصنيف إذا تأهل له مبادرا إليه و ليعتن بالتصنيف في شرحه و بيان مشكله متقنا واضحا، فقلّما تمهر في علم الحديث من لم يفعل هذا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قيل</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يتمهر في الحديث و يقف على </w:t>
      </w:r>
    </w:p>
    <w:p>
      <w:pPr>
        <w:pStyle w:val="BookText"/>
        <w:rPr/>
      </w:pPr>
      <w:r>
        <w:rPr>
          <w:rFonts w:ascii="Amiri" w:hAnsi="Amiri" w:eastAsia="Amiri" w:cs="Amiri"/>
          <w:color w:val="111111"/>
          <w:sz w:val="28"/>
          <w:sz w:val="28"/>
          <w:szCs w:val="28"/>
          <w:rtl w:val="true"/>
          <w:lang w:bidi="ar-SA"/>
        </w:rPr>
        <w:t>غوامضه و يستبين الخفي من فوائده إلا من جمع متفرقه و ألّف متشتته</w:t>
      </w:r>
      <w:r>
        <w:rPr>
          <w:rStyle w:val="FootnoteAnchor"/>
          <w:rtl w:val="true"/>
        </w:rPr>
        <w:footnoteReference w:id="800"/>
      </w:r>
      <w:r>
        <w:rPr>
          <w:rFonts w:ascii="Amiri" w:hAnsi="Amiri" w:eastAsia="Amiri" w:cs="Amiri"/>
          <w:color w:val="111111"/>
          <w:sz w:val="28"/>
          <w:sz w:val="28"/>
          <w:szCs w:val="28"/>
          <w:rtl w:val="true"/>
          <w:lang w:bidi="ar-SA"/>
        </w:rPr>
        <w:t>، و ضمّ بعضه إلى بعض، فإن ذلك مما يقوي النفس و يثبت الحفظ، و يذكّي القلب و يشحذ الطبع و يبسط اللسان، و يجيد البيان، و يكشف المشتبه، و يوضح الملتبس، و يكسب أيضا جميل الذكر، و يخلده إلى آخر الدهر،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يموت قوم فيحيي العلم ذكرهم و الجهل يلحق أمواتا بأموات</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 نحوه قول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أفضل شيء أنت كاسبه فكن له طالبا ما عشت مكتسبا</w:t>
      </w:r>
    </w:p>
    <w:p>
      <w:pPr>
        <w:pStyle w:val="BookText"/>
        <w:rPr/>
      </w:pPr>
      <w:r>
        <w:rPr>
          <w:rFonts w:ascii="Amiri" w:hAnsi="Amiri" w:eastAsia="Amiri" w:cs="Amiri"/>
          <w:color w:val="111111"/>
          <w:sz w:val="28"/>
          <w:sz w:val="28"/>
          <w:szCs w:val="28"/>
          <w:rtl w:val="true"/>
          <w:lang w:bidi="ar-SA"/>
        </w:rPr>
        <w:t>و الجاهل الحي ميت حين تنسبه و العالم الميت حي كلّما نسبا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يتحمل من الشيوخ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يتتبع الأحاديث الغريبة و المنكرة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درس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ليحذر من اخراج تصنيفه من يده إلا بعد تهذيبه و تحريره و تكرير النظر فيه، و ليحذر من التصنيف من لم يتأهل له و إلا ضرّه في دينه و علمه و عرضه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أن يتحرى في تصنيفه العبارات الواضحة و الاصطلاحات المستعملة، و لا يبالغ في الإيجاز بحيث يفضي إلى الاستغلاق، و لا في الإيضاح بحيث يؤدي إلى الركاكة، </w:t>
      </w:r>
    </w:p>
    <w:p>
      <w:pPr>
        <w:pStyle w:val="BookText"/>
        <w:rPr/>
      </w:pPr>
      <w:r>
        <w:rPr>
          <w:rFonts w:ascii="Amiri" w:hAnsi="Amiri" w:eastAsia="Amiri" w:cs="Amiri"/>
          <w:color w:val="111111"/>
          <w:sz w:val="28"/>
          <w:sz w:val="28"/>
          <w:szCs w:val="28"/>
          <w:rtl w:val="true"/>
          <w:lang w:bidi="ar-SA"/>
        </w:rPr>
        <w:t>و ليكن تصنيفه فيما يعمّ الانتفاع به و يكثر الاحتياج إليه</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غير ذلك من الآداب ذكرناها على وجه الإيجاز، و من أراد شرح ذلك كلّه فليراجع منية المريد في آداب المفيد و المستفيد للشيخ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تعالى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استوفى المقال، و استقصى الحال، جزاه اللّه تعالى عنّا و عن الإسلام و المسلمين خيرا</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538" w:name="pg15042_155059"/>
    </w:p>
    <w:p>
      <w:pPr>
        <w:pStyle w:val="Heading2"/>
        <w:numPr>
          <w:ilvl w:val="1"/>
          <w:numId w:val="1"/>
        </w:numPr>
        <w:rPr/>
      </w:pPr>
      <w:bookmarkStart w:id="539" w:name="__RefHeading___Toc403633_2142443653"/>
      <w:bookmarkStart w:id="540" w:name="_Toc201"/>
      <w:bookmarkEnd w:id="538"/>
      <w:bookmarkEnd w:id="539"/>
      <w:r>
        <w:rPr>
          <w:rtl w:val="true"/>
        </w:rPr>
        <w:t>الفصل الثامن في أسماء الرجال و طبقاتهم و ما يتصل به</w:t>
      </w:r>
      <w:r>
        <w:rPr>
          <w:rtl w:val="true"/>
        </w:rPr>
        <w:t>:</w:t>
      </w:r>
      <w:bookmarkEnd w:id="540"/>
    </w:p>
    <w:p>
      <w:pPr>
        <w:pStyle w:val="Heading3"/>
        <w:numPr>
          <w:ilvl w:val="2"/>
          <w:numId w:val="1"/>
        </w:numPr>
        <w:rPr/>
      </w:pPr>
      <w:bookmarkStart w:id="541" w:name="__RefHeading___Toc403635_2142443653"/>
      <w:bookmarkStart w:id="542" w:name="_Toc202"/>
      <w:bookmarkEnd w:id="541"/>
      <w:r>
        <w:rPr>
          <w:rtl w:val="true"/>
        </w:rPr>
        <w:t>اشارة</w:t>
      </w:r>
      <w:bookmarkEnd w:id="542"/>
    </w:p>
    <w:p>
      <w:pPr>
        <w:pStyle w:val="BookText"/>
        <w:rPr/>
      </w:pPr>
      <w:r>
        <w:rPr>
          <w:rFonts w:ascii="Amiri" w:hAnsi="Amiri" w:eastAsia="Amiri" w:cs="Amiri"/>
          <w:color w:val="111111"/>
          <w:sz w:val="28"/>
          <w:sz w:val="28"/>
          <w:szCs w:val="28"/>
          <w:rtl w:val="true"/>
          <w:lang w:bidi="ar-SA"/>
        </w:rPr>
        <w:t>و هو فنّ مهم يعرف به المرسل و المتصل، و مزايا الإسناد، و يحصل به معرفة الصحابة و التابعين و تابعي التابعين إلى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فهنا مطالب</w:t>
      </w:r>
      <w:r>
        <w:rPr>
          <w:rFonts w:eastAsia="IRNazanin" w:cs="IRNazanin"/>
          <w:color w:val="111111"/>
          <w:sz w:val="28"/>
          <w:szCs w:val="28"/>
          <w:rtl w:val="true"/>
          <w:lang w:bidi="fa-IR"/>
        </w:rPr>
        <w:t>:</w:t>
      </w:r>
    </w:p>
    <w:p>
      <w:pPr>
        <w:pStyle w:val="Heading3"/>
        <w:numPr>
          <w:ilvl w:val="2"/>
          <w:numId w:val="1"/>
        </w:numPr>
        <w:rPr/>
      </w:pPr>
      <w:bookmarkStart w:id="543" w:name="__RefHeading___Toc403637_2142443653"/>
      <w:bookmarkStart w:id="544" w:name="_Toc203"/>
      <w:bookmarkEnd w:id="543"/>
      <w:r>
        <w:rPr>
          <w:rtl w:val="true"/>
        </w:rPr>
        <w:t>المطلب الاول</w:t>
      </w:r>
      <w:r>
        <w:rPr>
          <w:rtl w:val="true"/>
        </w:rPr>
        <w:t xml:space="preserve">: </w:t>
      </w:r>
      <w:r>
        <w:rPr>
          <w:rtl w:val="true"/>
        </w:rPr>
        <w:t>ما هو حد الصحابي و التابعي و المخضرم</w:t>
      </w:r>
      <w:bookmarkEnd w:id="544"/>
    </w:p>
    <w:p>
      <w:pPr>
        <w:pStyle w:val="Heading4"/>
        <w:numPr>
          <w:ilvl w:val="3"/>
          <w:numId w:val="1"/>
        </w:numPr>
        <w:rPr/>
      </w:pPr>
      <w:bookmarkStart w:id="545" w:name="__RefHeading___Toc403639_2142443653"/>
      <w:bookmarkStart w:id="546" w:name="_Toc204"/>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وقع الخلاف في حدّ الصحابي و التابعي و المخضرمي</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و عدّ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أربعين مصنف في هذا الفن إلى زمانه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7" w:name="pg15042_155060"/>
    </w:p>
    <w:p>
      <w:pPr>
        <w:pStyle w:val="Heading4"/>
        <w:numPr>
          <w:ilvl w:val="3"/>
          <w:numId w:val="1"/>
        </w:numPr>
        <w:rPr/>
      </w:pPr>
      <w:bookmarkStart w:id="548" w:name="__RefHeading___Toc403641_2142443653"/>
      <w:bookmarkStart w:id="549" w:name="_Toc205"/>
      <w:bookmarkEnd w:id="547"/>
      <w:bookmarkEnd w:id="548"/>
      <w:r>
        <w:rPr>
          <w:rtl w:val="true"/>
        </w:rPr>
        <w:t>تعريف الصحابي</w:t>
      </w:r>
      <w:bookmarkEnd w:id="549"/>
    </w:p>
    <w:p>
      <w:pPr>
        <w:pStyle w:val="Heading5"/>
        <w:numPr>
          <w:ilvl w:val="4"/>
          <w:numId w:val="1"/>
        </w:numPr>
        <w:rPr/>
      </w:pPr>
      <w:bookmarkStart w:id="550" w:name="__RefHeading___Toc403643_2142443653"/>
      <w:bookmarkStart w:id="551" w:name="_Toc206"/>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أما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حدّه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أصحاب الاصول</w:t>
      </w:r>
      <w:r>
        <w:rPr>
          <w:rStyle w:val="FootnoteAnchor"/>
          <w:rtl w:val="true"/>
        </w:rPr>
        <w:footnoteReference w:id="805"/>
      </w:r>
      <w:r>
        <w:rPr>
          <w:rFonts w:ascii="Amiri" w:hAnsi="Amiri" w:eastAsia="Amiri" w:cs="Amiri"/>
          <w:color w:val="111111"/>
          <w:sz w:val="28"/>
          <w:sz w:val="28"/>
          <w:szCs w:val="28"/>
          <w:rtl w:val="true"/>
          <w:lang w:bidi="ar-SA"/>
        </w:rPr>
        <w:t xml:space="preserve">من أنه من طالت مجالسته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التتبع له</w:t>
      </w:r>
      <w:r>
        <w:rPr>
          <w:rStyle w:val="FootnoteAnchor"/>
          <w:rtl w:val="true"/>
        </w:rPr>
        <w:footnoteReference w:id="806"/>
      </w:r>
      <w:r>
        <w:rPr>
          <w:rFonts w:ascii="Amiri" w:hAnsi="Amiri" w:eastAsia="Amiri" w:cs="Amiri"/>
          <w:color w:val="111111"/>
          <w:sz w:val="28"/>
          <w:sz w:val="28"/>
          <w:szCs w:val="28"/>
          <w:rtl w:val="true"/>
          <w:lang w:bidi="ar-SA"/>
        </w:rPr>
        <w:t>و الأخذ عنه، بخلاف من وفد إليه و انصرف بلا مصاحبة و لا متابعة</w:t>
      </w:r>
      <w:r>
        <w:rPr>
          <w:rStyle w:val="FootnoteAnchor"/>
          <w:rtl w:val="true"/>
        </w:rPr>
        <w:footnoteReference w:id="807"/>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معنى الصحابي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w:t>
      </w:r>
      <w:r>
        <w:rPr>
          <w:rStyle w:val="FootnoteAnchor"/>
          <w:rtl w:val="true"/>
        </w:rPr>
        <w:footnoteReference w:id="808"/>
      </w:r>
      <w:r>
        <w:rPr>
          <w:rFonts w:ascii="Amiri" w:hAnsi="Amiri" w:eastAsia="Amiri" w:cs="Amiri"/>
          <w:color w:val="111111"/>
          <w:sz w:val="28"/>
          <w:sz w:val="28"/>
          <w:szCs w:val="28"/>
          <w:rtl w:val="true"/>
          <w:lang w:bidi="ar-SA"/>
        </w:rPr>
        <w:t>باجماع أهل اللغة على أنّه مشتق من الصحبة، لا من قدر منها مخصوص، و ذلك يطلق على كل من صحب غيره قليلا كان أو كثيرا، يقال صحبت فلانا حولا أو شهرا أو يوما أو ساعة</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قال ابن الأثير في جامع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تعريفه للصحابي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الصحبة من حيث الوضع تنطبق على 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ساعة، و لكن العرف يخصص الاسم بمن كثرت صحبته، و لا حدّ لتلك الكثرة بتقدير، بل بتقريب</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سعيد بن المسيب</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ascii="Amiri" w:hAnsi="Amiri" w:eastAsia="Amiri" w:cs="Amiri"/>
          <w:color w:val="111111"/>
          <w:sz w:val="28"/>
          <w:sz w:val="28"/>
          <w:szCs w:val="28"/>
          <w:rtl w:val="true"/>
          <w:lang w:bidi="ar-SA"/>
        </w:rPr>
        <w:t>، 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طبقات ابن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أنه كان لا يعدّ صحابيا إلا من أقام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أو سنتين، و غزى معه غزوة أو غزوتين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بأن لصحبة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 عظيما فلا تنال إلا باجتماع طويل يظهر فيه الخلق المطبوع عليه الشخص كالغزو المشتمل على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قطعة من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السنة المشتملة على الفصول الأربعة التي يختلف بها المزاج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بأن مقتضاه أن لا يعدّ جرير بن عبد اللّه البجلي و وائل بن حجر صحابيا، و لا خلاف في كونهما من الصحابة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 ما ذكره اعتبار صرف لا يساعده اللغة، و لا دليل عليه من عقل و لا نقل</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طالت صحبته و روى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حكي اختياره عن الجاحظ</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و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للبخاري صاحب الصحيح في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فهو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هو أبو عثمان عمرو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محبوب الكناني بالولاء الليثي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أئمة الأدب، معتزلي، رئيس فرقة الجاحظية، له جملة تصانيف غالبها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355/4</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212/12</w:t>
      </w:r>
      <w:r>
        <w:rPr>
          <w:rFonts w:ascii="Amiri" w:hAnsi="Amiri" w:eastAsia="Amiri" w:cs="Amiri"/>
          <w:color w:val="111111"/>
          <w:sz w:val="28"/>
          <w:sz w:val="28"/>
          <w:szCs w:val="28"/>
          <w:rtl w:val="true"/>
          <w:lang w:bidi="ar-SA"/>
        </w:rPr>
        <w:t>، أمالي 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 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بالغا، حكاه الواقدي</w:t>
      </w:r>
      <w:r>
        <w:rPr>
          <w:rStyle w:val="FootnoteAnchor"/>
          <w:rtl w:val="true"/>
        </w:rPr>
        <w:footnoteReference w:id="813"/>
      </w:r>
      <w:r>
        <w:rPr>
          <w:rFonts w:ascii="Amiri" w:hAnsi="Amiri" w:eastAsia="Amiri" w:cs="Amiri"/>
          <w:color w:val="111111"/>
          <w:sz w:val="28"/>
          <w:sz w:val="28"/>
          <w:szCs w:val="28"/>
          <w:rtl w:val="true"/>
          <w:lang w:bidi="ar-SA"/>
        </w:rPr>
        <w:t>، و رمي بالشذوذ</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أدرك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مسلم و إن لم يره، حكي اختياره عن يحيى بن عثمان بن صالح المصري</w:t>
      </w:r>
      <w:r>
        <w:rPr>
          <w:rStyle w:val="FootnoteAnchor"/>
          <w:rtl w:val="true"/>
        </w:rPr>
        <w:footnoteReference w:id="815"/>
      </w:r>
      <w:r>
        <w:rPr>
          <w:rFonts w:ascii="IRNazanin" w:hAnsi="IRNazanin" w:eastAsia="IRNazanin"/>
          <w:color w:val="111111"/>
          <w:sz w:val="28"/>
          <w:sz w:val="28"/>
          <w:szCs w:val="28"/>
          <w:rtl w:val="true"/>
          <w:lang w:bidi="fa-IR"/>
        </w:rPr>
        <w:t>، و ابن عبد البر</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عمر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317/9</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315/13</w:t>
      </w:r>
      <w:r>
        <w:rPr>
          <w:rFonts w:ascii="Amiri" w:hAnsi="Amiri" w:eastAsia="Amiri" w:cs="Amiri"/>
          <w:color w:val="111111"/>
          <w:sz w:val="28"/>
          <w:sz w:val="28"/>
          <w:szCs w:val="28"/>
          <w:rtl w:val="true"/>
          <w:lang w:bidi="ar-SA"/>
        </w:rPr>
        <w:t>، مرآة الجنان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306/3</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146/3</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253/6</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عدّة 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تخصص بالرسول و تخصص به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هذه الأقوال شاذة مردودة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كل مسلم 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بعضهم بالمعروفيّة بين المحدثين</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و قد اكتفوا هؤلاء بمجرد الرؤية و لو لحظة و إن لم يقع معها مجالسة و لا مماشاة و لا مكالمة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نوقش فيه بأنه إن كان فاعل الرؤية الرّائي الأعمى كابن أم مكتوم و نحوه فهو صحابي بلا خلاف و لا رؤية له، و من رآه كافرا ثم أسلم بعد موته كرسول قيصر فلا صحبة له، و من رآه بعد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الدفن كأبي ذؤيب خويلد بن خالد الهذلي فإنه لا صحبة له، و إن كان فاعلها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فيه جميع الامة، فإنه كشف له عنهم ليلة الإسراء و غيرها و رآهم</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اطلاق الرؤية على الغالب، كما صرح به البلقيني في محاسن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حدّه جمع من المحققين منهم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البداية</w:t>
      </w:r>
      <w:r>
        <w:rPr>
          <w:rStyle w:val="FootnoteAnchor"/>
          <w:rtl w:val="true"/>
        </w:rPr>
        <w:footnoteReference w:id="820"/>
      </w:r>
      <w:r>
        <w:rPr>
          <w:rFonts w:ascii="Amiri" w:hAnsi="Amiri" w:eastAsia="Amiri" w:cs="Amiri"/>
          <w:color w:val="111111"/>
          <w:sz w:val="28"/>
          <w:sz w:val="28"/>
          <w:szCs w:val="28"/>
          <w:rtl w:val="true"/>
          <w:lang w:bidi="ar-SA"/>
        </w:rPr>
        <w:t>بحد ثامن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لقي النبي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به</w:t>
      </w:r>
      <w:r>
        <w:rPr>
          <w:rStyle w:val="FootnoteAnchor"/>
          <w:rtl w:val="true"/>
        </w:rPr>
        <w:footnoteReference w:id="821"/>
      </w:r>
      <w:r>
        <w:rPr>
          <w:rFonts w:ascii="Amiri" w:hAnsi="Amiri" w:eastAsia="Amiri" w:cs="Amiri"/>
          <w:color w:val="111111"/>
          <w:sz w:val="28"/>
          <w:sz w:val="28"/>
          <w:szCs w:val="28"/>
          <w:rtl w:val="true"/>
          <w:lang w:bidi="ar-SA"/>
        </w:rPr>
        <w:t>و مات على الإيمان و الإسلام و إن تخللت ردته بين كونه مؤمنا و بين موته مسلما على الأظهر</w:t>
      </w:r>
      <w:r>
        <w:rPr>
          <w:rStyle w:val="FootnoteAnchor"/>
          <w:rtl w:val="true"/>
        </w:rPr>
        <w:footnoteReference w:id="822"/>
      </w:r>
      <w:r>
        <w:rPr>
          <w:rFonts w:ascii="Amiri" w:hAnsi="Amiri" w:eastAsia="Amiri" w:cs="Amiri"/>
          <w:color w:val="111111"/>
          <w:sz w:val="28"/>
          <w:sz w:val="28"/>
          <w:szCs w:val="28"/>
          <w:rtl w:val="true"/>
          <w:lang w:bidi="ar-SA"/>
        </w:rPr>
        <w:t xml:space="preserve">، مريدين باللقاء ما هو أعمّ من المجالسة و المماشاة و وصول أحدهما إلى الآخر، و إن لم يكالمه و لم يره بعينه، و غرضهم بالعدول من التعبير بالرؤية إلى التعبير باللقاء ادخال ابن ام مكتوم المانع عماه من رؤيته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من عبّر بالرؤية أراد الأعم من رؤية العين، كما يكشف عن ذلك عدم الخلاف في كون ابن ام مكتوم صحابيا</w:t>
      </w:r>
      <w:r>
        <w:rPr>
          <w:rStyle w:val="FootnoteAnchor"/>
          <w:rtl w:val="true"/>
        </w:rPr>
        <w:footnoteReference w:id="823"/>
      </w:r>
      <w:r>
        <w:rPr>
          <w:rFonts w:ascii="Amiri" w:hAnsi="Amiri" w:eastAsia="Amiri" w:cs="Amiri"/>
          <w:color w:val="111111"/>
          <w:sz w:val="28"/>
          <w:sz w:val="28"/>
          <w:szCs w:val="28"/>
          <w:rtl w:val="true"/>
          <w:lang w:bidi="ar-SA"/>
        </w:rPr>
        <w:t xml:space="preserve">، و احترزوا بقيد الإيمان عمّن لقيه كافرا و إن أسلم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كرسول قيصر، و من رآه </w:t>
      </w:r>
    </w:p>
    <w:p>
      <w:pPr>
        <w:pStyle w:val="BookText"/>
        <w:rPr/>
      </w:pPr>
      <w:r>
        <w:rPr>
          <w:rFonts w:ascii="Amiri" w:hAnsi="Amiri" w:eastAsia="Amiri" w:cs="Amiri"/>
          <w:color w:val="111111"/>
          <w:sz w:val="28"/>
          <w:sz w:val="28"/>
          <w:szCs w:val="28"/>
          <w:rtl w:val="true"/>
          <w:lang w:bidi="ar-SA"/>
        </w:rPr>
        <w:t xml:space="preserve">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الدفن كخويلد بن خالد الهذلي فإنهما لا يعدّان من الصحابة في الاصطلاح، و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عمّن لقيه مؤمنا بغيره من الأنبياء</w:t>
      </w:r>
      <w:r>
        <w:rPr>
          <w:rStyle w:val="FootnoteAnchor"/>
          <w:rtl w:val="true"/>
        </w:rPr>
        <w:footnoteReference w:id="824"/>
      </w:r>
      <w:r>
        <w:rPr>
          <w:rFonts w:ascii="IRNazanin" w:hAnsi="IRNazanin" w:eastAsia="IRNazanin"/>
          <w:color w:val="111111"/>
          <w:sz w:val="28"/>
          <w:sz w:val="28"/>
          <w:szCs w:val="28"/>
          <w:rtl w:val="true"/>
          <w:lang w:bidi="fa-IR"/>
        </w:rPr>
        <w:t>، و بقولهم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على الإسلام عمّن ارتد و مات كعبد اللّه بن جحش و ابن حنظل</w:t>
      </w:r>
      <w:r>
        <w:rPr>
          <w:rStyle w:val="FootnoteAnchor"/>
          <w:rtl w:val="true"/>
        </w:rPr>
        <w:footnoteReference w:id="825"/>
      </w:r>
      <w:r>
        <w:rPr>
          <w:rFonts w:ascii="Amiri" w:hAnsi="Amiri" w:eastAsia="Amiri" w:cs="Amiri"/>
          <w:color w:val="111111"/>
          <w:sz w:val="28"/>
          <w:sz w:val="28"/>
          <w:szCs w:val="28"/>
          <w:rtl w:val="true"/>
          <w:lang w:bidi="ar-SA"/>
        </w:rPr>
        <w:t>، و غرضهم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تخللت ردّته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ادخال من رجع عن الإسلام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إذا مات على الإسلام كالأشعث بن قيس</w:t>
      </w:r>
      <w:r>
        <w:rPr>
          <w:rStyle w:val="FootnoteAnchor"/>
          <w:rtl w:val="true"/>
        </w:rPr>
        <w:footnoteReference w:id="826"/>
      </w:r>
      <w:r>
        <w:rPr>
          <w:rFonts w:ascii="Amiri" w:hAnsi="Amiri" w:eastAsia="Amiri" w:cs="Amiri"/>
          <w:color w:val="111111"/>
          <w:sz w:val="28"/>
          <w:sz w:val="28"/>
          <w:szCs w:val="28"/>
          <w:rtl w:val="true"/>
          <w:lang w:bidi="ar-SA"/>
        </w:rPr>
        <w:t xml:space="preserve">، فإنه كان قد وفد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ارتد ثم اسر في خلافة الأول، فأسلم على يده، فزوجه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عوراء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له محمدا الذي شهد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المعروف كون الأشعث صحابيا،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متفق عليه، و لذا زادوا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نبّهوا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إلى رد ما سمعت من الأقوال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زاد بعضهم</w:t>
      </w:r>
      <w:r>
        <w:rPr>
          <w:rStyle w:val="FootnoteAnchor"/>
          <w:rtl w:val="true"/>
        </w:rPr>
        <w:footnoteReference w:id="827"/>
      </w:r>
      <w:r>
        <w:rPr>
          <w:rFonts w:ascii="Amiri" w:hAnsi="Amiri" w:eastAsia="Amiri" w:cs="Amiri"/>
          <w:color w:val="111111"/>
          <w:sz w:val="28"/>
          <w:sz w:val="28"/>
          <w:szCs w:val="28"/>
          <w:rtl w:val="true"/>
          <w:lang w:bidi="ar-SA"/>
        </w:rPr>
        <w:t xml:space="preserve">بعد قوله لقي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بعثته، احترازا به عمّن لقيه مؤمنا بأنه </w:t>
      </w:r>
    </w:p>
    <w:p>
      <w:pPr>
        <w:pStyle w:val="BookText"/>
        <w:rPr/>
      </w:pPr>
      <w:r>
        <w:rPr>
          <w:rFonts w:ascii="Amiri" w:hAnsi="Amiri" w:eastAsia="Amiri" w:cs="Amiri"/>
          <w:color w:val="111111"/>
          <w:sz w:val="28"/>
          <w:sz w:val="28"/>
          <w:szCs w:val="28"/>
          <w:rtl w:val="true"/>
          <w:lang w:bidi="ar-SA"/>
        </w:rPr>
        <w:t xml:space="preserve">سيبعث و لم يدرك بعثته فإنه ليس صحابيا، كما يكشف عن ذلك عدّهم من الصحابة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دون من مات قبل البعثة كالقاسم، لكنه ينتقض بزيد بن عمرو بن نفيل حيث عدّه ابن مندة في الصحابة</w:t>
      </w:r>
      <w:r>
        <w:rPr>
          <w:rStyle w:val="FootnoteAnchor"/>
          <w:rtl w:val="true"/>
        </w:rPr>
        <w:footnoteReference w:id="828"/>
      </w:r>
      <w:r>
        <w:rPr>
          <w:rFonts w:ascii="Amiri" w:hAnsi="Amiri" w:eastAsia="Amiri" w:cs="Amiri"/>
          <w:color w:val="111111"/>
          <w:sz w:val="28"/>
          <w:sz w:val="28"/>
          <w:szCs w:val="28"/>
          <w:rtl w:val="true"/>
          <w:lang w:bidi="ar-SA"/>
        </w:rPr>
        <w:t xml:space="preserve">مع أنه لم يلقه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البعثة بل قبلها، و عدم عدّ القاسم من الصحابة لعلّه لاعتبار التمييز في الرائي، و عدم كون القاسم كذلك، فتأمل</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اشترط جمع التمييز و صرحوا بعدم كون الأطفال الذين حنكهم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مسح وجوههم أو تفل في أفواههم كمحمد بن حاطب و عبد اللّه</w:t>
      </w:r>
      <w:r>
        <w:rPr>
          <w:rStyle w:val="FootnoteAnchor"/>
          <w:rtl w:val="true"/>
        </w:rPr>
        <w:footnoteReference w:id="830"/>
      </w:r>
      <w:r>
        <w:rPr>
          <w:rFonts w:ascii="Amiri" w:hAnsi="Amiri" w:eastAsia="Amiri" w:cs="Amiri"/>
          <w:color w:val="111111"/>
          <w:sz w:val="28"/>
          <w:sz w:val="28"/>
          <w:szCs w:val="28"/>
          <w:rtl w:val="true"/>
          <w:lang w:bidi="ar-SA"/>
        </w:rPr>
        <w:t>بن عثمان التميمي و عبيد اللّه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نحوهم من الصحابة، نعم لا يشترط البلوغ في حال اللقاء اتفاقا لاتفاقهم على عدّ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نحوهم من الصحابة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يشترط في الرؤية و اللقاء أن يكون في عالم الشهود و العيان، فلا يطلق اسم الصحبة على من رآه من الملائكة </w:t>
      </w:r>
    </w:p>
    <w:p>
      <w:pPr>
        <w:pStyle w:val="BookText"/>
        <w:rPr/>
      </w:pPr>
      <w:r>
        <w:rPr>
          <w:rFonts w:ascii="Amiri" w:hAnsi="Amiri" w:eastAsia="Amiri" w:cs="Amiri"/>
          <w:color w:val="111111"/>
          <w:sz w:val="28"/>
          <w:sz w:val="28"/>
          <w:szCs w:val="28"/>
          <w:rtl w:val="true"/>
          <w:lang w:bidi="ar-SA"/>
        </w:rPr>
        <w:t>و النبيين و الجن</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الصحابي مشتق من الصحبة و ليس مشتقا من قدر خاص منها، بل هو جار على كل من صحب غيره قليلا كان أو كثيرا، و هذا الحال في كل الأسماء المشتقة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المشهور يريد بيان اصطلاح خاص منقول لهذه التسمية، و آخرين في خصوص من كثرت صحبته و اتصل لقاؤه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الكفاية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اصول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ريب في شمول لفظ الصحابي للأحرار و العبيد على حد سواء و كذا الذكور و الإناث بلا خلاف، لأن المراد منه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يدخل فيهم من رآه و أمن به من الجن، لأنه صلوات اللّه و سلامه عليه و آله بعث إليهم قطعا، و آمن به نفر منهم جزما، و سمعوا منه القرآن حتما، بنص محكم الكتاب، فلهم صحبة و فضل، و لذا ذكر من عرف منهم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معرفة أمثال هؤلاء لا أثر له، كما لا تجدي رؤية الملائكة له صلوات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 يدخل من رآه ميتا قبل أن يدفن، كما وقع لأبي ذؤيب الهذلي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و الحق عدم الدخول، لكون من رأى جسده الشريف الآن لا يعد صحابيا، و كذا من كشف له عنه كرامة له أو في منام، لأن حياته ليست دنيوية، و من هنا لزم كون شرط الرؤية بحياة 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كالبلقيني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2" w:name="pg15042_155069"/>
    </w:p>
    <w:p>
      <w:pPr>
        <w:pStyle w:val="Heading5"/>
        <w:numPr>
          <w:ilvl w:val="4"/>
          <w:numId w:val="1"/>
        </w:numPr>
        <w:rPr/>
      </w:pPr>
      <w:bookmarkStart w:id="553" w:name="__RefHeading___Toc403645_2142443653"/>
      <w:bookmarkStart w:id="554" w:name="_Toc207"/>
      <w:bookmarkEnd w:id="552"/>
      <w:bookmarkEnd w:id="553"/>
      <w:r>
        <w:rPr>
          <w:rtl w:val="true"/>
        </w:rPr>
        <w:t>مراتب الصحابة</w:t>
      </w:r>
      <w:bookmarkEnd w:id="554"/>
    </w:p>
    <w:p>
      <w:pPr>
        <w:pStyle w:val="BookText"/>
        <w:rPr/>
      </w:pPr>
      <w:r>
        <w:rPr>
          <w:rFonts w:ascii="Amiri" w:hAnsi="Amiri" w:eastAsia="Amiri" w:cs="Amiri"/>
          <w:color w:val="111111"/>
          <w:sz w:val="28"/>
          <w:sz w:val="28"/>
          <w:szCs w:val="28"/>
          <w:rtl w:val="true"/>
          <w:lang w:bidi="ar-SA"/>
        </w:rPr>
        <w:t xml:space="preserve">ثم ان مراتب الصحابة مختلفة بحسب التقدم في الإسلام و الهجرة و الملازمة و القتال معه و القتل تحت رايته و الرواية عنه و مكالمته و مشاهدته و مماشاته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نحوها، و إن اشترك الجميع في شرف الصحبة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حكم الصحابة في العدالة حكم غيرهم</w:t>
      </w:r>
      <w:r>
        <w:rPr>
          <w:rStyle w:val="FootnoteAnchor"/>
          <w:rtl w:val="true"/>
        </w:rPr>
        <w:footnoteReference w:id="833"/>
      </w:r>
      <w:r>
        <w:rPr>
          <w:rFonts w:ascii="Amiri" w:hAnsi="Amiri" w:eastAsia="Amiri" w:cs="Amiri"/>
          <w:color w:val="111111"/>
          <w:sz w:val="28"/>
          <w:sz w:val="28"/>
          <w:szCs w:val="28"/>
          <w:rtl w:val="true"/>
          <w:lang w:bidi="ar-SA"/>
        </w:rPr>
        <w:t>، فمجرد كون الرجل صحابيا لا يدّل على عدالته، بل لا بد من احرازها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ثبوت كونه صحابيا مغن عن الفحص عن اسلامه، إلا أن يكون ممن ارتد بعد فوت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عليه جمع من العامة من الحكم بعدالة الصحابة كلّهم حتى </w:t>
      </w:r>
    </w:p>
    <w:p>
      <w:pPr>
        <w:pStyle w:val="BookText"/>
        <w:rPr/>
      </w:pPr>
      <w:r>
        <w:rPr>
          <w:rFonts w:ascii="Amiri" w:hAnsi="Amiri" w:eastAsia="Amiri" w:cs="Amiri"/>
          <w:color w:val="111111"/>
          <w:sz w:val="28"/>
          <w:sz w:val="28"/>
          <w:szCs w:val="28"/>
          <w:rtl w:val="true"/>
          <w:lang w:bidi="ar-SA"/>
        </w:rPr>
        <w:t xml:space="preserve">من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 محض، يردّه واضح الدليل</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يثبت كون الرجل صحابيا بما يثبت به غيره من التواتر و الشياع العلمي و البينة</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كفاية خبر الواحد الثقة في ذلك وجه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 xml:space="preserve">. </w:t>
      </w:r>
      <w:bookmarkStart w:id="555" w:name="pg15042_155071"/>
    </w:p>
    <w:p>
      <w:pPr>
        <w:pStyle w:val="Heading5"/>
        <w:numPr>
          <w:ilvl w:val="4"/>
          <w:numId w:val="1"/>
        </w:numPr>
        <w:rPr/>
      </w:pPr>
      <w:bookmarkStart w:id="556" w:name="__RefHeading___Toc403647_2142443653"/>
      <w:bookmarkStart w:id="557" w:name="_Toc208"/>
      <w:bookmarkEnd w:id="555"/>
      <w:bookmarkEnd w:id="556"/>
      <w:r>
        <w:rPr>
          <w:rtl w:val="true"/>
        </w:rPr>
        <w:t>افضل الصحابة</w:t>
      </w:r>
      <w:bookmarkEnd w:id="557"/>
    </w:p>
    <w:p>
      <w:pPr>
        <w:pStyle w:val="BookText"/>
        <w:rPr/>
      </w:pPr>
      <w:r>
        <w:rPr>
          <w:rFonts w:ascii="Amiri" w:hAnsi="Amiri" w:eastAsia="Amiri" w:cs="Amiri"/>
          <w:color w:val="111111"/>
          <w:sz w:val="28"/>
          <w:sz w:val="28"/>
          <w:szCs w:val="28"/>
          <w:rtl w:val="true"/>
          <w:lang w:bidi="ar-SA"/>
        </w:rPr>
        <w:t xml:space="preserve">ثم ان أفضل الصحابة من جميع الجهات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أوّل الصحابة اسلاما</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توصيف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يعسوب الدين بالسبق إلى الإسلام من جهة مماشاة الخصم، و إلا فمتى كان صلوات اللّه عليه غير مسلم حتى يصير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 اللّه مع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واحد فصار هذا رسوله و ذاك خليفته صلوات اللّه عليهما و آلهما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أقدمهم إيمانا، و أقومهم على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3735</w:t>
      </w:r>
      <w:r>
        <w:rPr>
          <w:rFonts w:ascii="Amiri" w:hAnsi="Amiri" w:eastAsia="Amiri" w:cs="Amiri"/>
          <w:color w:val="111111"/>
          <w:sz w:val="28"/>
          <w:sz w:val="28"/>
          <w:szCs w:val="28"/>
          <w:rtl w:val="true"/>
          <w:lang w:bidi="ar-SA"/>
        </w:rPr>
        <w:t>،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مستدرك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المستفيضة عن حذيفة و غيره من طريقهم من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البشر و من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فيه، فمن امترى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في 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4175</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33045</w:t>
      </w:r>
      <w:r>
        <w:rPr>
          <w:rFonts w:ascii="Amiri" w:hAnsi="Amiri" w:eastAsia="Amiri" w:cs="Amiri"/>
          <w:color w:val="111111"/>
          <w:sz w:val="28"/>
          <w:sz w:val="28"/>
          <w:szCs w:val="28"/>
          <w:rtl w:val="true"/>
          <w:lang w:bidi="ar-SA"/>
        </w:rPr>
        <w:t>، ميزان الاعتدال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برهن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كل العجب ممن قال ان أفضلهم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عجب ممن أزال عصيان اللّه تعالى حياءه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آخرهم موتا فقد قيل على الإطلاق من غير اضافة إلى </w:t>
      </w:r>
    </w:p>
    <w:p>
      <w:pPr>
        <w:pStyle w:val="BookText"/>
        <w:rPr/>
      </w:pPr>
      <w:r>
        <w:rPr>
          <w:rFonts w:ascii="Amiri" w:hAnsi="Amiri" w:eastAsia="Amiri" w:cs="Amiri"/>
          <w:color w:val="111111"/>
          <w:sz w:val="28"/>
          <w:sz w:val="28"/>
          <w:szCs w:val="28"/>
          <w:rtl w:val="true"/>
          <w:lang w:bidi="ar-SA"/>
        </w:rPr>
        <w:t>النواحي و البلاد أبو الطفيل عامر بن واثلة، مات سنة مائة من الهجرة</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بالإضافة إلى النواحي، فآخرهم بالمدينة جابر بن عبد اللّه الأنصاري أو سهل بن سعد، أو السائب بن يزيد</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و انظر ترجمة سهل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 و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و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بمكة عبد اللّه بن عمر أو جابر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بالبصرة أنس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بالكوفة</w:t>
      </w:r>
    </w:p>
    <w:p>
      <w:pPr>
        <w:pStyle w:val="BookText"/>
        <w:rPr/>
      </w:pPr>
      <w:r>
        <w:rPr>
          <w:rFonts w:ascii="Amiri" w:hAnsi="Amiri" w:eastAsia="Amiri" w:cs="Amiri"/>
          <w:color w:val="111111"/>
          <w:sz w:val="28"/>
          <w:sz w:val="28"/>
          <w:szCs w:val="28"/>
          <w:rtl w:val="true"/>
          <w:lang w:bidi="ar-SA"/>
        </w:rPr>
        <w:t>عبد اللّه بن أبي أوفى، و بمصر عبد اللّه بن الحارث بن جزء الزبيدي، و بفلسطين أبو ابي بن امّ خزام</w:t>
      </w:r>
      <w:r>
        <w:rPr>
          <w:rStyle w:val="FootnoteAnchor"/>
          <w:rtl w:val="true"/>
        </w:rPr>
        <w:footnoteReference w:id="840"/>
      </w:r>
      <w:r>
        <w:rPr>
          <w:rFonts w:ascii="Amiri" w:hAnsi="Amiri" w:eastAsia="Amiri" w:cs="Amiri"/>
          <w:color w:val="111111"/>
          <w:sz w:val="28"/>
          <w:sz w:val="28"/>
          <w:szCs w:val="28"/>
          <w:rtl w:val="true"/>
          <w:lang w:bidi="ar-SA"/>
        </w:rPr>
        <w:t>، و بدمشق واثلة بن الأسقع، و بحمص عبد اللّه بن بسر</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ascii="Amiri" w:hAnsi="Amiri" w:eastAsia="Amiri" w:cs="Amiri"/>
          <w:color w:val="111111"/>
          <w:sz w:val="28"/>
          <w:sz w:val="28"/>
          <w:szCs w:val="28"/>
          <w:rtl w:val="true"/>
          <w:lang w:bidi="ar-SA"/>
        </w:rPr>
        <w:t>، و 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4564</w:t>
      </w:r>
      <w:r>
        <w:rPr>
          <w:rFonts w:ascii="Amiri" w:hAnsi="Amiri" w:eastAsia="Amiri" w:cs="Amiri"/>
          <w:color w:val="111111"/>
          <w:sz w:val="28"/>
          <w:sz w:val="28"/>
          <w:szCs w:val="28"/>
          <w:rtl w:val="true"/>
          <w:lang w:bidi="ar-SA"/>
        </w:rPr>
        <w:t>، و 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بالشام سنة ثمانين و هو ابن أربع و تسعين، و هو آخر من مات بالشام بحمص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باليمامة الهرماس بن زياد، و بالجزيرة الفرس بن عميرة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بافريقية رويفع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ثابت، و بالبادية في الأعراب سلمة بن الأكوع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حكي</w:t>
      </w:r>
      <w:r>
        <w:rPr>
          <w:rStyle w:val="FootnoteAnchor"/>
          <w:rtl w:val="true"/>
        </w:rPr>
        <w:footnoteReference w:id="842"/>
      </w:r>
      <w:r>
        <w:rPr>
          <w:rFonts w:ascii="Amiri" w:hAnsi="Amiri" w:eastAsia="Amiri" w:cs="Amiri"/>
          <w:color w:val="111111"/>
          <w:sz w:val="28"/>
          <w:sz w:val="28"/>
          <w:szCs w:val="28"/>
          <w:rtl w:val="true"/>
          <w:lang w:bidi="ar-SA"/>
        </w:rPr>
        <w:t>عن أبي زرعة الرازي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قبض عن مائة و أربعة عشر ألف صحابي ممن روى عنه و سمع منه،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كانوا؟ و أين سمعوا؟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المدينة و أهل مكة و من بينهما و من الأعراب، و من شهد معه حجة الوداع، كل رآه و سمع منه بعرفة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bookmarkStart w:id="558" w:name="pg15042_155075"/>
    </w:p>
    <w:p>
      <w:pPr>
        <w:pStyle w:val="Heading4"/>
        <w:numPr>
          <w:ilvl w:val="3"/>
          <w:numId w:val="1"/>
        </w:numPr>
        <w:rPr/>
      </w:pPr>
      <w:bookmarkStart w:id="559" w:name="__RefHeading___Toc403649_2142443653"/>
      <w:bookmarkStart w:id="560" w:name="_Toc209"/>
      <w:bookmarkEnd w:id="558"/>
      <w:bookmarkEnd w:id="559"/>
      <w:r>
        <w:rPr>
          <w:rtl w:val="true"/>
        </w:rPr>
        <w:t>معنى التابعي</w:t>
      </w:r>
      <w:bookmarkEnd w:id="560"/>
    </w:p>
    <w:p>
      <w:pPr>
        <w:pStyle w:val="BookText"/>
        <w:rPr/>
      </w:pPr>
      <w:r>
        <w:rPr>
          <w:rFonts w:ascii="Amiri" w:hAnsi="Amiri" w:eastAsia="Amiri" w:cs="Amiri"/>
          <w:color w:val="111111"/>
          <w:sz w:val="28"/>
          <w:sz w:val="28"/>
          <w:szCs w:val="28"/>
          <w:rtl w:val="true"/>
          <w:lang w:bidi="ar-SA"/>
        </w:rPr>
        <w:t>و أما التابعي</w:t>
      </w: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لقي الصحابي مؤمنا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845"/>
      </w:r>
      <w:r>
        <w:rPr>
          <w:rFonts w:ascii="Amiri" w:hAnsi="Amiri" w:eastAsia="Amiri" w:cs="Amiri"/>
          <w:color w:val="111111"/>
          <w:sz w:val="28"/>
          <w:sz w:val="28"/>
          <w:szCs w:val="28"/>
          <w:rtl w:val="true"/>
          <w:lang w:bidi="ar-SA"/>
        </w:rPr>
        <w:t>و مات على الإيمان و إن تخللت ردّته بين كونه مؤمنا و بين موته مسلما</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 هناك أقوال شاذة لا ثمرة في التعرض لها، و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المختار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اشترط بعضهم فيه طول الملازمة، و آخر صحة السماع، و ثالث التمييز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الأول</w:t>
      </w:r>
    </w:p>
    <w:p>
      <w:pPr>
        <w:pStyle w:val="BookText"/>
        <w:rPr/>
      </w:pPr>
      <w:r>
        <w:rPr>
          <w:rFonts w:ascii="IRNazanin" w:hAnsi="IRNazanin" w:eastAsia="IRNazanin"/>
          <w:color w:val="111111"/>
          <w:sz w:val="28"/>
          <w:sz w:val="28"/>
          <w:szCs w:val="28"/>
          <w:rtl w:val="true"/>
          <w:lang w:bidi="fa-IR"/>
        </w:rPr>
        <w:t>أظهر</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لو أن شخصا لم يلاق أحدا من الصحابة و هو مسلم، و لكن لاقى التابعين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التابعين أو تبع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عدّت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آخر عصر التابعين، و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آخر عصر أتباع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عدّ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الخامس عشر من علوم الحديث هو معرفة أتباع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ابن الصلاح في المقدمة النوع الموفى أربعين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و انظر كشاف اصطلاحات الفنون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التابعيون أيضا كثيرون، و قد عدّ قوم منهم طبقة لم يلقوا الصحابة فهم تابعو التابعين، و عدّ جمع في التابعين جماعة هم من الصحابة</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و لتفاوت مراتبهم و مقامهم قد صنّفوا التابعين على طبقات، فعدّهم الحاكم النيشابوري في النوع الرابع عشر من أنواع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عشر طبقة، و حكاه عنه الدربندي في درايته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 مسلم ثلاث طبقات، و عند ابن سعد أربعة طبقات، و أفرده العراقي في الألفية و عقب عليه السخاوي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و الغرض من معرفتهم تمييز المرسل عن المتصل، كما لا يخفى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أول التابعين موتا أبو زيد معمر بن زيد، قتل بخراسان، </w:t>
      </w:r>
      <w:bookmarkStart w:id="561" w:name="pg15042_155077"/>
    </w:p>
    <w:p>
      <w:pPr>
        <w:pStyle w:val="BookText"/>
        <w:rPr/>
      </w:pPr>
      <w:bookmarkEnd w:id="561"/>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باذربيجان سنة ثلاثين، و آخرهم موتا خلف بن خليفة سنة ثمانين و مائة</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2" w:name="__RefHeading___Toc403651_2142443653"/>
      <w:bookmarkStart w:id="563" w:name="_Toc210"/>
      <w:bookmarkEnd w:id="562"/>
      <w:r>
        <w:rPr>
          <w:rtl w:val="true"/>
        </w:rPr>
        <w:t>معنى المخضرم</w:t>
      </w:r>
      <w:bookmarkEnd w:id="563"/>
    </w:p>
    <w:p>
      <w:pPr>
        <w:pStyle w:val="BookText"/>
        <w:rPr/>
      </w:pPr>
      <w:r>
        <w:rPr>
          <w:rFonts w:ascii="IRNazanin" w:hAnsi="IRNazanin" w:eastAsia="IRNazanin"/>
          <w:color w:val="111111"/>
          <w:sz w:val="28"/>
          <w:sz w:val="28"/>
          <w:szCs w:val="28"/>
          <w:rtl w:val="true"/>
          <w:lang w:bidi="fa-IR"/>
        </w:rPr>
        <w:t>و أما المخضرمون</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الذين أدركوا الجاهلية و الإسلام و لم يلقوا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يدركوا صحبته، سواء أسلموا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كالنجاشي أم لا كغيره</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 يلحق بهؤلاء من أسلم في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بن وهب، فإنه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فقبض صلوات اللّه عليه و آله و سلّم و زيد في الطريق،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المخضرمون جماعة كانت في عصر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يعرف هل لقوه أم لا، كما يستفاد من 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المدلّس</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واحدهم مخضرم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w:t>
      </w:r>
    </w:p>
    <w:p>
      <w:pPr>
        <w:pStyle w:val="BookText"/>
        <w:rPr/>
      </w:pPr>
      <w:r>
        <w:rPr>
          <w:rFonts w:ascii="Amiri" w:hAnsi="Amiri" w:eastAsia="Amiri" w:cs="Amiri"/>
          <w:color w:val="111111"/>
          <w:sz w:val="28"/>
          <w:sz w:val="28"/>
          <w:szCs w:val="28"/>
          <w:rtl w:val="true"/>
          <w:lang w:bidi="ar-SA"/>
        </w:rPr>
        <w:t xml:space="preserve">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مخضرم لا يدري من ذكر هو أو أنثى كما في المحكم</w:t>
      </w:r>
      <w:r>
        <w:rPr>
          <w:rStyle w:val="FootnoteAnchor"/>
          <w:rtl w:val="true"/>
        </w:rPr>
        <w:footnoteReference w:id="852"/>
      </w:r>
      <w:r>
        <w:rPr>
          <w:rFonts w:ascii="IRNazanin" w:hAnsi="IRNazanin" w:eastAsia="IRNazanin"/>
          <w:color w:val="111111"/>
          <w:sz w:val="28"/>
          <w:sz w:val="28"/>
          <w:szCs w:val="28"/>
          <w:rtl w:val="true"/>
          <w:lang w:bidi="fa-IR"/>
        </w:rPr>
        <w:t>و الصحاح</w:t>
      </w:r>
      <w:r>
        <w:rPr>
          <w:rStyle w:val="FootnoteAnchor"/>
          <w:rtl w:val="true"/>
        </w:rPr>
        <w:footnoteReference w:id="853"/>
      </w:r>
      <w:r>
        <w:rPr>
          <w:rFonts w:ascii="Amiri" w:hAnsi="Amiri" w:eastAsia="Amiri" w:cs="Amiri"/>
          <w:color w:val="111111"/>
          <w:sz w:val="28"/>
          <w:sz w:val="28"/>
          <w:szCs w:val="28"/>
          <w:rtl w:val="true"/>
          <w:lang w:bidi="ar-SA"/>
        </w:rPr>
        <w:t>، و طعام مخضرم ليس بحلو و لا مرّ كما حكاه ابن الأعرابي</w:t>
      </w:r>
      <w:r>
        <w:rPr>
          <w:rStyle w:val="FootnoteAnchor"/>
          <w:rtl w:val="true"/>
        </w:rPr>
        <w:footnoteReference w:id="85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الخضرمة بمعنى القطع، من خضرموا اذان الإبل قطعوها، لأنه اقتطع عن الصحابة و إن عاصر لعدم الرؤية، 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مخضرم ناقص الحسب،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بكريم النسب،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 أبواه،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ولدته السراري لكونه ناقص الرتبة عن الصحابة لعدم الرؤية مع امكانه، و سواء أدرك في الجاهلية نصف عمره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الاحتمالات في وجه المناسبة</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انظر غير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185/12</w:t>
      </w:r>
      <w:r>
        <w:rPr>
          <w:rFonts w:ascii="Amiri" w:hAnsi="Amiri" w:eastAsia="Amiri" w:cs="Amiri"/>
          <w:color w:val="111111"/>
          <w:sz w:val="28"/>
          <w:sz w:val="28"/>
          <w:szCs w:val="28"/>
          <w:rtl w:val="true"/>
          <w:lang w:bidi="ar-SA"/>
        </w:rPr>
        <w:t>، و فصّل القول فيه الزبيدي في 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المخضرم في اصطلاح أهل اللغة هو </w:t>
      </w:r>
    </w:p>
    <w:p>
      <w:pPr>
        <w:pStyle w:val="BookText"/>
        <w:rPr/>
      </w:pPr>
      <w:r>
        <w:rPr>
          <w:rFonts w:ascii="Amiri" w:hAnsi="Amiri" w:eastAsia="Amiri" w:cs="Amiri"/>
          <w:color w:val="111111"/>
          <w:sz w:val="28"/>
          <w:sz w:val="28"/>
          <w:szCs w:val="28"/>
          <w:rtl w:val="true"/>
          <w:lang w:bidi="ar-SA"/>
        </w:rPr>
        <w:t>الذي عاش نصف عمره في الجاهلية و نصفه في الإسلام، سواء أدرك الصحابة أم لا، فبين اصطلاح المحدثين و اللغويين عموم و خصوص من وجه، لأن الأول عام من جهة شموله لما</w:t>
      </w:r>
      <w:r>
        <w:rPr>
          <w:rStyle w:val="FootnoteAnchor"/>
          <w:rtl w:val="true"/>
        </w:rPr>
        <w:footnoteReference w:id="856"/>
      </w:r>
      <w:r>
        <w:rPr>
          <w:rFonts w:ascii="Amiri" w:hAnsi="Amiri" w:eastAsia="Amiri" w:cs="Amiri"/>
          <w:color w:val="111111"/>
          <w:sz w:val="28"/>
          <w:sz w:val="28"/>
          <w:szCs w:val="28"/>
          <w:rtl w:val="true"/>
          <w:lang w:bidi="ar-SA"/>
        </w:rPr>
        <w:t xml:space="preserve">إذا كان ادراكه الجاهلية بنصف عمره أو أقل أو أكثر دون الثاني، و الثاني عام من جهة شموله لمن 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دون الأول، فحكيم بن حزام مخضرم باصطلاح اللغة دون الحديث، و بشير بن عمرو مخضرم باصطلاح الحديث دون اللغة</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وقع الخلاف في أن المخضرمين من الصحابة أو التابعين، و الأشهر الأظهر الثاني، لاعتبارهم فيه عدم ملاقاة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الصحابي من لاقاه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النخبة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عدهم بعضهم</w:t>
      </w:r>
      <w:r>
        <w:rPr>
          <w:rStyle w:val="FootnoteAnchor"/>
          <w:rtl w:val="true"/>
        </w:rPr>
        <w:footnoteReference w:id="859"/>
      </w:r>
      <w:r>
        <w:rPr>
          <w:rFonts w:ascii="Amiri" w:hAnsi="Amiri" w:eastAsia="Amiri" w:cs="Amiri"/>
          <w:color w:val="111111"/>
          <w:sz w:val="28"/>
          <w:sz w:val="28"/>
          <w:szCs w:val="28"/>
          <w:rtl w:val="true"/>
          <w:lang w:bidi="ar-SA"/>
        </w:rPr>
        <w:t>، فبلغ بهم عشرين نفسا، و قيل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انهم أكثر</w:t>
      </w:r>
      <w:r>
        <w:rPr>
          <w:rStyle w:val="FootnoteAnchor"/>
          <w:rtl w:val="true"/>
        </w:rPr>
        <w:footnoteReference w:id="860"/>
      </w:r>
      <w:r>
        <w:rPr>
          <w:rFonts w:ascii="Amiri" w:hAnsi="Amiri" w:eastAsia="Amiri" w:cs="Amiri"/>
          <w:color w:val="111111"/>
          <w:sz w:val="28"/>
          <w:sz w:val="28"/>
          <w:szCs w:val="28"/>
          <w:rtl w:val="true"/>
          <w:lang w:bidi="ar-SA"/>
        </w:rPr>
        <w:t>، و إن منهم سويد بن غفلة</w:t>
      </w:r>
      <w:r>
        <w:rPr>
          <w:rStyle w:val="FootnoteAnchor"/>
          <w:rtl w:val="true"/>
        </w:rPr>
        <w:footnoteReference w:id="861"/>
      </w:r>
      <w:r>
        <w:rPr>
          <w:rFonts w:ascii="Amiri" w:hAnsi="Amiri" w:eastAsia="Amiri" w:cs="Amiri"/>
          <w:color w:val="111111"/>
          <w:sz w:val="28"/>
          <w:sz w:val="28"/>
          <w:szCs w:val="28"/>
          <w:rtl w:val="true"/>
          <w:lang w:bidi="ar-SA"/>
        </w:rPr>
        <w:t xml:space="preserve">صاحب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ربيعة بن زرارة، و أبو مسلم الخولاني، و الأحنف بن قيس</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رسالة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الطالب المعلم بمن يقال أنه مخضرم لبرهان الدين أبي إسحاق إبراهيم بن محمد العجمي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مخطوطة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المخضرمون من رواة الحديث بلغ عددهم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الخضرمة في مصطلح الحديث أن يتردد الراوي بين طبقتين من طبقات الرواة بحيث لا يدري من أيتهما هو؟ جاء ذكرها في مجلة المجمع العلمي العربي، السنة الثانية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سعد بن إياس الشيباني، و شريح بن هاني، و بشير بن عمرو بن جابر، و عمرو بن ميمون الأودي، و الأسود بن يزيد النخعي، و الأسود بن هلال المحاربي، و المعرور بن سويد، و عبد خير بن يزيد الخيواني، و شميل بن عوف الأحمسي، و مسعود بن خراش، و مالك بن عمير، و أبو عثمان النهدي، و أبو رجاء العطاردي، و غنيم بن قيس، و أبو رافع الصائغ، و خالد بن عمير العدوي، و تمامة بن حزن القشيري، و جبير بن نفير الحضرمي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64" w:name="pg15042_155081"/>
    </w:p>
    <w:p>
      <w:pPr>
        <w:pStyle w:val="Heading3"/>
        <w:numPr>
          <w:ilvl w:val="2"/>
          <w:numId w:val="1"/>
        </w:numPr>
        <w:rPr/>
      </w:pPr>
      <w:bookmarkStart w:id="565" w:name="__RefHeading___Toc403653_2142443653"/>
      <w:bookmarkStart w:id="566" w:name="_Toc211"/>
      <w:bookmarkEnd w:id="564"/>
      <w:bookmarkEnd w:id="565"/>
      <w:r>
        <w:rPr>
          <w:rtl w:val="true"/>
        </w:rPr>
        <w:t>المطلب الثاني</w:t>
      </w:r>
      <w:r>
        <w:rPr>
          <w:rtl w:val="true"/>
        </w:rPr>
        <w:t xml:space="preserve">: </w:t>
      </w:r>
      <w:r>
        <w:rPr>
          <w:rtl w:val="true"/>
        </w:rPr>
        <w:t>رواية الاكابر عن الاصاغر</w:t>
      </w:r>
      <w:bookmarkEnd w:id="566"/>
    </w:p>
    <w:p>
      <w:pPr>
        <w:pStyle w:val="BookText"/>
        <w:rPr/>
      </w:pPr>
      <w:r>
        <w:rPr>
          <w:rFonts w:ascii="Amiri" w:hAnsi="Amiri" w:eastAsia="Amiri" w:cs="Amiri"/>
          <w:color w:val="111111"/>
          <w:sz w:val="28"/>
          <w:sz w:val="28"/>
          <w:szCs w:val="28"/>
          <w:rtl w:val="true"/>
          <w:lang w:bidi="ar-SA"/>
        </w:rPr>
        <w:t xml:space="preserve">إن الراوي و المروي عنه إن استويا في السن أو في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الأخذ من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النوع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الأقران، فإن روى كل من القرينين عن الآخر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المدبّج</w:t>
      </w:r>
      <w:r>
        <w:rPr>
          <w:rStyle w:val="FootnoteAnchor"/>
          <w:rtl w:val="true"/>
        </w:rPr>
        <w:footnoteReference w:id="863"/>
      </w:r>
      <w:r>
        <w:rPr>
          <w:rFonts w:ascii="Amiri" w:hAnsi="Amiri" w:eastAsia="Amiri" w:cs="Amiri"/>
          <w:color w:val="111111"/>
          <w:sz w:val="28"/>
          <w:sz w:val="28"/>
          <w:szCs w:val="28"/>
          <w:rtl w:val="true"/>
          <w:lang w:bidi="ar-SA"/>
        </w:rPr>
        <w:t>، و إن اختلفا في السن أو في اللقاء أو في المقدار، و روى الأسن و نحوه عمّن دونه فهو النوع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الأكابر عن الأصاغر، و فائدة معرفة هذا النوع أن لا يتوهم أن المروي عنه أفضل و أكبر من الراوي، لكونه الأغلب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على أقسام، لأن الراوي إما أن يكون أكبر من المروي عنه سنا و أقدم طبقة، أو يكون أكبر قدرا لا سنا، أو يكون أكبر سنا و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من رواية الأكابر عن الأصاغر رواية الصحابي عن التابعي، و منه أيضا رواية الآباء عن الأبناء، و الأكثر الأغلب 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رواية الأبناء عن الآباء و الأصاغر عن الأكابر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اشترك اثنان في التحمل عن شيخ و تقدم موت أحدهما على الآخر فهو النوع المسمى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و اللاحق</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الرواة إن اتفقت أسماؤهم و أسماء آباؤهم فصاعدا و اختلفت أشخاصهم فهو النوع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و المفترق، و إن اتفقت الأسماء خطا و اختلفت نطقا سواء كان مرجع الاختلاف إلى النطق أو الشكل فهو النوع الذي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المؤتلف و المختلف، و إن اتفقت الأسماء خطأ و نطقا و اختلفت الآباء نطقا مع ائتلافهما خطأ، أو بالعكس كإن تختلف الأسماء نطقا و تأتلف خطأ و تأتلف الآباء خطأ و نطقا، فهو النوع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المتشابه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الكلام في هذه الأنواع في المقام الأول من الفصل الخامس المتكفل لشرح العبارات التي اصطلحوها في أسماء الأخبار</w:t>
      </w:r>
      <w:r>
        <w:rPr>
          <w:rStyle w:val="FootnoteAnchor"/>
          <w:rtl w:val="true"/>
        </w:rPr>
        <w:footnoteReference w:id="864"/>
      </w:r>
      <w:r>
        <w:rPr>
          <w:rFonts w:ascii="Amiri" w:hAnsi="Amiri" w:eastAsia="Amiri" w:cs="Amiri"/>
          <w:color w:val="111111"/>
          <w:sz w:val="28"/>
          <w:sz w:val="28"/>
          <w:szCs w:val="28"/>
          <w:rtl w:val="true"/>
          <w:lang w:bidi="ar-SA"/>
        </w:rPr>
        <w:t>فراجع و تدبر جيدا</w:t>
      </w:r>
      <w:r>
        <w:rPr>
          <w:rFonts w:eastAsia="Amiri" w:cs="Amiri" w:ascii="Amiri" w:hAnsi="Amiri"/>
          <w:color w:val="111111"/>
          <w:sz w:val="28"/>
          <w:szCs w:val="28"/>
          <w:rtl w:val="true"/>
          <w:lang w:bidi="ar-SA"/>
        </w:rPr>
        <w:t xml:space="preserve">. </w:t>
      </w:r>
      <w:bookmarkStart w:id="567" w:name="pg15042_155083"/>
    </w:p>
    <w:p>
      <w:pPr>
        <w:pStyle w:val="Heading3"/>
        <w:numPr>
          <w:ilvl w:val="2"/>
          <w:numId w:val="1"/>
        </w:numPr>
        <w:rPr/>
      </w:pPr>
      <w:bookmarkStart w:id="568" w:name="__RefHeading___Toc403655_2142443653"/>
      <w:bookmarkStart w:id="569" w:name="_Toc212"/>
      <w:bookmarkEnd w:id="567"/>
      <w:bookmarkEnd w:id="568"/>
      <w:r>
        <w:rPr>
          <w:rtl w:val="true"/>
        </w:rPr>
        <w:t>المطلب الثالث</w:t>
      </w:r>
      <w:r>
        <w:rPr>
          <w:rtl w:val="true"/>
        </w:rPr>
        <w:t xml:space="preserve">: </w:t>
      </w:r>
      <w:r>
        <w:rPr>
          <w:rtl w:val="true"/>
        </w:rPr>
        <w:t>إن المهم في هذا الباب معرفة امور</w:t>
      </w:r>
      <w:bookmarkEnd w:id="569"/>
    </w:p>
    <w:p>
      <w:pPr>
        <w:pStyle w:val="Heading4"/>
        <w:numPr>
          <w:ilvl w:val="3"/>
          <w:numId w:val="1"/>
        </w:numPr>
        <w:rPr/>
      </w:pPr>
      <w:bookmarkStart w:id="570" w:name="__RefHeading___Toc403657_2142443653"/>
      <w:bookmarkStart w:id="571" w:name="_Toc213"/>
      <w:bookmarkEnd w:id="570"/>
      <w:r>
        <w:rPr>
          <w:rtl w:val="true"/>
        </w:rPr>
        <w:t>اشارة</w:t>
      </w:r>
      <w:bookmarkEnd w:id="5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Heading4"/>
        <w:numPr>
          <w:ilvl w:val="3"/>
          <w:numId w:val="1"/>
        </w:numPr>
        <w:rPr/>
      </w:pPr>
      <w:bookmarkStart w:id="572" w:name="__RefHeading___Toc403659_2142443653"/>
      <w:bookmarkStart w:id="573" w:name="_Toc214"/>
      <w:bookmarkEnd w:id="572"/>
      <w:r>
        <w:rPr>
          <w:rtl w:val="true"/>
        </w:rPr>
        <w:t>منها</w:t>
      </w:r>
      <w:r>
        <w:rPr>
          <w:rtl w:val="true"/>
        </w:rPr>
        <w:t xml:space="preserve">: </w:t>
      </w:r>
      <w:r>
        <w:rPr>
          <w:rtl w:val="true"/>
        </w:rPr>
        <w:t>معرفة طبقات الرواة</w:t>
      </w:r>
      <w:bookmarkEnd w:id="573"/>
    </w:p>
    <w:p>
      <w:pPr>
        <w:pStyle w:val="BookText"/>
        <w:rPr/>
      </w:pPr>
      <w:r>
        <w:rPr>
          <w:rFonts w:ascii="Amiri" w:hAnsi="Amiri" w:eastAsia="Amiri" w:cs="Amiri"/>
          <w:color w:val="111111"/>
          <w:sz w:val="28"/>
          <w:sz w:val="28"/>
          <w:szCs w:val="28"/>
          <w:rtl w:val="true"/>
          <w:lang w:bidi="ar-SA"/>
        </w:rPr>
        <w:t>معرفة طبقات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فائدتها الأمن من تداخل المشتبهين و امكان الاطلاع على تدليس المدلسين، و الوقوف على حقيقة المراد من العنعنة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كما مرّ في ذيل المقام الخامس من الجهة السادسة من الفصل السادس </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عبارة عن جماعة مشتركين في السن و لقاء المشايخ</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403661_2142443653"/>
      <w:bookmarkStart w:id="575" w:name="_Toc215"/>
      <w:bookmarkEnd w:id="574"/>
      <w:r>
        <w:rPr>
          <w:rtl w:val="true"/>
        </w:rPr>
        <w:t>منها</w:t>
      </w:r>
      <w:r>
        <w:rPr>
          <w:rtl w:val="true"/>
        </w:rPr>
        <w:t xml:space="preserve">: </w:t>
      </w:r>
      <w:r>
        <w:rPr>
          <w:rtl w:val="true"/>
        </w:rPr>
        <w:t>معرفة مواليد الرواة و غيره</w:t>
      </w:r>
      <w:bookmarkEnd w:id="57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معرفة مواليد الرواة و قد و مهم للبلدة الفلانية و وفياتهم، فإن بمعرفتها يحصل الأمن من دعوى المدعي لقاء المروي عنه و الحال أنه كاذب في دعواه، و أمره في اللقاء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تبين بواسطة معرفة ذلك كذب أخبار شائعة بين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كادت أن تبلغ مرتبة الاستفاضة، و من هنا تداولوا ذكر مواليد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576" w:name="pg15042_155084"/>
    </w:p>
    <w:p>
      <w:pPr>
        <w:pStyle w:val="BookText"/>
        <w:rPr/>
      </w:pPr>
      <w:bookmarkEnd w:id="576"/>
      <w:r>
        <w:rPr>
          <w:rFonts w:ascii="Amiri" w:hAnsi="Amiri" w:eastAsia="Amiri" w:cs="Amiri"/>
          <w:color w:val="111111"/>
          <w:sz w:val="28"/>
          <w:sz w:val="28"/>
          <w:szCs w:val="28"/>
          <w:rtl w:val="true"/>
          <w:lang w:bidi="ar-SA"/>
        </w:rPr>
        <w:t xml:space="preserve">و وفياتهم في أوائل كتب الرجال، ليتبين من أدرك الإمام الفلاني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الرواة و من لم يدركه</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403663_2142443653"/>
      <w:bookmarkStart w:id="578" w:name="_Toc216"/>
      <w:bookmarkEnd w:id="577"/>
      <w:r>
        <w:rPr>
          <w:rtl w:val="true"/>
        </w:rPr>
        <w:t>منها</w:t>
      </w:r>
      <w:r>
        <w:rPr>
          <w:rtl w:val="true"/>
        </w:rPr>
        <w:t xml:space="preserve">: </w:t>
      </w:r>
      <w:r>
        <w:rPr>
          <w:rtl w:val="true"/>
        </w:rPr>
        <w:t>معرفة الموالي</w:t>
      </w:r>
      <w:bookmarkEnd w:id="578"/>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الموالي</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 xml:space="preserve">و لا ريب أن لفظ المولى من الألفاظ المشتركة بالاشتراك اللفظي الموضوعة لكل واحد من الضدين، و المهم في ذلك معرفة الموالي المنسوبين إلى القبائل بوصف الإطلاق، فإن الظاهر في المنسوب إلى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فلان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منهم صليبا لا صلبيا، فإذا بيان من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 من أجل كونه مولى لهم مهم، كما نص عليه غير واحد كما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 من أعلى و من أسفل بالرّق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بالحلف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بالإسلام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فائدة ذلك تمييز</w:t>
      </w:r>
      <w:bookmarkStart w:id="579" w:name="pg15042_155085"/>
    </w:p>
    <w:p>
      <w:pPr>
        <w:pStyle w:val="BookText"/>
        <w:rPr/>
      </w:pPr>
      <w:bookmarkEnd w:id="579"/>
      <w:r>
        <w:rPr>
          <w:rFonts w:ascii="IRNazanin" w:hAnsi="IRNazanin" w:eastAsia="IRNazanin"/>
          <w:color w:val="111111"/>
          <w:sz w:val="28"/>
          <w:sz w:val="28"/>
          <w:szCs w:val="28"/>
          <w:rtl w:val="true"/>
          <w:lang w:bidi="fa-IR"/>
        </w:rPr>
        <w:t>الرجال</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قد عدّ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الموالي و أولاد الموالي من رواة الحديث في الصحابة و التابعين و أتباعهم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و 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برأسه، و قد تابعه غيره كالعراقي في الألفية و السخاوي في شرحها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الحاكم له جملة أمثلة و شواهد، و هو أول من تنبّه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التمييز في المراد من كل هاتيك المعاني إلا بالقرائن، أو التنصيص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قيل ان المراد منها في باب معرفة الرواة إرادة غير العربي الصريح، و هذا يحتاج إلى تتبع، و لا 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ربما توسع حيث ينسب للقبيلة من يكون مولى المولى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معرفة الموالي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حقيقة النسب في الإمامة العظمى و الكفاءة في النكاح و التوارث و غيرها من الأحكام الشرعية، و لاستحباب التقديم به في الصلاة و غيرها، كما في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المدار في معرفة ذلك على نص أهل المعرفة بذلك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في كتب الرجال تنبيه على بعضه، و قد تقدم الكلام في تفسير المولى في أول المقام الخامس من الجهة السادسة من الفصل السادس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فراجع و تدبر</w:t>
      </w:r>
      <w:r>
        <w:rPr>
          <w:rFonts w:eastAsia="IRNazanin" w:cs="IRNazanin"/>
          <w:color w:val="111111"/>
          <w:sz w:val="28"/>
          <w:szCs w:val="28"/>
          <w:rtl w:val="true"/>
          <w:lang w:bidi="fa-IR"/>
        </w:rPr>
        <w:t>.</w:t>
      </w:r>
    </w:p>
    <w:p>
      <w:pPr>
        <w:pStyle w:val="Heading4"/>
        <w:numPr>
          <w:ilvl w:val="3"/>
          <w:numId w:val="1"/>
        </w:numPr>
        <w:rPr/>
      </w:pPr>
      <w:bookmarkStart w:id="580" w:name="__RefHeading___Toc403665_2142443653"/>
      <w:bookmarkStart w:id="581" w:name="_Toc217"/>
      <w:bookmarkEnd w:id="580"/>
      <w:r>
        <w:rPr>
          <w:rtl w:val="true"/>
        </w:rPr>
        <w:t>و منها</w:t>
      </w:r>
      <w:r>
        <w:rPr>
          <w:rtl w:val="true"/>
        </w:rPr>
        <w:t xml:space="preserve">: </w:t>
      </w:r>
      <w:r>
        <w:rPr>
          <w:rtl w:val="true"/>
        </w:rPr>
        <w:t>معرفة الاخوة و الاخوات</w:t>
      </w:r>
      <w:bookmarkEnd w:id="581"/>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الاخوة و الأخوات من العلماء و الرواة، و فائدة </w:t>
      </w:r>
    </w:p>
    <w:p>
      <w:pPr>
        <w:pStyle w:val="BookText"/>
        <w:rPr/>
      </w:pPr>
      <w:r>
        <w:rPr>
          <w:rFonts w:ascii="Amiri" w:hAnsi="Amiri" w:eastAsia="Amiri" w:cs="Amiri"/>
          <w:color w:val="111111"/>
          <w:sz w:val="28"/>
          <w:sz w:val="28"/>
          <w:szCs w:val="28"/>
          <w:rtl w:val="true"/>
          <w:lang w:bidi="ar-SA"/>
        </w:rPr>
        <w:t>معرفته زيادة التوسع في الاطلاع على الرواة و أنسابهم</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و اقدم من نعرف من من الف في هذا الفن او زرعة الدمشقي المتوفى سنة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اسم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الاخوة و الاخوات، كما جاء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أفردوه بالتصنيف للاهتمام بشأنه لذلك، كما نبّه على ذلك في البداية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فمثال الأخوين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عتبة بن مسعود اخوان، و زيد بن ثابت و يزيد بن ثابت اخوان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و صعصعة ابنا صوحان، و ربعي و مسعود ابنا خراش العبسيّان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التابعين عمرو بن شرحبيل أبو ميسرة، و أرقم بن شرحبيل اخوان فاضلان من أصحاب ابن مسعود و آخرون لا يحصى عددهم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الثلاثة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و عباد و عثمان بنو حنيف</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زيد</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و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أخواه عبيد و 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كلهم أخذ رايته و قتلوا في موقف واحد، و سالم و عبيدة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زياد بنوا الجعد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269/1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الأشجعيون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محمد و علي بنو عطية الدغشي المحاربي، و محمد و علي و الحسن</w:t>
      </w:r>
      <w:r>
        <w:rPr>
          <w:rStyle w:val="FootnoteAnchor"/>
          <w:rtl w:val="true"/>
        </w:rPr>
        <w:footnoteReference w:id="873"/>
      </w:r>
      <w:r>
        <w:rPr>
          <w:rFonts w:ascii="Amiri" w:hAnsi="Amiri" w:eastAsia="Amiri" w:cs="Amiri"/>
          <w:color w:val="111111"/>
          <w:sz w:val="28"/>
          <w:sz w:val="28"/>
          <w:szCs w:val="28"/>
          <w:rtl w:val="true"/>
          <w:lang w:bidi="ar-SA"/>
        </w:rPr>
        <w:t>بنو أبي حمزة الثمالي، و عبد اللّه و عبد الملك و عريق</w:t>
      </w:r>
      <w:r>
        <w:rPr>
          <w:rStyle w:val="FootnoteAnchor"/>
          <w:rtl w:val="true"/>
        </w:rPr>
        <w:footnoteReference w:id="874"/>
      </w:r>
      <w:r>
        <w:rPr>
          <w:rFonts w:ascii="Amiri" w:hAnsi="Amiri" w:eastAsia="Amiri" w:cs="Amiri"/>
          <w:color w:val="111111"/>
          <w:sz w:val="28"/>
          <w:sz w:val="28"/>
          <w:szCs w:val="28"/>
          <w:rtl w:val="true"/>
          <w:lang w:bidi="ar-SA"/>
        </w:rPr>
        <w:t>بنو عطاء بن أبي رياح</w:t>
      </w:r>
      <w:r>
        <w:rPr>
          <w:rStyle w:val="FootnoteAnchor"/>
          <w:rtl w:val="true"/>
        </w:rPr>
        <w:footnoteReference w:id="875"/>
      </w:r>
      <w:r>
        <w:rPr>
          <w:rFonts w:ascii="IRNazanin" w:hAnsi="IRNazanin" w:eastAsia="IRNazanin"/>
          <w:color w:val="111111"/>
          <w:sz w:val="28"/>
          <w:sz w:val="28"/>
          <w:szCs w:val="28"/>
          <w:rtl w:val="true"/>
          <w:lang w:bidi="fa-IR"/>
        </w:rPr>
        <w:t>نجباء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أصحاب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عثمان و الحسين</w:t>
      </w:r>
      <w:r>
        <w:rPr>
          <w:rStyle w:val="FootnoteAnchor"/>
          <w:rtl w:val="true"/>
        </w:rPr>
        <w:footnoteReference w:id="876"/>
      </w:r>
      <w:r>
        <w:rPr>
          <w:rFonts w:ascii="Amiri" w:hAnsi="Amiri" w:eastAsia="Amiri" w:cs="Amiri"/>
          <w:color w:val="111111"/>
          <w:sz w:val="28"/>
          <w:sz w:val="28"/>
          <w:szCs w:val="28"/>
          <w:rtl w:val="true"/>
          <w:lang w:bidi="ar-SA"/>
        </w:rPr>
        <w:t>و جعفر أخواه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 و هم كثيرون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مثال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و محمد و عمران و عبد الأعلى بنو علي بن أبي شعبة الحلبي ثقات فاضلون، و كذلك أبوهم و جدهم</w:t>
      </w:r>
      <w:r>
        <w:rPr>
          <w:rStyle w:val="FootnoteAnchor"/>
          <w:rtl w:val="true"/>
        </w:rPr>
        <w:footnoteReference w:id="877"/>
      </w:r>
      <w:r>
        <w:rPr>
          <w:rFonts w:ascii="Amiri" w:hAnsi="Amiri" w:eastAsia="Amiri" w:cs="Amiri"/>
          <w:color w:val="111111"/>
          <w:sz w:val="28"/>
          <w:sz w:val="28"/>
          <w:szCs w:val="28"/>
          <w:rtl w:val="true"/>
          <w:lang w:bidi="ar-SA"/>
        </w:rPr>
        <w:t>، و بسطام أبو الحسين الواسطي و زكريا و زياد و حفص بنو سابور</w:t>
      </w:r>
      <w:r>
        <w:rPr>
          <w:rStyle w:val="FootnoteAnchor"/>
          <w:rtl w:val="true"/>
        </w:rPr>
        <w:footnoteReference w:id="878"/>
      </w:r>
      <w:r>
        <w:rPr>
          <w:rFonts w:ascii="Amiri" w:hAnsi="Amiri" w:eastAsia="Amiri" w:cs="Amiri"/>
          <w:color w:val="111111"/>
          <w:sz w:val="28"/>
          <w:sz w:val="28"/>
          <w:szCs w:val="28"/>
          <w:rtl w:val="true"/>
          <w:lang w:bidi="ar-SA"/>
        </w:rPr>
        <w:t>و كلهم ثقات أيضا، و محمد و إسماعيل و إسحاق و يعقوب بنو الفضل بن يعقوب بن سعيد</w:t>
      </w:r>
      <w:r>
        <w:rPr>
          <w:rStyle w:val="FootnoteAnchor"/>
          <w:rtl w:val="true"/>
        </w:rPr>
        <w:footnoteReference w:id="879"/>
      </w:r>
      <w:r>
        <w:rPr>
          <w:rFonts w:ascii="Amiri" w:hAnsi="Amiri" w:eastAsia="Amiri" w:cs="Amiri"/>
          <w:color w:val="111111"/>
          <w:sz w:val="28"/>
          <w:sz w:val="28"/>
          <w:szCs w:val="28"/>
          <w:rtl w:val="true"/>
          <w:lang w:bidi="ar-SA"/>
        </w:rPr>
        <w:t xml:space="preserve">بن نوفل بن الحارث بن عبد المطلب و كل هؤلاء ثقات من أصحاب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و داود بن فرقد 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و عبد الرحمن و عبد الحميد بنو فرقد</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 للسيد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عبد الرحيم و عبد الخالق و شهاب</w:t>
      </w:r>
    </w:p>
    <w:p>
      <w:pPr>
        <w:pStyle w:val="BookText"/>
        <w:rPr/>
      </w:pPr>
      <w:r>
        <w:rPr>
          <w:rFonts w:ascii="Amiri" w:hAnsi="Amiri" w:eastAsia="Amiri" w:cs="Amiri"/>
          <w:color w:val="111111"/>
          <w:sz w:val="28"/>
          <w:sz w:val="28"/>
          <w:szCs w:val="28"/>
          <w:rtl w:val="true"/>
          <w:lang w:bidi="ar-SA"/>
        </w:rPr>
        <w:t>و وهب بنو عبد ربه، و كلهم خيار فاضلون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محمد و أحمد و الحسين و جعفر بنو عبد اللّه بن جعفر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غريب الإخوة الأربعة بنو راشد أبي إسماعيل السلمي ولدوا في بطن واحد و كانوا علماء،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عمر و إسماعيل و رابع لم يسموه</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البلقيني و في محاسن الاصطلاح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ذيل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لم يسم لنا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ذكره بن عبد اللّه في الاستيعاب،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 محمد و آدم و عمران</w:t>
      </w:r>
      <w:r>
        <w:rPr>
          <w:rStyle w:val="FootnoteAnchor"/>
          <w:rtl w:val="true"/>
        </w:rPr>
        <w:footnoteReference w:id="884"/>
      </w:r>
      <w:r>
        <w:rPr>
          <w:rFonts w:ascii="Amiri" w:hAnsi="Amiri" w:eastAsia="Amiri" w:cs="Amiri"/>
          <w:color w:val="111111"/>
          <w:sz w:val="28"/>
          <w:sz w:val="28"/>
          <w:szCs w:val="28"/>
          <w:rtl w:val="true"/>
          <w:lang w:bidi="ar-SA"/>
        </w:rPr>
        <w:t>و إبراهيم بنو عيينة، كلهم حدثوا</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الستة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أنس و يحيى و معبد</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أما مثاله من الأصحاب فقد ذكروا حمزة و العباس و صفية و أميمة و أروى و عاتكة بنو عبد المطلب، على القول بإسلام الثلاث الأخيرات، و عدم اشتراط التحديث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منافاته لما مر قريبا عددا و اسما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حفصة و كريمة، و من رواة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عبد اللّه و عبيد و حسن و حسين و رومي بنو زرارة 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مثال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 بنو مقرّن المزني و هم النعمان و معقل و عقيل و سويد و سنان و عبد الرحمن و عبد اللّه</w:t>
      </w:r>
      <w:r>
        <w:rPr>
          <w:rStyle w:val="FootnoteAnchor"/>
          <w:rtl w:val="true"/>
        </w:rPr>
        <w:footnoteReference w:id="887"/>
      </w:r>
      <w:r>
        <w:rPr>
          <w:rFonts w:ascii="Amiri" w:hAnsi="Amiri" w:eastAsia="Amiri" w:cs="Amiri"/>
          <w:color w:val="111111"/>
          <w:sz w:val="28"/>
          <w:sz w:val="28"/>
          <w:szCs w:val="28"/>
          <w:rtl w:val="true"/>
          <w:lang w:bidi="ar-SA"/>
        </w:rPr>
        <w:t>كلّهم صحابة مهاجرون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جمع منهم ابن عبد البر</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يشارك أولاد مقرن أحد في هذه المكرمة من كونهم سبعة هاجروا و صحبوا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ذلك بأن أولاد الحرث بن قيس السهمي كلهم هاجروا و صحبوا و هم سبعة أو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و تميم و الحرث و الحجاج و السائب و سعيد و عبد اللّه و معمر و أبو قيس، و هم أشرف نسبا في الجاهلية و الإسلام من بني مقرن، و زادوا عليهم بأنه قد استشهد منهم سبعة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أمثلة كثيرة أخرى في مطاوي كتب الرجال و الدراية لمن تتبع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بني مقرن كانوا عشرة و فيهم ضرار و نعيم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مثال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 بكير و حمران و عبد الملك و عبد الرحمن و مالك و قعنب و عبد اللّه بنو أعين من رواة الصادق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يوجد في بعض الطرق نجم بن أعين</w:t>
      </w:r>
      <w:r>
        <w:rPr>
          <w:rStyle w:val="FootnoteAnchor"/>
          <w:rtl w:val="true"/>
        </w:rPr>
        <w:footnoteReference w:id="891"/>
      </w:r>
      <w:r>
        <w:rPr>
          <w:rFonts w:ascii="Amiri" w:hAnsi="Amiri" w:eastAsia="Amiri" w:cs="Amiri"/>
          <w:color w:val="111111"/>
          <w:sz w:val="28"/>
          <w:sz w:val="28"/>
          <w:szCs w:val="28"/>
          <w:rtl w:val="true"/>
          <w:lang w:bidi="ar-SA"/>
        </w:rPr>
        <w:t>فيكونون من أمثلة التسعة، و لو اضيفت إليهم اختهم ام الأسود صاروا عشرة</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و لعل هنا سقط في نسختنا من الدراية طبع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قلّ الصحيح فيها، و لا اعتماد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مثال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الصحابة أولاد الحرث المزبورين، و في التابعين أولاد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عبيد اللّه و عبد الرحمن و عبد العزيز و مسلم و رواد و يزيد و عتبة و كبشة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زاد على هذا العدد نادر، فلذا وقف عليه الأكثر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بعضهم عشرة و هم أولاد العباس بن عبد المطلب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 عبد اللّه و عبيد اللّه و عبد الرحمن و قثم و معبد </w:t>
      </w:r>
      <w:bookmarkStart w:id="582" w:name="pg15042_155092"/>
    </w:p>
    <w:p>
      <w:pPr>
        <w:pStyle w:val="BookText"/>
        <w:rPr/>
      </w:pPr>
      <w:bookmarkEnd w:id="582"/>
      <w:r>
        <w:rPr>
          <w:rFonts w:ascii="Amiri" w:hAnsi="Amiri" w:eastAsia="Amiri" w:cs="Amiri"/>
          <w:color w:val="111111"/>
          <w:sz w:val="28"/>
          <w:sz w:val="28"/>
          <w:szCs w:val="28"/>
          <w:rtl w:val="true"/>
          <w:lang w:bidi="ar-SA"/>
        </w:rPr>
        <w:t>و عون و الحرث و كثير و تمام</w:t>
      </w:r>
      <w:r>
        <w:rPr>
          <w:rStyle w:val="FootnoteAnchor"/>
          <w:rtl w:val="true"/>
        </w:rPr>
        <w:footnoteReference w:id="893"/>
      </w:r>
      <w:r>
        <w:rPr>
          <w:rFonts w:ascii="Amiri" w:hAnsi="Amiri" w:eastAsia="Amiri" w:cs="Amiri"/>
          <w:color w:val="111111"/>
          <w:sz w:val="28"/>
          <w:sz w:val="28"/>
          <w:szCs w:val="28"/>
          <w:rtl w:val="true"/>
          <w:lang w:bidi="ar-SA"/>
        </w:rPr>
        <w:t>و كان أصغرهم، و كان العباس يحمله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تمّوا بتمام فصاروا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فاجعلهم كراما بررة</w:t>
      </w:r>
    </w:p>
    <w:p>
      <w:pPr>
        <w:pStyle w:val="BookText"/>
        <w:rPr/>
      </w:pPr>
      <w:r>
        <w:rPr>
          <w:rFonts w:ascii="Amiri" w:hAnsi="Amiri" w:eastAsia="Amiri" w:cs="Amiri"/>
          <w:color w:val="111111"/>
          <w:sz w:val="28"/>
          <w:sz w:val="28"/>
          <w:szCs w:val="28"/>
          <w:rtl w:val="true"/>
          <w:lang w:bidi="ar-SA"/>
        </w:rPr>
        <w:t>و اجعل لهم خيرا</w:t>
      </w:r>
      <w:r>
        <w:rPr>
          <w:rStyle w:val="FootnoteAnchor"/>
          <w:rtl w:val="true"/>
        </w:rPr>
        <w:footnoteReference w:id="894"/>
      </w:r>
      <w:r>
        <w:rPr>
          <w:rFonts w:ascii="Amiri" w:hAnsi="Amiri" w:eastAsia="Amiri" w:cs="Amiri"/>
          <w:color w:val="111111"/>
          <w:sz w:val="28"/>
          <w:sz w:val="28"/>
          <w:szCs w:val="28"/>
          <w:rtl w:val="true"/>
          <w:lang w:bidi="ar-SA"/>
        </w:rPr>
        <w:t>و انم الثمرة</w:t>
      </w:r>
    </w:p>
    <w:p>
      <w:pPr>
        <w:pStyle w:val="BookText"/>
        <w:rPr/>
      </w:pPr>
      <w:r>
        <w:rPr>
          <w:rFonts w:ascii="Amiri" w:hAnsi="Amiri" w:eastAsia="Amiri" w:cs="Amiri"/>
          <w:color w:val="111111"/>
          <w:sz w:val="28"/>
          <w:sz w:val="28"/>
          <w:szCs w:val="28"/>
          <w:rtl w:val="true"/>
          <w:lang w:bidi="ar-SA"/>
        </w:rPr>
        <w:t>و كان له ثلاث 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كلثوم و ام حبيب و آمنة أو اميمة</w:t>
      </w:r>
      <w:r>
        <w:rPr>
          <w:rStyle w:val="FootnoteAnchor"/>
          <w:rtl w:val="true"/>
        </w:rPr>
        <w:footnoteReference w:id="895"/>
      </w:r>
      <w:r>
        <w:rPr>
          <w:rFonts w:ascii="Amiri" w:hAnsi="Amiri" w:eastAsia="Amiri" w:cs="Amiri"/>
          <w:color w:val="111111"/>
          <w:sz w:val="28"/>
          <w:sz w:val="28"/>
          <w:szCs w:val="28"/>
          <w:rtl w:val="true"/>
          <w:lang w:bidi="ar-SA"/>
        </w:rPr>
        <w:t>، و زاد بعضهم رابعة و هي ام تميم، و من هنا عدّهم بعضهم من مثال الأربعة عشر</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و هناك أساطير و حكايات لا تغني و لا تسمن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الاخوان فجملة يطول عدّهم، و لكن قد يقع الاتفاق فيه بين الأخوين أو الاخوة في الاسم و هو من المتأخرين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قاله السخاوي في شرح الألفية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منه أحمد بن يحيى بن فضل اللّه العمري اخوان، و تميز غالبا باللقب أو الكنية و نحوه</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403667_2142443653"/>
      <w:bookmarkStart w:id="584" w:name="_Toc218"/>
      <w:bookmarkEnd w:id="583"/>
      <w:r>
        <w:rPr>
          <w:rtl w:val="true"/>
        </w:rPr>
        <w:t>و منها</w:t>
      </w:r>
      <w:r>
        <w:rPr>
          <w:rtl w:val="true"/>
        </w:rPr>
        <w:t xml:space="preserve">: </w:t>
      </w:r>
      <w:r>
        <w:rPr>
          <w:rtl w:val="true"/>
        </w:rPr>
        <w:t>معرفة اوطان الرواة و بلدانهم</w:t>
      </w:r>
      <w:bookmarkEnd w:id="584"/>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معرفة أوطانهم و بلدانهم، فإن ذلك ربما يميز بين الاسمين </w:t>
      </w:r>
    </w:p>
    <w:p>
      <w:pPr>
        <w:pStyle w:val="BookText"/>
        <w:rPr/>
      </w:pPr>
      <w:r>
        <w:rPr>
          <w:rFonts w:ascii="Amiri" w:hAnsi="Amiri" w:eastAsia="Amiri" w:cs="Amiri"/>
          <w:color w:val="111111"/>
          <w:sz w:val="28"/>
          <w:sz w:val="28"/>
          <w:szCs w:val="28"/>
          <w:rtl w:val="true"/>
          <w:lang w:bidi="ar-SA"/>
        </w:rPr>
        <w:t>المتفقين في اللفظ</w:t>
      </w:r>
      <w:r>
        <w:rPr>
          <w:rStyle w:val="FootnoteAnchor"/>
          <w:rtl w:val="true"/>
        </w:rPr>
        <w:footnoteReference w:id="897"/>
      </w:r>
      <w:r>
        <w:rPr>
          <w:rFonts w:ascii="Amiri" w:hAnsi="Amiri" w:eastAsia="Amiri" w:cs="Amiri"/>
          <w:color w:val="111111"/>
          <w:sz w:val="28"/>
          <w:sz w:val="28"/>
          <w:szCs w:val="28"/>
          <w:rtl w:val="true"/>
          <w:lang w:bidi="ar-SA"/>
        </w:rPr>
        <w:t>، و أيضا ربّما يستدل بذكر وطن الشيخ أو ذكر مكان السماع على الإرسال بين الروايتين</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قال الحاكم في معرفة علوم الحديث بعد عدّ هذا النوع الثاني و الأربعين من أنواع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علم قد زلق فيه جماعة من كبار العلماء بما يشتبه عليهم فيه، فأول ما يلزمنا من ذلك أن نذكر تفرق الصحابة من المدينة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انجلائهم عنها، و وقوع كل منهم إلى نواحي متفرقة، و صبر جماعة من الصحابة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عدّه ابن الصلاح في 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الخامس و الستون،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مما يفتقر حفاظ الحديث إلى معرفته في كثير من تصرفاتهم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عدّ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الثامن و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قبائل الرواة من الصحابة و التابعين و أتباعهم ثم إلى عصرنا هذا كل من له نسب من العرب مشهور، و جعل الجنس الآخر و هو معرفة نسخ العرب وقعت إلى العجم فصاروا رواتها و تفردوا بها حتى لا يقع إلى العرب في بلادهم منها إلا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الجنس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شعوب القبائل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شعب مؤتلفة في اللفظ مختلفة في قبيلتين،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المحدثين عرفوا بقبائل أخوالهم و أكثرهم من صميم العرب صلبية فغلبت عليهم قبائل 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 قد جعله من أنواع الحديث العراقي في ألفيته و تبعه السخاوي في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أوطان الرواة و بلدانهم، و قال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مهم جليل يعتني به كثير من علماء الحديث، لا سيما و ربما يتبين منه الراوي المدلس، و ما في السند من إرسال خفي و يزول به توهم 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إذا لم يعرف</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لهما اجتماع عند من لا يكتفي بالمعاصرة، و قد كانت العرب تنسب إلى القبائل، و إنما حدث لهم الانتساب إلى البلاد و الأوطان لما توطّنوا فسكنوا القرى و المدائن فضاعت الأنساب و لم يبق لها سوى الانتساب إلى البلدان و القرى فانتسبوا إليها كالعجم فاحتاجوا إلى ذكرها، فالساكن ببلد و إن قلّ ينسب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سكناه أربع سنين بعد أن كان قد سكن بلدا آخر، و حينئذ ينسب إلى أيهما شاء أو ينسب إليهما معا، مقدما للأول من البلدين سكنى</w:t>
      </w:r>
      <w:r>
        <w:rPr>
          <w:rStyle w:val="FootnoteAnchor"/>
          <w:rtl w:val="true"/>
        </w:rPr>
        <w:footnoteReference w:id="899"/>
      </w:r>
      <w:r>
        <w:rPr>
          <w:rFonts w:ascii="Amiri" w:hAnsi="Amiri" w:eastAsia="Amiri" w:cs="Amiri"/>
          <w:color w:val="111111"/>
          <w:sz w:val="28"/>
          <w:sz w:val="28"/>
          <w:szCs w:val="28"/>
          <w:rtl w:val="true"/>
          <w:lang w:bidi="ar-SA"/>
        </w:rPr>
        <w:t>، و يحسن عند ذلك ترتيب البلد الثاني بثمّ، فيقول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ثم الدمشقي، و الساكن بقرية بلد بناحية اقليم ينسب إلى أيها شاء من القرية و البلد و الناحية و الاقليم</w:t>
      </w:r>
      <w:r>
        <w:rPr>
          <w:rStyle w:val="FootnoteAnchor"/>
          <w:rtl w:val="true"/>
        </w:rPr>
        <w:footnoteReference w:id="900"/>
      </w:r>
      <w:r>
        <w:rPr>
          <w:rFonts w:ascii="Amiri" w:hAnsi="Amiri" w:eastAsia="Amiri" w:cs="Amiri"/>
          <w:color w:val="111111"/>
          <w:sz w:val="28"/>
          <w:sz w:val="28"/>
          <w:szCs w:val="28"/>
          <w:rtl w:val="true"/>
          <w:lang w:bidi="ar-SA"/>
        </w:rPr>
        <w:t>، فمن هو من أهل جبع مثلا له أن يقول في نسبته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الجبعي أو الصيداوي أو الشامي، و لو أراد الجمع بينهما فليبدأ بالأعم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الصيداوي الجبعي</w:t>
      </w:r>
      <w:r>
        <w:rPr>
          <w:rStyle w:val="FootnoteAnchor"/>
          <w:rtl w:val="true"/>
        </w:rPr>
        <w:footnoteReference w:id="901"/>
      </w:r>
      <w:r>
        <w:rPr>
          <w:rFonts w:ascii="Amiri" w:hAnsi="Amiri" w:eastAsia="Amiri" w:cs="Amiri"/>
          <w:color w:val="111111"/>
          <w:sz w:val="28"/>
          <w:sz w:val="28"/>
          <w:szCs w:val="28"/>
          <w:rtl w:val="true"/>
          <w:lang w:bidi="ar-SA"/>
        </w:rPr>
        <w:t>ليحصل بالتالي فائدة لم تكن لازمة في المقدم</w:t>
      </w:r>
      <w:r>
        <w:rPr>
          <w:rFonts w:eastAsia="Amiri" w:cs="Amiri" w:ascii="Amiri" w:hAnsi="Amiri"/>
          <w:color w:val="111111"/>
          <w:sz w:val="28"/>
          <w:szCs w:val="28"/>
          <w:rtl w:val="true"/>
          <w:lang w:bidi="ar-SA"/>
        </w:rPr>
        <w:t xml:space="preserve">. </w:t>
      </w:r>
      <w:bookmarkStart w:id="585" w:name="pg15042_155095"/>
    </w:p>
    <w:p>
      <w:pPr>
        <w:pStyle w:val="BookText"/>
        <w:rPr/>
      </w:pPr>
      <w:bookmarkEnd w:id="585"/>
      <w:r>
        <w:rPr>
          <w:rFonts w:ascii="Amiri" w:hAnsi="Amiri" w:eastAsia="Amiri" w:cs="Amiri"/>
          <w:color w:val="111111"/>
          <w:sz w:val="28"/>
          <w:sz w:val="28"/>
          <w:szCs w:val="28"/>
          <w:rtl w:val="true"/>
          <w:lang w:bidi="ar-SA"/>
        </w:rPr>
        <w:t>و كذا يبدأ في النسبة إلى القبائل بالأعم،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 الهاشمي، إذ لو عكس لم يبق للثاني فائدة</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الشائع وقوع النسبة إلى الصنائع كالخياطة، أو إلى الحرف كالبزاز أو ألقابا أو أوصافا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403669_2142443653"/>
      <w:bookmarkStart w:id="587" w:name="_Toc219"/>
      <w:bookmarkEnd w:id="586"/>
      <w:r>
        <w:rPr>
          <w:rtl w:val="true"/>
        </w:rPr>
        <w:t>و منها</w:t>
      </w:r>
      <w:r>
        <w:rPr>
          <w:rtl w:val="true"/>
        </w:rPr>
        <w:t xml:space="preserve">: </w:t>
      </w:r>
      <w:r>
        <w:rPr>
          <w:rtl w:val="true"/>
        </w:rPr>
        <w:t>معرفة من ذكر باسماء او صفات مختلفة</w:t>
      </w:r>
      <w:bookmarkEnd w:id="587"/>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من ذكر بأسماء أو صفات مختلفة من كنى أو ألقاب أو أنساب، أما من جماعة من الرواة عنه يعرفه كل واحد بغير ما عرفه الآخر، و من راو واحد عنه يعرّفه مرة بهذا و مرة بذاك فيلتبس على من لا معرفة عنده، بل على كثير من أهل المعرفة و الحفظ</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فنّ عويص تمس الحاجة إليه لمعرفة التدليس</w:t>
      </w:r>
      <w:r>
        <w:rPr>
          <w:rStyle w:val="FootnoteAnchor"/>
          <w:rtl w:val="true"/>
        </w:rPr>
        <w:footnoteReference w:id="90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أمثلته كثيرة لا تخفى على من لاحظ باب الأسماء و الألقاب و الكنى من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يتعرضون لترجمة الرجل تارة في الأسماء، و اخرى في الكنى، و ثالثة في الألقاب، و كفاك في ذلك مثالا سالم الذي يروي عن أبي سعيد الخدري، فإنه يعبّر عنه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عبد اللّه المدني، 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بسالم مولى مالك بن أوس بن الحدثان النصري، 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بسالم مولى شدّاد بن الهاد النصري،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بسالم مولى المهري، 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بسالم سبلان، 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بسالم أبي عبد اللّه الأوسي 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بسالم مولى دوس، و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عبد اللّه مولى شداد، و المراد بالكل واحد، فينبغي التفطّن و الفحص و العناية بذلك حتى لا يذكر الراوي مرة باسمه و اخرى بكنيته فيظنهما من لا معرفة له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جعل بعضهم ذلك أقساما</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وافقت كنيته اسم أبيه، و فائدته نفي الغلط عمّن نسب إلى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وافقت كنيته كنية زوجته، و فائدته دفع توهم تصحيف أداة الكنية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سمي بالكنية و لا اسم له غيرها، و له كنية اخرى كأبي بكر بن عبد الرحمن بن الحرث بن هشام المخزومي،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كنية له غير الكنية التي هي اسمه كأبي بلال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بكنيته و لم يعلم أن له اسما أم لا، كأبي أناس الصحابي، و أبي مويهبة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أبي الأبيض التابعي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لقّب بكنية و له اسم و كنية غيرها، كأبي الحسن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لقّبه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عليّ و كنيته أبو تراب</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و قد اهتمّ بهذا الفن العلماء و المحدثون و عدّ من أقسام أفراد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سنستدركه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يجعل الواحد اثنين لكونه يأتي تارة باسمه و اخرى بلقبه أو أكثر، لظنه في الألقاب أنها أسامي، و قد خلط جملة من الأعلام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قد صنف فيه جملة من العلماء و أئمة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الألقاب تارة تكون بألفاظ الأسماء كأشهب، و بالصنائع و الحرف كالبقال و الحائك، و بالصفات كالأعمش، و الكنى كابن بطن، و كذا النسبة إلى القبائل و البلدان و غيرها، و أمثلتها كثيرة، و يستحسن معرفة السبب الظاهر 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 و شرحها 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كنيتان أو أكثر كابن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الوليد، و أبي خالد و منصور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اختلف في كنيته دون اسمه كأسامة حيث </w:t>
      </w:r>
    </w:p>
    <w:p>
      <w:pPr>
        <w:pStyle w:val="BookText"/>
        <w:rPr/>
      </w:pPr>
      <w:r>
        <w:rPr>
          <w:rFonts w:ascii="Amiri" w:hAnsi="Amiri" w:eastAsia="Amiri" w:cs="Amiri"/>
          <w:color w:val="111111"/>
          <w:sz w:val="28"/>
          <w:sz w:val="28"/>
          <w:szCs w:val="28"/>
          <w:rtl w:val="true"/>
          <w:lang w:bidi="ar-SA"/>
        </w:rPr>
        <w:t>اختلف في كنيته،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كنيته و اختلف في اسمه كأبي هريرة، فإن في اسمه ثلاثين قولا على ما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اختلف في اسمه و كنيته جميعا، كسفينة مولى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كنيته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و أما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المعجمة، و الموحدة بينهما نون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ذكوان،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رباح،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مبعث،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فهذه اثنان و عشرون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باسم و كنية و لم يقع خلاف في شيء منهما، كعلي و أبي تراب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أمثلته في الرواة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اشتهر بكنيته مع العلم باسمه كأبي خديجة، حيث اشتهر بذلك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مكرم، و نظائره كثيرة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bookmarkStart w:id="588" w:name="pg15042_155099"/>
    </w:p>
    <w:p>
      <w:pPr>
        <w:pStyle w:val="BookText"/>
        <w:rPr/>
      </w:pPr>
      <w:bookmarkEnd w:id="588"/>
      <w:r>
        <w:rPr>
          <w:rFonts w:ascii="Amiri" w:hAnsi="Amiri" w:eastAsia="Amiri" w:cs="Amiri"/>
          <w:color w:val="111111"/>
          <w:sz w:val="28"/>
          <w:sz w:val="28"/>
          <w:szCs w:val="28"/>
          <w:rtl w:val="true"/>
          <w:lang w:bidi="ar-SA"/>
        </w:rPr>
        <w:t>معرفة كنى المعروفين بالأسماء حتى أنه إذا وجد التعبير عنه بكنيته لا يزعم كونه غير صاحب الاسم، و لذا تصدوا في كتب الرجال لذكر الكنى أيضا في تراجم الأسماء</w:t>
      </w:r>
      <w:r>
        <w:rPr>
          <w:rStyle w:val="FootnoteAnchor"/>
          <w:rtl w:val="true"/>
        </w:rPr>
        <w:footnoteReference w:id="906"/>
      </w:r>
      <w:r>
        <w:rPr>
          <w:rFonts w:ascii="Amiri" w:hAnsi="Amiri" w:eastAsia="Amiri" w:cs="Amiri"/>
          <w:color w:val="111111"/>
          <w:sz w:val="28"/>
          <w:sz w:val="28"/>
          <w:szCs w:val="28"/>
          <w:rtl w:val="true"/>
          <w:lang w:bidi="ar-SA"/>
        </w:rPr>
        <w:t>، و كذا الحال في معرفة الألقاب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Heading4"/>
        <w:numPr>
          <w:ilvl w:val="3"/>
          <w:numId w:val="1"/>
        </w:numPr>
        <w:rPr/>
      </w:pPr>
      <w:bookmarkStart w:id="589" w:name="__RefHeading___Toc403671_2142443653"/>
      <w:bookmarkStart w:id="590" w:name="_Toc220"/>
      <w:bookmarkEnd w:id="589"/>
      <w:r>
        <w:rPr>
          <w:rtl w:val="true"/>
        </w:rPr>
        <w:t>و منها</w:t>
      </w:r>
      <w:r>
        <w:rPr>
          <w:rtl w:val="true"/>
        </w:rPr>
        <w:t xml:space="preserve">: </w:t>
      </w:r>
      <w:r>
        <w:rPr>
          <w:rtl w:val="true"/>
        </w:rPr>
        <w:t>معرفة الوحدان</w:t>
      </w:r>
      <w:bookmarkEnd w:id="590"/>
    </w:p>
    <w:p>
      <w:pPr>
        <w:pStyle w:val="BookText"/>
        <w:rPr/>
      </w:pPr>
      <w:r>
        <w:rPr>
          <w:rFonts w:ascii="Amiri" w:hAnsi="Amiri" w:eastAsia="Amiri" w:cs="Amiri"/>
          <w:color w:val="111111"/>
          <w:sz w:val="28"/>
          <w:sz w:val="28"/>
          <w:szCs w:val="28"/>
          <w:rtl w:val="true"/>
          <w:lang w:bidi="ar-SA"/>
        </w:rPr>
        <w:t>معرفة الوحدان</w:t>
      </w:r>
      <w:r>
        <w:rPr>
          <w:rStyle w:val="FootnoteAnchor"/>
          <w:rtl w:val="true"/>
        </w:rPr>
        <w:footnoteReference w:id="907"/>
      </w:r>
      <w:r>
        <w:rPr>
          <w:rFonts w:ascii="Amiri" w:hAnsi="Amiri" w:eastAsia="Amiri" w:cs="Amiri"/>
          <w:color w:val="111111"/>
          <w:sz w:val="28"/>
          <w:sz w:val="28"/>
          <w:szCs w:val="28"/>
          <w:rtl w:val="true"/>
          <w:lang w:bidi="ar-SA"/>
        </w:rPr>
        <w:t>و هو من لم يرو عنه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فائدة معرفته عدم قبول رواية غير ذلك الواحد عنه</w:t>
      </w:r>
      <w:r>
        <w:rPr>
          <w:rStyle w:val="FootnoteAnchor"/>
          <w:rtl w:val="true"/>
        </w:rPr>
        <w:footnoteReference w:id="908"/>
      </w:r>
      <w:r>
        <w:rPr>
          <w:rFonts w:ascii="Amiri" w:hAnsi="Amiri" w:eastAsia="Amiri" w:cs="Amiri"/>
          <w:color w:val="111111"/>
          <w:sz w:val="28"/>
          <w:sz w:val="28"/>
          <w:szCs w:val="28"/>
          <w:rtl w:val="true"/>
          <w:lang w:bidi="ar-SA"/>
        </w:rPr>
        <w:t xml:space="preserve">، و مثال ذلك في الصحابة وهب بن خنبش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الخاء المعجمة و الموحدة بينهما نون 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الطائي الكوفي، و عروة بن مضرس، و محمد بن صفوان الأنصاري، و محمد بن صيفي الأنصاري صحابيون لم يرو عنهم غير الشعبي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العشراء الدارمي لم يرو عنه غير </w:t>
      </w:r>
      <w:bookmarkStart w:id="591" w:name="pg15042_155100"/>
    </w:p>
    <w:p>
      <w:pPr>
        <w:pStyle w:val="BookText"/>
        <w:rPr/>
      </w:pPr>
      <w:bookmarkEnd w:id="591"/>
      <w:r>
        <w:rPr>
          <w:rFonts w:ascii="Amiri" w:hAnsi="Amiri" w:eastAsia="Amiri" w:cs="Amiri"/>
          <w:color w:val="111111"/>
          <w:sz w:val="28"/>
          <w:sz w:val="28"/>
          <w:szCs w:val="28"/>
          <w:rtl w:val="true"/>
          <w:lang w:bidi="ar-SA"/>
        </w:rPr>
        <w:t xml:space="preserve">حماد بن سلمة، و تفرد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نيف و عشرين من التابعين لم يرو عنهم غيره منهم</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403673_2142443653"/>
      <w:bookmarkStart w:id="593" w:name="_Toc221"/>
      <w:bookmarkEnd w:id="592"/>
      <w:r>
        <w:rPr>
          <w:rtl w:val="true"/>
        </w:rPr>
        <w:t>و منها</w:t>
      </w:r>
      <w:r>
        <w:rPr>
          <w:rtl w:val="true"/>
        </w:rPr>
        <w:t xml:space="preserve">: </w:t>
      </w:r>
      <w:r>
        <w:rPr>
          <w:rtl w:val="true"/>
        </w:rPr>
        <w:t>معرفة كنى المعروفين بالاسماء</w:t>
      </w:r>
      <w:bookmarkEnd w:id="593"/>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ضبط المفردات من الأسماء و الألقاب و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فن حسن لازم المراعاة حتى لا يشتبه شخص بآخر، و قد أفردوا ذلك بالتصنيف، و صنف فيه آية اللّه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ايضاح الاشتباه، و يوجد في تراجم جملة من الرواة في كتب الرجال</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403675_2142443653"/>
      <w:bookmarkStart w:id="595" w:name="_Toc222"/>
      <w:bookmarkEnd w:id="594"/>
      <w:r>
        <w:rPr>
          <w:rtl w:val="true"/>
        </w:rPr>
        <w:t>و منها</w:t>
      </w:r>
      <w:r>
        <w:rPr>
          <w:rtl w:val="true"/>
        </w:rPr>
        <w:t xml:space="preserve">: </w:t>
      </w:r>
      <w:r>
        <w:rPr>
          <w:rtl w:val="true"/>
        </w:rPr>
        <w:t>معرفة المنسوبين الى غير آبائهم</w:t>
      </w:r>
      <w:bookmarkEnd w:id="595"/>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معرفة المنسوبين إلى غير آبائهم</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فائدتها دفع توهم التعدد عند نسبتهم إلى آبائهم</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انظر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المغيث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أمثلته كثيرة، فممن نسب إلى امه ابن الحنفية أبوه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خولة من بني حنيفة، و ممن نسب إلى جدته الدنيا يعلى بن منية صحابي مشهور، نسب إلى ام امه، و أبوه امية بن أبي عبيد، و ممن نسب إلى جدته العليا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بشير بن الخصاصية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مشهور نسب إلى ام الثالث من أجداده على ما قيل</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لنزوله بها، و سليمان بن طرخان</w:t>
      </w:r>
      <w:r>
        <w:rPr>
          <w:rStyle w:val="FootnoteAnchor"/>
          <w:rtl w:val="true"/>
        </w:rPr>
        <w:footnoteReference w:id="911"/>
      </w:r>
      <w:r>
        <w:rPr>
          <w:rFonts w:ascii="Amiri" w:hAnsi="Amiri" w:eastAsia="Amiri" w:cs="Amiri"/>
          <w:color w:val="111111"/>
          <w:sz w:val="28"/>
          <w:sz w:val="28"/>
          <w:szCs w:val="28"/>
          <w:rtl w:val="true"/>
          <w:lang w:bidi="ar-SA"/>
        </w:rPr>
        <w:t>التيمي أبو المعتمر نزل في بني تيم و ليس منهم</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bookmarkStart w:id="596" w:name="pg15042_155103"/>
    </w:p>
    <w:p>
      <w:pPr>
        <w:pStyle w:val="Heading2"/>
        <w:numPr>
          <w:ilvl w:val="1"/>
          <w:numId w:val="1"/>
        </w:numPr>
        <w:rPr/>
      </w:pPr>
      <w:bookmarkStart w:id="597" w:name="__RefHeading___Toc403677_2142443653"/>
      <w:bookmarkStart w:id="598" w:name="_Toc223"/>
      <w:bookmarkEnd w:id="596"/>
      <w:bookmarkEnd w:id="597"/>
      <w:r>
        <w:rPr>
          <w:rtl w:val="true"/>
        </w:rPr>
        <w:t>فهرس الجزء الثالث من مقباس الهداية في علم الرواية</w:t>
      </w:r>
      <w:bookmarkEnd w:id="59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الالفاظ التي لا تعنيه مدحا و لا قدحا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القطعي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اصل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بحث في الاصول الأربعمائة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الفرق بين له اصل و له كتاب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معنى النوادر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معنى له كتاب أو 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دلالة لفظ له كتاب او ذا مصنف او ذا أصل أو نوادر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الالفاظ المستعملة في كتب الرجال لا ربط لها بعالم المدح و الذم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النموذج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المشيخة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التلميذ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المملي و المستملي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الرهط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الصحابي و التابعي و المخضرمي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الراوي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شرف علم الحديث، و كيفية تحمله، و طرق نقله و آدابه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أهلية التحمل، و فيه مطالب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العقل و التمييز في التحمل بالسماع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الاسلام و لا الايمان و لا البلوغ و لا العدالة في تحمل الحديث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تحديد السن لمن يتحمل الرواية في الابتداء و الانتهاء </w:t>
      </w:r>
      <w:r>
        <w:rPr>
          <w:rFonts w:eastAsia="Amiri" w:cs="Amiri" w:ascii="Amiri" w:hAnsi="Amiri"/>
          <w:color w:val="111111"/>
          <w:sz w:val="28"/>
          <w:szCs w:val="28"/>
          <w:lang w:bidi="ar-SA"/>
        </w:rPr>
        <w:t>62</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المروي عنه إن يكون اكبر من الراوي سنا و لا رتبة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طرق تحمل الحديث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من لفظ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مطالب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الطريق اعلى طرق التحمل و أرفع اقسامه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هذا الوجه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اداء الحديث المتحمل بالسماع أو الاستماع من الشيخ العبارات الواردة و بيان اعلاها في التأدية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حدثني و حدثنا في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ثم انبانا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ادنى العبارات الواقعة في هذا الطريق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التحمل و السماع و الرواية لمن لا يفهم المقروء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اجازة الشيخ للسامعين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احكام المستملي و كيفية الرواية عنه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علم المحدث بالسامعين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على الشيخ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و هنا مطالب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انحاء هذا الطريق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يتحمل بهذا الطريق من الاخبار رواية صحيحة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الطريق يساوي السماع أو يرجح عليه؟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اداء المتحمل بالقراءة اذا اراد رواية ذلك الحديث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هل يجوز اطلاق حدثنا و اخبرنا و انبانا في هذا الطريق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القراءة على الشيخ و السماع منه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قرى على الشيخ و لم ينكر و لم يتكلم بما يقتضي الاقرار به، فهل يصح السماع و تجوز الرواية؟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اصطلحه عدة من المحدثين في السماع </w:t>
      </w:r>
      <w:r>
        <w:rPr>
          <w:rFonts w:eastAsia="Amiri" w:cs="Amiri" w:ascii="Amiri" w:hAnsi="Amiri"/>
          <w:color w:val="111111"/>
          <w:sz w:val="28"/>
          <w:szCs w:val="28"/>
          <w:lang w:bidi="ar-SA"/>
        </w:rPr>
        <w:t>100</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الترائي في صحة التحمل بالسماع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الاجازة لغة و اصطلاحا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و هنا مطالب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تحمل الرواية بالاجازة؟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الإجازة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الضرب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معين لمعين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معين بغير معين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الضرب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اجازه لغير معين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الضرب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يكون المجاز أو المجاز فيه مجهولا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الضرب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الاجازة على الشرط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الضرب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للمعدوم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الضرب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لموجود فاقد لأحد شروط اداء الرواية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الضرب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الاجازة بما لم يتحمله المجيز من الحديث بعد بوجه ليرويه عنه المجاز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الضرب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المجاز لغيره بما تحمله بالاجازة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هنا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يلزم من يروي بالاجازة عن الإجازة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من صحة الإجازة العلم؟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للمجيز بالكتابة إن يتلفظ بالاجازة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الإجازة القبول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 هي حزبان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المناولة المقرونة بالإجازة، و لها مراتب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يدفع الشيخ الى الطالب الأصل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يدفع الطالب الى الشيخ سماعه فيتأمله الشيخ </w:t>
      </w:r>
    </w:p>
    <w:p>
      <w:pPr>
        <w:pStyle w:val="BookText"/>
        <w:rPr/>
      </w:pPr>
      <w:r>
        <w:rPr>
          <w:rFonts w:ascii="Amiri" w:hAnsi="Amiri" w:eastAsia="Amiri" w:cs="Amiri"/>
          <w:color w:val="111111"/>
          <w:sz w:val="28"/>
          <w:sz w:val="28"/>
          <w:szCs w:val="28"/>
          <w:rtl w:val="true"/>
          <w:lang w:bidi="ar-SA"/>
        </w:rPr>
        <w:t xml:space="preserve">و يقول هو حديثي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يناول الشيخ الطالب سماعه و يجيزه ثم يسترجعه الشيخ و يمسكه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يأتي الطالب الشيخ بكتاب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روايتك فناولنيه و اجزني روايته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اجاز من لا يوثق به ثم بآن أنه يوثق به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عني بما فيه إن كان حديثي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المناولة المجردة عن الاجازة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الفاظ الأداء لمن تحمل بالاجازة و المناولة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 هنا مطالب</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على حزبين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الكتابة مقرونة بالاجازة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الكتابة المجردة عن الاجازة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ما يعتبر في الكتابة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الكتابة أنزل من السماع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الاداء لمن روى بالكتابة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الاعلام</w:t>
      </w:r>
    </w:p>
    <w:p>
      <w:pPr>
        <w:pStyle w:val="BookText"/>
        <w:rPr/>
      </w:pPr>
      <w:r>
        <w:rPr>
          <w:rFonts w:ascii="Amiri" w:hAnsi="Amiri" w:eastAsia="Amiri" w:cs="Amiri"/>
          <w:color w:val="111111"/>
          <w:sz w:val="28"/>
          <w:sz w:val="28"/>
          <w:szCs w:val="28"/>
          <w:rtl w:val="true"/>
          <w:lang w:bidi="ar-SA"/>
        </w:rPr>
        <w:t xml:space="preserve">حكم الرواية بالاعلام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حكم الرواية بالوجادة مع الإجازة و عدمها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حكم الرواية بالوجادة الموثوق بها من دون اجازه </w:t>
      </w:r>
      <w:r>
        <w:rPr>
          <w:rFonts w:eastAsia="Amiri" w:cs="Amiri" w:ascii="Amiri" w:hAnsi="Amiri"/>
          <w:color w:val="111111"/>
          <w:sz w:val="28"/>
          <w:szCs w:val="28"/>
          <w:lang w:bidi="ar-SA"/>
        </w:rPr>
        <w:t>168</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دواعي الإجازة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كتابا شهد عدلان عندنا به فهل يجوز العمل به و الرواية عنه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اقسام التحمل جارية في المعصوم عليه السّلام ايضا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كتابة الحديث و ضبطه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يشترط في كاتب الحديث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كيفية ضبط الحروف المهملة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لكاتب الحديث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يجعل بين كل حديثين دائرة للفصل بينهما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يفصل بين الاسماء المضافة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يكتب رسول اللّه أو نبي اللّه بشكل منفصل في الاسطر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الثناء على اللّه سبحانه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التحية و السّلام بعد اسماء المعصومين عليهم الصلاة و السّلام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الترضي و الترحم على الفقهاء و المحدثين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على كاتب الحديث مقابلة كتابه باصل شيخه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تخريج الساقط في الحواشي اللحق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التصحيح و التضبيب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وقع في الكتاب ما ليس منه نفي عنه اما بالضرب عليه أو الحك له أو المحو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كيفية الضرب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جملة من الرموز المتعارفة عند المحدثين </w:t>
      </w:r>
      <w:r>
        <w:rPr>
          <w:rFonts w:eastAsia="Amiri" w:cs="Amiri" w:ascii="Amiri" w:hAnsi="Amiri"/>
          <w:color w:val="111111"/>
          <w:sz w:val="28"/>
          <w:szCs w:val="28"/>
          <w:lang w:bidi="ar-SA"/>
        </w:rPr>
        <w:t>217</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الحيلولة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كتابة التسميع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كيفية رواية الحديث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و فيه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يجوز به رواية الحديث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رواية الاعمى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رواية الكتابة او النسخة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وجد الحافظ في كتابه خلاف ما حفظه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رواية الحديث بالمعنى، ثمان اقوال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حجة المجوزين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حجة المانعين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حجة القول الثالث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حجة القول الرابع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حجة القول الخامس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حجة القول السادس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حجة القول السابع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حجة القول الثامن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التي تلزم في نقل الحديث بالمعنى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نقل الاحاديث الواردة في الأدعية و الاذكار و الأوراد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الحكم في النقل عن المصنفات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حديثا بالمعنى إن يقول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 كما قال او نحوه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نقل مجملا و فسره بأحد محامله </w:t>
      </w:r>
      <w:r>
        <w:rPr>
          <w:rFonts w:eastAsia="IRNazanin" w:cs="IRNazanin"/>
          <w:color w:val="111111"/>
          <w:sz w:val="28"/>
          <w:szCs w:val="28"/>
          <w:lang w:bidi="fa-IR"/>
        </w:rPr>
        <w:t>254</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تقطيع الحديث و اختصاره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تقطيع الحديث الواحد في المصنف</w:t>
      </w:r>
    </w:p>
    <w:p>
      <w:pPr>
        <w:pStyle w:val="BookText"/>
        <w:rPr/>
      </w:pPr>
      <w:r>
        <w:rPr>
          <w:rFonts w:ascii="IRNazanin" w:hAnsi="IRNazanin" w:eastAsia="IRNazanin"/>
          <w:color w:val="111111"/>
          <w:sz w:val="28"/>
          <w:sz w:val="28"/>
          <w:szCs w:val="28"/>
          <w:rtl w:val="true"/>
          <w:lang w:bidi="fa-IR"/>
        </w:rPr>
        <w:t>المطلب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فينبغي للشيخ ان لا يروي الحديث بقراءة لحان و لا مصحف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ما ينبغي تعلمه للمحدث قبل الشروع في الحديث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اصلاح التحريف و التصحيف في الكتاب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المطلب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من روى عن اثنين او اكثر متفقين في المعنى دون اللفظ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اذا سمع من جماعة كتابا و قابل نسخته باصل بعضهم دون الباقي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المطلب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يصح للراوي إن يزيد في نسب غير شيخه من رجال السنة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المطلب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جرت العادة بحذف بعض الألفاظ كقال و نحوه بين رجال السنة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المطلب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اشتمل من النسخ و الابواب على احاديث متعدده باسناد واحد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المطلب 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قدم المتن على الاسناد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من روى حديثا باسناد له ثم اتبعه باسناد آخر و حذف متنه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المطلب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ذكر حديثا بسنده و متنه ثم ذكر اسنادا آخر و بعض المتن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المطلب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روى حديثا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حاز رواية المتحمل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العكس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المطلب الرابع عشر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في سماعه وهن أو ضعف لزم بيانه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المطلب 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تحمل حديثا عن رجلين أحدهما ثقة و الآخر مجروح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من تحمل بعض حديثا عن شيخ و بعضه عن آخر لم يجز إن يرويه جميعا عن احدهما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المقام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آداب التحديث و المحدث و طالب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 فيه موضعان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آداب التحديث و المحدث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التطهير لمجلس الحديث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يتحدث بحضرة من هو اولى منه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يمتنع من تحديث أحد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مجلس الاملاء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ذلك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آداب طالب الحديث و هي أمور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Amiri" w:hAnsi="Amiri" w:eastAsia="Amiri" w:cs="Amiri"/>
          <w:color w:val="111111"/>
          <w:sz w:val="28"/>
          <w:sz w:val="28"/>
          <w:szCs w:val="28"/>
          <w:rtl w:val="true"/>
          <w:lang w:bidi="ar-SA"/>
        </w:rPr>
        <w:t xml:space="preserve">من اسماء الرجال و طبقاتهم و ما يتصل به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و هنا مطالب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حد الصحابي و التابعي و المخضرم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تعريف الصحابي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مراتب الصحابة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افضل الصحابة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معنى التابعي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معنى المخضرم </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رواية الاكابر عن الاصاغر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يلزم معرفة امور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طبقات الرواة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مواليد الرواة و غيره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الموالي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الاخوة و الاخوات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اوطان الرواة و بلدانهم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من ذكر باسماء او صفات مختلفة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كنى المعروفين بالاسماء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الوحدان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ضبط المفردات من الاسماء و الالقاب و الكنى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المنسوبين الى غير آبائهم </w:t>
      </w:r>
      <w:r>
        <w:rPr>
          <w:rFonts w:eastAsia="Amiri" w:cs="Amiri" w:ascii="Amiri" w:hAnsi="Amiri"/>
          <w:color w:val="111111"/>
          <w:sz w:val="28"/>
          <w:szCs w:val="28"/>
          <w:lang w:bidi="ar-SA"/>
        </w:rPr>
        <w:t>337</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النسبة التي على خلاف ظاهرها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أحمد بن الحسن بن علي بن محمد بن فضال مولى عكرمة بن ربعي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إبراهيم بن عربي الأسدي مولاهم و كم له من نظير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إبراهيم بن أبي محمود الخراساني مولى، و أحمد بن أبي بشر السراج كوفي مولى، و نظائرهم في الرجال كثير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صفوان بن مهران بن المغيرة الأسدي مولاهم ثم مولى بني 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بن موسى بن سالم مولى بني أسد ثم بني والبة، و غيرهما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اللفظة في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بحث مسهب جدا للعلامة الأميني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اللفظة، يغني عن كل تطويل و بحث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 عدّها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 عشرين معنى، فراجع</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العجمية مصحف المولى و السيد و المالك، و زعم أنه مصحف مولى بمعنى العربي الغير خالص 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الخالص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إلا أن النووي و تبعه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منهم من يقال فيه مولى فلان و يراد مولى عتاقة، و هو الغالب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يراد به مولى الإسلام كالبخاري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جدّه المغيرة كان مجوسيا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البهبهانية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ناقش البعض فيها أنها دعوى بلا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 ياسين بن صلاح الدين في معين النبيه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ادعى أنه عند الإطلاق و خفاء القرائن يراد به النزيل أو التابع لم يكن بعيدا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صفحة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مرجع الجميع الى نص أهل المعرفة عليه، و في كتب الرجال تنبيه على بعضه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الانصراف المصطلح هو انسياق اللفظ الى بعض أفراده و مصاديقه لكثرة الاستعمال فيه و شيوعه عليه بحيث صار الذهن مأنوسا به، لا أنه وضع له خاصة مع هجر مصاديقه الأخرى، فما ذكره رحمه اللّه من انصراف اللفظ الى المعنى الوضعي الابتدائي أو الثانوي بعد هجره عن المعنى الأول خروج عن الاصطلاح، فتدبر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لا ينافي حمل اطلاق المولى على بعض ما ذكر من المعاني الاصطلاحية أو اللغوية التعبير عن ذلك المعنى في مقام آخر بلفظ آخر صريح فيه أو ظاهر كما قيل في أبان بن عمر الأسدي إنه ختن آل ميثم، و في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رافع أنه عتيق رسول اللّه صلّى اللّه عليه و آله و سلّم، و في أحمد بن إسحاق الأشعري أنه كان واقد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 الظاهر وافد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القميين، و في الصدوق إنه نزيل الري، و في إبراهيم بن أحمد بن محمد الحسيني الموسوي الرومي إنه نزيل دار النقابة بالري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و ذلك لإرادة التنصيص و الظهور في مقام دون آخر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 و هو غلط</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الحسن بن راشد أو الحسن أنه مولى بني العباس</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هنا يظهر قولهم مولى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يراد واحد من المعصومين عليهم السّلام، و قد ذهب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إظهار ذلك أيضا للاعتناء بشأنهم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أسد اللّه الشوشتري في مقباس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الى القاضي ابن 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غلمان المرتضى، و كان خصيصا بالشيخ، و تلمّذ عليه، و صار خليفته في البلاد الشامية، و حكى عن مقباس الدراية و ريحانة الأدب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في اصطلاح علماء الرجال و الدراية عبارة عن التلميذ و الذي يربّى</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زيادات المصنف في الطبعة الثانية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سمكة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هو عبد العزيز بن نحرير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 العزيز بن البراج أبو القاسم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عمرو محمد بن عمر بن عبد العزيز الكشي،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هنا بياض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حين، و لا يستقيم المعنى بدون حين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يستعمل في حق بعض الأعاظم و يتوهم أن المراد منه العبد، و هو من خلط اللغتين العربية و الفارسية، و إلا فلا تقف في كتب اللغة و قواميس الألفاظ على هذا المعنى، و الظاهر أن المراد بالكل التلميذ في مثل هذه الموارد، كما صرح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 المولى الكني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المكملات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يضمّ الى التوثيق و ذكر أسباب الحسن و القوة إظهارا لزيادة الكمال فهو من المكملات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على حق فيما أفاد إذا كان حقا أو في أهل البيت سلام اللّه عليهم أجمعين، و كذا لفظ القارئ</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وجهه ما رواه زرارة عن أبي عبد اللّه عليه السّلام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الكوفة لم يزل فيهم كذاب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كما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لا يخفى ما فيه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الطبعتين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نحوهما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طبعة صبحي الصالح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الفرزدق بن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حكاه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أو مضافة الى باب من العلم كالمناقب أو المثالب أو تهذيب الأخلاق أو عمل يوم و ليلة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ذلك</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قيل بدلالة بعض هذه الألفاظ على التوثيق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 المحدث النوري في مستدرك وسائل الشيعة، و قد مرّ في مستدركنا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بيانه و مناقشته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أجوبة مسائل جعفر بن محمد أربعمائة مصنف لأربعمائة مصنف سموها أصولا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الإسلامية طهران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كلامه ليس صريحا في ذلك، و إن كان نسب ذلك له الحر العاملي في أمل الآمل، و ناقشه السيد الخوئي في معجمه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سهو من قلمه الشريف، فإن ابن شهرآشوب لم يذكر هذا في معالم العلماء، و إنما ذكره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الآخوندي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الوحيد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مصنفاتهم أزيد من الأصول، فلا بد من وجه تسمية بعضها أصولا دون 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حكاه في شعب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الدربندي في المقابيس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صنف الإمامية من عهد أمير المؤمنين صلوات اللّه عليه الى عهد أبي محمد الحسن العسكري عليه السّلام أربعمائة كتاب تسمى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منافاة بين كلام الأعلام و الشيخ المفيد أعلى اللّه مقامه، و ما يبدو بدوي، و ذلك لأن الشيخ لم يرد الحصر لجميع مصنفاتهم في مجموع تلك المدة بلا شك في هذه الكتب الموسومة بالأصول، و لا أن هاتيك الأصول تأليفها كان موزعا على جميع تلك المدة، لاحظ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الصادق عليه السّلام من العلوم ما لم ينقل عن أحد، و قد جمع أصحاب الحديث اسماء الرواة من الثقات على اختلافهم في الآراء و المقالات، و كانوا أربعة آلاف 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ابن عقدة مصنف كتاب الرجال لأبي عبد اللّه عددهم فيه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و الظاهر أنه اشتباه في الاسم و قد وقع هنا غلط مبدئه الوحيد البهبهاني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تابعه المصنف و غيره كالاسترابادي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زكار بن يحيى الواسطي حيث قال الشيخ في 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الرجال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الفضائل و له 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أكثر من مكان و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الحسين بن عبيد اللّه سمعت شيوخنا يقولون روى معاوية بن حكيم أربعة و عشرين أصلا لم يرو غيرها و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زيادات الطبعة الثانية من المصنف رحمه 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ترجمته و مصنفاته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الميم، مفصلا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كتبه هناك</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يزيد على ذلك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له ترجمة ضافية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الميم، المعروف بالصابوني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مقدمة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ذكره في لب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أيدّ الوحيد كلامه بما ذكره الشيخ رحمه اللّه في زكريا بن يحيى الواسطي من أن له كتاب الفضائل و له أصل،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التأييد نظر، إلا أن ما ذكره لا يخلو من قرب و ظهور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هذا القول بما في الفهرست في ترجمة الحسين بن أبي العلاء من ان له كتابا يعدّ في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كلام الأعلام نظر بيّن، إذ غاية ما يلزم من كلامهم هو كون الأصل و الكتاب مختلفين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وجه الاختلاف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اضطراب في النقل و الرد، و كلام في كتاب سليم بن قيس هل هو من الأصول أم لا، و مراجعة التعليقة و مستدركنا في موارد متعددة يظهر وجوه التأمل، فلاحظ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العبارة في الفهرست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نوح، يكنى أبا العباس السيرافي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تصانيف منها كتاب الرجال الذين رووا عن أبي عبد اللّه عليه السّلام و زاد على ما ذكره ابن عقدة كثيرا، و له كتب في الفقه على ترتيب الأصول، و ذكر الاختلاف فيها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 أن لازمه كون كتب النوادر كلها أصولا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يقل بذلك أحد، بل كل الرسائل و النسخ و المسائل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لازمه تفضيل الكتاب لتبويبه على الأصل لتجميعه، مع أن الأمر بالعكس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ترى قول النجاشي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علي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كتابه نرويه تارة مبوبا و تارة غير مبوب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المعكوفين 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المصنف رحمه اللّه في الطبعة الثانية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كثيرا من الكتب التي وصلت بأيدينا ككتاب سليم بن قيس الهلالي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كتاب علي بن جعفر و غيرهما تخلو من كلام مصنفيها، و مع ذلك لم تعدّ من الأصول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كثيرا ما يؤخذ مشافهة و لا تعدّ أصلا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ascii="IRNazanin" w:hAnsi="IRNazanin" w:eastAsia="IRNazanin"/>
          <w:b w:val="false"/>
          <w:b w:val="false"/>
          <w:bCs w:val="false"/>
          <w:i w:val="false"/>
          <w:i w:val="false"/>
          <w:iCs w:val="false"/>
          <w:color w:val="333333"/>
          <w:sz w:val="20"/>
          <w:sz w:val="20"/>
          <w:szCs w:val="20"/>
          <w:rtl w:val="true"/>
        </w:rPr>
        <w:t>، و قاله في التنقيح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ناقشه في دراسة حول الأصول الأربعمائة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لم نجد أي تصريح من المتقدمين بأن الأصل هو الكتاب المعتمد، بل نجد تصريحهم بضعف المؤلف الذي هو من أصحاب الأصول كعلي بن حمزة البطائني، فقد روى الشيخ الطوسي في كتاب الغيبة لعن الرضا عليه السّلام إياه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لم يرد في حقه توثيق جمع كثير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 يمكن تأييد ذلك من أن تسميتها أصولا جاء من ابتناء الدين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في تهذيب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الأصل كل ما صنفه أصحاب الصادق عليه السّلام فيما سمعوه منه و كان ذلك أربعمائة كتاب تسمى بالأصول، و قد عمّمه بعضهم لما صنفه الامامية من عهد أمير المؤمنين عليه السّلام الى زمان العسكري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الدربندي في المقابيس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آخر قال في المقابيس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داب أصحاب الأصول أنهم إذا سمعوا من أحدهم عليهم السّلام حديثا بادروا الى ضبطه في أصولهم من غير تأخير،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حريز بن عبد اللّه السجستاني كلاّ تعدّ في الأصول و لا تعدّ فيها كتب الحسن بن محبوب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المولى ملا علي كني في كتابه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الواو زائدة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علّة 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مكتوب محفوظ أو أنّه فيما لا تصل الأيدي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علّق المصنّف رحمه اللّه على الأيادي بكلمة الأيدي ثمّ رمز لها بالظّاهر، و لعلّ نسخته مغلوطة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اتّخاذ</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ألف و 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و هو الظّاهر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بألفاظ متقاربة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في مقدّمة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لا يخفى لأنّ في نوادر الصّلاة مثلا يذكر حديثا في القبلة و القيام و سجدة السّهو مثلا ممّا بوّب في محلّه من أبواب الصّلاة و مع ذلك لا يورده في بابه، و قلّته لا تمنع من ذلك، و لو تمّ فبغيره كثير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لا يوجد في الطّبعة الأولى</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مسار الشّيعة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إيران،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فهرست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و العبارة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أي أخبار متفرّقة مناسبة للأبواب السّابقة، و لا يمكن إدخالها فيها، و لا عقد باب لها، لأنّها لا يجمعها باب، و لا يمكن عقد باب لكل منها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ذهب الصّدوق رحمه اللّه إلى أنّ شهر رمضان يصيبه ما يصيب الشّهور من النّقص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صوم التّطوّع</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الى رواية حذيفة، و الشّيخ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يصلح العمل بحديث حذيفة، لأن متنها لا يوجد في شيء من الأصول المصنّفة بل هو موجود في شواذ الأخبار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النّوادر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مستعمل عندهم رضي اللّه عنهم في معناه المعروف، و هو أعم مطلقا من الأصل و النّوادر، فإنّه يطلق على الأصل كثيرا، منه ما يأتي في ترجمة أحمد بن محمد بن عمّار و أحمد بن ميثم و إسحاق بن جرير و الحسين بن أبي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البهبهاني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أيضا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معين النّبيه في رجال من لا يحضره الفقيه، 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مولانا المجلسي رحمه اللّه عن والده الاكتفاء في اعتبار الرّجل بكونه من أهل التّصنيف، فقولهم له كتاب أو له أصل مدح له و وصف إليه و 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قرّبه هو و هو حسن مع ما سمعت ممّا تلوناه عليك في المقدّمة الخامسة من أنّ الحاجة الى ذكر الإسناد و بيان الطّريق ليس إلاّ التّبرّك و اتّصال السلسلة و الاقتداء بسنة السّلف و حذرا من تعبير مخالفينا لنا بالجزم بأن أولئك المصنّفين إنّما رووا من الكتب المصنّفة و نقلوها من الأصول الممهّدة و الأخبار الموثّقة و ليس ذلك من الأفواه و لا حفظوها من السّماع، و لا يخفى ما فيه ثبوتا و إثباتا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 رجال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رجال الخاقاني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الأصل، و كذا 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متقاربة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تعليقة البهبهاني المطبوعة ذيل رجال الخاقاني بدلا من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أمر بالتأمل بعده، و لعل المصنّف رحمه اللّه نقل عبارة الوحيد عن منتهى المقال الّذي من ديدنه نقل عبارات المولى الوحيد بتصرّف يسير، لتقارب ألفاظهما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 الصّفحة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المولى الوحيد في التعليقة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الرّجل ذا كتاب لا يخرجه عن الجهالة إلاّ عند بعض لا 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أهل الكمال في علم الرجال للشيخ أبي الحسن سليمان بن عبد اللّه بن علي بن الحسن البحراني الستري الماحوزي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شرح لفهرست الشيخ الطوسي رحمه اللّه بلغ به إلى حرف التاء، مخطوط، توجد لدينا منه نسخة مصورة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العبارة من قصور و تشويش،</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حكي عن البلغة استفادة الحسن من قولهم له أصل خاصة كما في التوضيح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المولى ملاّ علي كني الطهراني رحمه اللّه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الحديث</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ترجمة برقم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للوحيد البهبهاني رحمه اللّه في حاشيته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حفص ابن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للاسترابادي في منهج المقال، فلاحظ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طلحة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الخرج النهدي الشامي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منشأ كلامه ما جاء في ترجمته في فهرست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عامي المذهب الا ان كتابه معتمد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الأصول و أصحابها</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معرب من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دهخدا في موسوعته اللغوية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من الرومية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أقيانوس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هنا حكى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الأزهري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بعربي محض</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تقريب النووي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إذ الذي فسره هكذا هو السيوطي في تدريب الراوي في شرح تقريب النووي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 في شرح تقريب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فيها ثلاث لغات،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ترجم عنه إذا فسر كلامه بلسان آخر، قاله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نقله من لغة الى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مزيدات الطبعة الثانية من المصنف رحمه اللّه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الشيخ</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الغليل فيما في كلام العرب من الدخيل، و هو لشهاب الدين أحمد المصري صاحب الريحانة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 ابن منظور إنما هو تعقيبا و ردا لكلام الفيروزآبادي صاحب القاموس المحيط حيث 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الشيء، معرب، و الأنموذج لحن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و 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القاري في شرح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حكاه في حاشية مقدمة علوم الحديث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الكامل في فنه و لو كان شابا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فرق بين 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بإسكان الشين بين الميم و الياء المفتوحين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بين المشيخة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 كسر الشين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الطهراني في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علي بن موسى الحلي رضي الدين بن طاوس حول المشيخة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النوع من الكتاب لاشتماله على ترجمة المشايخ الرواة و ذكر الراويين عنهم و المرويون عنهم يعد من الكتب الرجالية حقيقة، نعم لاقتصار مؤلفه على خصوص مشايخه يسمى مشيخة أيضا، و يضاف الى مؤلفه كمشيخة الحسن بن محبوب مثلا، كما أنه لو كان هذا النوع من الكتب أيضا مشتملا على الإذن من المؤلف لغيره في الرواية عنه فيسمى إجازة أيضا، فبين المشيخة و الإجازة عموم من وجه، مصداقهما الإجازات الكبيرة المشتملة على ذكر الطرق و الأسانيد، و المشيخة خاصة ما لم يشتمل على الإذن لأحد فيها، و الإجازة خاصة ما لم يكن فيها ذكر الطرق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لا توجد في المصدر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ينبغي التعرض لها و إيضاحها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الغليل، كما مرّ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اصطلحت، و هو الظاهر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ذيل حديث برقم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الاستاذ الى هنا لا يوجد في الطبعة الأولى اضافه المصنف رحمه اللّه في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تحقيق لغوي في مادة تلمّذ لعبد القادر بن عمر البغدادي صاحب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الدكتور عبد السّلام هارون جاء في بحوث و 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جدير بالملاحظة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الأمالي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بألفاظ متقاربة في تاج العروس مازجا بالقاموس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قارن بالصحاح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1128/3</w:t>
      </w:r>
      <w:r>
        <w:rPr>
          <w:rFonts w:ascii="IRNazanin" w:hAnsi="IRNazanin" w:eastAsia="IRNazanin"/>
          <w:b w:val="false"/>
          <w:b w:val="false"/>
          <w:bCs w:val="false"/>
          <w:i w:val="false"/>
          <w:i w:val="false"/>
          <w:iCs w:val="false"/>
          <w:color w:val="333333"/>
          <w:sz w:val="20"/>
          <w:sz w:val="20"/>
          <w:szCs w:val="20"/>
          <w:rtl w:val="true"/>
        </w:rPr>
        <w:t>، و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قوم الرجل و قبيله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للفظة في علم الدراية اصطلاح خاص، فراجع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الجماعة من الناس يعدلون جماعة مثلهم، قاله ابن سيده، و له عدّة معان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و 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1511/4</w:t>
      </w:r>
      <w:r>
        <w:rPr>
          <w:rFonts w:ascii="IRNazanin" w:hAnsi="IRNazanin" w:eastAsia="IRNazanin"/>
          <w:b w:val="false"/>
          <w:b w:val="false"/>
          <w:bCs w:val="false"/>
          <w:i w:val="false"/>
          <w:i w:val="false"/>
          <w:iCs w:val="false"/>
          <w:color w:val="333333"/>
          <w:sz w:val="20"/>
          <w:sz w:val="20"/>
          <w:szCs w:val="20"/>
          <w:rtl w:val="true"/>
        </w:rPr>
        <w:t>، و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المستدرك الآتي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الطبقات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و على كل هو أدنى من الحافظ و المحدث بلا ريب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سيد الناس، أبو الفتح فتح الدين محمد بن محمد بن محمد بن أحمد اليعمري الأندلسي المصري الشافعي محدث حافظ، فقيه أديب، مصنف مجيد، انظر عنه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جمع بين رواته، أو جمع رواته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توسع في ذلك حتى عرف شيوخه و شيوخ شيوخه طبقة بعد طبقة بحيث يكون ما يعرفه في كل طبقة أكثر مما يجهله منها فهذا هو الحافظ</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السيوطي عنه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لقط الدرر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لكلامه السابق عن ابن سيد الناس</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معنى الحافظ لغة، لأنه عرف لغة بالاتفاق، و قيل المعرفة، و قيل الموكل بالحفظ، و يأتي بمعنى حرسته و استظهرته، و قيل غير ذلك،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1172/3</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السيوطي عن جمع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مرادف للمحدث عند السلف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السمعاني في تاريخه بسنده عن الشيرازي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الإمام الحافظ أبو 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القاسم شهاب الدين عبد الرحمن بن إسماعيل بن إبراهيم المقدس الدمشقي الشافعي المؤرخ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له جملة مصنفات في الرجال و التاريخ و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فوات 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250/13</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هو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متونه و معرفة غريبه و فقهه، و 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متونها و معرفة غريبها و فقهها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 و هو الصحيح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رجاله، و تمييز صحيحة من سقيمه،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كان مهما، و قد كفيه المشتغل بالعلم بما صنف فيه و ألف فيه من الكتب، فلا فائدة الى تحصيل ما هو حاصل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ليس تتمة القول الأول بل هو لابن حجر شيخ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تتمة كلامه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الكلام في الفن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 من جمع ذلك من الأولين كان أوفر سهما و أحظ قسما، و من اقتصر عليه كان أخس حظا و أبعد حفظا، و من جمع الثلاثة كان فقيها محدثا كاملا، و من انفرد باثنين منهما كان دونه، إلا أن من اقتصر على الثاني و الثالث فهو محدث صرف، لا حظ له في اسم الفقيه، كما أن من انفرد بالأول فلاحظ له في اسم المحدث، و من انفرد بالأول و الثاني فهل يسمى محدثا؟ فيه بحث</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فرق البعض، فرأى أن الحافظ من وعى مائة ألف حديث متنا و إسنادا، و لو بطرق متعددة، و عرف من الحديث ما صح، و عرف اصطلاح هذا العلم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البعض عن هذا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الراوي و كيفية أخذه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إسناد الحديث و ذكر مصادره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له مصادر اخرى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 للشهيد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بتفريقه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الأصل التميز، و قد بدلنا الجميع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التمييز، إذ لا معنى للأول و عدم ارادته لهم قطعا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و تدريب الراوي و متنه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الألفية للعراقي و شرحها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الرابع و 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 حكاه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القطب القسطلاني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المنهج في علوم الحديث، حيث أجرى الخلاف في التحمل في الصبي و الكفر عند البلوغ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منع بعض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 السخاوي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قبول الصبي خاصة مستدلين على ذلك بأن الصبي مظنة عدم الضبط و عدم الفهم آنذاك، حكي عن أكثر من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 هؤلاء و غيرهم بالإجماع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كتاب المغازي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القراءة في الصبح، 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مفصلة، جاءت في كتب الحديث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السيوطي في التدريب تبعا للنووي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البداية، و الأصح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ثمان سنين لعدم جواز اجتماع الإضافة مع الألف و اللام، كما ذكره النحاة، و كذا السبع سنين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ابن عمر أيضا، المعبر عنهم بالعبادلة، و قد سبق ذكرهم في الأصل و المستدرك</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المغيث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مخرمة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احضار العلماء الصبيان لا يستلزم اعتدادهم بروايتهم بعد ذلك إذ يمكن أن يكون ذلك لأجل التمرين و التبرك، و على كل إن ثبت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فإن الأصل عدم القبول، و لا أقل من التوقف، فتدبر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المسوغ للاستماع، و هو الظاهر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 إلى أهل البصرة حيث كانت السن المألوفة لهم في الطلب، مقابل أهل الشام حيث عندهم سن الثلاثين أيضا، و فرقوا بين ابن العربي و ابن العجمي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 هذه التخرصات و التعصبات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 إلى الجمهور و أهل الصيغة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استقل، و هو الظاهر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سديد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الأصل البغدادي أبو إسحاق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الأشهر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مكثر، له مسند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 و التدريب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يقرأ فإنه صبي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قل يا أيها الكافرون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كذا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المقدمة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محمد الحسن بن عبد الرحمن بن خلاد الرامهرمزي الفارسي المتوفى نحو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صاحب كتاب المحدث الفاصل بين الراوي و الواعي في علوم الحديث و غيره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الذي عيّن فيه السماع و الإسماع و السن الذي ينبغي فيه الإمساك عن التحديث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 من هذا الكتاب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عنه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الرواية منقولة بالمعنى، و لم نجدها في كتب الحديث عند الفريقين بنصها، و الموجود ما ذكره الكليني في الكافي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اعرفوا منازل الرجال على قدر روايتهم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سنفصّل الحديث فيها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هذه الطرق تعم المتحمل للحديث عن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إن لم نقل كلها، و إن خص المشهور هذه الطرق بالمتحمل عن غير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عبارة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 الوجيزة للبهائي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وصول الأخيار لوالد الشيخ البهائي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 السيوطي في التدريب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السخاوي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 قد سار على ذلك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العلامة القاسمي في قواعد التحديث عدها تسعة أقسام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 هذه الطرق ابن الأثير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الارناءوط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راوي الحديث لا يخلو في أخذه الحديث من طرق 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إملاء من حفظه أم كان تحديثه من كتابه، و يقال للأخير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الإملاء كما عن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إن كان اطلاقهم للإملاء على مطلق السماع من لفظ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تحقيق 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غريب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الذريعة في اصول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إلى المشهور، القوانين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لبّ اللباب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المقدمة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لا توجد في نسختنا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ألفية العراقي و شرح السخاوي 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و الصحيح ما أثبته المصنف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غيره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أيضا لأن الشيخ أعرف بوجوه ضبط الحديث من غيره، و لما فيه من المماثلة للتحديث</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الكل تأمل،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العليا، قراءة الشيخ في معرض الأخبار يروى عنه، و ذلك تسليط منه للراوي على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و تحديث من غير إملاء، سواء كان من حفظه أو من كتابه، و تبعه من جاء بعده في ذكر هذه الوجوه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بأن يقول الراوي بالسماع من الشيخ في حالة كونه راويا لغيره ذلك المسموع سمعت فلانا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إنما صارت أعلاها لأن سمعت نص في الدلالة على السماع الذي هو أعلى الطرق كما قيل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السمعاني في أدب الإملاء و 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أنواع أخذ الحديث عن المشايخ،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 هذه الأنواع أن يملي عليك و تكتبه من لفظه، لأنك إذا قرأت عليه ربما تغفل أو لا يستمع، و ان قرأ عليك فربّما تشتغل بشيء عن سماعه، و ان قرئ عليه و الحضّر سماعه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أقره غير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اطلاق أنبأنا بعد أن اشتهر استعمالها في الإجازة يؤدي إلى أن نظن بما أداه بها أنها اجازة فيسقطه من لا يحتج بها فينبغي أن لا يستعمل في السماع لما حدث من الاصطلاح، كذا قيل و هو صحيح ان ثبت ثمّة انصراف أو تبادر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يلزم السامع تبين هل كان السماع إملاء أو عرضا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تنظّر في هذا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إلا أن والد الشيخ البهائي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أوضح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ذكر من غير لي أو لنا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فيما شاع استعماله من هذه الألفاظ مخصوصا بما سمع من غير لفظ الشيخ أن يطلق فيما سمع من لفظه، لما فيه من الإيهام و الإلباس، كما نص عليه الأعلام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بل ادعى القاضي عياض عليه 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اختاره في الرواية و عهدت عليه أكثر مشايخي و أئمة عصري أن يقول في الذي يأخذه من المحدث لفظا و ليس معه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فلان، و ما يأخذه عن المحدث لفظا مع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فلان، و ما قرأ على المحدث بنفسه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فلان، و ما قرئ على المحدث و هو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فلان، و ما عرض على المحدث فأجاز له روايته شفاها يقول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أنبأني فلان، و ما كتب إليه المحدث من مدينة و لم يشافهه بالإجازة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فلان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لكونها أبعد من التدليس و نصا في السماع و الرواية عن الإجازة بخلاف حدثنا و ما بعدها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قول حدثني و أخبرني فلان لفظ موضوع ظاهره للمخاطبة و ان استعمل ذلك فيما قرئ على المحدث و الطالب يسمع، و إنما يستعمل أخبرني في المناولة و الإجازة و الكتابة اتساعا و مجازا، فإن كان كذلك وجب حمل الكلام على ظاهره المفيد للسماع و رفع اللبس و الإشكال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القول لابن الصلاح قاله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أخبرنا أرفع من سمعت من جهة اخرى، و هي أنه ليس في سمعت دلالة على أن الشيخ رواه الحديث و خاطبه به، و في حدثنا و أخبرنا دلالة على أنه خاطبه به و رواه له، أو هو ممن فعل به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الداماد في تعليقته على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تفضيل سمعت و سمعنا على حدثني و حدثنا أو بالعكس خلافا، و الأول أشهر و أرجح</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غير واحد كالدربندي في المقابيس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تنظّر فيه و لم يرده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قول 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التفصيل في أن حدثنا أرفع أن حدثه على العموم، و سمعت أن حدثه على الخصوص، ذهب له الزركشي، و اختاره القسطلاني في المنهج</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 و شرح ألفية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ميرداماد في تعليقته على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عن الشيوخ إن حدثني و حدثنا أعلى مرتبة من أخبرني و أخبرنا، فحدثني ما سمعته من لفظ الشيخ وحدي، و حدثني ما سمعته في السامعين، و أخبرني ما قرأته عليه بنفسي، و أخبرنا ما قرئ عليه و أنا شاهد سامع، و لا يجوز إبدال شيء منها بغيره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السيوطي تبعا للنووي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حكاه عن الخطيب و غيره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ابن الأثير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الارناءوط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وهب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قلت حدثنا، فهو ما سمعت مع الناس، و ما قلت حدثني فهو ما سمعت وحدي، و ما قلت أخبرنا فهو ما قرئ على و أنا أشاهد، و ما قلت أخبرني فهو ما قرأت على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قال الحاكم أبو عبد اللّه النيسابوري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الخطيب في كفايته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نبأنا و أنبأنا، و هي قليلة في الاستعمال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تعليقة السيد الداماد على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أنبأني و أنبأنا فقد انعقد الاصطلاح على عدم إطلاقهما إلا على الإجازة فقط لي وحدي ولي مع غيري، أو عليها و على المناولة أيضا، و إلا فلا فرق بين الأخبار و الأنباء لغة، و قريب منه ما قاله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نظيره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 حكى عن الحاكم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إنما يكون فيما يجيزه المحدث للراوي شفاها دون المكاتبة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الحكم لها بالاتصال حسبما علم مما تقدم، مع الإحاطة بتقديم الأفراد على الجمع، لكن الغالب عندهم في استعمال هذه الألفاظ فيما لو كانت مذاكرة، و قال ابن مندة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دال على كونه اجازة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السخاوي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قيل هو عرض و مناولة و له حكمهما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غير واحد كالشهيد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النووي في التقريب و تبعه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السابقة و شرح ألفية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 ما سلف من المصادر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سلم من التدليس</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و حكاه عنه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عدّ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و أدنى منه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بكذا و نهى عن كذا، فإنه يحتمل مضافا إلى احتمال الواسطة الغفلة في فهم الأمر و النهي، أو اطلاق الأمر و النهي على ما فهمه بالدلالة التبعية من النهي عن ضده أو الأمر به و إن كان بعيدا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المعروف إسحاق بن محمد بن يحيى بن منده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 الأصبهاني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كتاب معرفة الصحابة و التاريخ الكبير و غيرهما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عنونة المسألة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نسخ السامع أو المسمع حال القراءة و ما ذكر من فروع المسألة، و كان الأولى عنونتها بذلك، و هي ذات أربعة أقوال، 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عدّ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منهم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عمران موسى بن هارون بن عبد اللّه بن مروان البغدادي البزاز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الكتب و جمع، و لم أجد الحمال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أخيرا يعد قولا رابعا في المسألة، لأنه لم يذهب له المفصلون، و إنما ذهب إليه أبو بكر الصبغي الشافعي، المتوفى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لزوم قول حضرت عند الأداء و لا يقول حدثنا أو أخبرنا، فتدبر، و التفصيل الثالث لابن الصلاح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 من قال به، كما صرح بذلك من جاء بعده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مراده ما لو حدث الشيخ أو السامع أو أفرط القارئ في الإسراع بحيث يخفي بعض الكلام أو القارئ كذلك أو بعد السامع بحيث لا يفهم المقروء قال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يعفى في ذلك عن القدر اليسير الذي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 عدم سماعه بفهم الباقي نحو الكلمة و الكلمتين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ثاني الشهيدين عبّر عن هذا القول بلفظ القيل، و لعله تمريضا له و تضعيفا، كما هو الحق للمتدبر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إسماعيل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علي إسماعيل بن محمد بن إسماعيل بن صالح الصفار، المتوفى سنة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له جزء</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الدارقطني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قد نقله بنصه عن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 الأصل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و الشيخ حسين العاملي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الصلاح في المقدمة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غنى في السماع عن الإجازة لجبرها للغفلة و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الكلام عنها في بحث الإجازة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المار ذكره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عزاه النووي في التقريب و تبعه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حق إن كان المبلغ ثقة و أمن التغيير لقرائن الحال، و إن ذهب كثير من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والد الشيخ البهائي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يجوز، كيف و ذلك بمنظر من الشيخ و مسمع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واضح</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المستملون، و هو الأصح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تبلغهم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واحد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القاسم ابن عباد بن العباس الطالقاني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الوزير الأديب، نادرة دهره، مصنف مبدع</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كذا 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غلط، إذ هو أبو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أبو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الكريم بن محمد بن منصور التميمي السمعاني المتوفى سنة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صهيب التيمي بالولاء أبو الحسين المتوفى سنة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حفاظ الحديث الثقات عند العامة و من شيوخ البخاري، نقل القصة كل من ترجمه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يحزرهم، و ما اثبت أصح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الاملاء و 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بألفاظ متقاربة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بتغير يسير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النووي في تقريبه و تبعه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صوّبوا هذا القول و حكوا الأول عن العراقي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فروع هذه المسألة أنه هل يجوز استفهام الكلمة أو الشيء من غير الراوي كالمستملي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 عن محمد بن عبد اللّه الموصلي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كتبت قط من في المستملي و لا التفت إليه و لا أدري أي شيء يقول، إنما أكتب عن في المحدث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أجاز غير واحد من الأئمة الاستفهام من المستملي و نحوه، إلا أن المستحب عندي أن يبين ما حصل الاشتباه فيه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هذا إذا عرف صوته أو أخبر به عدلان، أو ثقة على الأقوى، و اعتضد بقرائن الأحوال بحيث أمن التدليس، و كذا يجوز القراءة عليه و الرواية عنه كذلك</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والد الشيخ البهائي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البداية زيادة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معناه 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 عن اخباري إياك به، أو لا اذن لك في روايته، و نحو ذلك</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الشيخ الحسين العاملي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التي عليها المدار في هذه الأعصار، و عرّفها الدربندي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نظيره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القراءة أيضا، و المناولة كذلك، بل الظاهر الجواز في ذلك كله كما يظهر من المولى ملا علي 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إلا أنه يستفاد من بعض القدماء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كالحاكم النيسابوري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العرض هو كون الراوي حافظا متقننا فيقدم المستفيد إليه جزءا من حديثه أو أكثر من ذلك فيناوله فيتأمل الراوي حديثه فإذا أخبره و عرف أنه من حديثه قال للمستفيد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وقفت على ما ناولتنيه و عرفت الأحاديث كلها، و هذه رواياتي عن شيوخي فحدّث بها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ترى خروج عن الاصطلاح، و لعله كان كذلك فيما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جماعة من أئمة الحديث أنه سماع</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يعترف، و المعنى واحد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الطريق يعد أعلاها، لما مرّ و ما سيأتي من الوجوه المتفاوتة ضعفا و قوة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المقابل غير الشيخ ممن يوثق به عندهم أو عند الشيخ مع اقراره له، كما أنه قد يكون على أكثر من واحد كل منهم لديه نسخة مقابلة مصححة يسمعون من يقرأ بحضرة الشيخ</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على ذلك غير واحد كالميرزا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عدم الخلاف، و كذا النووي فى التقريب</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تعرض لغيرهم البلقيني في محاسن الاصطلاح المطبوع ذيل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و حكي عن بعض الظاهرية عدم الجواز بالرواية بهذا الطريق، و لعل دليلهم هو كون السكوت أعمّ من الرضا، و هو باطل، لأنه لو لم يكن صحيحا لكان سكوته عليه و هو يقرأ و تقريره له فسقا قادحا في عدالته، فتأمل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تبعه السيد الصدر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 السيد جعفر بحر العلوم في 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 عقد له الخطيب البغدادي له بابا في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و نصّ عليه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و فتح المغيث تبعا لألفية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بل غالب المصادر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الداماد في تعليقته على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حديث عبد اللّه بن سنان في باب رواية الكتب و الحديث في سؤال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يجيئني القوم فيسمعون مني حديثكم فاضجر و لا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نصه قريبا،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عالي الإسناد و مفاده تفضيل السماع المعبر عنه اصطلاحا بلفظ التحديث على العرض المعبر عنه بلفظ الأخبار، و ذلك هو الأشهر و عليه الأكثر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سبقه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بل عن مالك أيضا كما حكاه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كذا أصحابه و أشياخه من علماء المدينة و علماء الكوفة و البخاري و غيرهم، و عقد الخطيب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 في أن القراءة على المحدث بمنزلة السماع منه، و لعل الأظهر أن ادعاء هؤلاء المساواة في صحة الأخذ بها ردّا على من أنكرها لا أنهما في مرتبة واحدة، فتدبر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إلا أن مضمون هذه الروايات ذكرها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قاله الشهيد و الشيخ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رواه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عباس و أبي هريرة، و قد روى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الكتاب و الحديث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روى بطريق عامي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القراءة على العالم أصح من قراءة العالم بعد ما أقرّ أنه حديثه، كما جاء في الكفاية، و قد نقل روايات بهذا المضمون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لا يخفى، و مقابل هذا من عكس، و آخر قد رجّح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الكل كلام فصلناه في المستدرك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حنيفة النعمان بن ثابت الكوفي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الحنفية، له مسند في الحديث، و توجد ترجمته في غالب المعاجم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ترجمته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بابن بكير، القرشي المخزومي بالولاء، المتوفى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حفاظ الحديث و التاريخ و رواته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الوليد أو أبو خالد عبد الملك بن عبد العزيز بن جريج الاموي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أهل الحجاز،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ثبتا لكنه يدلس</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لأنه ليس من أهل المعرفة، أو لأن الغلط صادف موضع اختلاف بين أهل العلم فيه فيتوهم ذلك الغلط مذهب الشيخ فيحمله عنه على وجه الصواب، أو أن هيبة الشيخ و جلاله تكون مانعا من الرد عليه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مقنع، و المعنى واحد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بالقراءة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شرح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و قد ذكر أدلتهم مفصلا، و إن كان ما نص عليه ثاني الشهيدين عمدتها و حاصلها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العبارة مشوشة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قد يسهو</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رابع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التوقف، أو الوقف على حد ما ذكره السخاوي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لم يسمّه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للأمن من التدليس</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الأحوط في الرواية بها قرأت على فلان أو قرئ عليه و أنا أسمع فأقر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قاله في جامع المقال للطريحي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الأجود، و في شرح ألفية العراقي تبعا للناظم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الأجود الأسلم في اداء ما سمع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كذا قولهم عرضت عليه أو عرض عليه فأقر به أو اظهره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أمثال ذلك في افادته المدعى من دون لزومه لكذب أو التدليس أو التكلم بظاهر وصفا أو غير ذلك و ارادة خلافه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منهم من أجاز فيها سمعت أيضا و ألحقها بها، و روى عن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الحق عدم جواز ذلك كما يستشم ذلك من المشهور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مسلم بن عبد اللّه بن شهاب الزهري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مؤرخ، تابعي، قيل هو أول من دون الحديث، صاحب كتاب مغازي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الحنظلي التميمي المروزي أبو عبد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بابن المبارك، شيخ الإسلام، صاحب التصانيف و الرحلات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ذكرهم و غيرهم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قال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جماعة فيها سمعت، و منعت اخرى حدثنا، و لا بأس بالمنعين، نعم يجوز أخبرنا عند الجماهير و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فرق إذا قيده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عليه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عزاه لهم محمد بن الحسن التميمي الجوهري في كتاب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ذلك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نص كلام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صار اصطلاحا لهم و قد أرادوا به التمييز بين النوعين، مع أن اللغة لا يمكن الاحتجاج بها هنا إلا بتكلف و عناد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نقلنا عبارته في الفائدة الرابعة من المستدرك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الذريعة إلى اصول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وقع بحث فيما لو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أو أخبرنا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تقييده بالقراءة و 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سمعت فلانا، ففيه خلاف ذهب جمع كابن الأثير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عدم الجواز،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أنه لا يجوز، لأنه يشعر بالنطق، و ذلك منه كذب، إلا إذا علم بتصريح أو قرينة حال أنه يريد القراءة على الشيخ دون سماع نطقه، هذا و قد ذهب الحاكم و آخرون إلى أن القراءة على الشيخ إخبار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هذا البحث مجملا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في العبارة، و 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الصحة، و هو المعزى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كما هو ظاهر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غير واحد منهم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كذا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المختار أن ذلك صحيح،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عمل معظم الشيوخ و أهل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كان الأصل بيد القارئ و هو موثوق به دينا و معرفة فكذلك الحكم فيه، و أولى بالتصحيح، و قد ذكره الماذري في شرح البرهان كما حكاه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الحق أن الباقلاني قد تردد فيه،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ميله إلى المنع، و حكي عن غيرهم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قولهم بعدم الصحة ليس على اطلاقه، بل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بحيث لو وقع من القارئ تحريف أو تصحيف لردّه، و إلا لا يصح التحمل عنه، و بذا يظهر وجه مستندهم، فتدبر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فلان أو نحو ذلك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أعني صحة السماع كذلك و جواز الرواية به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شرطية نطقه ليتحقق التحديث و الاخبار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إسحاق إبراهيم بن علي بن يوسف الفيروزآبادي الشيرازي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متكلم فقيه اصولي منطقي، له جملة مصنفات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سكوته نازل منزلة تصريحه بتصديق القارئ اكتفاء بالقرائن الظاهرة، بل هو موهم للصحة، و مع عدمه فهو بعيد عن العدل لما يتضمن من الغش و عدم النصح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الحاكم في المستدرك كما صرح في أوله، و عبد اللّه بن وهب كما رواه الترمذي عنه 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البيهقي في المدخل عن سعيد بن أبي مريم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أدركت مشايخنا و هو قول الشافعي 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اختاره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قد نقلنا كلام الحاكم في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و كذا كلام السيد الداماد في الرواشح السماوية، فراجع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يحيى بن سعيد القطان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 و لاحظ المصادر السابقة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تبعا للنّووي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هذا مستحب باتفاق العلماء لا واجب،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و ألفيّة العراقي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تبعا ابن الصلاح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و العبارة 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السخاوي في شرحه للألفية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لجماعة عدّهم النووي و استدرك عليه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كذا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مبنائية، و إلا فإن أكثر من قال بحجية خبر الثقة قالها مطلقا حتى في الموضوعات، و تفصيل البحث في الاصول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قريبا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شعبة بن الحجاج كما صرح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حكاه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السخاوي في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 الغني بن سعيد الحافظ</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ينادى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زيادات المصنف طاب ثراه على الطبعة الثانية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الباب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و أقسامها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مباحث المعنى اللغوي للإجازة مأخوذة من مقدمة ابن الصلاح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حكاه عنه النووي و السيوطي في التقريب و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و سبقهما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 لحقهما السخاوي في فتحه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عمرو بن عثمان بن قنبر الحارثي بالولاء أبو بشر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النحاة، صاحب الكتاب</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و أجاز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سوغ له و رأيه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الدربندي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التقريب للنووي و التدريب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العراقي في الألفية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و سبقهم الخطيب في كفايته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العباس شهاب الدين أحمد بن محمد بن أبي بكر بن عبد الملك القسطلاني القتيبي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الحديث، صاحب ارشاد الساري لشرح صحيح البخاري و غيره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و حكاه غيرهما، و على كل مطالب الحديث يستجيز الشيخ حديثه فيجيزه عليه، و لذا صح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أجزت فلانا مسموعاتي، و أجزت له رواية مسموعاتي أو الكتاب الفلاني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 و نص عليه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و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الأكثر من الخاصة و العامة على قبولها و جواز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 المارة و الآتية، بل في الألفية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على جوازها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 عملهم أي أهل الحديث قاطبة و صار بعد الخلف اجماعا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فإن الأكثر من الخاصة و العامة على قبولها، بل يمكن ادعاء السيرة القطعية في ذلك؛ و لو كان بالنسبة إلى أول نوع من أنواعها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البداية و غيره، بل قيل أن السيرة القطعية قديما و حديثا متحققة بذلك، و عقد في الكفاية بابا لذكر بعض أخبار من يقول بالإجازة و مستعملها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و كذا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الصلاح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القاضي المالكي أطلق نفي الخلاف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جواز الرواية بالإجازة من سلف هذه الامة و خلفها، و ادعى الإجماع من غير تفصيل، و حكى الخلاف في العمل بها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إسحاق بن بشير البغدادي الحربي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أعلام المحدثين و حفاظه، له جملة مصنفات منها غريب الحديث و غيره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إبراهيم بن حبيب الأنصاري الكوفي البغدادي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أبي حنيفة من قضاة بغداد و فقهاءها و صنف في فقه أبي حنيفة أكثر من كتاب و نشر فقهه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ثابت بن الحسين بن إبراهيم الخجندي المتوفى سنة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قيل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 الشافعية و محدثيهم، له بعض المؤلفات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عمرو عبد الرحمن بن عمرو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الأوزاعي الدمشقي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فقهاء المحدثين، صاحب مصنفات في الحديث، ترجمه الشيخ الجد 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الاجازة و الرواية بالاجازة؛ مشروطان بتصحيح الخبر من المخبر بحيث يوجد في أصل صحيح مع بقية ما يعتبر، لا الرواية عنه مطلقا سواء عرف ام لا، فلا يتحقق الكذب</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أدلة المانعين للإجازة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ليس في الإجازة ما يقدح في اتصال المنقول بها و الثقة بها بخلاف المرسل، ثم كيف يكون من نعرف أمانته و عدالته بمنزلة من لا نعرفه على حد قول الخطيب، و الحق أن الدليل لو تمّ لكان مقتضيا لمنع العمل بالإجازة دون التحديث، فتدبر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قول خامس اختاره أبو بكر الرازي من الحنفية كما ذكره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إن كان المجيز و المجاز عالمين بالكتاب جاز، و 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ما لا يخفى</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المولى الكني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القول بأرجحية السماع مطلقا لأرجحية الضبط فيه أو الاطلاع على ما لم يحصل الاطلاع عليه فيها أحسن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الربيع نجم الدين سليمان بن عبد القوي بن عبد الكريم الطوفي الصوصري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يعرف بالصرصري أيضا، فقيه حنبلي، له جملة مؤلفات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العذاب الواصب على أرواح النواصب حبس من أجله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للأقوال مجملا غير واحد منهم كما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قد حسّن القول الأخير، و اختار ما ذكرناه عنه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سقط ظاهر و تشويش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المعنى واضح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أنهم اشترطوا معرفة المحدث ما يجيز به و أن تكون نسخة الطالب معارضة بأصل الراوي حتى كأنّها هو، و أن يكون المستجيز من أهل العلم و عليه 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مما سنذكره مما يسوغ العمل بالإجازة و يدفع شبهة مانعيتها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ذكرها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ادرج الخامس في الرابع و السابع في السادس، و عدّها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و مثّل لكل واحد منها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اقتصر على هذا العدد لمسيس الحاجة إليه، و إلا فيمكن أن تتركب منها أنواع اخر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عكسه كما في البداية، و 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قلم الناسخ، و إلا فلا تصير الضروب أربعة كما هو 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ابن الصلاح في مقدمته و النووي في تقريبه الأضرب سبعة، كما سيأتي</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يجيز معينا لمعين بمعين، و المعين تارة خاص و اخرى 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تارة مجردة عن المناولة و اخرى مقرونة بها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تجرده عن المناولة و القراءة و قد استقرت عليه كلمة الخاصة و العامة مع غض النظر عن من شذّ منهما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والد الشيخ البهائي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استقر عليه رأي العامة و الخاصة جواز الرواية بإجازة المعين للمعين و أن يحرد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المناولة و القراءة،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حكم المرسل، و هو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ادعى عليها المرحوم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القطعية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الوليد سليمان بن خلف بن سعد التجيبي القرطبي الباجي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 مالكي و من رجال الحديث، له جملة مصنفات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يجيز معينا غير معين من كتاب و غيره، أو أن يجيز لمعين في غير معين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 أو لكم أو لمن قرأ عليّ و غير ذلك</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العراقي في الألفية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ممن سبقهما و لحقهما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يجيز معين غير معين بوصف العموم كان أولى، و المراد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التعميم في المجاز له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طاهر بن عبد اللّه بن طاهر الطبري أبو الطيب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القضاة و أعيان الشافعية، و صنف أكثر من كتاب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إسحاق بن محمد بن يحيى بن منده العبدي الأصفهاني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الأشهر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صاحب تاريخ أصفهان و الناسخ و المنسوخ و غيرهما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آخرون منّا في اجازاتهم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متذرعين لذلك بأبعديته عن الإذن الإجمالي المسوغ، و منهم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 العراقي في ألفيته و تبعه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لاحظ أدلتهم التي ترجع إلى صرف الاستبعاد و نوع من الاستحسان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معنى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بوصف خاص إلا إذا أراد منه وصفا حاصرا مقابل ما لا حصر له كأهل بلد كذا على نحو العامة المطلقة، فتدبر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السيوطي عنه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و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قلّ فيه العموم بالقرب من الخصوص الحقيقي لوجود الخصوص الإضافي فيه يكون أقرب إلى الجواز من غيره عندهم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العراقي في الألفية و كذا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و قبلهما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الإجازة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 أن يقول المحدث أجزت لبعض الناس، فلا يصح ذلك، لأنه لا سبيل إلى معرفة البعض الذي أجيز 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لا فائدة فيه إلا إذا اتصلت به قرينة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يتضح مراد المجيز من ذلك كله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لو أجاز غير معين لمعين كأجزتك كتاب الصلاة و هناك كتب متعددة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 الضرب الخامس في النوع الرابع ابن الصلاح في مقدمته، و لذا عدّهما ثمانية و تبعه من تبعه على هذا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الإجازة المعلقة بالشرط، و ذكر القولين الآتيين البعض من دون ترجيح و لا ذكر دليل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الطبري، و قد مرت ترجمته قريبا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جمع منّا كثاني الشهيدين في بدايته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و الشيخ حسين العاملي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التعليق مبطل على ما يتعارفه أهل 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أدخلت في ضرب الإجازة المجهولة، و إلى هذا ذهب الخطيب البغدادي في كفايته و النووي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 فرق أبو عبد اللّه الدامغاني بينهما و بين الوكالة بأن الوكيل ينعزل بعزل الموكل له بخلاف المجاز، و ثمّة أقوال شاذة متشتتة لا أثر لنقلها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محمد بن محمد بن الحسين بن خلف بن أحمد بن الفراء، عماد الدين المعروف بأبي يعلى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اصولي، فقيه على مذهبه، له جملة مصنفات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 و 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و مغازي الواقدي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ما لو أجاز لمن شاء الإجازة منه له، و بين من أجاز لمن شاء الرواية عنه، و ذهب إلى أن الأخير أولى بالجواز،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أن مقتضى كل اجازة تفويض الرواية بها إلى مشيئة المجاز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هذا مع كونه بصيغة التعليق تصريحا بما يقتضيه الإطلاق و حكاية للحال لا تعليقا في الحقيقة، و لهذا أجاز بعض أئمة الشافعيين في البيع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 هذا بكذا إن شئت،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نسبته إلى أئمة الشافعيين، كما صرح به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يولد لي أو يولد لك 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 منا و من العامة لم يقبلوه و أجازها بعضهم بناء على أنها إذن لا محادثة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ثالث التوقف و عدم الترجيح، كما في جامع الاصول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ادعى الشيخ حسين العاملي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الجمهور منا و منهم لم يقبلوها،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عطفها على موجود كأجزتك و من يولد لك أمكن جوازه، و قد فعله جماعة من العلماء</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قولان بالصحة نظرا إلى وجوده و عدمه نظرا إلى عدم تميزه، و قد تقدم أنه غير مانع فيتجه الجواز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نرهم أجازوا لمن لم يكن مولودا في الحال،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أنه أولى بالصحة من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المدار هو التمييز و عدمه،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ابو الفضل محمد بن إبراهيم بن الفضل الهاشمي النيسابوري المزكي، أحد أصحاب الحديث المتوفى في شوال سنة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كالنووي في التقريب ثم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السخاوي في الشرح تبعا للعراقي في المتن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 سبقهم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عنون المسألة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ادعى الأخير أن عليه كافة شيوخنا لأنه نوع إباحة تصح للعاقل و غيره و المميز و غيره، أما المميز فلا خلاف في صحة الإجازة له كما عن غير واحد كما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بالإباحة هنا عدم الحظر و المنع لا صرف الأعلام، و عليه فلا يفرق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ادعى أبو الوليد الباجي و القاضي عياض الإجماع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حزم أنها بدعة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درج عليه المحدثون سلفا و خلفا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فخار الدين، و في وصول الأخيار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النبوي، و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حذفهما معا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أخذه من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 احتج له الخطيب بأن الإجازة إنما هي إباحة المجيز الرواية للمجاز له، و الإباحة تصح لغير المميز بل و للمجنون، و أبطلها قوم ممن لم يصحح التحمل إلا في سن معين كما مرّ، أو اشترط كون المجاز عالما كما سيأتي في لفظ الإجازة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لرجاء زوال فسق المسلم، و أن رواية المبتدع تقبل على بعض الوجوه، و قد فصلنا الكلام فيها في المستدرك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دلالة الوجهين على ما انفرد به خفاء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أي ركون لهم بصرف اجازتهم بل هو ركون منهم، مع ما في ذلك من ترغيبهم إلى حظيرة الدين و سلك المؤمنين، بل السيرة القطعية قائمة بين السلف و الخلف لإجازة العامة و استجازتهم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قبول غير العالم بحقيقة حالهم لروايتهم لا يمنع من صحة اجازتهم و غير ذلك، و اتخاذ الحكم بالعناوين الثانوية لا يمنع من صحته بالعنوان الأولي كما لا يخفى، فتدبر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من سماع و لا اجازة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بخلاف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أجزت لك ما صح أو يصح عندك من مسموعاتي، حيث هو صحيح بلا كلام لأنه ما صح حين الرواية لا الإجازة، كما نص عليه غير واحد كالعراقي و النووي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سبقت الإشارة له منّا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باطلة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ريب في بطلان هذا النوع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اختاره جلّ العامة من المتأخرين و لم يتكلم فيه من مشايخ الحديث المتقدمين،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 مقدمة ابن الصلاح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بصيغة المعلوم و الثاني بصيغة المجهول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القول بالمنع من الإجازة بما لم يتحمله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بعد الإجازة، و ما شك فيه بعد البحث عليه مما كان قد تحمله قبل الإجازة لا يصح روايته على هذا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الفرق بين هذا و الذي قبله أنه هناك لم يرو بعد بخلافه هنا فقد روى، و لكن تارة يكون عالما بما رواه و اخرى لا يعلم فيحيله على ثبوته عند المجاز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في صحة ذلك، و عليه السيرة القطعية، و قد ذهب إليه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و الذي عليه العمل أن ذلك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العاملي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الأصح جوازه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ابن الجوزي، و صنف الأخير في ترجمته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الحافظ أبو البركات عبد الوهاب بن المبارك بن أحمد بن الحسن البغدادي الحنبلي عرف بابن الأنماطي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لا يجيز الرواية بالإجازة عن الإجازة، و جمع في ذلك تأليفا ذكر ذلك كل من ترجمه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المصادر السابقة راجع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 شيخ شيخه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السيوطي تبعا للنووي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سبقه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محمد الأفريقي هو شيخ المالكية بالمغرب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جملة تصانيف توفى سنة خمس و تسعين و مائتين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في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سيد الناس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مراتب المجيز أن يكون عالما بمعنى الإجازة العلم الإجمالي، من أنه روى شيئا، و أن معنى اجازته لذلك الغير في رواية ذلك الشيء عنه بطريق الإجازة المعهودة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العلم التفصيلي بما روى، و بما يتعلق بأحكام الإجازة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القاسمي في قواعده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أن لازم هذا على اطلاقه اخراج الطفل و المجنون و غيرهم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يوسف بن عبد اللّه بن محمد بن عبد البر النمري الأندلسي القرطبي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حافظ، مؤرخ فقيه عارف بالرجال و الأنساب، صاحب كتاب الاستيعاب في معرفة الأصحاب، و جامع بيان العلم و فضله و التمهيد لما في الموطأ من المعاني و الأسانيد في عشرين مجلد و غيرها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النووي في التقريب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السخاوي تبعا للعراقي في ألفيته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و سبقهم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حول الإجازة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كالنووي في التقريب و البلقيني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السيوطي في شرحه للتقريب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يدفع الشيخ مكتوبا فيه خبر أو 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أصلا كان أو كتابا، له أو لغيره إلى راو معين أو إلى جماعة أو يبعثه إليه أو إليهم برسول، بل يمكن في المعدوم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شرذمة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يوصي بالدفع إليه كل ذلك مع تصريح أو غيره بما يفيد أنه روايته و سماعه، و كل ذلك مع تجويزه للمدفوع إليه أو لغيره أيضا في أن يرويه عنه بطريق الإجازة له أو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أجزتك في روايته، و اخرى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أروه 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كانا شيء واحدا و لكن قيل بأولوية 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 الاقتصار عليه، فيقول هذا سماعي أو روايتي</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البخاري أخرجه في كتاب العلم من صحيحه تعليقا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وصله البيهقي و الطبري بسند حسن كما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 استدل له بغير ذلك</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من علماء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كالخطيب البغدادي في كفايته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عدّوا المناولة من ضروب الإجازة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أرفع ضروب الإجازة أو أعلاها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و إلا لما تمّ المعنى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غير واحد كالعراقي كما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و الغزالي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 في البداية، إلا أن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تفتقر</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أخفض، و هو الظاهر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تحلّ تلك الإجازة محل السماع عند جماعة من أئمة الحديث في القوة، و إن كان الأقوى أنها أقل قوتا، فتدبر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أنهما شيء واحد،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يسمى هذا عرض المناولة إذ القراءة عرض، و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غير ما نص عليه الشهيد و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القسم الآتي يسمى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عرضا للتمييز عن القراءة عليه، سموه عرض المناولة و سمى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القراءة، لاحظ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عبارتهما موهمة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إلى هذا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بتفاوت بين الطبعتين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هذا القسم سماه البعض عرضا و قد سبق أن القراءة عليه تسمى عرضا، و لذا قال البعض أن هذا يسمى عرض المناولة و ذاك عرض القراءة، و منه قول المرحوم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مما سماه غير واحد من حذقة الفن عرضا فيسمى هذا عرض المناولة و ذلك عرض القراءة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المناولة كالسماع في القوة عند الأكثر، بل رجحها بعض محققي أرباب الدراية على السماع و القراءة و غيرهما من أنواع التحمل، ثم اختار مختار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الأقوال جملة و دليلا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الشهيد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العراقي في الألفية و السخاوي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بل في مقدمة جامع الاصول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 الحديث يرتبون المناولة قبل الإجازة، و هي عندهم أعلى درجة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من أصحاب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ذهب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المناولة أوفى من السماع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 ترجمة الزهري، و مجاهد هو أبو الحجاج مجاهد بن جبير المكي مولى بني محزوم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تفسير القرآن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القول في الأقوال الخطيب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 حكاها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اختار هو و النووي الأخير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وجد فرعا مقابلا به موثوقا بموافقته ما تناولته الإجازة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و اختاره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 حكاه العراقي و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و سبقهم القاضي عياض مستدلا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فرق بين اجازته إياه أن يحدث عنه بكتاب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غائب أو حاضر، إذ المقصود تعيين ما أجاز له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كالنّووي في التّقريب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زلنا لا نعرف لها ثمّة مزيّة مهمة، فتأمّل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التّقريب و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و الألفيّة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لم تصح الإجازة فضلا عن المناولة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تبيّن بعد ذلك بطريق معتمد صحّته و ثبوته في مرويّه فالظاهر الصحّة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يجوز أن لا يكون من حديثه أو كان إلاّ أنّه غير صحيح أن أراد، و غير ذلك</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بذلك غير واحد كالشّهيد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تبعا للنّووي في التّقريب، و السّخاوي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الإجازة المقرونة بالمناولة أو العكس أن يقرأ عليه حديثا من أول المجاز و حديثا من وسطه و حديثا من آخره ثمّ يجيزه ما قرأه و ما بقي منه، كما روى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عبد اللّه بن سنان قال قلت لأبي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يجيئني القوم فيسمعون منّي حديثكم فاضجر و لا أقوى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فاقرأ عليهم من أوّله حديثا و من وسطه حديثا و من آخره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الإجازة المجرّدة عن المناولة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قسّمها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أنواع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يجيز لخاص في خاص، أي يكون المجاز له معيّنا و المجاز به معيّنا، كأجزت لك أن تروي عنّي البخاري، و يليه الإجازة لخاص في عام، كأجزت لك رواية جميع مسموعاتي، ثمّ لعام في خاص، نحو أجزت لمن أدركني رواية البخاري، ثمّ لعام في عام، كأجزت لمن عاصرني رواية جميع مرويّاتي، ثمّ لمعدوم تبعا للموجود كأجزت لفلان و من يوجد بعد ذلك من نسله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و هي ترجع إلى ضروب الإجازة، و لا ربط لها بالمناولة إلاّ في الجملة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جعل الخلاف في أصل المناولة ثمّ في الأقسام،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خلاف بين جمهور أهل النّقل في قبول المناولة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اصول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لكون الرّواية بالمناولة مع الضّميمة متيقنا جوازها حتّى ساواها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الرّتبة، لتحقّق أصل الضّبط من الشّيخ، و فيها أخبار مجمل، فتدبّر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 البلقيني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ما يستدل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المناولة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استدل به الحاكم من حديث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 قد رأيته في محاسن الاصطلاح المطبوع ذيل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على ذلك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حكاه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يجوز و هو غير بعيد، و عدّ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بل قال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الأكثر على عدم جواز الرّواية عنه بذلك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بعض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لأحد أن يروي عن المحدث ما لم يسمعه منه أو يجزه له و إن ناوله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جماعة من 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القاسمي في قواعده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المنع، و كذا العراقي في ألفيّته و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و الغزالي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المرحوم الدربندي بعد أن نقل العبارة السالفة بنصها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القرائن الحاليّة المفيدة تحقق الإجازة و قصدها في هذه الصورة و إن لم يتلفظ بها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المولى ملاّ عليّ كني في كتابه توضيح المقال في علم الرجال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بتصرف و توضيح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تجده في شرح الألفيّة للعراقي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بل يرد هذا الإشكال على جملة من المحدثين في ذكرهم رواية البخاري أو الكافي، من دون تنبيه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النّووي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استحسن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يقول في المناولة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أعطاني فلان، أو دفع إليّ كتابه، كما عرف ذلك عن غير واحد من السّلف، و سيأتي الكلام فيه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قريبا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سعيد الحسن بن أبي الحسن يسار البصري مولى الأنصار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التابعين و علماءهم المشهورين بالزهد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لكنه يدلس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عبد اللّه بن أحمد الشافعي المعروف بأبي نعيم الأصفهاني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مؤرخ صاحب كتاب حلية الأولياء و تاريخ أصبهان و غيرهما ترجمه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علي في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الأمين في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ميرزا محمد الاسترآبادي في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غالب مصادر العام في التراجم مثل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أبو عبيد اللّه محمد بن عمران بن موسى بن عبيد المرزباني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لجد له اسمه المرزبان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 صاحب أخبار و رواية للأدب و تصانيف كثيرة، مات سنة أربع و ثمانين و ثلاثمائة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الكفاية مفصلا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قال في وصول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 جماعة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بالمناولة، و هو مقتضى قول من جعلها سماعا، و حكي عن بعض جوازهما في الإجازة المجردة أيضا، و الصّحيح المنع فيها منهما، و تخصيصها بعبارة مشعرة بهما، لاحظ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فتح المغيث في شرح ألفيّة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تفصيل الأقوال و أدلّتها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ترجمة الأوزاعي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العراقي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نجده في شرح ألفية العراقي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الفتح تقي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وهب بن مطيع القشيري المنفلوطي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جملة مصنفات في علوم الحديث و الفقه المالكي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اجماليا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على ذلك بألفاظ متقاربة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والد البهائي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نسبه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البيهقي، و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جمع، و قال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عبارته الشّائعة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و نبّأنا و يجوز حدّثنا و أخبرنا أيضا،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عدم الجواز على الإطلاق إلاّ مع القرينة، بل يقول أنبأنا بهذا الكتاب اجازة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التّدريب، و لا يخفى أنّا قد نقلنا غالب هذه الكلمات مع مصادرها قريبا، فراجع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تقييد الإجازة باللفظ حتّى يصح التّدليس، و إن كان هذا كذبا، كما أشرنا إليه في بحث المدلّس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اجد له ترجمة في ما لديّ من مصادر، فراجع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أن تعرّضنا لهذا في الفوائد العشرة من المستدرك على الإجازة، و تعرّض القاسمي لأقوال اخر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فلاحظ</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لا يخفى 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السّماع و الإجازة لغة و عرفا، و لعلّه هنا ثمّة اصطلاح خاص، فتأمّل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و العراقي في الألفيّة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و القواميس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كتب الخاصّة و جملة من كتب العامة كما سيأتي، و في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الكتابة أو المكاتبة، و في طبعة 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المكاتبة خاصة، و كذا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بكلا اللفظين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البعض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 الكتابة من ضروب الإجازة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النّوع شبيه بالمناولة لو لا مزيّة المشافهة، و الأولى ما فعله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سيأتي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 جمع الكتابة بالغائب خاصّة، قال في التّحفة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يكتب إليه و هو غائب أن ما في هذا الكتاب أو ما صحّ من الكتاب الفلاني هو من مسموعاتي، فلذلك الغائب أن يعمل بكتابه إذا علم أو ظنّ أنّه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التّعميم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الكتابة قد تجامع المناولة إلاّ أنّ المناولة أقوى من الكتابة، لأن المكاتبة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يكتب إليه و هو غائب عنه أن الذي في الكتاب الفلاني هو سماعي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السّيد المرتضى في 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الشّيخ حسين العاملي في وصول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الميرزا القمي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به صحيحة بلا خلاف على ما حكاه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 قبله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و في غالب المصادر المارّة، لاحظ أيضا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و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و كذا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مفصلا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المشهور بين أهل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قال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الأكثر على الصّحة، و هو الأظهر، و هذا في الحقيقة معدود في الموصول لاشعاره بمعنى الإجازة، و معرفة خط الكاتب تكفي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اشتراطه البتة ضعيف</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عن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غير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أقوى من المناولة، و لا وجه للمنع، لعدم دوران الجواز مدارها، حيث عرف الخط و امن من اللبس و التزوير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السيرة العقلائية جارية على ذلك، حيث مكاتبات المعصومين سلام اللّه عليهم إلى وكلائهم و ولاتهم و أصحابهم و غيرهم شاهد على ذلك، و فقد اذن الشيخ لا أثر له في المقام، و مقتضاه أن يمنع هنا كل من منع المناولة لذلك، بل و زيادة لغرض ضعف الكتابة لا أن يعكس، كما قد مرّ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هذه التقوية من التأمل إن لم نقل الأمر بالعكس</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الغزالي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يجوز أن يروي عنه، لأن روايته شهادة عليه بأنه قاله، و الخط لا يعرفه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جزما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الأول أصح كما صرح به ثاني الشهيدين في بدايته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يعقوب إسحاق بن إبراهيم بن مخلد الحنظلي التميمي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محدث، صاحب مسند كبير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ثاني الشهيدين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العراقي في الألفية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الأكثر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هنا أقرب من 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غير واحد من علماء المحدثين إلى أن قول حدثنا في الرواية عن المكاتبة جائز</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المكاتبة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حديثا واحدا فأكثر، عن شيخ واحد أو أكثر، حسب ما اتفق له وقوعه سماعا أو اجازة أو غيرهما من أقسام التحمل، مجردا عن التلفظ بالإجازة و ما في معناها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بألفاظ متقاربة في 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و غيرها و هذا يتفق عند المسافرة أو الموت أو زعم أحدهما و لا يأذن في الرواية بالإجازة أو المناولة أو غير ذلك</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الوليد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عبد العزيز بن جريح الاموي المكي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على الأشهر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هو إمام أهل الحجاز في عصره، 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ثبتا لكنه يدلس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المحصول في اصول الفقه مبسوط في بابه عليه عدة شروح و تعاليق لفخر الدين محمد بن عمر الرازي المتوفى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قد مرت ترجمته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 كذا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الشيخ عبد الصمد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في لزوم العمل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أوجب لكل العمل به إذا صح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الخلاف في جواز الرواية و عدمها حيث قال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جوز الرواية به كثير من علماء الحديث و منعها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المرحوم الدربندي في القواميس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الاعلام هاهنا كإرسال الكتابة في السابق، بمعنى أن الاعلام كالإرسال من القرائن الدالة على وقوع الإجازة من الشيخ و قصده إياها و إن لم يتلفظ بها حين الاعلام،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و وجهه واضح</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الفصل بين الراوي و الواعي كما حكاه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 قد مرت ترجمته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لأن الاعلام عندهم طريق يصح التحمل به و الاعتماد عليه في الرواية عنه فمنعه من ذلك بعد وقوعه غير معتبر، و اختاره عياض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صحيح لا يقتضي النظر سواه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إليه ذهب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 الغزالي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ascii="IRNazanin" w:hAnsi="IRNazanin" w:eastAsia="IRNazanin"/>
          <w:b w:val="false"/>
          <w:b w:val="false"/>
          <w:bCs w:val="false"/>
          <w:i w:val="false"/>
          <w:i w:val="false"/>
          <w:iCs w:val="false"/>
          <w:color w:val="333333"/>
          <w:sz w:val="20"/>
          <w:sz w:val="20"/>
          <w:szCs w:val="20"/>
          <w:rtl w:val="true"/>
        </w:rPr>
        <w:t>، و العراقي في ألفيته و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إلى غير واحد من المحدثين و أئمة الاصول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يجزه الرواية فكانت روايته كاذبة، و لم يوجد منه التلفظ به و لا ما ينزل منزلة تلفظه 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هنا سقط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العمل بما أخبر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ظاهر لأن العمل واجب على من سمعه إذا صح اسناده عنده و لم يبتل بالمعارض، بل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أوجب ذلك كثير من علماء الحديث، و كذا قاله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أن الأقوال في المسألة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له أن يرويه عنه بالإعلام المذكور و إن نهاه، كما لو سمع منه حديثا ثم قال له لا تروه عني و لا أجيزه لك فإنه لا يضره ذلك، و رابع الأقوال مختار المصنف فتدبر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عبر عنها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الوصية بالكتاب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لشخص أو أكثر بكتاب أو أكثر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يرويه فلان بعد موت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إن جمع من علماء الدراية كالشهيد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نزلوا الوصية منزلة الاعلام و أدرجوهما في عنوان واحد و أول من أفردهما 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نعما فعل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سيرين البصري الأنصاري مولاهم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محدث مفسر معبر للرؤيا، قيل كان إمام عصره في علوم الدين بالبصرة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قلابة عبد اللّه بن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المتوفى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أحد أعلام التابعين حيث أوصى بكتبه إلى تلميذه أيوب السختياني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حيا و إلا فلتحرق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مفصلة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تفصيل ذلك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الغنى، كما في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الغضب موجدة و في الغنى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 و في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من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أولى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بألفاظ متقاربة، و حكاه في حاشية 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 و سبقه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صفحة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تحفة العالم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و لعل الشهيد أخذ منه أو هما أخذا من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يجوزوا الرواية بمجرد ذلك، بل يقول وجدت أو قرأت بخط فلان، و في جواز العمل به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 فصل القول به السخاوي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بل قيل أنه ليس من باب الرواية بل هو حكاية عما وجده في الكتاب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من زيادات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الثانية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الفراغ من كونها انزل وجوه التحمل، حتى أن من وجوه القدح التي عدّوها لمحمد بن سنان المشهور أنه روى بعض الأخبار بالوجادة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السيوطي تبعا للنووي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العمل بالوجادة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بعض المحققين الشافعيين بوجوب العمل بها عند حصول الثقة به،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الصحيح الذي لا يتجه في هذه الأزمنة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شك أنه لو توقف العمل فيها على الرواية و السماع لانسد باب العمل بالمنقول الموجود في الكتب و الموسوعات في زماننا لتعذر غيره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منع أكثر العامة من العمل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جوزه أكثر المحققين و منعه أكثر العامة، و قد ناقش العبارة في القواميس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التغيير، كما في أكثر الموارد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غير واحد و سبق منّا، لاحظ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و جماعة آخرين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عن المفضل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أن نقلناها،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يأتي على الناس زمان هرج لا يأنسون فيه إلا بكتبهم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 دلالة على جواز العمل بالوجادة و رجحان كتابة الحديث و النقل، و بمضمونها رواية عبيد اللّه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احتفظوا بكتبكم فإنكم سوف تحتاجون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56/18</w:t>
      </w:r>
      <w:r>
        <w:rPr>
          <w:rFonts w:ascii="IRNazanin" w:hAnsi="IRNazanin" w:eastAsia="IRNazanin"/>
          <w:b w:val="false"/>
          <w:b w:val="false"/>
          <w:bCs w:val="false"/>
          <w:i w:val="false"/>
          <w:i w:val="false"/>
          <w:iCs w:val="false"/>
          <w:color w:val="333333"/>
          <w:sz w:val="20"/>
          <w:sz w:val="20"/>
          <w:szCs w:val="20"/>
          <w:rtl w:val="true"/>
        </w:rPr>
        <w:t xml:space="preserve">، و كذا عموم الجواب في سؤال أحمد بن عمر الحلال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المار، و بمضمونه روايات كثيرة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ملاء</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بما رووا و ذروا ما رأوا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المعكوفين من زيادات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الطبعة الثانية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شينولة و كذا في حاشية 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غلط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شنبولة القمي الأشعري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كذا في الوسائل و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هو الصحيح</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فكتموا كتبهم فلم ترو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الكافي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الكتب، كذا في الوسائل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كتاب فضل العلم،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ذكرناه قريبا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الروايات عن طريق العامة في الوجادة، قال البلقيني في 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 بعضهم بالعمل بالوجادة بما ورد في الحديث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الخلق أعجب إليكم إيمانا؟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يؤمنون و الوحي ينزل عليهم؟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تؤمنون و أنا بين أظهركم؟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يأتون من بعدكم يجدون صحفا يؤمنون بما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استنباط حسن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الطبعة الاولى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 هنا أمران نبّه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الطبعة الثانية و في الأولى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سقوطه ظهر مما مرّ في حجية المجوز، فالقول بجواز العمل بالوجادة و إن لم تنضم إليها الإجازة و لا غيرها من طرق التحمل للرواية مع الوثوق و الأمن من الغلط و التزوير 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الأحسن ضمّ الإجازة إليها محافظة على اتصال السند و الخروج عن حد الإرسال للتيمن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أقوى</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يبعد عدّ الرواية من باب نقل الحديث بالمناولة إلا أنه تبرك بقراءة بعض الأحاديث، و تنزّل قراءة أول الكتاب أو الباب الذي اريد إلقائه عليهم ذلك بمنزلة سماع الكتاب أو الباب كلّه كما أفاده شارح الوسائل، و وجه التأمل في الرواية أيضا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فيستمعون مني، بدلا أنهم يريدون أن يستمعوا من لفظي و لو من باب التبرك و التيمن، لا مجرد الرواية بأي نحو كان، فإن معنى الاستماع طلب السماع، أي غرض السماع مني لا أن غرضهم الرواية 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إلا فلا معنى لأمر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بقراءتهم عليه، لعدم مطابقة السؤال مع الجواب، فتدبر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قد ذكرنا عبارته في المستدرك و لا يظهر منها ما استظهره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التوصل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بحث الإجازات في المستدرك و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بحار الأنوار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يجدونه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الرحلة في طلب الحديث</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لي أن أرويه عنه؟ قال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إن علمت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علمت</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فاخبارنا ليست منحصرة فيها، إلا أن ما خرجت عنها صارت الآن غير مضبوطة و لا يكلّف الفقيه بالبحث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العبارة كما ترى لا تلائم ما نسبه المستدل طاب ثراه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اقترنت الوجادة بالإجازة بأن كان الموجود خطه حيا و أجازه أو أجاز غيره عنه و لو بوسائط، فلا ريب في جواز الرواية أيضا، حيث يجوز العمل بالإجازة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متممات بحث الإجازة، و كان الأولى أن يذكر هناك</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المولى ملا علي كني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زيادة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المعكوفتين من زيادات الطبعة الثانية، و المراد من كتاب منتهى المقاصد ما مرّ تفصيله للمصنف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المراد من كتاب القضاء للمولى ملا علي كني، المطبوع كرارا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الخلاف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في قبول مثل هذه الشهادة و عدمها في بحث الأمارات التي تفيد المدح أو التوثيق، فراجع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كتاب 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 و معنى نشب اي لزم و علق</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 عنهم، كذا في الوسائل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هو الظاهر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الأخبار في هذا الباب تبلغ إلى حد تعسر الإحصاء، و من هنا يظهر أن اجازة الرواية لنا و لامثالنا حاصلة من أئمتنا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فأية حاجة بعد إلى اجازة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كانت حاصلة لنا أيضا، اللهم إلا على المنع من الإجازة للمعدوم، و هو مع ضعفه مندفع باجازة إمام عصرنا عجل اللّه تعالى فرجه التي أجازها قبل وجودنا و استمر عليها إن لم يحددها بعد تأهلنا لذلك، و نعوذ باللّه من رجوعه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ذلك</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روايات الباب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71/18</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ادعاه البعض، و قد سبق منّا ذكره فراجع</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استدركناه برقم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 سابقا جملة من روايات الباب، فراجع</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حول الوجادة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جمع من علماء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أنواع الحديث، و هو عنده النوع الخامس و العشرين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الروايات في نسبة المنع أو الجواز في كتابة الحديث إلى هؤلاء و غيرهم متضاربة بل متعارضة جدا، و لا يمكن أن يجزم بنسبة المنع لأحد هؤلاء و لا الإباحة، لوجود روايات مناقضة لها، و يعدّ أول من عرف بالكراهة بل المنع عمر بن الخطاب و ابنه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النووي و تبعا له السيوطي في تقريبهما و تدريبهما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سبقهم البلقيني في 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حاولوا نسبة الإباحة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و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حتى بالنسبة إلى ما روى عن أبي سعيد الخدري كما في 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نقول أنهم رجعوا عن الكراهة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المنع إلا من الخليفة الثاني و حزبه، و للمرحوم الدربندي في مقابيسه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توجيه حري بالملاحظة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 أن الشيخ الأميني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غديره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تتبع الروايات في مسألة نهي الخليفة الثاني عن كتابة الحديث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ضربه لوجوه الصحابة و حبسه لهم، ثم أردف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 في رأي الخليفة في كتابة السنن، و اجتهاده حول الكتب و المؤلفات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هناك بحث شيق في معالم المدرستين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جدير بالمطالعة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مسألة المنع عن الكتابة و اباحتها سرت إلى التابعين أيضا، راجع فصل التدوين في عصر التابعين من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تقييد العلم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إلا أن الدواعي فيها كانت تختلف عما كان عليه في الصدر الأول، لاحظ مقدمة تقييد العلم ليوسف العش و غيره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مسلم في صحيحه في كتاب الزهد باب التثبت في الحديث، الحديث المتقدم، و لفظه 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تكتبوا عني، و من كتب عني غير القرآن فليمحه، و حدّثوا عني و لا حرج، من كذب عليّ متعمدا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بشرح النووي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129/18</w:t>
      </w:r>
      <w:r>
        <w:rPr>
          <w:rFonts w:ascii="IRNazanin" w:hAnsi="IRNazanin" w:eastAsia="IRNazanin"/>
          <w:b w:val="false"/>
          <w:b w:val="false"/>
          <w:bCs w:val="false"/>
          <w:i w:val="false"/>
          <w:i w:val="false"/>
          <w:iCs w:val="false"/>
          <w:color w:val="333333"/>
          <w:sz w:val="20"/>
          <w:sz w:val="20"/>
          <w:szCs w:val="20"/>
          <w:rtl w:val="true"/>
        </w:rPr>
        <w:t>، و ذكر هذا في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تقييد العلم للخطيب البغدادي؛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تأويل مختلف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و الحديث جاء بألفاظ مختلفة، و قد حكوا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جهدنا بالنبي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يأذن لنا في الكتاب 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عن أبي سعيد أيضا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الكتابة فأبى أن يأذن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أدرجها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 و ذكر البغدادي في 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علينا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نكتب الأحاديث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الذي تكتبون؟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سمعناها منك،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غير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كتابا غير كتاب اللّه تريدون؟ ما 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الأمم قبلكم إلا ما كتبوا من الكتب مع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بألفاظ متقاربة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هدى الساري مقدمة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العسقلاني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من مصادر العامة أن علي بن أبي طالب كانت معه صحيفة فيها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فكاك الأسير و لا يقتل مسلم بكافر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موضوع صحيفة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مفروغ عنها تاريخيا و روائيا عند الفريقين، و عرفت بكتاب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لاحظ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و تأسيس الشيعة لعلوم الإسلام و غيرهما، و كذا مصحف فاطمة سلام اللّه عليها و الجريدة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روى عنه سلام اللّه عليه من طريق العامة قوله لبنيه و بني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تعلموا، فإنكم صغار قوم اليوم تكونون كبارها غدا، فمن لم يحفظ منكم فليكتب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فليكتبه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ليضعه في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الكفاية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البخاري في صحيحه في كتاب العلم أن عبد اللّه بن عمر كان يكتب الحديث، فإنه روى عن أبي هريرة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أحد من أصحاب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حديثا عنه مني إلا ما كان من عبد اللّه بن عمر فإنه كان يكتب و لا أكتب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معاشرة أبي هريرة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سنين و طفولة ابن عمر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 ذلك نجد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ممن كره الحديث، و لعل مستنده ما ذكره في 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سعيد بن جبير، فلاحظ</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مكة، و ابن إسحاق أو مالك في المدينة و غيرهما في غيرهما، و مبدأ الجمع أولا كان مختلطا مع أقوال الصحابة و فتاوى التابعين و اجتهاد المصنفين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 يعدّ من القرن الثاني، و أوج النهضة كان في ثالث الهجرة، و فيها الّفت صحاحهم و غيرها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غير واحد كابن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 البلقيني في ذيل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 ادعى الإجماع عليه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للعراقي في ألفيته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اسئولة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بالجملة فإنه لا ريب في كون كتابة الأحاديث من المندوبات العينية و الواجبات الكفائية، بل قد تجب على جمع فرضا عينيا، و الأمر بذلك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أوصيائه من آله المعصومين صلوات اللّه عليه و عليهم أجمعين مما قد بلغ حد التسامع و التظافر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عبد اللّه بن عمر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البعض، و قد ذكر له الخطيب أكثر من عشرة طرق في 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بيان العلم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من المصادر السالفة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الرخصة من أبواب العلم، 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ذكر الخطيب للحديث تسعة طرق، فراجع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غوالي اللئالئ عن عبد 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أقيد العلم؟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تقييده؟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و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من أهل اليمن سمع حديث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لي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اكتبوا لأبي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شاة كما 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235/12</w:t>
      </w:r>
      <w:r>
        <w:rPr>
          <w:rFonts w:ascii="IRNazanin" w:hAnsi="IRNazanin" w:eastAsia="IRNazanin"/>
          <w:b w:val="false"/>
          <w:b w:val="false"/>
          <w:bCs w:val="false"/>
          <w:i w:val="false"/>
          <w:i w:val="false"/>
          <w:iCs w:val="false"/>
          <w:color w:val="333333"/>
          <w:sz w:val="20"/>
          <w:sz w:val="20"/>
          <w:szCs w:val="20"/>
          <w:rtl w:val="true"/>
        </w:rPr>
        <w:t>، و بهذا المضمون روايات في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رخص في الكتابة،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جامع بيان العلم و فضله لابن عبد البر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كتابة العلم،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العلم قبل القول،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و قد أسهب الخطيب البغدادي في تقييد العلم حيث جمع كل ما في الباب تقريبا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إباحة كتابه العلم بل وجوبها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النووي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حجر في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حكاه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 ذكره السمعاني في أدب الإملاء و 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كانوا يكرهون 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لا يعتمد العالم على الكتاب بل يحفظه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أكثر من واحد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و عن توضيح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الحكم منسوخا كذا قيل، لاحظ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البخاري و تبعه غيره، و في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يتقى من تفسير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البلاغ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مرة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إلى بعض الصحابة من أنه منع شخص خاص أن يكتب، أو منع حديث معين أن يدوّن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و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فهمه ابن قتيبة في أحد قوليه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في تأويل مختلف الحديث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 يكون النهي عاما، و خص بالسماح له من كان قارئا كاتبا مجيدا لا يخطئ في كتابته و لا يخشى عليه الغلط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خير الوجوه ما ذكره الخطيب البغدادي في تقييد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يضاهي بكتاب اللّه تعالى غيره، أو يشتغل عن القرآن بسواه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مع ما فيه من أوجه النظر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بالاستحباب المؤكد كما عن أكثر من واحد، بل يظهر من عبارة غير واحد القول بالوجوب،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و فصّل القول فيه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و سبقه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بتخفيف ولدتك،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نبي ولدتك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بحث المصحّف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 فقد ذكرنا جملة من المصادر و الأمثلة هناك</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آداب كتابة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بعض فضلائنا و جم غفير من علماء العامة أن معرفة ذلك من الامور المهمة، فينبغي تبين الخط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ينبغي أن يكون اعتناؤه بضبط الملتبس من الأسماء أكثر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بمضامين مختلفة في كتب الفريقين، ففي كشف الخفاء و مزيل الإلباس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اتقنه، و في جامع الاصول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 اللّه امرأ أحسن صنعته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أولهم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تبعه جمع كالسيوطي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قيل بتقطيع حروف الكلمة المشكلة في الهامش و تضبط حرفا حرفا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له في تدريب الراوي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وتكبير كتابة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وجه له</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مسهباً السخاوي في شرح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وسبقه ابن الصلاح في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من فوقها كالأثافي ، قاله في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والتي فوق الشين المعجمة تكون كالأثافي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الأحجار الثلاث التي توضع تحت القدر المتفرقة</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القاضي عياض ، وحكى عنه أكثر من واحد</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نص عليه السيوطي في التدريب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وسبقه النووي في التقريب وشرح مسلم وابن الصلاح في المقدمة</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في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والتدريب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 بل قد تعاهد القدماء في مخطوطاتهم غالباً بالتمييز بالحمرة ، فالزيادة تلحق</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 من مرّ قريبا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تدريب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كنية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أثبته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ربيعة بن شيبان السعدي من التابعين، و يعد من أهل البصرة، يروي عن الإمام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 يتميز أحدهما عن الآخر، و لئلا يحصل التداخل بأن يدخل عجز الأول في صدر الحديث الثاني أو العكس، خصوصا لو تجردت المتون عن أسانيدها، خصوصا ما لو كان آخره ايضاح لغريب أو شرح لمعنى مما يسبب الإدراج و غيره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عبد اللّه بن ذكوان القرشي المدني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كبار التابعين، فقيه أهل المدينة، و كان يكنى بأبي عبد الرحمن أيضا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جمع من العامة كالخطيب البغدادي و ابن بطة إلى الحرمة، و آخرين كابن العيد إلى الكراهة، و كذا العراقي في الألفية و السخاوي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أقبح من ذلك ما لو كان التفريق بين العاطف و المعطوف إن عطف بالواو، و قد يسهل فيما لو كان بغيرها، و أقبح من كل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لا يفعله ذو بصيرة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 فرق في الكلمة الواحدة، كذا أفاده والد الشيخ البهائي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سبقه السيوطي و قبله النووي في التقريب و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 محاسن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 كتب الدراية، و جاء في كتب الحديث للعامة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الأوسط للطبراني، و انظر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الجوزي في الموضوعات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ascii="IRNazanin" w:hAnsi="IRNazanin" w:eastAsia="IRNazanin"/>
          <w:b w:val="false"/>
          <w:b w:val="false"/>
          <w:bCs w:val="false"/>
          <w:i w:val="false"/>
          <w:i w:val="false"/>
          <w:iCs w:val="false"/>
          <w:color w:val="333333"/>
          <w:sz w:val="20"/>
          <w:sz w:val="20"/>
          <w:szCs w:val="20"/>
          <w:rtl w:val="true"/>
        </w:rPr>
        <w:t>، بدون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ان كان له طرق تخرجه من الوضع، و نسب في كتب العامة إلى جعفر بن محمد و بألفاظ اخرى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و حكاه في محاسن الاصطلاح ذيل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أصفهان لأبي نعيم مسندا إلى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لم أظفر به، و انظر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المعجم الكبير للطبراني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عز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وَ مَلائِكَتَهُ يُصَلُّونَ عَلَى اَلنَّبِيِّ يا أَيُّهَا اَلَّذِينَ آمَنُوا صَلُّوا عَلَيْهِ وَ سَلِّمُوا تَسْلِيماً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كما صرح به غير واحد كابن الصلاح في المقدمة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يكره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قيل بالحرمة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لو أفرد النبي بالصلاة و السّلام دون الآل صلوات اللّه و سلامه عليهم، كما يفعله أعداءهم و شانئيهم لعنة اللّه عليهم و ملائكته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عبّر عنها بالصلاة البتراء، و نهى عنها بروايات منهم و منا، منها ما روى عن صادق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متعلقا بالبيت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صلى على محمد، فقال له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تبترها، لا تظلمنا 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صلى على محمد و 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يظهر من رواية في الكافي الشريف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تصح الصلاة على غير الأنبياء كسلمان و مقداد و أبو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ذيله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رحمهم اللّه و رضي اللّه عنهم و صلى عليهم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 السيوطي تبعا للنووي و غيره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و الخطيب و عياض و العراقي في الألفية و تبعه شارحها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يقال لهذا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مقابلة،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معارضة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السمعاني في أدب الإملاء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نصر يحيى بن صالح الطائي بالولاء اليماني المتوفى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أتباع التابعين و علماء أهل اليمامة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في الترجيح هو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تبعه غير واحد ممن تبعه كالعراقي و السخاوي و غيرهم لاحظ شرح السخاوي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لهم هنا أقوال و تفصيلات لاحظها في المفصلات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فضل المعارضة أن يعارض الطالب بنفسه كتابه بكتاب الشيخ مع الشيخ من حالة تحديثه إياه من كتابه، لما يجمع ذلك من وجوه الاحتياط و الإتقان </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ابن الصلاح في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وتبعه جمع</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غير واحد عن عياض وتعرض لهذا البحث مسهباً ابن الصلاح في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والسخاوي في فتح المغيث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تعرضا مفصلاً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ابن الصلاح في 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ويبدأ في الحاشية بكتبه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اللحق مقابلا للخط المنعطف ، وليكن ذلك في حاشية ذات اليمين وإن كان تلي وسط الورقة إن اتسعت له ، وليكتب إلى أعلى الورقة لا نازلاً به إلى أسفل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من تعرض لذلك</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يسمى التشكيك أيضا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نقله 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لأنها لما كانت على كلام فيه خلل أشبهت الضبّة التي تجعل على كسر أو خلل، فاستعير لها اسمها، و مثل ذلك غير مستنكر في باب الاستعارات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كان يفعل الصدر الأول و ما بعده، و أما المتأخرون فربّما استعملوه قليلا، و المستعمل بين المتأخرين في عصر الشهيد و ما قاربه التضبيب بباء هندية هكذا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الكلمة، ثم يكتبون باء هندية اخرى مثلها بازائها على الحاشية ليسهل تصحيحه إذا أريد، و هو في غاية الحسن، و عليه عملنا في كتب الأحاديث و غيرها، و بعضهم ينقط ثلاث نقط عليه، ثم على الحاشية بازائه، و لا بأس به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القائلين والد الشيخ البهائي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سبقه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ابن الصلاح في المقدمة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حكي عن الرامهرمزي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 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حسين العاملي في درايته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وأما الحك والكشط فهو عندهم مكروه ، 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اء وربما أفسد الورق أو أضعفه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يكون الخط في وسطه لا عليه مع إمكان قراءة ما تحته، كما هو متعارف ، اليوم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غير واحد عن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خاصة، وكأنه مبدأه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السخاوي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السيوطي في التدريب تبعاً للنووي في التقريب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والسخاوي في الفتح تبعاً للعراقي في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وسادسها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وسابعها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اوله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آخره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يحذفون الثاء أيضا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و فصّل القول به السخاوي تبعا لماتنه العراقي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قال الأخير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كلمة قال الواقعة بين الإسناد بين الرواة حسب ما روى في بعض المعاجم الحديثة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ثنا، و ربّما خلط كما صنع الدمياطي، و قيل أنه تفرد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نصّ عليه السيوطي أيضا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يرمز أيضا حدثني، فيكتب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ثني أو دثني دون أخبرني و أنبأنا و أنبأني، و 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العراقي منهم من يرمز لها بقاف، ثم اختلفوا فبعضهم يجمعها مع أداة التحديث فيكتب قثنا، يريد قال حدثنا،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توهم بعض من رآها هكذا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التي تأتي بعد حاء التحويل و ليس كذلك، و بعضهم يفردها فيكتب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و هذا اصطلاح متروك</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مقالنا المطبوع في مجلة تراثنا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الرموز و الإشارات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ذكرنا حدود ألف رمز علمي عام للعامة و الخاصة، و لم نتعرض للرموز الخاصة بالمؤلفين، بل ما تداوله القوم، و الأصل في المقال أنه كان مستدرك لهذا الكتاب، ثم استل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استدركنا عليه كثيرا، و سيطبع باذن اللّه مستقلا</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كيفية التسميع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الفوائد التسعة مأخوذة بتصرف و زيادة في بعضها و اختصار في آخر من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عدها خمسة عشر، و تواردتها كتب الدراية عند الخاصة و العامة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مرت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 بيان جملة من صفات رواية الحديث كألفاظ الأداء و غيرها، و كان الأولى الجمع بينهما في مقام واحد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و حتى الكتب التي لم تقابل، و هذا تفريط لا يجوّزه ذو مسكه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النووي في التقريب و قرره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و سبقهما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كذا العراقي في الألفية و شارحها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منا و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أهل العلم أولا في الاحتجاج برواية من كان لا يحفظ حديثه غير أن معوله على الكتاب، فمنهم من لم يصحح ذلك و منهم من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جملة من الروايات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أخاف أن يزداد في حديثه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هو لا يدري</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دليل من يمنع الاعتماد على الكتاب مطلقا أو بالقيد، و قد استقر العمل على خلافه في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يجب على صاحب الكتاب أن يحتفظ بكتابه الذي سمع فيه، فإن خرج عن يده و عاد إليه فقد توقف بعض العلماء عن جواز الحديث منه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اتفقت كلمة العامة و مذهب أكثر علمائنا و محدثينا على ذلك، و أنه يجوز الكتابة عليه و الرواية منه إذا جمع الراوي شرائط الأخذ و التحمل، هذا إذا أمن من التزوير و كان مقابلا مصححا، و إن أعاره الثقة لندرة التغير و عدم خفاء الدس و التزوير و التحريف غالبا، و عدم خفاء مثل ذلك على أهل الفن إلا نادرا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يلزم منه تقليل الرواية و تضييقها مع ما يتطرق إليه من النسيان و الشك و الوهم، و ذلك لا يتأتى في الكتابة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فعله الحاكم النيشابوري في مستدركه على الصحيحين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كثير تعاطاه قوم من أكابر العلماء و الصلحاء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الرحمن الحضرمي المصري المعروف بابن لهيعة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سفيان الثوري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لهيعة الاصول و عندنا 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محدث مصر إلا ابن لهيعة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السماع من البصير الامي و الضرير اللذين لم يحفظا من المحدث ما سمعاه منه لكنه كتب لهما بمثابة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منع منه غير واحد من العلماء و رخص فيه بعضهم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الرواية عنه، بل و حتى لو كان حفظه عن نسخة مأمونة معتمدة فقد ذكرها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من تبعه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إذا وجد في نسخة اخرى مثل نسخته في الصحة قال في نسختي أو حفظي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من حفظه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نسخة فلان كذا</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تدريب الراوي تبعا للتقريب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و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 الكفاية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حيث لم يجوزوا في هذا المورد الرواية بالمعنى بلا خلاف، بل يتعين اللفظ الذي سمعه إذا تحققه، و إلاّ لم يجز له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العلماء بالمعنى دون اللفظ حرام على الجاهل بمواقع الخطاب و دقائق الألفاظ، أما العالم بالفرق بين المحتمل و غير المحتمل و الظاهر و الأظهر و العام و الأعم، فقد جوّز له الشافعي و أبو حنيفة و جماهير الفقهاء و معظم أهل الحديث</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خصت العامة في كتبها غالبا هذا البحث و الخلاف في خصوص حديث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الآمدي في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في نقل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 دون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الشهيد الثاني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 السيوطي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و العراقي في الألفية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و ابن الأثير في جامعه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يجوز مخالفة الألفاظ و لا التقديم و التأخير لبعض الكلام على البعض و إن كان المعنى في الجميع واحدا، و كذا الزيادة و النقصان في شيء من الحروف، حتى 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تغيير 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الخطيب البغدادي في الكفاية في علم الرواية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كثير من السلف و أهل التحري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 الرواية على المعنى، بل يجب مثل تأدية اللفظ بعينه من غير تقديم و لا تأخير و لا زيادة و لا حذف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من مذهب مالك</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أبو العباس أحمد بن يحيى بن زيد الشيباني بالولاء المعروف بثعلب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الكوفيين في النحو و اللغة، له جملة مصنفات في الأدب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في الكفاية بابا للرواية عمن لم يجز إبدال كلمة بكلمة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يظهر منه الاختيار، و لعل من حكاه عنه أخذه من قوله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النقصان من الحديث شيئا لا يتغير به المعنى كحذف بعض الحروف و الألفاظ، و الراوي عالم واع محصل لما يغير المعنى، و ما لا يغيره من الزيادة و النقصان، فإن ذلك سائغ له على قول من أجاز الرواية على المعنى دون من لم يجز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كما ترى، و لعله يظهر من مضامين كلماته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و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يكون أخذ من كتاب آخر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في هذه المسألة يتفرع على النزاع، في جواز اقامة كل من المترادفين مقام الآخر، و فيها أقوال ثلاث،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التفصيل بين ما كان من لغته فيجوز و إلا فلا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الشهيد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وعد له في الكفاية بابا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أربعة روايات، و حكاه قبل ذلك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بن أنس، و نسبه له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و العراقي و السخاوي في الألفية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محمد بن عبد اللّه بن محمد المعافري الأشبيلي المالكي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 من حفاظ الحديث، كثير التصنيف في فنون 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كتاب لابن العربي بهذا الاسم، و كل ما له هو كتاب أحكام القرآن في أربع مجلدات، قال في المجلد الأول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هذا الخلاف إنما يكون في عصر الصحابة و منهم، و أما من سواهم فلا يجوز لهم تبديل اللفظ بالمعنى و إن استوفى ذلك المعنى</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من يحفظ اللفظ لا داعي للرخصة له، و لزوال العلة التي رخص فيه بسببها و يجوز لغيره، لأنه تحمّل اللفظ و المعنى و عجز عن أحدهما، فلزمه أداء الآخر، لأنه بتركه يكون كاتما للأحكام، قاله الماوردي في الحاوي و ذهب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فظهر أن له قولان، فلاحظ</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الأقوال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فلاحظ</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دليل هذا القول الخطيب مفصلا في الكفاية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 هذا الدليل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أقوى الحجج</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ثالثا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بنصه، و عدّه رابعا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نظيره ما حكي عن الشافعي في كلام طويل بهذا المعنى، و كذا عن يحيى بن سعيد القطان و حماد بن سلمة و غيرهم، لاحظ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هو الظاهر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بلفظه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فتعمد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اقعد</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 الروايات الثلاث الشهيد في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إلا أن في الوسائل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الرواية الثالثة إلى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 الحديث منك فلعلي لا أرويه كما سمعته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أصبت الصلب منه فلا بأس، إنما هو بمنزلة تعال و هلم، و اقعد و اجلس، و قد حكاه الحر العاملي عن كتاب الإجازات للسيد ابن طاوس</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اكيمة، كما نصّ عليه أبو نعيم في كتابه معرفة الصحابة في ترجمته، و العسقلاني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عبّر عنه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سليم، إلا أنه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نسب الرواية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أكيمة الليثي، و أوردها ابن الجوزي في الموضوعات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الكل كلام، و حكاه البلقيني في 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مقدمة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مرفوع و مضطرب، بل ذكره الجوزقاني و ابن الجوزي في الموضوعات، و كذا ما يروون عن أبي امامة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فشق ذلك على أصحابه حتى عرف في وجوههم،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هذا و نحن نسمع منك الحديث فنزيد و ننقص و نقدم و نؤخر،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أعن ذلك، و لكن من كذب عليّ يريد عيبي و شين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حديث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اسناده محمد بن الفضل المتفق على تكذيبه عندهم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شبهة أن رواية الحديث بلفظه أولى، و لذا تجد جمهرة الفقهاء ذهبوا إلى ترجيح المروي بلفظه على المروي بمعناه، بل قد يستشم من بعض الروايات لزوم ذلك كما روى عن أبي بصير قال 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يَسْتَمِعُونَ اَلْقَوْلَ فَيَتَّبِعُونَ أَحْسَنَهُ إلى آخر الآية سورة الزمر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المسلّمون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إذا سمعوا الحديث لم يزيدوا فيه و لم ينقصوا منه جاءوا به كما سمعوه، كذا ذكره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حكاه عنه في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قريب منه في 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ascii="IRNazanin" w:hAnsi="IRNazanin" w:eastAsia="IRNazanin"/>
          <w:b w:val="false"/>
          <w:b w:val="false"/>
          <w:bCs w:val="false"/>
          <w:i w:val="false"/>
          <w:i w:val="false"/>
          <w:iCs w:val="false"/>
          <w:color w:val="333333"/>
          <w:sz w:val="20"/>
          <w:sz w:val="20"/>
          <w:szCs w:val="20"/>
          <w:rtl w:val="true"/>
        </w:rPr>
        <w:t>، و 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482/4</w:t>
      </w:r>
      <w:r>
        <w:rPr>
          <w:rFonts w:ascii="IRNazanin" w:hAnsi="IRNazanin" w:eastAsia="IRNazanin"/>
          <w:b w:val="false"/>
          <w:b w:val="false"/>
          <w:bCs w:val="false"/>
          <w:i w:val="false"/>
          <w:i w:val="false"/>
          <w:iCs w:val="false"/>
          <w:color w:val="333333"/>
          <w:sz w:val="20"/>
          <w:sz w:val="20"/>
          <w:szCs w:val="20"/>
          <w:rtl w:val="true"/>
        </w:rPr>
        <w:t>، و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أن ذكرنا اسناد الحديث بالطريقين و هي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حجة الوداع في مسجد الخيف، و نضيف هنا أيضا بما حكاه الخطيب البغدادي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بالفاظ متفاوتة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الترمذي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عن زياد بن ثابت بأسانيد متعددة و ورد بألفاظ و جاء بلفظه عند ابن ماجة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322/3</w:t>
      </w:r>
      <w:r>
        <w:rPr>
          <w:rFonts w:ascii="IRNazanin" w:hAnsi="IRNazanin" w:eastAsia="IRNazanin"/>
          <w:b w:val="false"/>
          <w:b w:val="false"/>
          <w:bCs w:val="false"/>
          <w:i w:val="false"/>
          <w:i w:val="false"/>
          <w:iCs w:val="false"/>
          <w:color w:val="333333"/>
          <w:sz w:val="20"/>
          <w:sz w:val="20"/>
          <w:szCs w:val="20"/>
          <w:rtl w:val="true"/>
        </w:rPr>
        <w:t>، و أحمد، و السيوطي في 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حاشية و أبي داود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و كذا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ورد في بعض النسخ مشددا، و هو الأظهر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وجه خامس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خص بجوامع الكلم، ففي النقل بعبارة اخرى لا يؤمن الزيادة و النقصان، كذا في المرآة و حواشيها، كما حكاه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هنا لبس، حيث ما ذكره حجة للقول الثالث إنما هو دليل للقول الرابع من التفصيل بالجواز في النقل بالمرادف و المنع في غيره، و العكس بالعكس، فلاحظ</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على ذلك الشهيد الثاني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اللّه عبدا سمع مقالتي فحفظها و وعاها و أداها كما سمعها، فرب 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غيره أيضا و عقبوه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هذا الحديث شاهدا بصدق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سبق مناقشة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ينافي أولوية النقل و إن كان الأصح الأول عملا بتلك النصوص، مع أن ما ذكروه خروجا عن موضوع البحث، لأنّا إنما جوّزنا لمن يفهم الألفاظ و يعرف خواصها و مقاصدها و يعلم عدم الاختلال للمراد منها فيما أداه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الاشتراط، و هو الظاهر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توضيح من المصنف</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لو</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يجز ذلك، و لا يتم المعنى بدونها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أفردت، و ما ذكر أولى</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 في نسختنا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صاحب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استشكل بشكل آخر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يشكل بأن تلك المصلحة لعلها كانت مقصورة على زمان ورود الحديث فتكون منتفية بالنسبة إلى النقل، و لو سلم فلعلها مصلحة يسوغ للناقل اهمالها كالنكات البيانية التي لا تعلق لها بافادة المراد، مع أنّا نمنع كون أصل الدعوى قطعية، بل هي احتمالية، و لو أثر مثل هذا الاحتمال لأدّى إلى منع النقل بالمعنى مطلقا، لجواز أن يكون قد روعي في لفظ الحديث مصلحة لا توجد في غيره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مقاصد الأنام في شرح شرائع الإسلام، و قد مرّ ترجمة الكتاب، و هو لا يزال خطيا في مكتبة الأسرة في النجف الأشرف</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كمال الدين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سنان عن صادق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بيان حديث الغريق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يا رحمان يا رحيم يا مقلب القلوب ثبت قلبي على دينك،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يا رحمان يا رحيم يا مقلب القلوب و الأبصار ثبت قلبي على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 جلّ مقلب القلوب و الأبصار، و لكن قلّ كما أقول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مقلب القلوب ثبت قلبي على دينك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العلامة المجلسي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في ذكري أني رأيته في وسائل الشيعة و حكاه الشيخ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الكمال و لا أذكر محلهما فعلا، و على كل، فهو شاهد على أنه لا ينبغي تغير ألفاظ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نقل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 لو كانت في نظر الراوي أولى و أحسن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الكمال لمن رام درك صالح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من زيادات الطبعة الثانية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والد البهائي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وصول الأخيار، و منهم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عن ابن حنبل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 لفظ الشيخ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حدثني و سمعت و أخبرنا و لا تعدوه، و العراقي في ألفيته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لأن في اقامة أحدهما مقام الآخر خلاف و تفصيل سبق منّا ذكره، و لاحتمال أن يكون من قال به لا يرى التسوية بينهما، هذا مع ما في اقامة أحدهما مقام الآخر من كونه في باب تجويز الرواية بالمعنى الذي هو محل خلاف أيضا، فتدبر، إلا أن المرحوم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نقله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بما فيه، إذ الأصل يقتضي الجواز، و لا معارض 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يشير في ذلك إلى التفصيل بينما لو اريد ذكر نص من كتاب مع النسبة إليه فلا يجوز تغييره للزوم الافتراء أو الكذب، و اخرى يريد نقل ما معناه و مضمونه فيصح، فتأمل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حكيت أكثر من قصة و واقعة في مسند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عن ابن مسعود، و ان ناقشها البلقيني في محاسن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عويمر بن مالك بن قيس الأنصاري الخزرجي، المتوفى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 الصحابة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عنوان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زيادة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 هذا الأمر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الإضافة إلى الحديث ما ليس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أشبه ببحثي المزيد و المدرج السالفين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العراقي في ألفيته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من المجوزين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منعه مطلقا سواء تقدمت روايته له تاما أم لا، كان عارفا بما يحصل به الخلل في ذلك أم لا، و هو مختار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لأن رواية الحديث على النقصان و الحذف لبعض متنه يقطع الخبر و يغيره عن وجهه، و ربّما حصل الخلل و المختصر لا يشعر، و احتج له الخليل بن أحمد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فبلغه كما سمعه، قال ابن الأثير في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العجب إلا ممن منع من ذلك و قد رأى كتب الأئمة و مصنفاتهم و أحاديثهم و هي مشحونة بأبعاض الحديث، كيف و المقصد الأعظم من ذكر الحديث إنما هو الاستدلال به على الحكم الشرعي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عليه و اختاره ابن الأثير في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جوّز نقل الحديث بالمعنى جوّز ذلك إن كان رواه مرة بتمامه و لم يتعلق المذكور بغير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فنقل البعض تحريف و تلبيس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ابن حجر في شرح النخبة ثم 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اختصار الحديث فالأكثرون على جوازه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ارجاع قول الأكثر إلى الوجه الرابع،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كلام الخطيب في الكفاية يردّه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كثير من الناس يجوز ذلك للراوي على كل حال و لم يفصلوا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سواء احتاج إلى تغيير لا يخل بالمعنى أم لا، و به قال مجاهد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مختار جماعة منّا كما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المرحوم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كلامه في فوائد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السيوطي كما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سواء جوّزنا الرواية بالمعنى أم لا، و سواء رواه قبله تاما أم لا، لأنه بمنزلة خبرين منفصلين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اختاره النووي في شرح مسلم كما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العراقي في ألفيته و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و الغزالي في 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خلط منا و من العامة بين تجويز النقصان في الحديث و جواز تقطيع الحديث، و قد ذكرهما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الأمر السادس معا، ثم فصل جواز التقطيع للحديث هنا، و يكفي في المقام ذكر بعض كلمات الخطيب البغدادي في الكفاية و تبعه غيره غالبا و قد مرّت بعض كلماته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اختيار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المتروك في الخبر متضمنا لعبارة اخرى و أمرا لا تعلق له بمتضمن البعض الذي رواه و لا شرط فيه جاز للمحدث رواية الحديث على النقصان و حذف بعضه و قام ذلك مقام خبرين متضمنين عبارتين منفصلتين و سيرتين و قضيتين لا تعلق لأحداهما بالاخرى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إذا كان المتن متضمنا لعبارات و أحكام لا تعلق لبعضها ببعض، فإنه بمثابة الأحاديث المنفصل بعضها عن بعض، و يجوز تقطيعه و كان غير واحد من الأئمة يفعله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الكلام فيه البلقيني في محاسن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أن لا يفعل، قال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جائز قطعا، بل مما قامت عليه السيرة بين العامة و الخاصة، و ردّ من خالف بمخالفته للأصل و عدم الدليل 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الشهيد في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أقرب إلى الجواز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يستشم منها ذلك</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العراقي في ألفيته، و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سبقهما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و الشيخ حسين العاملي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المبالغة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اللحن في الألفاظ، و المصحف من يصحف الألفاظ و أسماء الرواة و لو كان لا يلحن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الأصمعي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أخوف ما أخاف به على طالب الحديث إذا لم يعرف النحو أن يدخل في جملة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كذب عليّ متعمدا فليتبوأ مقعده من النار، لأنه لم يكن يلحن، فمهما رويت عنه و لحنت فيه كذبت به عليه كما حكاه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غالب المصنفات السالفة، و نص عليه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سخبره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هو أبو الحسين بن معمر الكوفي المحدث كان حيا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سمع من التلعكبري في سنة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يبعد كونه فقيه الطالبيين أحمد بن علي، فراجع</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الاول، فراجع</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المقدمة لابن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غير واحد كالعراقي في الألفية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 بن عبد السّلام، كما حكاه عنه صاحبه ابن دقيق العيد في الاقتراح، و نسبه لهما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فصل الأقوال السيوطي في التدريب تبعا للعراقي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ممن تبعه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غير واحد كالعراقي في الألفية و شارحها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عقّبه البلقيني في محاسن الاصطلاح المطبوع ذيل المقدمة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المنهل الروي حكاه و ما سبقه السيوطي تبعا للنووي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النووي في التقريب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و الطريحي في 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 العراقي في الألفية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و الدربندي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نصّ عليه الخطيب في الكفاية و غيره كما سيأتي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علي بن المدايني و شيخه أبي بكر الأصبهاني الحافظ و غيرهما 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شيخي أن فلان بن فلان 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بعضهم أنه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فلان هو ابن فلان و استحبه الخطيب، لأن لفظ أن استعملها قوم في الإجازة، كذا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و قال ابن الصلاح في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 جائز، و هو مصيب إن لم يثبت للرجل اصطلاح خاص</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قاله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أن يقول بقراءة فلان أو بتخريج فلان حيث لم يذكره شيخه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النووي في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حكاه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العراقي في ألفيته و السخاوي في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190/2</w:t>
      </w:r>
      <w:r>
        <w:rPr>
          <w:rFonts w:ascii="IRNazanin" w:hAnsi="IRNazanin" w:eastAsia="IRNazanin"/>
          <w:b w:val="false"/>
          <w:b w:val="false"/>
          <w:bCs w:val="false"/>
          <w:i w:val="false"/>
          <w:i w:val="false"/>
          <w:iCs w:val="false"/>
          <w:color w:val="333333"/>
          <w:sz w:val="20"/>
          <w:sz w:val="20"/>
          <w:szCs w:val="20"/>
          <w:rtl w:val="true"/>
        </w:rPr>
        <w:t>، و نصّ عليه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و ابن الصلاح سبقهم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اصطلح حذفه في الكتابة دون القراءة أو العكس</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العراقي و حكاه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التوجيه من السيوطي في شرحه للتقريب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ظاهرا هو شهاب الدين عبد اللطيف بن المرجل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السالف الذي لم نجد له ترجمة في المصادر التي بين أيدينا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قاله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 إليه نسبه العراقي في ألفيته، 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الاحتياط ذكره النووي في تقريبه و تبعه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و كذا العراقي في ألفيته و شرحها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ascii="IRNazanin" w:hAnsi="IRNazanin" w:eastAsia="IRNazanin"/>
          <w:b w:val="false"/>
          <w:b w:val="false"/>
          <w:bCs w:val="false"/>
          <w:i w:val="false"/>
          <w:i w:val="false"/>
          <w:iCs w:val="false"/>
          <w:color w:val="333333"/>
          <w:sz w:val="20"/>
          <w:sz w:val="20"/>
          <w:szCs w:val="20"/>
          <w:rtl w:val="true"/>
        </w:rPr>
        <w:t>، بل أوجبه بعض المتشددين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ابن 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عقد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في ما جاء في المحدث يروي حديثا ثم يتبعه باسناد آخر و يقول عند منتهى الإسناد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مثل الحديث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أن يروي عنه الحديث الثاني مفردا و يساق فيه لفظ الحديث الأول أم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شعبة بن الحجاج لا يجيز ذلك، و قال بعض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ذلك إذا عرف أن المحدث ضابط متحفظ يذهب إلى تمييز الألفاظ و عدّ الحروف، فإن لم يعرف منه ذلك لم يجز افراد الإسناد الثاني و سياق المتن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غير واحد من أهل العلم إذا روى مثل هذا يورد الإسناد و يقول مثل حديث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متنه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يسوقه، و كذلك إذا كان المحدث قد قال نحوه،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الذي اختاره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المعطوف له حكم المعطوف عليه، و هو منزل بمنزلة تقطيع المتن الواحد في أبواب بإسناده المذكور في أول المتن، و قريب الشبه بالنقل من الكتب و المصنفات التي يقع ايراد السند بها في أول الكتاب أو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المنع هنا تنزيهي، أو أنه بمعنى مخالف الأولى</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إبراهيم بن محمد بن إبراهيم بن مهران المتوفى سنة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لقب بركن الدين، و كان عالما في الفقه و الاصول صاحب كتاب الجامع في اصول الدين و غيره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كله أو بعضه على جميعه أو جزءه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الشهيد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و عبّر عنه النووي أنه الصحيح، و قال به العراقي في الألفية و السخاوي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مرّت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له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مطلقا حتى عند من لا يجوز الرواية بالمعنى، لأن نحوه و مثله ليس من متن الحديث، و العرف و اللغة محكمة في ما نحن فيه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يوجب الإخلال بالمقصود في العطف و عود الضمير، بل لا يرد فيه ما ادعى في باب المنع من نقل الحديث بالمعنى</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المحكي عن شعبة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 و هو مغاير لما نسب له هنا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سفيان بن سعيد بن مسروق الثوري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ولد و نشأ بالكوفة، و عادى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معين، كما نص عليه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حديث عن رجل و عن رجل آخر مثله فلا بأس أن يرويه إذا قال مثله، إلا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يعني عملا بظاهر اللفظين، إذ مثله يعطي المتساوي في اللفظ بخلاف نحوه، حتى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يحلّ للمحدث أن يقول مثله إلا بعد أن يعلم أنهما على لفظ واحد، و يحلّ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إذا كان على مثل معانيه، كما نقله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و زيادة اللام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فيما لو أورد الحديث بتمامه ثم عطف عليه، أما لو حذف بعض المتن و اقتصر على طرف منه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 أو ذكره و نحوهما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بتمامه أو بطوله أو إلى آخره كما هو ديدن بعض الرواة، فلا شك من المنع في سياق تمام الحديث في هذه الصورة، و هو أولى بالمنع من الذي قبله، فتدبر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ذهب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المنع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خالفه البلقيني في محاسن الاصطلاح المطبوع ذيل المقدمة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مستدلا بأن المعنى هنا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عدم تساوي مفهومهما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عنه النووي في التقريب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و رداه و كذا العراقي في الألفية و شارحها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بدر بن جماعة كما قاله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و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و استدلّ له بما لا محصل في نقله و ردّه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يمكن الاستدلال له بحديث البراء بن عازب في الدعاء عند النوم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عبد الرحمن بن المهدي، و أبو زرعة الرازي، و ابن المبارك كما عدهم كذلك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الخطيب، و نقله السيوطي عنه و عن مسلم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و السخاوي في فتحه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للخطيب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قال الراوي حدثني فلان أو فلان و هما عدلان احتج به، و إلا فلا، و كذا لا يحتج به إذا قال فلان أو غيره، و سبقهم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و قال العراقي في ألفيته أنه أخف، و قرّره الشارح السخاوي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في أهمية مقام التحديث و رفعته لما له من خلافة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الأحكام و تبليغها، و قد أولوه المحدثين غاية الأهمية نقدا و تمحيصا، و للتوسع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عدّه نوعا مستقلا من أنواع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السابع و 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آداب المحدث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المقابيس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المحدث الفاصل فقره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و حكاه عنه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و عن جامع بيان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الجامع لأخلاق الراوي و المروي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تذكرة السامع و المتكلم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فتح المغيث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المصادر التي سنوافيك بها</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الغزالي في كتاب الأدب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حكاه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آداب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الصدق، و يجتنب الكذب و يحدّث بالمشهور، و يروي عن الثقات، و يترك المناكير، و لا يذكر ما جرى بين السلف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يعرف الزمان و يتحفظ من الزلل و التصحيف و اللحن و التحريف، و يدع المداعبة، و يقل المشاغبة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يشكر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جعل في درجة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يلزم التواضع، و يكون معظم ما يحدث به ما ينتفع المسلمون به من فرائضهم و سننهم و آدابهم في معاني كتاب ربهم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يحمل علمه إلى الوزراء، و لا يغشى أبواب الامراء، فإن ذلك يزري بالعلماء، و يذهب بهاء علمهم إذا حملوه إلى ملوكهم و مياسيرهم، و لا يحدّث بما لا يعلمه في أصله، و لا يقرأ عليه ما لا يراه في كتابه، و لا يتحدث إذا قرئ عليه، و يحذر أن يدخل حديثا في حديث</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يكون مستدبرا للقبلة ليستقبلها الطلاب لأنهم أكثر منه، كحال القضاء و إن قال غير واحد أنه يلزم أن يكون مستقبلا للقبلة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النووي في تقريبه و تبعه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و العراقي في الألفية، و شارحه في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و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و أضاف في الأول كون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الأخلاق، حميد السيرة، جميل الشيم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فعل ذلك فهو أحمق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أخذه من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نص عليه النووي و شارحه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و العراقي في الألفية و شارحها في فتحه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تحفة العالم في شرح خطبة المعالم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و يعارضها مرويات وردت في المقام منها ما جاء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العلم و الإخلاص في طلبه، و تشديد الأمر على العالم، و لا بد من الجمع بينهما</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سلفت منا جملة منها، و فصّل القول بها صاحب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السمعاني في أدب الإملاء و الاستملاء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كثرة الزحام ينبغي أن يزاد من المستملي حتى يبلغ بعضهم بعضا</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المار سابقا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رواه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كلّم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 بكنه عقله قط،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معاشر الأنبياء امرنا أن نكلّم الناس على قدر عقولهم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روى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نقله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ابن أبي عمير عن حفص بن البختري رفعه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روحوا أنفسكم ببديع الحكمة فإنها تكلّ كما تكلّ الأبدان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كثيرة جدا قال الغزالي في كتاب الأدب في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حكاه القاسمي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آداب طالب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المشهور، و لا يكتب الغريب، و لا يكتب المناكير، و يكتب عن الثقاة، و لا يغلبه شهرة الحديث على قرينه، و لا يشغله طلبه عن مروءته و صلاته، و يجتنب الغيبة، و ينصت للسماع، و يلزم الصمت بين يدي محدثه، و يكثر التلفت عنه اصلاح نسخته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يقول سمعت و هو ما سمع، و لا ينشره لطلب العلو فيكتب من غير ثقة، و يلزم أهل المعرفة بالحديث من أهل الدين، و لا يكتب عمّن لا يعرف الحديث من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حكاه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به خير الآخرة أعطاه اللّه خير الدنيا و الآخرة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الخطيب في الكفاية كما عن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و لم اظفر به، و نص عليه في الألفية و تبعه في فتح المغيث مسهبا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في الصدر الأول، و اليوم بعد انحصار الأحاديث غالبا بالاصول الخمسة المشهورة و المصنفات المعروفة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يلزم المحافظة عليها كتابة و تصحيحا و تحقيقا و ضبطا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دلّت عليه جملة من النصوص و الروايات و نصّ عليه جمهور علماء الدراية لاحظ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اطلبوا العلم، و تزينوا معه بالحلم و الوقار، و تواضعوا لمن تعلمونه العلم، و تواضعوا لمن طلبتم منه العلم، و لا تكونوا علماء جبارين فيذهب باطلكم بحقكم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روى عن طريقنا مرفوعا إلى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تذاكروا و تلاقوا و تحدثوا، فإن الحديث جلاء القلوب، إن القلوب لترين كما يرين السيف و جلاؤها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بل يحرص على العمل بما سمع من الأحاديث من عبارات و سنن و آداب، بل أنهم كانوا يستعينون على حفظ الحديث بالعمل به، و أن زينة العلم العمل به، و زكاته تعليمه و سبب لقراره و حفظه و يؤكد التوفيق</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الخطيب البغدادي كما حكاه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 و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ما يتمهر، مع فرق يسير و سقط</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مشتته، و هو في التدريب كذلك و إن صح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متشتته كما في بعض النسخ</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ذيل البيت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الجهل يجعل احياء كاموات، و الموجود موافق لما في شرح ألفية العراقي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ينبغي لطالب الحديث ترك رواية ما يشك في صحته إلا أن يبيّن حاله، كما روى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عند الشبهة خير من الاقتحام في الهلكة، و تركك حديثا لم تروه خير من روايتك حديثا لم تحصه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تبع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تلميذه الشيخ عز الدين الحسين بن عبد الصمد الحارثي الهمداني العاملي والد الشيخ البهائي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الحقيقة و نور الحديقة، حيث عقد الباب الثالث منه في الكتابة و آدابها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 اثنان و عشرون فصلا من الباب الثاني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صنف الخطيب البغدادي كتابا حافلا لأدب الشيخ و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و السامع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لآداب الراوي و أخلاق السامع، و هو أوّل كتاب صنف في هذا الباب مستقلا، ثم صنف أبو سعد السمعاني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الإملاء و الاستملاء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نقلت عنه في المستدرك بحث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للحافظ عبد الغني بن سعيد الأزدي المتوفى سنة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المحدثين، ذكره في 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 من هذه الثلاثة يعد فنا من فنون علم الحديث أفرد بالذكر، خصوصا الأولان،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مقدمات الشروع في علم الرجال و طبقات العلماء و ما يتصل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الصحابة فنّ جليل فائدته تمييز المرسل و الحكم لهم بالعدالة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و لهم تصانيف كثيرة مستقلة في ذلك،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صنف فيه علي بن المديني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من نزل من الصحابة في خمسة أجزاء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أول من قال به أبو المظفر السمعاني كما حكاه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نسبه إلى طريق الاصوليين</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التبع له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البلقيني في محاسن الاصطلاح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 له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من رواية حديث أو حديثين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 قول أصحاب الاصول ما ذهب إليه أنس بن مالك و سعيد بن المسيب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نص عليه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أصول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المغايرة كما سيأتي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تدريب الراوي تبعا للتقريب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هذا ليس معنى الصحابي اصطلاحا، بل هو لفظ منقول كأكثر مصطلحات هذا العلم، انظر عن الصحابي بمعنى المعاشر كتب اللغة، كلسان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سعيد بن مسيب بن حزن بن أبي وهب المخزومي القرشي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التابعين، و أحد الفقهاء السبعة في المدينة، عرف بالحديث و الفقه و الزهد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 عدم ثبوت النسبة إلى سعيد بن المسيب، لأن في الإسناد محمد بن عمر الواقدي و قد ضعف في الحديث كما قاله العراقي، و حكاه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حكي عن غير واحد كابن الصباغ في العدة، و أبو الحسين في المعتمد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قال صاحب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شيوخ المعتزلة، لاحظ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اشترط بعضهم مع طول الصحبة الأخذ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عمرو بن يحيى الجاحظ أحد أئمة المعتزلة الذي قال فيه 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غير ثقة و لا مأمون</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تلقيح فهوم أهل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قاله الخطيب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قاله الاموي و حكاه عن أحمد و أكثر أصحابهم و اختاره ابن الحاجب أيضا و لم يقيده بالبلوغ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بالقليل و الكثير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التقيد بالبلوغ شاذ، 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و قاله غيره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زكريا السهمي حافظ اخباري، انظر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175/9</w:t>
      </w:r>
      <w:r>
        <w:rPr>
          <w:rFonts w:ascii="IRNazanin" w:hAnsi="IRNazanin" w:eastAsia="IRNazanin"/>
          <w:b w:val="false"/>
          <w:b w:val="false"/>
          <w:bCs w:val="false"/>
          <w:i w:val="false"/>
          <w:i w:val="false"/>
          <w:iCs w:val="false"/>
          <w:color w:val="333333"/>
          <w:sz w:val="20"/>
          <w:sz w:val="20"/>
          <w:szCs w:val="20"/>
          <w:rtl w:val="true"/>
        </w:rPr>
        <w:t>،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354/13</w:t>
      </w:r>
      <w:r>
        <w:rPr>
          <w:rFonts w:ascii="IRNazanin" w:hAnsi="IRNazanin" w:eastAsia="IRNazanin"/>
          <w:b w:val="false"/>
          <w:b w:val="false"/>
          <w:bCs w:val="false"/>
          <w:i w:val="false"/>
          <w:i w:val="false"/>
          <w:iCs w:val="false"/>
          <w:color w:val="333333"/>
          <w:sz w:val="20"/>
          <w:sz w:val="20"/>
          <w:szCs w:val="20"/>
          <w:rtl w:val="true"/>
        </w:rPr>
        <w:t>، و غيرهم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مرّت ترجمة ابن عبد البر و هو أبو عمر يوسف بن عبد اللّه بن محمد بن عبد البر النمري القرطبي المالكي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حفاظ الحديث، عارف بالرجال، فقيه على مذهبه قاضي، له جملة مصنفات منها الاستيعاب في معرفة الصحابة و 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اختيار الماوردي، كما قاله السيوطي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و نسبه إلى غيره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يتعلم منه و لم يرو عنه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تبعه في النقل النووي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 نقله الأخير عن البخاري، و كذا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ألفية العراقي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و غيرهم قال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الأصح كما ذهب إليه الجمهور من المحدثين و الأصوليين و غيرهم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بنصه في شرح التقريب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عليه عكسا فيمن صحبه ثم ارتد كابن خطل و نحوه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 سبقه ابن حجر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نسبه إلى رأي الجمهور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استظهره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معين النبيه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حكاه في قواعد التحديث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حصول المأمول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ساعة، سواء روى عنه أم لا، طالت مجالسته أم لا، و من غزا معه أو لم يغز، و من رآه رؤية و لم يجالسه و من لم يره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تسالمهم أن ذلك خروجا عن المصطلح اللغوي، و كون اللغة تقتضي أن الصاحب هو من كثرت ملازمته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النصوص الواردة عن طريق العامة تدل على اثبات الفضيلة لمن لم يحصل منه إلا مجرد اللقاء القليل و الرؤية و لو مرة، و عليه فلا يشترط البلوغ أيضا لوجود كثير من من عرف بالصحبة و أدركوا عصر النبوة و رووا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يبلغوا إلا بعد موته سلام اللّه عليه و آله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هنا عبّر غير واحد باللقاء بدل الرؤية، و إن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تكون من الرائي بنفسه و كذا بغيره لكن مجازا، أو تغليبا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لعله لوحظ شمولها للقوة أو الفعل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من كان مؤمنا ببعثته صلوات اللّه و سلامه عليه إلا أنه لم يدرك رؤيته أو بعثته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ابن خطل و هو عبد اللّه بن خطل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ترجمة 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وجه التأمل مما ذكره طاب ثراه قريبا</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عثمان التميمي كما نصّ عليه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الإصابة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من بعض الكلمات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 لا بد من اطلاق الصحبة مع الرؤية أن يروي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أو حديثين، كما نص عليه في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كما حكاه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حكاه عن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 محاسن الاصطلاح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ذيل المقدمة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عدوّه صحابيا، لحصول شرف الرؤية له و إن فاته السماع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نقل كلمات القوم في المقام، و نزيد على ما سبق ما ذكره الشيخ حسين العاملي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ذكره العلامة الأميني في غديره، و ما جاء في اصول الفقه المقارن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الصحابي و صحبته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فوائد التنقيح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 و العشرون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بعد احالته لتحديد معنى الصحابي على كتابه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اتفق أصحابنا الإمامية على أن صحبة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بنفسها و بمجردها لا تستلزم عدالة المتصف بها، و لا حسن حاله، و إن حال الصحابي حال من لم يدرك الصحبة في توقف قبول خبره على ثبوت عدالته أو وثاقته أو حسن حاله و مدحه المعتد به مع ايمانه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خالفنا في ذلك جمهور العامة فبنوا على تعديل جميع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عدول إلى حين قتل عثمان، و يبحث عن عدالتهم من حين قتله، لوقوع الفتن بينهم حينئذ، و منهم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عدول إلا من قاتل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 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لخروجهم على الإمام الحق، و منهم من أنكر عليه ذلك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في قتالهم مجتهدون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يأثمون و إن أخطئوا بل يؤجرون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المعول ما عليه أصحابنا رضوان اللّه عليهم،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وجوه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بالاستفاضة، و يثبت بكونه من المهاجرين أو من الأنصار، و كذا لو ادعى الصحبة من أمكن في حقه و هو عدل</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مختار غير واحد من علماء الدراية كما في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 ألفية العراقي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هو القول المنصور في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شرط البعض كونه معروفا باسلامه آنذاك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ادعى الصحبة بنفسه و هو عدل ثقة قيل بقبوله، و قيد البعض بكون ادعاءه يؤيده الظاهر، أو لم ينفيه عدل آخر، و ثمة أقوال اخر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الأميني في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من النصوص النبوية و كلمات أكثر من ستين من الصحابة في أن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القوم اسلاما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دراية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سبقه النووي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و كذا في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رواه الحاكم في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عمره اثنان و مائة، و قيل سبع أو عشر و مائة، و ذاك سنة ثلاث و سبعين أو اثنين و 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وفاته بمكة كما قاله ابن المديني، و ابن حبان و غيرهما، و قيل بالكوفة، و الأول أصح، كما صرح به السخاوي في شرح 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 في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و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و الإصابة في معرفة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الواقدي و ابن المديني و إبراهيم بن المنذر و ابن حبان و ابن مندة و غيرهم، و ان آخر من مات في المدينة سهل بن سعد الأنصاري، و ادعى ابن سعد نفي الخلاف فيه، و كانت وفاته سنة ثمان و ثمانين،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و تسعين،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بمصر،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بالإسكندرية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و ما بعدها، و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و ما والاها مفصلا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 البلقيني، و حكاه السيوطي في 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و ذكره في 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الدراية للشهيد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الصحيح ما ذكر هنا تبعا للتدريب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اختصار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و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ألفية العراقي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و دراية الدربندي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 و حكاه أيضا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 والد البهائي في وصول الأخيار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قاله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حكاه عن عدّة مصادر، و كذا في معين النبيه في رجال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زرعة الراوي لا الرازي، و لعله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تجريد أسماء الصحابة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عن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رآه و سمع منه زيادة على مائة ألف انسان، و حكاه ابن حجر العسقلاني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أيضا، و أن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وفاته كانوا مائة ألف رجل و امرأة، و 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الآف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ما ذكروه و عدوه في كتبهم المعدة لذلك أكثر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المسلمون ستون ألفا، ثلاثون ألفا بالمدينة، و ثلاثون ألفا بغيرها، و على كل هناك أقوال عديدة في عدّهم و عددهم تجدها في المفصلات</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احصاء الصحابة دقيقا أو عدّهم أمر متعذر آنذاك فضلا عن يومنا هذا، لتفرقهم في البلاد و تشتتهم، و كل ما ذكر في الباب مقربات كما في نصوص الغدير و حجة الوداع و أن من حضرها مائة و عشرون ألف حاجا، و على كل لا يخلو قول الرازي عن 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بأن المسألة تختلف و تتخلف بحسب تعريف الصحابي و حدّه، فتدبر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التابعي 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أو التبع، و يجمع عليه أيضا، و كذا على أتباع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سمع من الصحابي أم لا، و قيّده ابن حبان بكونه حين رويته للصحابي في سن من يحفظ عنه، و الأولى اشتراط اللقاء دون الرؤية كي يشمل من لم يكن حين ذاك مسلما ثم أسلم بعد ذلك، حيث لا يشترط في تحمل الرواية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الأقوال في التابعي كاختلافها في الصحابي، و قد اشترط الخطيب البغدادي الصحبة للصحابي دون صرف اللقاء و كذا التابعي، و هو المنصرف عند الإطلاق، و ما عرّفه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مختار الحاكم في معرفة علوم الحديث، و استظهار النووي في التقريب و تبعه السيوطي في التدريب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الاطلاع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إلا أن ابن الصلاح قيّده بالتابع باحسان، نظرا إلى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اَلسّابِقُونَ اَلْأَوَّلُونَ مِنَ اَلْمُهاجِرِينَ وَ اَلْأَنْصارِ وَ اَلَّذِينَ اِتَّبَعُوهُمْ بِإِحْسانٍ رَضِيَ اَللّهُ عَنْهُمْ وَ رَضُوا عَنْهُ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من جعل التابعي 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المخضرمين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من جعل المخضرم قسما على حده كالمصنف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منهم من عدّ المخضرم و التابعي واحدا كما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سوف يأتي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التابعين تتفاوت مراتبهم كثيرا، و منهم من له صحبة طويلة للصحابة و له مزية و فضيلة على سائرهم، أو رواية الصحابة عنه أو التصدي للفتوى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من المرجحات</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سنة إحدى و ثمانين و مائة، و 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مات سنة إحدى و ثمانين و مائتين غلط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قيل أن عصر التابعين كمل على رأس هذه السنة، و قد قيل أنه لقي آخر الصحابة موتا أبا الطفيل عامر بن واثلة في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قيل آخرهم أبو أبيّ عبد اللّه بن حرام ربيب عبادة بن الصامت، مات بدمشق، و قيل ببيت المقدس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آخرهم سليمان بن نافع إن صح أن والده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غير ذلك، قال الكشي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التابعين الكبار و رؤسائهم و زهادهم جندب بن زهير، قاتل الساحر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المخضرم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و الضاء المعجمتين و فتح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عزاه أبو موسى المديني في آخر ذيله للمحدثين على أنه اسم مفعول، و حكى عن بعض اللغويين فيها الكسر، و في وجه التسمية كلام راجعه إن شئت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عرّفه السيوطي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تبعا للنووي في التقريب، و ماشاهم جماعة كما في اصول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ألفية العراقي و شرحها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كشاف اصطلاحات الفنون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ascii="IRNazanin" w:hAnsi="IRNazanin" w:eastAsia="IRNazanin"/>
          <w:b w:val="false"/>
          <w:b w:val="false"/>
          <w:bCs w:val="false"/>
          <w:i w:val="false"/>
          <w:i w:val="false"/>
          <w:iCs w:val="false"/>
          <w:color w:val="333333"/>
          <w:sz w:val="20"/>
          <w:sz w:val="20"/>
          <w:szCs w:val="20"/>
          <w:rtl w:val="true"/>
        </w:rPr>
        <w:t>، و غيرهم، و هناك أقوال شاذة اخرى في حده و تحديدهم لغة و اصطلاحا، و على كل فهم ليسوا صحبة بل يعدّون من كبار التابعين 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جعلهم طبقة مستقلة من التابعين، فتكون أحاديثهم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بالاتفاق بين أهل العلم و الحديث</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احصل على نسخة مطبوعة، فراجع، و قد حكاه عنه غير واحد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1914/5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عنه في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مفصلا من علماء الدراية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 عليه علماء اللغة و الأدب</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التقريب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عنه غير واحد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نسب إلى ابن عبد البر كونهم من الصحابة، و ليس بصحيح، و إن توهمه البعض</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مسلم بن الحجاج كما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و الأولى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عدّهم البعض</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ذهب إليه النووي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ابن حجر في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عفلة، و الصحيح ما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و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عد هؤلاء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الأولى عدّهم في التابعين باحسان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أخص من الأول لأن كل مدبج قرن و لا عكس</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فصلنا الكلام فيها و استدركنا ما يلزمه الاستدراك في مستدركاتنا برقم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من بعدهم طبقة اخرى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كما عرّفه الشهيد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غيره ممن ذكرناه في المستدرك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الطبقات</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الرواة و الوفيات</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له ابن الصلاح في مقدمته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و عدّه النوع الرابع و الستون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تمييز الأصيل من الهجين حيث مجرد النسبة إلى قبيلة مطلقا يفيد أنه منها صلبا، و قد يكون منشأ النسبة أحد المعاني في المولى، و الغالب كونه مولى العتاق</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فوائده أنه لا يظن من ليس بأخ أخا عند الاشتراك في اسم 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علم برأسه عزيز، و قد صنف أبو العباس السراج فيه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الحاكم نوعا برأسه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 كذا عده النوع الثالث و الأربعون في التقريب و كذا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ascii="IRNazanin" w:hAnsi="IRNazanin" w:eastAsia="IRNazanin"/>
          <w:b w:val="false"/>
          <w:b w:val="false"/>
          <w:bCs w:val="false"/>
          <w:i w:val="false"/>
          <w:i w:val="false"/>
          <w:iCs w:val="false"/>
          <w:color w:val="333333"/>
          <w:sz w:val="20"/>
          <w:sz w:val="20"/>
          <w:szCs w:val="20"/>
          <w:rtl w:val="true"/>
        </w:rPr>
        <w:t>، و العراقي في ألفيته و السخاوي في 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صنف فيه غير السراج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المدايني ثم النسائي و مسلم و أبو داود و غيرهم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ثم نون و آخره فاء مصغرا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يزيد، و الظاهر ما ذكرناه و إن جاء كذلك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الدراية الحسين، و انظر 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تدبر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عريف</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كما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 أصح</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النجف من الدراية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شاپور،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شابور و المعنى واحد</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كذا في معجم رجال الحديث و انظر 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ناقش سيدنا في معجمه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ثاني الشهيدين في الدراية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منشأ توثيق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اجتهاده و رأيه فهو ليس بحجة لغيره، و إن كان منشأه أنه فهم و استفاد ذلك من عبارة النجاشي، فهو سهو جزما، إذ لا يستفاد منها التوثيق بوجه، فإنه قال في ترجمة الحسين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بن الفضل، ثقة روى أبوه عن أبي عبد اللّه و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ذكره أبو العباس و عمومته كذلك إسحاق و يعقوب و إسماعيل و 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أي عمومته أيضا كأبيه رووا عن أبي عبد اللّه و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الضمير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ثقة إما يرجع إلى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في تأخير هذه الجملة حينئذ دلالة على عدم توثيقه لعمومته و اختصاص التوثيق بأبيه، و إما أنه يرجع إلى الحسين نفسه، فيكون تكرارا لا محالة</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نسختنا من دراية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فرقد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السيد بحر العلوم من 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الباعث الحثيث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ما ذكر، و هؤلاء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 الحاكم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و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جعفر و عقيل و ام 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فاختة على المشهور، و جمانة بنو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أكبرهم سنا و أقدمهم موتا، و حفصة أصغرهم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الشهيد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جزئي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ترجمتهم في الاستيعاب و الإصابة و أسد الغابة و غيرها من كتب تراجم الصحابة، و في الكل كلام كما راجعنا، إلا أنه تبع ابن عبد البر جمع من علماء الدراية كابن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حجر في الباعث الحديث</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ثاني الشهيدين في درايته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لجماعة منهم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و البلقيني في محاسن الاصطلاح ذيل مقدمة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تسمية عبد اللّه في بنو مقرن جاءت من ذيل الاستيعاب من قبل ابن فتحون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اعترض ابن الصلاح في مقدمته بأن ابن عبد البر زاد فيهم ضرارا و نعيما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في التدريب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في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عفراء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و معوذ و أنس و خالد و عاقل و عامر و عوف</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استوفى البحث فيهم السيد الابطحي في تاريخ آل زرارة بن اعين و انظر رجال السيد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العقيقي عن أبيه عن عمران بن أبان عن عبد اللّه بن بكير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يجاهد في الرجعة، و جاء في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بن أعين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مجاهدا في الرجعة، و حكاه سيدنا الخوئي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مثال الثمانية إلى هنا كلام الشهيد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زاد على هذا العدد نادر، فلذا وقف عليه الأكثر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بالتخفيف، كذا في دراية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مسهر و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أنكرهما الزبير بن بكار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 بدلا من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ذكر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اميمة و ام القثم</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ذكرت أمثلة اخرى كثيرة لكل ما تقدم من الأعداد، بل و لزيادة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حزم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يبلغنا عن أحد من الامم من عدد الأولاد إلا من أربعة عشر فأقل، و أما ما زاد على العشرين فنادر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حكاه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167/3</w:t>
      </w:r>
      <w:r>
        <w:rPr>
          <w:rFonts w:ascii="IRNazanin" w:hAnsi="IRNazanin" w:eastAsia="IRNazanin"/>
          <w:b w:val="false"/>
          <w:b w:val="false"/>
          <w:bCs w:val="false"/>
          <w:i w:val="false"/>
          <w:i w:val="false"/>
          <w:iCs w:val="false"/>
          <w:color w:val="333333"/>
          <w:sz w:val="20"/>
          <w:sz w:val="20"/>
          <w:szCs w:val="20"/>
          <w:rtl w:val="true"/>
        </w:rPr>
        <w:t>، و سمى ابن الجوزي لسعد بن أبي وقاص خمس و ثلاثين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المتفق و المفترق، و من مظانه الطبقات لابن سعد و تواريخ البلدان، و أجمعه الأنساب لابن السمعاني و مختصره لابن الأثير و غيرهم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الراويين، و المعنى واحد</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محاسن الاصطلاح للبلقيني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نقل عن بعضهم أنه إنما يسوغ الانتساب إلى البلد إذا قام فيه أربع سنين فأكثر و قاله في 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قول ساقط لا يقوم عليه 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تسويغ الانتساب إلى المدينة التي هو من قراها نظر، و الأقرب منعه، إلا إذا كان اسم المدينة يطلق على الكل، فإن الانتساب إنما وضع للتعارف و إزالة الالتباس</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و أخذه من دراية الشيخ ابن الصلاح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الشهيد الثاني في البداية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بألفاظ متقاربة، و نصّ عليه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النووي في تقريبه و السيوطي في تدريبه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كثيرا ما نجدهم يقتصرون على العامة خاصة أو الخاص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اجتمع بين النسب إلى القبيلة و النسب إلى البلد قدم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مظان هذا الفن طبقات ابن سعد و قبله أنساب الحازمي و السمعاني و لباب ابن الأثير و لب اللباب للسيوطي و غيرها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فنون هذا العلم المهمة المطلوبة و فائدته الأمن من ظن تعدد الراوي الواحد المكنى في موضع و المسمى 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الصلاح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يزل أهل العلم بالحديث يعتنون به و يتحفظونه و يطارحونه فيما بينهم و ينقصون من جهله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عيب على جمع من الأعلام و امتحن آخرون بذلك، و ربما ينشأ من الغفلة فيه زيادة في السند أو نقصان منه، و لهم في هذا الفن تصانيف عديدة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سبق ذكره من الأنواع في مستدركنا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استوفينا الأقسام هناك، و الأصل في هذه القسمة هو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 حكاه عنه جمع كالسخاوي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 عليه بقسمين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بعلم معرفة الألقاب، و هو نوع مستقل في بابه، و هو تارة لقب بلفظ الاسم و اخرى بلفظ الكنية و ثالثة بسبب حرفة أو بلدة أو شغل أو غيرها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حصلت على رسالة خطية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في كنى أصحاب الحديث لعبد اللّه بن محمد جعفر الأصفهاني المشهدي، كتبها في يوم الجمعة سابع شهر جمادي الثاني 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توجد منها نسخة في مكتبة مدرسة سليمان خان في مشهد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جاء ذكرها في فهرست المدرسة المطبوع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المنفردات، و هو غير علم معرفة الأفراد، و يغاير علم أفراد العلم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فوائده معرفة المجهول إذا لم يكن صحابيا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التقريب و تبعه في التدريب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و الّف فيه مسلم صاحب الصحيح و غيره كما قاله في الألفية و شرحها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جملة أمثلة، و عدّه ابن الصلاح في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نوعا برأسه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 و الأربعون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 أهل الحديث البعض إلى امهاتهم أو لأجدادهم أو لمن تبناهم أو</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أيضا لدفع ظن الاثنين واحدا عند موافقة اسميهما و اسم أبي أحدهما اسم الجد الذي نسب إليه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في كتب الدراية و الرجال أمثلة كثيرة لها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الاولى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فتح المغيث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حاصله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المؤسف كثرة وقوع الاشتباه و عموم الضرر في من ينسب حسينيا لسكناه محلا في القاهرة أو بلد أو غيرهما فيتوهم أنه نسبة إلى الإمام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يوصف بالشرف و السيادة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غير الأدعياء و ما أكثرهم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أفراد العلم، معرفة تاريخ الرواة و الوفيات، معرفة المبهمات، معرفة من اختلط من الثقات، معرفة الثقات و الضعفاء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image" Target="media/image2.jpeg"/><Relationship Id="rId355" Type="http://schemas.openxmlformats.org/officeDocument/2006/relationships/image" Target="media/image2.jpeg"/><Relationship Id="rId356" Type="http://schemas.openxmlformats.org/officeDocument/2006/relationships/footer" Target="footer349.xml"/><Relationship Id="rId357" Type="http://schemas.openxmlformats.org/officeDocument/2006/relationships/footnotes" Target="footnotes.xml"/><Relationship Id="rId358" Type="http://schemas.openxmlformats.org/officeDocument/2006/relationships/numbering" Target="numbering.xml"/><Relationship Id="rId359" Type="http://schemas.openxmlformats.org/officeDocument/2006/relationships/fontTable" Target="fontTable.xml"/><Relationship Id="rId360" Type="http://schemas.openxmlformats.org/officeDocument/2006/relationships/settings" Target="settings.xml"/><Relationship Id="rId3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358</Pages>
  <Words>33981</Words>
  <Characters>135250</Characters>
  <CharactersWithSpaces>167887</CharactersWithSpaces>
  <Paragraphs>1504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2026-08-24T20:32:22Z</dcterms:created>
  <dc:creator>ghaemiyeh.com</dc:creator>
  <dc:description/>
  <dc:language>en-US</dc:language>
  <cp:lastModifiedBy/>
  <dcterms:modified xsi:type="dcterms:W3CDTF">2026-08-25T00:02:33Z</dcterms:modified>
  <cp:revision>1</cp:revision>
  <dc:subject/>
  <dc:title>مقباس الهدایة فی علم الدرایة جلد 3</dc:title>
</cp:coreProperties>
</file>

<file path=docProps/custom.xml><?xml version="1.0" encoding="utf-8"?>
<Properties xmlns="http://schemas.openxmlformats.org/officeDocument/2006/custom-properties" xmlns:vt="http://schemas.openxmlformats.org/officeDocument/2006/docPropsVTypes"/>
</file>