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74.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استقصاء الإعتبار فی شرح الإستبصار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7540_2142443653">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347542_2142443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47544_2142443653">
            <w:r>
              <w:rPr>
                <w:webHidden/>
                <w:rStyle w:val="IndexLink"/>
                <w:rtl w:val="true"/>
              </w:rPr>
              <w:t>أبواب القبلة</w:t>
            </w:r>
            <w:r>
              <w:rPr>
                <w:rStyle w:val="IndexLink"/>
                <w:rtl w:val="true"/>
              </w:rPr>
              <w:tab/>
            </w:r>
            <w:r>
              <w:rPr>
                <w:rStyle w:val="IndexLink"/>
              </w:rPr>
              <w:t>16</w:t>
            </w:r>
          </w:hyperlink>
        </w:p>
        <w:p>
          <w:pPr>
            <w:pStyle w:val="Contents3"/>
            <w:tabs>
              <w:tab w:val="clear" w:pos="8459"/>
              <w:tab w:val="right" w:pos="9026" w:leader="dot"/>
            </w:tabs>
            <w:rPr/>
          </w:pPr>
          <w:hyperlink w:anchor="__RefHeading___Toc347546_2142443653">
            <w:r>
              <w:rPr>
                <w:webHidden/>
                <w:rStyle w:val="IndexLink"/>
                <w:rtl w:val="true"/>
              </w:rPr>
              <w:t>من اشتبه علیه القبلة فی یوم غیم</w:t>
            </w:r>
            <w:r>
              <w:rPr>
                <w:rStyle w:val="IndexLink"/>
                <w:rtl w:val="true"/>
              </w:rPr>
              <w:tab/>
            </w:r>
            <w:r>
              <w:rPr>
                <w:rStyle w:val="IndexLink"/>
              </w:rPr>
              <w:t>16</w:t>
            </w:r>
          </w:hyperlink>
        </w:p>
        <w:p>
          <w:pPr>
            <w:pStyle w:val="Contents4"/>
            <w:tabs>
              <w:tab w:val="clear" w:pos="8176"/>
              <w:tab w:val="right" w:pos="9026" w:leader="dot"/>
            </w:tabs>
            <w:rPr/>
          </w:pPr>
          <w:hyperlink w:anchor="__RefHeading___Toc347548_2142443653">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347550_2142443653">
            <w:r>
              <w:rPr>
                <w:webHidden/>
                <w:rStyle w:val="IndexLink"/>
                <w:rtl w:val="true"/>
              </w:rPr>
              <w:t>بحث حول اسماعیل بن عباد</w:t>
            </w:r>
            <w:r>
              <w:rPr>
                <w:rStyle w:val="IndexLink"/>
                <w:rtl w:val="true"/>
              </w:rPr>
              <w:tab/>
            </w:r>
            <w:r>
              <w:rPr>
                <w:rStyle w:val="IndexLink"/>
              </w:rPr>
              <w:t>17</w:t>
            </w:r>
          </w:hyperlink>
        </w:p>
        <w:p>
          <w:pPr>
            <w:pStyle w:val="Contents4"/>
            <w:tabs>
              <w:tab w:val="clear" w:pos="8176"/>
              <w:tab w:val="right" w:pos="9026" w:leader="dot"/>
            </w:tabs>
            <w:rPr/>
          </w:pPr>
          <w:hyperlink w:anchor="__RefHeading___Toc347552_2142443653">
            <w:r>
              <w:rPr>
                <w:webHidden/>
                <w:rStyle w:val="IndexLink"/>
                <w:rtl w:val="true"/>
              </w:rPr>
              <w:t>خراش مهمل</w:t>
            </w:r>
            <w:r>
              <w:rPr>
                <w:rStyle w:val="IndexLink"/>
                <w:rtl w:val="true"/>
              </w:rPr>
              <w:tab/>
            </w:r>
            <w:r>
              <w:rPr>
                <w:rStyle w:val="IndexLink"/>
              </w:rPr>
              <w:t>18</w:t>
            </w:r>
          </w:hyperlink>
        </w:p>
        <w:p>
          <w:pPr>
            <w:pStyle w:val="Contents4"/>
            <w:tabs>
              <w:tab w:val="clear" w:pos="8176"/>
              <w:tab w:val="right" w:pos="9026" w:leader="dot"/>
            </w:tabs>
            <w:rPr/>
          </w:pPr>
          <w:hyperlink w:anchor="__RefHeading___Toc347554_2142443653">
            <w:r>
              <w:rPr>
                <w:webHidden/>
                <w:rStyle w:val="IndexLink"/>
                <w:rtl w:val="true"/>
              </w:rPr>
              <w:t>بحث حول المراد بالإجماع علی تصحیح ما یصح عن الرجل</w:t>
            </w:r>
            <w:r>
              <w:rPr>
                <w:rStyle w:val="IndexLink"/>
                <w:rtl w:val="true"/>
              </w:rPr>
              <w:tab/>
            </w:r>
            <w:r>
              <w:rPr>
                <w:rStyle w:val="IndexLink"/>
              </w:rPr>
              <w:t>18</w:t>
            </w:r>
          </w:hyperlink>
        </w:p>
        <w:p>
          <w:pPr>
            <w:pStyle w:val="Contents4"/>
            <w:tabs>
              <w:tab w:val="clear" w:pos="8176"/>
              <w:tab w:val="right" w:pos="9026" w:leader="dot"/>
            </w:tabs>
            <w:rPr/>
          </w:pPr>
          <w:hyperlink w:anchor="__RefHeading___Toc347556_2142443653">
            <w:r>
              <w:rPr>
                <w:webHidden/>
                <w:rStyle w:val="IndexLink"/>
                <w:rtl w:val="true"/>
              </w:rPr>
              <w:t>بیان ما دل علی أنّ من اشتبه علیه القبلة یصلّی لأربع جهات والجمع بینه وبین ما یعارضه</w:t>
            </w:r>
            <w:r>
              <w:rPr>
                <w:rStyle w:val="IndexLink"/>
                <w:rtl w:val="true"/>
              </w:rPr>
              <w:tab/>
            </w:r>
            <w:r>
              <w:rPr>
                <w:rStyle w:val="IndexLink"/>
              </w:rPr>
              <w:t>19</w:t>
            </w:r>
          </w:hyperlink>
        </w:p>
        <w:p>
          <w:pPr>
            <w:pStyle w:val="Contents3"/>
            <w:tabs>
              <w:tab w:val="clear" w:pos="8459"/>
              <w:tab w:val="right" w:pos="9026" w:leader="dot"/>
            </w:tabs>
            <w:rPr/>
          </w:pPr>
          <w:hyperlink w:anchor="__RefHeading___Toc347558_2142443653">
            <w:r>
              <w:rPr>
                <w:webHidden/>
                <w:rStyle w:val="IndexLink"/>
                <w:rtl w:val="true"/>
              </w:rPr>
              <w:t>من صلّی إلی غیر القبلة ثم تبیّن‌بعد ذلک قبل انقضاء الوقت وبعده</w:t>
            </w:r>
            <w:r>
              <w:rPr>
                <w:rStyle w:val="IndexLink"/>
                <w:rtl w:val="true"/>
              </w:rPr>
              <w:tab/>
            </w:r>
            <w:r>
              <w:rPr>
                <w:rStyle w:val="IndexLink"/>
              </w:rPr>
              <w:t>25</w:t>
            </w:r>
          </w:hyperlink>
        </w:p>
        <w:p>
          <w:pPr>
            <w:pStyle w:val="Contents4"/>
            <w:tabs>
              <w:tab w:val="clear" w:pos="8176"/>
              <w:tab w:val="right" w:pos="9026" w:leader="dot"/>
            </w:tabs>
            <w:rPr/>
          </w:pPr>
          <w:hyperlink w:anchor="__RefHeading___Toc347560_2142443653">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347562_2142443653">
            <w:r>
              <w:rPr>
                <w:webHidden/>
                <w:rStyle w:val="IndexLink"/>
                <w:rtl w:val="true"/>
              </w:rPr>
              <w:t>بحث حول علی بن الحسن الطاطری</w:t>
            </w:r>
            <w:r>
              <w:rPr>
                <w:rStyle w:val="IndexLink"/>
                <w:rtl w:val="true"/>
              </w:rPr>
              <w:tab/>
            </w:r>
            <w:r>
              <w:rPr>
                <w:rStyle w:val="IndexLink"/>
              </w:rPr>
              <w:t>28</w:t>
            </w:r>
          </w:hyperlink>
        </w:p>
        <w:p>
          <w:pPr>
            <w:pStyle w:val="Contents4"/>
            <w:tabs>
              <w:tab w:val="clear" w:pos="8176"/>
              <w:tab w:val="right" w:pos="9026" w:leader="dot"/>
            </w:tabs>
            <w:rPr/>
          </w:pPr>
          <w:hyperlink w:anchor="__RefHeading___Toc347564_2142443653">
            <w:r>
              <w:rPr>
                <w:webHidden/>
                <w:rStyle w:val="IndexLink"/>
                <w:rtl w:val="true"/>
              </w:rPr>
              <w:t>بحث حول محمد بن أبی حمزة</w:t>
            </w:r>
            <w:r>
              <w:rPr>
                <w:rStyle w:val="IndexLink"/>
                <w:rtl w:val="true"/>
              </w:rPr>
              <w:tab/>
            </w:r>
            <w:r>
              <w:rPr>
                <w:rStyle w:val="IndexLink"/>
              </w:rPr>
              <w:t>28</w:t>
            </w:r>
          </w:hyperlink>
        </w:p>
        <w:p>
          <w:pPr>
            <w:pStyle w:val="Contents4"/>
            <w:tabs>
              <w:tab w:val="clear" w:pos="8176"/>
              <w:tab w:val="right" w:pos="9026" w:leader="dot"/>
            </w:tabs>
            <w:rPr/>
          </w:pPr>
          <w:hyperlink w:anchor="__RefHeading___Toc347566_2142443653">
            <w:r>
              <w:rPr>
                <w:webHidden/>
                <w:rStyle w:val="IndexLink"/>
                <w:rtl w:val="true"/>
              </w:rPr>
              <w:t>إشارة إلی حال ثعلبة بن میمون والحجّال</w:t>
            </w:r>
            <w:r>
              <w:rPr>
                <w:rStyle w:val="IndexLink"/>
                <w:rtl w:val="true"/>
              </w:rPr>
              <w:tab/>
            </w:r>
            <w:r>
              <w:rPr>
                <w:rStyle w:val="IndexLink"/>
              </w:rPr>
              <w:t>28</w:t>
            </w:r>
          </w:hyperlink>
        </w:p>
        <w:p>
          <w:pPr>
            <w:pStyle w:val="Contents4"/>
            <w:tabs>
              <w:tab w:val="clear" w:pos="8176"/>
              <w:tab w:val="right" w:pos="9026" w:leader="dot"/>
            </w:tabs>
            <w:rPr/>
          </w:pPr>
          <w:hyperlink w:anchor="__RefHeading___Toc347568_2142443653">
            <w:r>
              <w:rPr>
                <w:webHidden/>
                <w:rStyle w:val="IndexLink"/>
                <w:rtl w:val="true"/>
              </w:rPr>
              <w:t>القاسم بن الولید المهمل</w:t>
            </w:r>
            <w:r>
              <w:rPr>
                <w:rStyle w:val="IndexLink"/>
                <w:rtl w:val="true"/>
              </w:rPr>
              <w:tab/>
            </w:r>
            <w:r>
              <w:rPr>
                <w:rStyle w:val="IndexLink"/>
              </w:rPr>
              <w:t>28</w:t>
            </w:r>
          </w:hyperlink>
        </w:p>
        <w:p>
          <w:pPr>
            <w:pStyle w:val="Contents4"/>
            <w:tabs>
              <w:tab w:val="clear" w:pos="8176"/>
              <w:tab w:val="right" w:pos="9026" w:leader="dot"/>
            </w:tabs>
            <w:rPr/>
          </w:pPr>
          <w:hyperlink w:anchor="__RefHeading___Toc347570_2142443653">
            <w:r>
              <w:rPr>
                <w:webHidden/>
                <w:rStyle w:val="IndexLink"/>
                <w:rtl w:val="true"/>
              </w:rPr>
              <w:t>بحث حول محمد بن الحصین</w:t>
            </w:r>
            <w:r>
              <w:rPr>
                <w:rStyle w:val="IndexLink"/>
                <w:rtl w:val="true"/>
              </w:rPr>
              <w:tab/>
            </w:r>
            <w:r>
              <w:rPr>
                <w:rStyle w:val="IndexLink"/>
              </w:rPr>
              <w:t>28</w:t>
            </w:r>
          </w:hyperlink>
        </w:p>
        <w:p>
          <w:pPr>
            <w:pStyle w:val="Contents4"/>
            <w:tabs>
              <w:tab w:val="clear" w:pos="8176"/>
              <w:tab w:val="right" w:pos="9026" w:leader="dot"/>
            </w:tabs>
            <w:rPr/>
          </w:pPr>
          <w:hyperlink w:anchor="__RefHeading___Toc347572_2142443653">
            <w:r>
              <w:rPr>
                <w:webHidden/>
                <w:rStyle w:val="IndexLink"/>
                <w:rtl w:val="true"/>
              </w:rPr>
              <w:t>بیان ما دل علی أنّ من استبان له أنّه صلّی إلی غیر القبلة یعید فی الوقت دون خارجه مع الاجتهاد</w:t>
            </w:r>
            <w:r>
              <w:rPr>
                <w:rStyle w:val="IndexLink"/>
                <w:rtl w:val="true"/>
              </w:rPr>
              <w:tab/>
            </w:r>
            <w:r>
              <w:rPr>
                <w:rStyle w:val="IndexLink"/>
              </w:rPr>
              <w:t>29</w:t>
            </w:r>
          </w:hyperlink>
        </w:p>
        <w:p>
          <w:pPr>
            <w:pStyle w:val="Contents4"/>
            <w:tabs>
              <w:tab w:val="clear" w:pos="8176"/>
              <w:tab w:val="right" w:pos="9026" w:leader="dot"/>
            </w:tabs>
            <w:rPr/>
          </w:pPr>
          <w:hyperlink w:anchor="__RefHeading___Toc347574_2142443653">
            <w:r>
              <w:rPr>
                <w:webHidden/>
                <w:rStyle w:val="IndexLink"/>
                <w:rtl w:val="true"/>
              </w:rPr>
              <w:t>بیان ما دلّ علی عدم الاعادة اذا کان الانحراف یمیناً وشاملاً وأنّ ما بین المغرب والمشرق قبلة</w:t>
            </w:r>
            <w:r>
              <w:rPr>
                <w:rStyle w:val="IndexLink"/>
                <w:rtl w:val="true"/>
              </w:rPr>
              <w:tab/>
            </w:r>
            <w:r>
              <w:rPr>
                <w:rStyle w:val="IndexLink"/>
              </w:rPr>
              <w:t>32</w:t>
            </w:r>
          </w:hyperlink>
        </w:p>
        <w:p>
          <w:pPr>
            <w:pStyle w:val="Contents4"/>
            <w:tabs>
              <w:tab w:val="clear" w:pos="8176"/>
              <w:tab w:val="right" w:pos="9026" w:leader="dot"/>
            </w:tabs>
            <w:rPr/>
          </w:pPr>
          <w:hyperlink w:anchor="__RefHeading___Toc347576_2142443653">
            <w:r>
              <w:rPr>
                <w:webHidden/>
                <w:rStyle w:val="IndexLink"/>
                <w:rtl w:val="true"/>
              </w:rPr>
              <w:t>بیان ما دلّ علی أنّه إذا ثبت فی الأثناء یستقبل</w:t>
            </w:r>
            <w:r>
              <w:rPr>
                <w:rStyle w:val="IndexLink"/>
                <w:rtl w:val="true"/>
              </w:rPr>
              <w:tab/>
            </w:r>
            <w:r>
              <w:rPr>
                <w:rStyle w:val="IndexLink"/>
              </w:rPr>
              <w:t>35</w:t>
            </w:r>
          </w:hyperlink>
        </w:p>
        <w:p>
          <w:pPr>
            <w:pStyle w:val="Contents4"/>
            <w:tabs>
              <w:tab w:val="clear" w:pos="8176"/>
              <w:tab w:val="right" w:pos="9026" w:leader="dot"/>
            </w:tabs>
            <w:rPr/>
          </w:pPr>
          <w:hyperlink w:anchor="__RefHeading___Toc347578_2142443653">
            <w:r>
              <w:rPr>
                <w:webHidden/>
                <w:rStyle w:val="IndexLink"/>
                <w:rtl w:val="true"/>
              </w:rPr>
              <w:t>بحث حول محمد بن زیاد</w:t>
            </w:r>
            <w:r>
              <w:rPr>
                <w:rStyle w:val="IndexLink"/>
                <w:rtl w:val="true"/>
              </w:rPr>
              <w:tab/>
            </w:r>
            <w:r>
              <w:rPr>
                <w:rStyle w:val="IndexLink"/>
              </w:rPr>
              <w:t>37</w:t>
            </w:r>
          </w:hyperlink>
        </w:p>
        <w:p>
          <w:pPr>
            <w:pStyle w:val="Contents4"/>
            <w:tabs>
              <w:tab w:val="clear" w:pos="8176"/>
              <w:tab w:val="right" w:pos="9026" w:leader="dot"/>
            </w:tabs>
            <w:rPr/>
          </w:pPr>
          <w:hyperlink w:anchor="__RefHeading___Toc347580_2142443653">
            <w:r>
              <w:rPr>
                <w:webHidden/>
                <w:rStyle w:val="IndexLink"/>
                <w:rtl w:val="true"/>
              </w:rPr>
              <w:t>توجیه ما دل علی لزوم الاعادة مع انقضاء الوقت أیضاً</w:t>
            </w:r>
            <w:r>
              <w:rPr>
                <w:rStyle w:val="IndexLink"/>
                <w:rtl w:val="true"/>
              </w:rPr>
              <w:tab/>
            </w:r>
            <w:r>
              <w:rPr>
                <w:rStyle w:val="IndexLink"/>
              </w:rPr>
              <w:t>39</w:t>
            </w:r>
          </w:hyperlink>
        </w:p>
        <w:p>
          <w:pPr>
            <w:pStyle w:val="Contents4"/>
            <w:tabs>
              <w:tab w:val="clear" w:pos="8176"/>
              <w:tab w:val="right" w:pos="9026" w:leader="dot"/>
            </w:tabs>
            <w:rPr/>
          </w:pPr>
          <w:hyperlink w:anchor="__RefHeading___Toc347582_2142443653">
            <w:r>
              <w:rPr>
                <w:webHidden/>
                <w:rStyle w:val="IndexLink"/>
                <w:rtl w:val="true"/>
              </w:rPr>
              <w:t>بیان ما دلّ علی أنّه لو علم فی الأثناء یحوّل وجهه إن کان متوجّهاً إلی ما بین المشرق والمغرب ویقطع مع الاستدبار</w:t>
            </w:r>
            <w:r>
              <w:rPr>
                <w:rStyle w:val="IndexLink"/>
                <w:rtl w:val="true"/>
              </w:rPr>
              <w:tab/>
            </w:r>
            <w:r>
              <w:rPr>
                <w:rStyle w:val="IndexLink"/>
              </w:rPr>
              <w:t>40</w:t>
            </w:r>
          </w:hyperlink>
        </w:p>
        <w:p>
          <w:pPr>
            <w:pStyle w:val="Contents3"/>
            <w:tabs>
              <w:tab w:val="clear" w:pos="8459"/>
              <w:tab w:val="right" w:pos="9026" w:leader="dot"/>
            </w:tabs>
            <w:rPr/>
          </w:pPr>
          <w:hyperlink w:anchor="__RefHeading___Toc347584_2142443653">
            <w:r>
              <w:rPr>
                <w:webHidden/>
                <w:rStyle w:val="IndexLink"/>
                <w:rtl w:val="true"/>
              </w:rPr>
              <w:t>الصلاة فی جوف الکعبة</w:t>
            </w:r>
            <w:r>
              <w:rPr>
                <w:rStyle w:val="IndexLink"/>
                <w:rtl w:val="true"/>
              </w:rPr>
              <w:tab/>
            </w:r>
            <w:r>
              <w:rPr>
                <w:rStyle w:val="IndexLink"/>
              </w:rPr>
              <w:t>42</w:t>
            </w:r>
          </w:hyperlink>
        </w:p>
        <w:p>
          <w:pPr>
            <w:pStyle w:val="Contents4"/>
            <w:tabs>
              <w:tab w:val="clear" w:pos="8176"/>
              <w:tab w:val="right" w:pos="9026" w:leader="dot"/>
            </w:tabs>
            <w:rPr/>
          </w:pPr>
          <w:hyperlink w:anchor="__RefHeading___Toc347586_2142443653">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347588_2142443653">
            <w:r>
              <w:rPr>
                <w:webHidden/>
                <w:rStyle w:val="IndexLink"/>
                <w:rtl w:val="true"/>
              </w:rPr>
              <w:t>بحث حول أبی الحسین بن أبی جید</w:t>
            </w:r>
            <w:r>
              <w:rPr>
                <w:rStyle w:val="IndexLink"/>
                <w:rtl w:val="true"/>
              </w:rPr>
              <w:tab/>
            </w:r>
            <w:r>
              <w:rPr>
                <w:rStyle w:val="IndexLink"/>
              </w:rPr>
              <w:t>43</w:t>
            </w:r>
          </w:hyperlink>
        </w:p>
        <w:p>
          <w:pPr>
            <w:pStyle w:val="Contents4"/>
            <w:tabs>
              <w:tab w:val="clear" w:pos="8176"/>
              <w:tab w:val="right" w:pos="9026" w:leader="dot"/>
            </w:tabs>
            <w:rPr/>
          </w:pPr>
          <w:hyperlink w:anchor="__RefHeading___Toc347590_2142443653">
            <w:r>
              <w:rPr>
                <w:webHidden/>
                <w:rStyle w:val="IndexLink"/>
                <w:rtl w:val="true"/>
              </w:rPr>
              <w:t>بیان ما دل علی المنع من الصلاة فی جوف الکعبة والجمع بینه وبین ما دل علی الجواز</w:t>
            </w:r>
            <w:r>
              <w:rPr>
                <w:rStyle w:val="IndexLink"/>
                <w:rtl w:val="true"/>
              </w:rPr>
              <w:tab/>
            </w:r>
            <w:r>
              <w:rPr>
                <w:rStyle w:val="IndexLink"/>
              </w:rPr>
              <w:t>44</w:t>
            </w:r>
          </w:hyperlink>
        </w:p>
        <w:p>
          <w:pPr>
            <w:pStyle w:val="Contents2"/>
            <w:tabs>
              <w:tab w:val="clear" w:pos="8743"/>
              <w:tab w:val="right" w:pos="9026" w:leader="dot"/>
            </w:tabs>
            <w:rPr/>
          </w:pPr>
          <w:hyperlink w:anchor="__RefHeading___Toc347592_2142443653">
            <w:r>
              <w:rPr>
                <w:webHidden/>
                <w:rStyle w:val="IndexLink"/>
                <w:rtl w:val="true"/>
              </w:rPr>
              <w:t>أبواب الأذان والإقامة</w:t>
            </w:r>
            <w:r>
              <w:rPr>
                <w:rStyle w:val="IndexLink"/>
                <w:rtl w:val="true"/>
              </w:rPr>
              <w:tab/>
            </w:r>
            <w:r>
              <w:rPr>
                <w:rStyle w:val="IndexLink"/>
              </w:rPr>
              <w:t>47</w:t>
            </w:r>
          </w:hyperlink>
        </w:p>
        <w:p>
          <w:pPr>
            <w:pStyle w:val="Contents3"/>
            <w:tabs>
              <w:tab w:val="clear" w:pos="8459"/>
              <w:tab w:val="right" w:pos="9026" w:leader="dot"/>
            </w:tabs>
            <w:rPr/>
          </w:pPr>
          <w:hyperlink w:anchor="__RefHeading___Toc347594_2142443653">
            <w:r>
              <w:rPr>
                <w:webHidden/>
                <w:rStyle w:val="IndexLink"/>
                <w:rtl w:val="true"/>
              </w:rPr>
              <w:t>الأذان والإقامة فی صلاة المغرب‌و غیرها من الصلوات</w:t>
            </w:r>
            <w:r>
              <w:rPr>
                <w:rStyle w:val="IndexLink"/>
                <w:rtl w:val="true"/>
              </w:rPr>
              <w:tab/>
            </w:r>
            <w:r>
              <w:rPr>
                <w:rStyle w:val="IndexLink"/>
              </w:rPr>
              <w:t>47</w:t>
            </w:r>
          </w:hyperlink>
        </w:p>
        <w:p>
          <w:pPr>
            <w:pStyle w:val="Contents4"/>
            <w:tabs>
              <w:tab w:val="clear" w:pos="8176"/>
              <w:tab w:val="right" w:pos="9026" w:leader="dot"/>
            </w:tabs>
            <w:rPr/>
          </w:pPr>
          <w:hyperlink w:anchor="__RefHeading___Toc347596_2142443653">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347598_2142443653">
            <w:r>
              <w:rPr>
                <w:webHidden/>
                <w:rStyle w:val="IndexLink"/>
                <w:rtl w:val="true"/>
              </w:rPr>
              <w:t>الصباح بن سیّابة مهمل</w:t>
            </w:r>
            <w:r>
              <w:rPr>
                <w:rStyle w:val="IndexLink"/>
                <w:rtl w:val="true"/>
              </w:rPr>
              <w:t>.</w:t>
              <w:tab/>
            </w:r>
            <w:r>
              <w:rPr>
                <w:rStyle w:val="IndexLink"/>
              </w:rPr>
              <w:t>48</w:t>
            </w:r>
          </w:hyperlink>
        </w:p>
        <w:p>
          <w:pPr>
            <w:pStyle w:val="Contents4"/>
            <w:tabs>
              <w:tab w:val="clear" w:pos="8176"/>
              <w:tab w:val="right" w:pos="9026" w:leader="dot"/>
            </w:tabs>
            <w:rPr/>
          </w:pPr>
          <w:hyperlink w:anchor="__RefHeading___Toc347600_2142443653">
            <w:r>
              <w:rPr>
                <w:webHidden/>
                <w:rStyle w:val="IndexLink"/>
                <w:rtl w:val="true"/>
              </w:rPr>
              <w:t>إشارة إلی حال القاسم بن محمد الجوهری وعلی بن أبی حمزة البطائنی وأبی بصیر</w:t>
            </w:r>
            <w:r>
              <w:rPr>
                <w:rStyle w:val="IndexLink"/>
                <w:rtl w:val="true"/>
              </w:rPr>
              <w:tab/>
            </w:r>
            <w:r>
              <w:rPr>
                <w:rStyle w:val="IndexLink"/>
              </w:rPr>
              <w:t>48</w:t>
            </w:r>
          </w:hyperlink>
        </w:p>
        <w:p>
          <w:pPr>
            <w:pStyle w:val="Contents4"/>
            <w:tabs>
              <w:tab w:val="clear" w:pos="8176"/>
              <w:tab w:val="right" w:pos="9026" w:leader="dot"/>
            </w:tabs>
            <w:rPr/>
          </w:pPr>
          <w:hyperlink w:anchor="__RefHeading___Toc347602_2142443653">
            <w:r>
              <w:rPr>
                <w:webHidden/>
                <w:rStyle w:val="IndexLink"/>
                <w:rtl w:val="true"/>
              </w:rPr>
              <w:t>الأقوال فی وجوب الأذان والإقامة واستحبابهما</w:t>
            </w:r>
            <w:r>
              <w:rPr>
                <w:rStyle w:val="IndexLink"/>
                <w:rtl w:val="true"/>
              </w:rPr>
              <w:tab/>
            </w:r>
            <w:r>
              <w:rPr>
                <w:rStyle w:val="IndexLink"/>
              </w:rPr>
              <w:t>48</w:t>
            </w:r>
          </w:hyperlink>
        </w:p>
        <w:p>
          <w:pPr>
            <w:pStyle w:val="Contents4"/>
            <w:tabs>
              <w:tab w:val="clear" w:pos="8176"/>
              <w:tab w:val="right" w:pos="9026" w:leader="dot"/>
            </w:tabs>
            <w:rPr/>
          </w:pPr>
          <w:hyperlink w:anchor="__RefHeading___Toc347604_2142443653">
            <w:r>
              <w:rPr>
                <w:webHidden/>
                <w:rStyle w:val="IndexLink"/>
                <w:rtl w:val="true"/>
              </w:rPr>
              <w:t>بیان ما دلّ علی عدم وجوب الأذان والإقامة</w:t>
            </w:r>
            <w:r>
              <w:rPr>
                <w:rStyle w:val="IndexLink"/>
                <w:rtl w:val="true"/>
              </w:rPr>
              <w:tab/>
            </w:r>
            <w:r>
              <w:rPr>
                <w:rStyle w:val="IndexLink"/>
              </w:rPr>
              <w:t>49</w:t>
            </w:r>
          </w:hyperlink>
        </w:p>
        <w:p>
          <w:pPr>
            <w:pStyle w:val="Contents4"/>
            <w:tabs>
              <w:tab w:val="clear" w:pos="8176"/>
              <w:tab w:val="right" w:pos="9026" w:leader="dot"/>
            </w:tabs>
            <w:rPr/>
          </w:pPr>
          <w:hyperlink w:anchor="__RefHeading___Toc347606_2142443653">
            <w:r>
              <w:rPr>
                <w:webHidden/>
                <w:rStyle w:val="IndexLink"/>
                <w:rtl w:val="true"/>
              </w:rPr>
              <w:t>توجیه ما دلّ بظاهره علی الوجوب</w:t>
            </w:r>
            <w:r>
              <w:rPr>
                <w:rStyle w:val="IndexLink"/>
                <w:rtl w:val="true"/>
              </w:rPr>
              <w:tab/>
            </w:r>
            <w:r>
              <w:rPr>
                <w:rStyle w:val="IndexLink"/>
              </w:rPr>
              <w:t>54</w:t>
            </w:r>
          </w:hyperlink>
        </w:p>
        <w:p>
          <w:pPr>
            <w:pStyle w:val="Contents4"/>
            <w:tabs>
              <w:tab w:val="clear" w:pos="8176"/>
              <w:tab w:val="right" w:pos="9026" w:leader="dot"/>
            </w:tabs>
            <w:rPr/>
          </w:pPr>
          <w:hyperlink w:anchor="__RefHeading___Toc347608_2142443653">
            <w:r>
              <w:rPr>
                <w:webHidden/>
                <w:rStyle w:val="IndexLink"/>
                <w:rtl w:val="true"/>
              </w:rPr>
              <w:t>حکم الأذان والإقامة بالنسبة إلی النساء</w:t>
            </w:r>
            <w:r>
              <w:rPr>
                <w:rStyle w:val="IndexLink"/>
                <w:rtl w:val="true"/>
              </w:rPr>
              <w:tab/>
            </w:r>
            <w:r>
              <w:rPr>
                <w:rStyle w:val="IndexLink"/>
              </w:rPr>
              <w:t>54</w:t>
            </w:r>
          </w:hyperlink>
        </w:p>
        <w:p>
          <w:pPr>
            <w:pStyle w:val="Contents3"/>
            <w:tabs>
              <w:tab w:val="clear" w:pos="8459"/>
              <w:tab w:val="right" w:pos="9026" w:leader="dot"/>
            </w:tabs>
            <w:rPr/>
          </w:pPr>
          <w:hyperlink w:anchor="__RefHeading___Toc347610_2142443653">
            <w:r>
              <w:rPr>
                <w:webHidden/>
                <w:rStyle w:val="IndexLink"/>
                <w:rtl w:val="true"/>
              </w:rPr>
              <w:t>الکلام فی حال الإقامة</w:t>
            </w:r>
            <w:r>
              <w:rPr>
                <w:rStyle w:val="IndexLink"/>
                <w:rtl w:val="true"/>
              </w:rPr>
              <w:tab/>
            </w:r>
            <w:r>
              <w:rPr>
                <w:rStyle w:val="IndexLink"/>
              </w:rPr>
              <w:t>55</w:t>
            </w:r>
          </w:hyperlink>
        </w:p>
        <w:p>
          <w:pPr>
            <w:pStyle w:val="Contents4"/>
            <w:tabs>
              <w:tab w:val="clear" w:pos="8176"/>
              <w:tab w:val="right" w:pos="9026" w:leader="dot"/>
            </w:tabs>
            <w:rPr/>
          </w:pPr>
          <w:hyperlink w:anchor="__RefHeading___Toc347612_2142443653">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347614_2142443653">
            <w:r>
              <w:rPr>
                <w:webHidden/>
                <w:rStyle w:val="IndexLink"/>
                <w:rtl w:val="true"/>
              </w:rPr>
              <w:t>عمرو بن أبی نصر ثقة</w:t>
            </w:r>
            <w:r>
              <w:rPr>
                <w:rStyle w:val="IndexLink"/>
                <w:rtl w:val="true"/>
              </w:rPr>
              <w:tab/>
            </w:r>
            <w:r>
              <w:rPr>
                <w:rStyle w:val="IndexLink"/>
              </w:rPr>
              <w:t>56</w:t>
            </w:r>
          </w:hyperlink>
        </w:p>
        <w:p>
          <w:pPr>
            <w:pStyle w:val="Contents4"/>
            <w:tabs>
              <w:tab w:val="clear" w:pos="8176"/>
              <w:tab w:val="right" w:pos="9026" w:leader="dot"/>
            </w:tabs>
            <w:rPr/>
          </w:pPr>
          <w:hyperlink w:anchor="__RefHeading___Toc347616_2142443653">
            <w:r>
              <w:rPr>
                <w:webHidden/>
                <w:rStyle w:val="IndexLink"/>
                <w:rtl w:val="true"/>
              </w:rPr>
              <w:t>بحث حول محمد بن إسماعیل</w:t>
            </w:r>
            <w:r>
              <w:rPr>
                <w:rStyle w:val="IndexLink"/>
                <w:rtl w:val="true"/>
              </w:rPr>
              <w:tab/>
            </w:r>
            <w:r>
              <w:rPr>
                <w:rStyle w:val="IndexLink"/>
              </w:rPr>
              <w:t>56</w:t>
            </w:r>
          </w:hyperlink>
        </w:p>
        <w:p>
          <w:pPr>
            <w:pStyle w:val="Contents4"/>
            <w:tabs>
              <w:tab w:val="clear" w:pos="8176"/>
              <w:tab w:val="right" w:pos="9026" w:leader="dot"/>
            </w:tabs>
            <w:rPr/>
          </w:pPr>
          <w:hyperlink w:anchor="__RefHeading___Toc347618_2142443653">
            <w:r>
              <w:rPr>
                <w:webHidden/>
                <w:rStyle w:val="IndexLink"/>
                <w:rtl w:val="true"/>
              </w:rPr>
              <w:t>بحث حول صالح بن عقبة</w:t>
            </w:r>
            <w:r>
              <w:rPr>
                <w:rStyle w:val="IndexLink"/>
                <w:rtl w:val="true"/>
              </w:rPr>
              <w:tab/>
            </w:r>
            <w:r>
              <w:rPr>
                <w:rStyle w:val="IndexLink"/>
              </w:rPr>
              <w:t>57</w:t>
            </w:r>
          </w:hyperlink>
        </w:p>
        <w:p>
          <w:pPr>
            <w:pStyle w:val="Contents4"/>
            <w:tabs>
              <w:tab w:val="clear" w:pos="8176"/>
              <w:tab w:val="right" w:pos="9026" w:leader="dot"/>
            </w:tabs>
            <w:rPr/>
          </w:pPr>
          <w:hyperlink w:anchor="__RefHeading___Toc347620_2142443653">
            <w:r>
              <w:rPr>
                <w:webHidden/>
                <w:rStyle w:val="IndexLink"/>
                <w:rtl w:val="true"/>
              </w:rPr>
              <w:t>أبو هارون المکفوف مذموم</w:t>
            </w:r>
            <w:r>
              <w:rPr>
                <w:rStyle w:val="IndexLink"/>
                <w:rtl w:val="true"/>
              </w:rPr>
              <w:tab/>
            </w:r>
            <w:r>
              <w:rPr>
                <w:rStyle w:val="IndexLink"/>
              </w:rPr>
              <w:t>57</w:t>
            </w:r>
          </w:hyperlink>
        </w:p>
        <w:p>
          <w:pPr>
            <w:pStyle w:val="Contents4"/>
            <w:tabs>
              <w:tab w:val="clear" w:pos="8176"/>
              <w:tab w:val="right" w:pos="9026" w:leader="dot"/>
            </w:tabs>
            <w:rPr/>
          </w:pPr>
          <w:hyperlink w:anchor="__RefHeading___Toc347622_2142443653">
            <w:r>
              <w:rPr>
                <w:webHidden/>
                <w:rStyle w:val="IndexLink"/>
                <w:rtl w:val="true"/>
              </w:rPr>
              <w:t>بیان ما دلّ علی المنع من الکلام فی الإقامة وبعدها</w:t>
            </w:r>
            <w:r>
              <w:rPr>
                <w:rStyle w:val="IndexLink"/>
                <w:rtl w:val="true"/>
              </w:rPr>
              <w:tab/>
            </w:r>
            <w:r>
              <w:rPr>
                <w:rStyle w:val="IndexLink"/>
              </w:rPr>
              <w:t>57</w:t>
            </w:r>
          </w:hyperlink>
        </w:p>
        <w:p>
          <w:pPr>
            <w:pStyle w:val="Contents4"/>
            <w:tabs>
              <w:tab w:val="clear" w:pos="8176"/>
              <w:tab w:val="right" w:pos="9026" w:leader="dot"/>
            </w:tabs>
            <w:rPr/>
          </w:pPr>
          <w:hyperlink w:anchor="__RefHeading___Toc347624_2142443653">
            <w:r>
              <w:rPr>
                <w:webHidden/>
                <w:rStyle w:val="IndexLink"/>
                <w:rtl w:val="true"/>
              </w:rPr>
              <w:t>إشارة إلی ضعف محمد بن سنان</w:t>
            </w:r>
            <w:r>
              <w:rPr>
                <w:rStyle w:val="IndexLink"/>
                <w:rtl w:val="true"/>
              </w:rPr>
              <w:tab/>
            </w:r>
            <w:r>
              <w:rPr>
                <w:rStyle w:val="IndexLink"/>
              </w:rPr>
              <w:t>59</w:t>
            </w:r>
          </w:hyperlink>
        </w:p>
        <w:p>
          <w:pPr>
            <w:pStyle w:val="Contents4"/>
            <w:tabs>
              <w:tab w:val="clear" w:pos="8176"/>
              <w:tab w:val="right" w:pos="9026" w:leader="dot"/>
            </w:tabs>
            <w:rPr/>
          </w:pPr>
          <w:hyperlink w:anchor="__RefHeading___Toc347626_2142443653">
            <w:r>
              <w:rPr>
                <w:webHidden/>
                <w:rStyle w:val="IndexLink"/>
                <w:rtl w:val="true"/>
              </w:rPr>
              <w:t>الحسن بن شهاب مهمل</w:t>
            </w:r>
            <w:r>
              <w:rPr>
                <w:rStyle w:val="IndexLink"/>
                <w:rtl w:val="true"/>
              </w:rPr>
              <w:tab/>
            </w:r>
            <w:r>
              <w:rPr>
                <w:rStyle w:val="IndexLink"/>
              </w:rPr>
              <w:t>59</w:t>
            </w:r>
          </w:hyperlink>
        </w:p>
        <w:p>
          <w:pPr>
            <w:pStyle w:val="Contents4"/>
            <w:tabs>
              <w:tab w:val="clear" w:pos="8176"/>
              <w:tab w:val="right" w:pos="9026" w:leader="dot"/>
            </w:tabs>
            <w:rPr/>
          </w:pPr>
          <w:hyperlink w:anchor="__RefHeading___Toc347628_2142443653">
            <w:r>
              <w:rPr>
                <w:webHidden/>
                <w:rStyle w:val="IndexLink"/>
                <w:rtl w:val="true"/>
              </w:rPr>
              <w:t>بحث حول الطریق إلی جعفر بن بشیر ومن یروی عنه</w:t>
            </w:r>
            <w:r>
              <w:rPr>
                <w:rStyle w:val="IndexLink"/>
                <w:rtl w:val="true"/>
              </w:rPr>
              <w:tab/>
            </w:r>
            <w:r>
              <w:rPr>
                <w:rStyle w:val="IndexLink"/>
              </w:rPr>
              <w:t>59</w:t>
            </w:r>
          </w:hyperlink>
        </w:p>
        <w:p>
          <w:pPr>
            <w:pStyle w:val="Contents4"/>
            <w:tabs>
              <w:tab w:val="clear" w:pos="8176"/>
              <w:tab w:val="right" w:pos="9026" w:leader="dot"/>
            </w:tabs>
            <w:rPr/>
          </w:pPr>
          <w:hyperlink w:anchor="__RefHeading___Toc347630_2142443653">
            <w:r>
              <w:rPr>
                <w:webHidden/>
                <w:rStyle w:val="IndexLink"/>
                <w:rtl w:val="true"/>
              </w:rPr>
              <w:t>بیان مادلّ علی جواز التکلّم فی الأذان والإقامة وبعدها وما دلّ علی حرمته بعدها إلّا فیما یتعلّق بأحکام الصلاة</w:t>
            </w:r>
            <w:r>
              <w:rPr>
                <w:rStyle w:val="IndexLink"/>
                <w:rtl w:val="true"/>
              </w:rPr>
              <w:tab/>
            </w:r>
            <w:r>
              <w:rPr>
                <w:rStyle w:val="IndexLink"/>
              </w:rPr>
              <w:t>61</w:t>
            </w:r>
          </w:hyperlink>
        </w:p>
        <w:p>
          <w:pPr>
            <w:pStyle w:val="Contents3"/>
            <w:tabs>
              <w:tab w:val="clear" w:pos="8459"/>
              <w:tab w:val="right" w:pos="9026" w:leader="dot"/>
            </w:tabs>
            <w:rPr/>
          </w:pPr>
          <w:hyperlink w:anchor="__RefHeading___Toc347632_2142443653">
            <w:r>
              <w:rPr>
                <w:webHidden/>
                <w:rStyle w:val="IndexLink"/>
                <w:rtl w:val="true"/>
              </w:rPr>
              <w:t>الأذان جالسا أو راکبا</w:t>
            </w:r>
            <w:r>
              <w:rPr>
                <w:rStyle w:val="IndexLink"/>
                <w:rtl w:val="true"/>
              </w:rPr>
              <w:tab/>
            </w:r>
            <w:r>
              <w:rPr>
                <w:rStyle w:val="IndexLink"/>
              </w:rPr>
              <w:t>63</w:t>
            </w:r>
          </w:hyperlink>
        </w:p>
        <w:p>
          <w:pPr>
            <w:pStyle w:val="Contents4"/>
            <w:tabs>
              <w:tab w:val="clear" w:pos="8176"/>
              <w:tab w:val="right" w:pos="9026" w:leader="dot"/>
            </w:tabs>
            <w:rPr/>
          </w:pPr>
          <w:hyperlink w:anchor="__RefHeading___Toc347634_2142443653">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347636_2142443653">
            <w:r>
              <w:rPr>
                <w:webHidden/>
                <w:rStyle w:val="IndexLink"/>
                <w:rtl w:val="true"/>
              </w:rPr>
              <w:t xml:space="preserve">کلمة حول إطلاق </w:t>
            </w:r>
            <w:r>
              <w:rPr>
                <w:rStyle w:val="IndexLink"/>
                <w:rtl w:val="true"/>
              </w:rPr>
              <w:t xml:space="preserve">« </w:t>
            </w:r>
            <w:r>
              <w:rPr>
                <w:rStyle w:val="IndexLink"/>
                <w:rtl w:val="true"/>
              </w:rPr>
              <w:t xml:space="preserve">العبد الصالح </w:t>
            </w:r>
            <w:r>
              <w:rPr>
                <w:rStyle w:val="IndexLink"/>
                <w:rtl w:val="true"/>
              </w:rPr>
              <w:t>»</w:t>
              <w:tab/>
            </w:r>
            <w:r>
              <w:rPr>
                <w:rStyle w:val="IndexLink"/>
              </w:rPr>
              <w:t>64</w:t>
            </w:r>
          </w:hyperlink>
        </w:p>
        <w:p>
          <w:pPr>
            <w:pStyle w:val="Contents4"/>
            <w:tabs>
              <w:tab w:val="clear" w:pos="8176"/>
              <w:tab w:val="right" w:pos="9026" w:leader="dot"/>
            </w:tabs>
            <w:rPr/>
          </w:pPr>
          <w:hyperlink w:anchor="__RefHeading___Toc347638_2142443653">
            <w:r>
              <w:rPr>
                <w:webHidden/>
                <w:rStyle w:val="IndexLink"/>
                <w:rtl w:val="true"/>
              </w:rPr>
              <w:t>بحث حول محمد بن سنان</w:t>
            </w:r>
            <w:r>
              <w:rPr>
                <w:rStyle w:val="IndexLink"/>
                <w:rtl w:val="true"/>
              </w:rPr>
              <w:tab/>
            </w:r>
            <w:r>
              <w:rPr>
                <w:rStyle w:val="IndexLink"/>
              </w:rPr>
              <w:t>64</w:t>
            </w:r>
          </w:hyperlink>
        </w:p>
        <w:p>
          <w:pPr>
            <w:pStyle w:val="Contents4"/>
            <w:tabs>
              <w:tab w:val="clear" w:pos="8176"/>
              <w:tab w:val="right" w:pos="9026" w:leader="dot"/>
            </w:tabs>
            <w:rPr/>
          </w:pPr>
          <w:hyperlink w:anchor="__RefHeading___Toc347640_2142443653">
            <w:r>
              <w:rPr>
                <w:webHidden/>
                <w:rStyle w:val="IndexLink"/>
                <w:rtl w:val="true"/>
              </w:rPr>
              <w:t>أبو خالد القماط ثقة</w:t>
            </w:r>
            <w:r>
              <w:rPr>
                <w:rStyle w:val="IndexLink"/>
                <w:rtl w:val="true"/>
              </w:rPr>
              <w:tab/>
            </w:r>
            <w:r>
              <w:rPr>
                <w:rStyle w:val="IndexLink"/>
              </w:rPr>
              <w:t>64</w:t>
            </w:r>
          </w:hyperlink>
        </w:p>
        <w:p>
          <w:pPr>
            <w:pStyle w:val="Contents4"/>
            <w:tabs>
              <w:tab w:val="clear" w:pos="8176"/>
              <w:tab w:val="right" w:pos="9026" w:leader="dot"/>
            </w:tabs>
            <w:rPr/>
          </w:pPr>
          <w:hyperlink w:anchor="__RefHeading___Toc347642_2142443653">
            <w:r>
              <w:rPr>
                <w:webHidden/>
                <w:rStyle w:val="IndexLink"/>
                <w:rtl w:val="true"/>
              </w:rPr>
              <w:t>حمدان أمره ملتبس</w:t>
            </w:r>
            <w:r>
              <w:rPr>
                <w:rStyle w:val="IndexLink"/>
                <w:rtl w:val="true"/>
              </w:rPr>
              <w:tab/>
            </w:r>
            <w:r>
              <w:rPr>
                <w:rStyle w:val="IndexLink"/>
              </w:rPr>
              <w:t>65</w:t>
            </w:r>
          </w:hyperlink>
        </w:p>
        <w:p>
          <w:pPr>
            <w:pStyle w:val="Contents4"/>
            <w:tabs>
              <w:tab w:val="clear" w:pos="8176"/>
              <w:tab w:val="right" w:pos="9026" w:leader="dot"/>
            </w:tabs>
            <w:rPr/>
          </w:pPr>
          <w:hyperlink w:anchor="__RefHeading___Toc347644_2142443653">
            <w:r>
              <w:rPr>
                <w:webHidden/>
                <w:rStyle w:val="IndexLink"/>
                <w:rtl w:val="true"/>
              </w:rPr>
              <w:t>بیان ما دلّ علی عدم جواز الإقامة قاعداً أو راکباً</w:t>
            </w:r>
            <w:r>
              <w:rPr>
                <w:rStyle w:val="IndexLink"/>
                <w:rtl w:val="true"/>
              </w:rPr>
              <w:tab/>
            </w:r>
            <w:r>
              <w:rPr>
                <w:rStyle w:val="IndexLink"/>
              </w:rPr>
              <w:t>65</w:t>
            </w:r>
          </w:hyperlink>
        </w:p>
        <w:p>
          <w:pPr>
            <w:pStyle w:val="Contents3"/>
            <w:tabs>
              <w:tab w:val="clear" w:pos="8459"/>
              <w:tab w:val="right" w:pos="9026" w:leader="dot"/>
            </w:tabs>
            <w:rPr/>
          </w:pPr>
          <w:hyperlink w:anchor="__RefHeading___Toc347646_2142443653">
            <w:r>
              <w:rPr>
                <w:webHidden/>
                <w:rStyle w:val="IndexLink"/>
                <w:rtl w:val="true"/>
              </w:rPr>
              <w:t>من نسی الأذان والإقامة حتی صلّی أو دخل فیها</w:t>
            </w:r>
            <w:r>
              <w:rPr>
                <w:rStyle w:val="IndexLink"/>
                <w:rtl w:val="true"/>
              </w:rPr>
              <w:tab/>
            </w:r>
            <w:r>
              <w:rPr>
                <w:rStyle w:val="IndexLink"/>
              </w:rPr>
              <w:t>66</w:t>
            </w:r>
          </w:hyperlink>
        </w:p>
        <w:p>
          <w:pPr>
            <w:pStyle w:val="Contents4"/>
            <w:tabs>
              <w:tab w:val="clear" w:pos="8176"/>
              <w:tab w:val="right" w:pos="9026" w:leader="dot"/>
            </w:tabs>
            <w:rPr/>
          </w:pPr>
          <w:hyperlink w:anchor="__RefHeading___Toc347648_2142443653">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347650_2142443653">
            <w:r>
              <w:rPr>
                <w:webHidden/>
                <w:rStyle w:val="IndexLink"/>
                <w:rtl w:val="true"/>
              </w:rPr>
              <w:t>سلمة بن الخطاب ضعیف فی حدیثه</w:t>
            </w:r>
            <w:r>
              <w:rPr>
                <w:rStyle w:val="IndexLink"/>
                <w:rtl w:val="true"/>
              </w:rPr>
              <w:tab/>
            </w:r>
            <w:r>
              <w:rPr>
                <w:rStyle w:val="IndexLink"/>
              </w:rPr>
              <w:t>67</w:t>
            </w:r>
          </w:hyperlink>
        </w:p>
        <w:p>
          <w:pPr>
            <w:pStyle w:val="Contents4"/>
            <w:tabs>
              <w:tab w:val="clear" w:pos="8176"/>
              <w:tab w:val="right" w:pos="9026" w:leader="dot"/>
            </w:tabs>
            <w:rPr/>
          </w:pPr>
          <w:hyperlink w:anchor="__RefHeading___Toc347652_2142443653">
            <w:r>
              <w:rPr>
                <w:webHidden/>
                <w:rStyle w:val="IndexLink"/>
                <w:rtl w:val="true"/>
              </w:rPr>
              <w:t>إشارة إلی حال أبی جمیلة</w:t>
            </w:r>
            <w:r>
              <w:rPr>
                <w:rStyle w:val="IndexLink"/>
                <w:rtl w:val="true"/>
              </w:rPr>
              <w:tab/>
            </w:r>
            <w:r>
              <w:rPr>
                <w:rStyle w:val="IndexLink"/>
              </w:rPr>
              <w:t>67</w:t>
            </w:r>
          </w:hyperlink>
        </w:p>
        <w:p>
          <w:pPr>
            <w:pStyle w:val="Contents4"/>
            <w:tabs>
              <w:tab w:val="clear" w:pos="8176"/>
              <w:tab w:val="right" w:pos="9026" w:leader="dot"/>
            </w:tabs>
            <w:rPr/>
          </w:pPr>
          <w:hyperlink w:anchor="__RefHeading___Toc347654_2142443653">
            <w:r>
              <w:rPr>
                <w:webHidden/>
                <w:rStyle w:val="IndexLink"/>
                <w:rtl w:val="true"/>
              </w:rPr>
              <w:t>نعمان الرازی مهمل</w:t>
            </w:r>
            <w:r>
              <w:rPr>
                <w:rStyle w:val="IndexLink"/>
                <w:rtl w:val="true"/>
              </w:rPr>
              <w:tab/>
            </w:r>
            <w:r>
              <w:rPr>
                <w:rStyle w:val="IndexLink"/>
              </w:rPr>
              <w:t>67</w:t>
            </w:r>
          </w:hyperlink>
        </w:p>
        <w:p>
          <w:pPr>
            <w:pStyle w:val="Contents4"/>
            <w:tabs>
              <w:tab w:val="clear" w:pos="8176"/>
              <w:tab w:val="right" w:pos="9026" w:leader="dot"/>
            </w:tabs>
            <w:rPr/>
          </w:pPr>
          <w:hyperlink w:anchor="__RefHeading___Toc347656_2142443653">
            <w:r>
              <w:rPr>
                <w:webHidden/>
                <w:rStyle w:val="IndexLink"/>
                <w:rtl w:val="true"/>
              </w:rPr>
              <w:t>بحث حول الراوی عن محمّد بن الحسین</w:t>
            </w:r>
            <w:r>
              <w:rPr>
                <w:rStyle w:val="IndexLink"/>
                <w:rtl w:val="true"/>
              </w:rPr>
              <w:tab/>
            </w:r>
            <w:r>
              <w:rPr>
                <w:rStyle w:val="IndexLink"/>
              </w:rPr>
              <w:t>67</w:t>
            </w:r>
          </w:hyperlink>
        </w:p>
        <w:p>
          <w:pPr>
            <w:pStyle w:val="Contents4"/>
            <w:tabs>
              <w:tab w:val="clear" w:pos="8176"/>
              <w:tab w:val="right" w:pos="9026" w:leader="dot"/>
            </w:tabs>
            <w:rPr/>
          </w:pPr>
          <w:hyperlink w:anchor="__RefHeading___Toc347658_2142443653">
            <w:r>
              <w:rPr>
                <w:webHidden/>
                <w:rStyle w:val="IndexLink"/>
                <w:rtl w:val="true"/>
              </w:rPr>
              <w:t>محمّد بن الفضیل مشترک</w:t>
            </w:r>
            <w:r>
              <w:rPr>
                <w:rStyle w:val="IndexLink"/>
                <w:rtl w:val="true"/>
              </w:rPr>
              <w:tab/>
            </w:r>
            <w:r>
              <w:rPr>
                <w:rStyle w:val="IndexLink"/>
              </w:rPr>
              <w:t>68</w:t>
            </w:r>
          </w:hyperlink>
        </w:p>
        <w:p>
          <w:pPr>
            <w:pStyle w:val="Contents4"/>
            <w:tabs>
              <w:tab w:val="clear" w:pos="8176"/>
              <w:tab w:val="right" w:pos="9026" w:leader="dot"/>
            </w:tabs>
            <w:rPr/>
          </w:pPr>
          <w:hyperlink w:anchor="__RefHeading___Toc347660_2142443653">
            <w:r>
              <w:rPr>
                <w:webHidden/>
                <w:rStyle w:val="IndexLink"/>
                <w:rtl w:val="true"/>
              </w:rPr>
              <w:t>إشارة إلی جهالة علی بن السندی</w:t>
            </w:r>
            <w:r>
              <w:rPr>
                <w:rStyle w:val="IndexLink"/>
                <w:rtl w:val="true"/>
              </w:rPr>
              <w:tab/>
            </w:r>
            <w:r>
              <w:rPr>
                <w:rStyle w:val="IndexLink"/>
              </w:rPr>
              <w:t>68</w:t>
            </w:r>
          </w:hyperlink>
        </w:p>
        <w:p>
          <w:pPr>
            <w:pStyle w:val="Contents4"/>
            <w:tabs>
              <w:tab w:val="clear" w:pos="8176"/>
              <w:tab w:val="right" w:pos="9026" w:leader="dot"/>
            </w:tabs>
            <w:rPr/>
          </w:pPr>
          <w:hyperlink w:anchor="__RefHeading___Toc347662_2142443653">
            <w:r>
              <w:rPr>
                <w:webHidden/>
                <w:rStyle w:val="IndexLink"/>
                <w:rtl w:val="true"/>
              </w:rPr>
              <w:t>بیان ما دلّ علی أنّ من نسی الأذان والإقامة ثم ذکر فی أثناء الصلاة أو بعدها لا یعیدها</w:t>
            </w:r>
            <w:r>
              <w:rPr>
                <w:rStyle w:val="IndexLink"/>
                <w:rtl w:val="true"/>
              </w:rPr>
              <w:tab/>
            </w:r>
            <w:r>
              <w:rPr>
                <w:rStyle w:val="IndexLink"/>
              </w:rPr>
              <w:t>68</w:t>
            </w:r>
          </w:hyperlink>
        </w:p>
        <w:p>
          <w:pPr>
            <w:pStyle w:val="Contents4"/>
            <w:tabs>
              <w:tab w:val="clear" w:pos="8176"/>
              <w:tab w:val="right" w:pos="9026" w:leader="dot"/>
            </w:tabs>
            <w:rPr/>
          </w:pPr>
          <w:hyperlink w:anchor="__RefHeading___Toc347664_2142443653">
            <w:r>
              <w:rPr>
                <w:webHidden/>
                <w:rStyle w:val="IndexLink"/>
                <w:rtl w:val="true"/>
              </w:rPr>
              <w:t>دلالة الحدیث علی تخلیط أبی بصیر</w:t>
            </w:r>
            <w:r>
              <w:rPr>
                <w:rStyle w:val="IndexLink"/>
                <w:rtl w:val="true"/>
              </w:rPr>
              <w:tab/>
            </w:r>
            <w:r>
              <w:rPr>
                <w:rStyle w:val="IndexLink"/>
              </w:rPr>
              <w:t>69</w:t>
            </w:r>
          </w:hyperlink>
        </w:p>
        <w:p>
          <w:pPr>
            <w:pStyle w:val="Contents4"/>
            <w:tabs>
              <w:tab w:val="clear" w:pos="8176"/>
              <w:tab w:val="right" w:pos="9026" w:leader="dot"/>
            </w:tabs>
            <w:rPr/>
          </w:pPr>
          <w:hyperlink w:anchor="__RefHeading___Toc347666_2142443653">
            <w:r>
              <w:rPr>
                <w:webHidden/>
                <w:rStyle w:val="IndexLink"/>
                <w:rtl w:val="true"/>
              </w:rPr>
              <w:t>بحث حول سعید الأعرج</w:t>
            </w:r>
            <w:r>
              <w:rPr>
                <w:rStyle w:val="IndexLink"/>
                <w:rtl w:val="true"/>
              </w:rPr>
              <w:tab/>
            </w:r>
            <w:r>
              <w:rPr>
                <w:rStyle w:val="IndexLink"/>
              </w:rPr>
              <w:t>71</w:t>
            </w:r>
          </w:hyperlink>
        </w:p>
        <w:p>
          <w:pPr>
            <w:pStyle w:val="Contents4"/>
            <w:tabs>
              <w:tab w:val="clear" w:pos="8176"/>
              <w:tab w:val="right" w:pos="9026" w:leader="dot"/>
            </w:tabs>
            <w:rPr/>
          </w:pPr>
          <w:hyperlink w:anchor="__RefHeading___Toc347668_2142443653">
            <w:r>
              <w:rPr>
                <w:webHidden/>
                <w:rStyle w:val="IndexLink"/>
                <w:rtl w:val="true"/>
              </w:rPr>
              <w:t>إسحاق بن آدم مهمل</w:t>
            </w:r>
            <w:r>
              <w:rPr>
                <w:rStyle w:val="IndexLink"/>
                <w:rtl w:val="true"/>
              </w:rPr>
              <w:tab/>
            </w:r>
            <w:r>
              <w:rPr>
                <w:rStyle w:val="IndexLink"/>
              </w:rPr>
              <w:t>72</w:t>
            </w:r>
          </w:hyperlink>
        </w:p>
        <w:p>
          <w:pPr>
            <w:pStyle w:val="Contents4"/>
            <w:tabs>
              <w:tab w:val="clear" w:pos="8176"/>
              <w:tab w:val="right" w:pos="9026" w:leader="dot"/>
            </w:tabs>
            <w:rPr/>
          </w:pPr>
          <w:hyperlink w:anchor="__RefHeading___Toc347670_2142443653">
            <w:r>
              <w:rPr>
                <w:webHidden/>
                <w:rStyle w:val="IndexLink"/>
                <w:rtl w:val="true"/>
              </w:rPr>
              <w:t>الفضل بن حسان غیر مذکور فی الرجال</w:t>
            </w:r>
            <w:r>
              <w:rPr>
                <w:rStyle w:val="IndexLink"/>
                <w:rtl w:val="true"/>
              </w:rPr>
              <w:tab/>
            </w:r>
            <w:r>
              <w:rPr>
                <w:rStyle w:val="IndexLink"/>
              </w:rPr>
              <w:t>72</w:t>
            </w:r>
          </w:hyperlink>
        </w:p>
        <w:p>
          <w:pPr>
            <w:pStyle w:val="Contents4"/>
            <w:tabs>
              <w:tab w:val="clear" w:pos="8176"/>
              <w:tab w:val="right" w:pos="9026" w:leader="dot"/>
            </w:tabs>
            <w:rPr/>
          </w:pPr>
          <w:hyperlink w:anchor="__RefHeading___Toc347672_2142443653">
            <w:r>
              <w:rPr>
                <w:webHidden/>
                <w:rStyle w:val="IndexLink"/>
                <w:rtl w:val="true"/>
              </w:rPr>
              <w:t>زکریا بن آدم ثقة</w:t>
            </w:r>
            <w:r>
              <w:rPr>
                <w:rStyle w:val="IndexLink"/>
                <w:rtl w:val="true"/>
              </w:rPr>
              <w:tab/>
            </w:r>
            <w:r>
              <w:rPr>
                <w:rStyle w:val="IndexLink"/>
              </w:rPr>
              <w:t>72</w:t>
            </w:r>
          </w:hyperlink>
        </w:p>
        <w:p>
          <w:pPr>
            <w:pStyle w:val="Contents4"/>
            <w:tabs>
              <w:tab w:val="clear" w:pos="8176"/>
              <w:tab w:val="right" w:pos="9026" w:leader="dot"/>
            </w:tabs>
            <w:rPr/>
          </w:pPr>
          <w:hyperlink w:anchor="__RefHeading___Toc347674_2142443653">
            <w:r>
              <w:rPr>
                <w:webHidden/>
                <w:rStyle w:val="IndexLink"/>
                <w:rtl w:val="true"/>
              </w:rPr>
              <w:t>إشارة إلی حال الحسین بن أبی العلاء</w:t>
            </w:r>
            <w:r>
              <w:rPr>
                <w:rStyle w:val="IndexLink"/>
                <w:rtl w:val="true"/>
              </w:rPr>
              <w:tab/>
            </w:r>
            <w:r>
              <w:rPr>
                <w:rStyle w:val="IndexLink"/>
              </w:rPr>
              <w:t>72</w:t>
            </w:r>
          </w:hyperlink>
        </w:p>
        <w:p>
          <w:pPr>
            <w:pStyle w:val="Contents4"/>
            <w:tabs>
              <w:tab w:val="clear" w:pos="8176"/>
              <w:tab w:val="right" w:pos="9026" w:leader="dot"/>
            </w:tabs>
            <w:rPr/>
          </w:pPr>
          <w:hyperlink w:anchor="__RefHeading___Toc347676_2142443653">
            <w:r>
              <w:rPr>
                <w:webHidden/>
                <w:rStyle w:val="IndexLink"/>
                <w:rtl w:val="true"/>
              </w:rPr>
              <w:t>داود بن سرحان ثقة</w:t>
            </w:r>
            <w:r>
              <w:rPr>
                <w:rStyle w:val="IndexLink"/>
                <w:rtl w:val="true"/>
              </w:rPr>
              <w:tab/>
            </w:r>
            <w:r>
              <w:rPr>
                <w:rStyle w:val="IndexLink"/>
              </w:rPr>
              <w:t>72</w:t>
            </w:r>
          </w:hyperlink>
        </w:p>
        <w:p>
          <w:pPr>
            <w:pStyle w:val="Contents4"/>
            <w:tabs>
              <w:tab w:val="clear" w:pos="8176"/>
              <w:tab w:val="right" w:pos="9026" w:leader="dot"/>
            </w:tabs>
            <w:rPr/>
          </w:pPr>
          <w:hyperlink w:anchor="__RefHeading___Toc347678_2142443653">
            <w:r>
              <w:rPr>
                <w:webHidden/>
                <w:rStyle w:val="IndexLink"/>
                <w:rtl w:val="true"/>
              </w:rPr>
              <w:t>توجیه ما دل علی أنّ من ذکر أنّه نسی الإقامة قبل فراغة من الصلاة یعیدها</w:t>
            </w:r>
            <w:r>
              <w:rPr>
                <w:rStyle w:val="IndexLink"/>
                <w:rtl w:val="true"/>
              </w:rPr>
              <w:tab/>
            </w:r>
            <w:r>
              <w:rPr>
                <w:rStyle w:val="IndexLink"/>
              </w:rPr>
              <w:t>72</w:t>
            </w:r>
          </w:hyperlink>
        </w:p>
        <w:p>
          <w:pPr>
            <w:pStyle w:val="Contents4"/>
            <w:tabs>
              <w:tab w:val="clear" w:pos="8176"/>
              <w:tab w:val="right" w:pos="9026" w:leader="dot"/>
            </w:tabs>
            <w:rPr/>
          </w:pPr>
          <w:hyperlink w:anchor="__RefHeading___Toc347680_2142443653">
            <w:r>
              <w:rPr>
                <w:webHidden/>
                <w:rStyle w:val="IndexLink"/>
                <w:rtl w:val="true"/>
              </w:rPr>
              <w:t>بیان ما دلّ علی أنّه إن ذکر قبل القراءة فلیصلّ علی النبی صلی الله علیه و آله</w:t>
            </w:r>
            <w:r>
              <w:rPr>
                <w:rStyle w:val="IndexLink"/>
                <w:rtl w:val="true"/>
              </w:rPr>
              <w:tab/>
            </w:r>
            <w:r>
              <w:rPr>
                <w:rStyle w:val="IndexLink"/>
              </w:rPr>
              <w:t>73</w:t>
            </w:r>
          </w:hyperlink>
        </w:p>
        <w:p>
          <w:pPr>
            <w:pStyle w:val="Contents4"/>
            <w:tabs>
              <w:tab w:val="clear" w:pos="8176"/>
              <w:tab w:val="right" w:pos="9026" w:leader="dot"/>
            </w:tabs>
            <w:rPr/>
          </w:pPr>
          <w:hyperlink w:anchor="__RefHeading___Toc347682_2142443653">
            <w:r>
              <w:rPr>
                <w:webHidden/>
                <w:rStyle w:val="IndexLink"/>
                <w:rtl w:val="true"/>
              </w:rPr>
              <w:t>بیان ما دلّ علی أنّه إن ذکر فی القراءة یسکت ویقول</w:t>
            </w:r>
            <w:r>
              <w:rPr>
                <w:rStyle w:val="IndexLink"/>
                <w:rtl w:val="true"/>
              </w:rPr>
              <w:t xml:space="preserve">:« </w:t>
            </w:r>
            <w:r>
              <w:rPr>
                <w:rStyle w:val="IndexLink"/>
                <w:rtl w:val="true"/>
              </w:rPr>
              <w:t>قد قامت الصلاة</w:t>
            </w:r>
            <w:r>
              <w:rPr>
                <w:rStyle w:val="IndexLink"/>
                <w:rtl w:val="true"/>
              </w:rPr>
              <w:t xml:space="preserve">» </w:t>
            </w:r>
            <w:r>
              <w:rPr>
                <w:rStyle w:val="IndexLink"/>
                <w:rtl w:val="true"/>
              </w:rPr>
              <w:t>مرّتین</w:t>
            </w:r>
            <w:r>
              <w:rPr>
                <w:rStyle w:val="IndexLink"/>
                <w:rtl w:val="true"/>
              </w:rPr>
              <w:tab/>
            </w:r>
            <w:r>
              <w:rPr>
                <w:rStyle w:val="IndexLink"/>
              </w:rPr>
              <w:t>73</w:t>
            </w:r>
          </w:hyperlink>
        </w:p>
        <w:p>
          <w:pPr>
            <w:pStyle w:val="Contents4"/>
            <w:tabs>
              <w:tab w:val="clear" w:pos="8176"/>
              <w:tab w:val="right" w:pos="9026" w:leader="dot"/>
            </w:tabs>
            <w:rPr/>
          </w:pPr>
          <w:hyperlink w:anchor="__RefHeading___Toc347684_2142443653">
            <w:r>
              <w:rPr>
                <w:webHidden/>
                <w:rStyle w:val="IndexLink"/>
                <w:rtl w:val="true"/>
              </w:rPr>
              <w:t>بیان ما دلّ علی أنّه إن ذکر قبل القراءة فلیسلّم علی النبی صلی الله علیه و آله ثم یقیم</w:t>
            </w:r>
            <w:r>
              <w:rPr>
                <w:rStyle w:val="IndexLink"/>
                <w:rtl w:val="true"/>
              </w:rPr>
              <w:tab/>
            </w:r>
            <w:r>
              <w:rPr>
                <w:rStyle w:val="IndexLink"/>
              </w:rPr>
              <w:t>74</w:t>
            </w:r>
          </w:hyperlink>
        </w:p>
        <w:p>
          <w:pPr>
            <w:pStyle w:val="Contents4"/>
            <w:tabs>
              <w:tab w:val="clear" w:pos="8176"/>
              <w:tab w:val="right" w:pos="9026" w:leader="dot"/>
            </w:tabs>
            <w:rPr/>
          </w:pPr>
          <w:hyperlink w:anchor="__RefHeading___Toc347686_2142443653">
            <w:r>
              <w:rPr>
                <w:webHidden/>
                <w:rStyle w:val="IndexLink"/>
                <w:rtl w:val="true"/>
              </w:rPr>
              <w:t>الأقوال فی مسألة ترک الأذان والإقامة تعمّداً أو نسیاناً</w:t>
            </w:r>
            <w:r>
              <w:rPr>
                <w:rStyle w:val="IndexLink"/>
                <w:rtl w:val="true"/>
              </w:rPr>
              <w:tab/>
            </w:r>
            <w:r>
              <w:rPr>
                <w:rStyle w:val="IndexLink"/>
              </w:rPr>
              <w:t>75</w:t>
            </w:r>
          </w:hyperlink>
        </w:p>
        <w:p>
          <w:pPr>
            <w:pStyle w:val="Contents3"/>
            <w:tabs>
              <w:tab w:val="clear" w:pos="8459"/>
              <w:tab w:val="right" w:pos="9026" w:leader="dot"/>
            </w:tabs>
            <w:rPr/>
          </w:pPr>
          <w:hyperlink w:anchor="__RefHeading___Toc347688_2142443653">
            <w:r>
              <w:rPr>
                <w:webHidden/>
                <w:rStyle w:val="IndexLink"/>
                <w:rtl w:val="true"/>
              </w:rPr>
              <w:t>عدد الفصول فی الأذان والإقامة</w:t>
            </w:r>
            <w:r>
              <w:rPr>
                <w:rStyle w:val="IndexLink"/>
                <w:rtl w:val="true"/>
              </w:rPr>
              <w:tab/>
            </w:r>
            <w:r>
              <w:rPr>
                <w:rStyle w:val="IndexLink"/>
              </w:rPr>
              <w:t>77</w:t>
            </w:r>
          </w:hyperlink>
        </w:p>
        <w:p>
          <w:pPr>
            <w:pStyle w:val="Contents4"/>
            <w:tabs>
              <w:tab w:val="clear" w:pos="8176"/>
              <w:tab w:val="right" w:pos="9026" w:leader="dot"/>
            </w:tabs>
            <w:rPr/>
          </w:pPr>
          <w:hyperlink w:anchor="__RefHeading___Toc347690_2142443653">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347692_2142443653">
            <w:r>
              <w:rPr>
                <w:webHidden/>
                <w:rStyle w:val="IndexLink"/>
                <w:rtl w:val="true"/>
              </w:rPr>
              <w:t>احتمال قبول روایة محمد بن عیسی إذا روی عن غیر یونس</w:t>
            </w:r>
            <w:r>
              <w:rPr>
                <w:rStyle w:val="IndexLink"/>
                <w:rtl w:val="true"/>
              </w:rPr>
              <w:tab/>
            </w:r>
            <w:r>
              <w:rPr>
                <w:rStyle w:val="IndexLink"/>
              </w:rPr>
              <w:t>80</w:t>
            </w:r>
          </w:hyperlink>
        </w:p>
        <w:p>
          <w:pPr>
            <w:pStyle w:val="Contents4"/>
            <w:tabs>
              <w:tab w:val="clear" w:pos="8176"/>
              <w:tab w:val="right" w:pos="9026" w:leader="dot"/>
            </w:tabs>
            <w:rPr/>
          </w:pPr>
          <w:hyperlink w:anchor="__RefHeading___Toc347694_2142443653">
            <w:r>
              <w:rPr>
                <w:webHidden/>
                <w:rStyle w:val="IndexLink"/>
                <w:rtl w:val="true"/>
              </w:rPr>
              <w:t>بحث حول أبان بن عثمان</w:t>
            </w:r>
            <w:r>
              <w:rPr>
                <w:rStyle w:val="IndexLink"/>
                <w:rtl w:val="true"/>
              </w:rPr>
              <w:tab/>
            </w:r>
            <w:r>
              <w:rPr>
                <w:rStyle w:val="IndexLink"/>
              </w:rPr>
              <w:t>80</w:t>
            </w:r>
          </w:hyperlink>
        </w:p>
        <w:p>
          <w:pPr>
            <w:pStyle w:val="Contents4"/>
            <w:tabs>
              <w:tab w:val="clear" w:pos="8176"/>
              <w:tab w:val="right" w:pos="9026" w:leader="dot"/>
            </w:tabs>
            <w:rPr/>
          </w:pPr>
          <w:hyperlink w:anchor="__RefHeading___Toc347696_2142443653">
            <w:r>
              <w:rPr>
                <w:webHidden/>
                <w:rStyle w:val="IndexLink"/>
                <w:rtl w:val="true"/>
              </w:rPr>
              <w:t>بحث حول إسماعیل الجعفی</w:t>
            </w:r>
            <w:r>
              <w:rPr>
                <w:rStyle w:val="IndexLink"/>
                <w:rtl w:val="true"/>
              </w:rPr>
              <w:tab/>
            </w:r>
            <w:r>
              <w:rPr>
                <w:rStyle w:val="IndexLink"/>
              </w:rPr>
              <w:t>80</w:t>
            </w:r>
          </w:hyperlink>
        </w:p>
        <w:p>
          <w:pPr>
            <w:pStyle w:val="Contents4"/>
            <w:tabs>
              <w:tab w:val="clear" w:pos="8176"/>
              <w:tab w:val="right" w:pos="9026" w:leader="dot"/>
            </w:tabs>
            <w:rPr/>
          </w:pPr>
          <w:hyperlink w:anchor="__RefHeading___Toc347698_2142443653">
            <w:r>
              <w:rPr>
                <w:webHidden/>
                <w:rStyle w:val="IndexLink"/>
                <w:rtl w:val="true"/>
              </w:rPr>
              <w:t>علی بن السندی مجهول</w:t>
            </w:r>
            <w:r>
              <w:rPr>
                <w:rStyle w:val="IndexLink"/>
                <w:rtl w:val="true"/>
              </w:rPr>
              <w:tab/>
            </w:r>
            <w:r>
              <w:rPr>
                <w:rStyle w:val="IndexLink"/>
              </w:rPr>
              <w:t>81</w:t>
            </w:r>
          </w:hyperlink>
        </w:p>
        <w:p>
          <w:pPr>
            <w:pStyle w:val="Contents4"/>
            <w:tabs>
              <w:tab w:val="clear" w:pos="8176"/>
              <w:tab w:val="right" w:pos="9026" w:leader="dot"/>
            </w:tabs>
            <w:rPr/>
          </w:pPr>
          <w:hyperlink w:anchor="__RefHeading___Toc347700_2142443653">
            <w:r>
              <w:rPr>
                <w:webHidden/>
                <w:rStyle w:val="IndexLink"/>
                <w:rtl w:val="true"/>
              </w:rPr>
              <w:t>أبوبکر الحضرمی مجهول</w:t>
            </w:r>
            <w:r>
              <w:rPr>
                <w:rStyle w:val="IndexLink"/>
                <w:rtl w:val="true"/>
              </w:rPr>
              <w:tab/>
            </w:r>
            <w:r>
              <w:rPr>
                <w:rStyle w:val="IndexLink"/>
              </w:rPr>
              <w:t>81</w:t>
            </w:r>
          </w:hyperlink>
        </w:p>
        <w:p>
          <w:pPr>
            <w:pStyle w:val="Contents4"/>
            <w:tabs>
              <w:tab w:val="clear" w:pos="8176"/>
              <w:tab w:val="right" w:pos="9026" w:leader="dot"/>
            </w:tabs>
            <w:rPr/>
          </w:pPr>
          <w:hyperlink w:anchor="__RefHeading___Toc347702_2142443653">
            <w:r>
              <w:rPr>
                <w:webHidden/>
                <w:rStyle w:val="IndexLink"/>
                <w:rtl w:val="true"/>
              </w:rPr>
              <w:t>کلیب الأسدی فی مدحه کلام</w:t>
            </w:r>
            <w:r>
              <w:rPr>
                <w:rStyle w:val="IndexLink"/>
                <w:rtl w:val="true"/>
              </w:rPr>
              <w:tab/>
            </w:r>
            <w:r>
              <w:rPr>
                <w:rStyle w:val="IndexLink"/>
              </w:rPr>
              <w:t>81</w:t>
            </w:r>
          </w:hyperlink>
        </w:p>
        <w:p>
          <w:pPr>
            <w:pStyle w:val="Contents4"/>
            <w:tabs>
              <w:tab w:val="clear" w:pos="8176"/>
              <w:tab w:val="right" w:pos="9026" w:leader="dot"/>
            </w:tabs>
            <w:rPr/>
          </w:pPr>
          <w:hyperlink w:anchor="__RefHeading___Toc347704_2142443653">
            <w:r>
              <w:rPr>
                <w:webHidden/>
                <w:rStyle w:val="IndexLink"/>
                <w:rtl w:val="true"/>
              </w:rPr>
              <w:t>توجیه ما دلّ علی تثنیة التکبیر فی أوّل الأذان</w:t>
            </w:r>
            <w:r>
              <w:rPr>
                <w:rStyle w:val="IndexLink"/>
                <w:rtl w:val="true"/>
              </w:rPr>
              <w:tab/>
            </w:r>
            <w:r>
              <w:rPr>
                <w:rStyle w:val="IndexLink"/>
              </w:rPr>
              <w:t>81</w:t>
            </w:r>
          </w:hyperlink>
        </w:p>
        <w:p>
          <w:pPr>
            <w:pStyle w:val="Contents4"/>
            <w:tabs>
              <w:tab w:val="clear" w:pos="8176"/>
              <w:tab w:val="right" w:pos="9026" w:leader="dot"/>
            </w:tabs>
            <w:rPr/>
          </w:pPr>
          <w:hyperlink w:anchor="__RefHeading___Toc347706_2142443653">
            <w:r>
              <w:rPr>
                <w:webHidden/>
                <w:rStyle w:val="IndexLink"/>
                <w:rtl w:val="true"/>
              </w:rPr>
              <w:t xml:space="preserve">تعیین المعطوف علیه فی قول الشیخ </w:t>
            </w:r>
            <w:r>
              <w:rPr>
                <w:rStyle w:val="IndexLink"/>
                <w:rtl w:val="true"/>
              </w:rPr>
              <w:t xml:space="preserve">: </w:t>
            </w:r>
            <w:r>
              <w:rPr>
                <w:rStyle w:val="IndexLink"/>
                <w:rtl w:val="true"/>
              </w:rPr>
              <w:t>فضالة عن سیف وصفوان</w:t>
            </w:r>
            <w:r>
              <w:rPr>
                <w:rStyle w:val="IndexLink"/>
                <w:rtl w:val="true"/>
              </w:rPr>
              <w:tab/>
            </w:r>
            <w:r>
              <w:rPr>
                <w:rStyle w:val="IndexLink"/>
              </w:rPr>
              <w:t>84</w:t>
            </w:r>
          </w:hyperlink>
        </w:p>
        <w:p>
          <w:pPr>
            <w:pStyle w:val="Contents4"/>
            <w:tabs>
              <w:tab w:val="clear" w:pos="8176"/>
              <w:tab w:val="right" w:pos="9026" w:leader="dot"/>
            </w:tabs>
            <w:rPr/>
          </w:pPr>
          <w:hyperlink w:anchor="__RefHeading___Toc347708_2142443653">
            <w:r>
              <w:rPr>
                <w:webHidden/>
                <w:rStyle w:val="IndexLink"/>
                <w:rtl w:val="true"/>
              </w:rPr>
              <w:t>أبو عبیدة الحذّاء ثقة</w:t>
            </w:r>
            <w:r>
              <w:rPr>
                <w:rStyle w:val="IndexLink"/>
                <w:rtl w:val="true"/>
              </w:rPr>
              <w:tab/>
            </w:r>
            <w:r>
              <w:rPr>
                <w:rStyle w:val="IndexLink"/>
              </w:rPr>
              <w:t>85</w:t>
            </w:r>
          </w:hyperlink>
        </w:p>
        <w:p>
          <w:pPr>
            <w:pStyle w:val="Contents4"/>
            <w:tabs>
              <w:tab w:val="clear" w:pos="8176"/>
              <w:tab w:val="right" w:pos="9026" w:leader="dot"/>
            </w:tabs>
            <w:rPr/>
          </w:pPr>
          <w:hyperlink w:anchor="__RefHeading___Toc347710_2142443653">
            <w:r>
              <w:rPr>
                <w:webHidden/>
                <w:rStyle w:val="IndexLink"/>
                <w:rtl w:val="true"/>
              </w:rPr>
              <w:t>یزید مولی الحکم مجهول الحال</w:t>
            </w:r>
            <w:r>
              <w:rPr>
                <w:rStyle w:val="IndexLink"/>
                <w:rtl w:val="true"/>
              </w:rPr>
              <w:tab/>
            </w:r>
            <w:r>
              <w:rPr>
                <w:rStyle w:val="IndexLink"/>
              </w:rPr>
              <w:t>85</w:t>
            </w:r>
          </w:hyperlink>
        </w:p>
        <w:p>
          <w:pPr>
            <w:pStyle w:val="Contents4"/>
            <w:tabs>
              <w:tab w:val="clear" w:pos="8176"/>
              <w:tab w:val="right" w:pos="9026" w:leader="dot"/>
            </w:tabs>
            <w:rPr/>
          </w:pPr>
          <w:hyperlink w:anchor="__RefHeading___Toc347712_2142443653">
            <w:r>
              <w:rPr>
                <w:webHidden/>
                <w:rStyle w:val="IndexLink"/>
                <w:rtl w:val="true"/>
              </w:rPr>
              <w:t>القاسم بن عروة مهمل</w:t>
            </w:r>
            <w:r>
              <w:rPr>
                <w:rStyle w:val="IndexLink"/>
                <w:rtl w:val="true"/>
              </w:rPr>
              <w:tab/>
            </w:r>
            <w:r>
              <w:rPr>
                <w:rStyle w:val="IndexLink"/>
              </w:rPr>
              <w:t>85</w:t>
            </w:r>
          </w:hyperlink>
        </w:p>
        <w:p>
          <w:pPr>
            <w:pStyle w:val="Contents4"/>
            <w:tabs>
              <w:tab w:val="clear" w:pos="8176"/>
              <w:tab w:val="right" w:pos="9026" w:leader="dot"/>
            </w:tabs>
            <w:rPr/>
          </w:pPr>
          <w:hyperlink w:anchor="__RefHeading___Toc347714_2142443653">
            <w:r>
              <w:rPr>
                <w:webHidden/>
                <w:rStyle w:val="IndexLink"/>
                <w:rtl w:val="true"/>
              </w:rPr>
              <w:t>نعمان الرازی مهمل</w:t>
            </w:r>
            <w:r>
              <w:rPr>
                <w:rStyle w:val="IndexLink"/>
                <w:rtl w:val="true"/>
              </w:rPr>
              <w:tab/>
            </w:r>
            <w:r>
              <w:rPr>
                <w:rStyle w:val="IndexLink"/>
              </w:rPr>
              <w:t>85</w:t>
            </w:r>
          </w:hyperlink>
        </w:p>
        <w:p>
          <w:pPr>
            <w:pStyle w:val="Contents4"/>
            <w:tabs>
              <w:tab w:val="clear" w:pos="8176"/>
              <w:tab w:val="right" w:pos="9026" w:leader="dot"/>
            </w:tabs>
            <w:rPr/>
          </w:pPr>
          <w:hyperlink w:anchor="__RefHeading___Toc347716_2142443653">
            <w:r>
              <w:rPr>
                <w:webHidden/>
                <w:rStyle w:val="IndexLink"/>
                <w:rtl w:val="true"/>
              </w:rPr>
              <w:t>توجیه ما دل علی الأذان مثنی مثنی والإقامة واحدة واحدة</w:t>
            </w:r>
            <w:r>
              <w:rPr>
                <w:rStyle w:val="IndexLink"/>
                <w:rtl w:val="true"/>
              </w:rPr>
              <w:t>.</w:t>
              <w:tab/>
            </w:r>
            <w:r>
              <w:rPr>
                <w:rStyle w:val="IndexLink"/>
              </w:rPr>
              <w:t>85</w:t>
            </w:r>
          </w:hyperlink>
        </w:p>
        <w:p>
          <w:pPr>
            <w:pStyle w:val="Contents4"/>
            <w:tabs>
              <w:tab w:val="clear" w:pos="8176"/>
              <w:tab w:val="right" w:pos="9026" w:leader="dot"/>
            </w:tabs>
            <w:rPr/>
          </w:pPr>
          <w:hyperlink w:anchor="__RefHeading___Toc347718_2142443653">
            <w:r>
              <w:rPr>
                <w:webHidden/>
                <w:rStyle w:val="IndexLink"/>
                <w:rtl w:val="true"/>
              </w:rPr>
              <w:t>بیان ما دل علی أنّ الأذان والإقامة یقصّران فی السفر</w:t>
            </w:r>
            <w:r>
              <w:rPr>
                <w:rStyle w:val="IndexLink"/>
                <w:rtl w:val="true"/>
              </w:rPr>
              <w:tab/>
            </w:r>
            <w:r>
              <w:rPr>
                <w:rStyle w:val="IndexLink"/>
              </w:rPr>
              <w:t>86</w:t>
            </w:r>
          </w:hyperlink>
        </w:p>
        <w:p>
          <w:pPr>
            <w:pStyle w:val="Contents4"/>
            <w:tabs>
              <w:tab w:val="clear" w:pos="8176"/>
              <w:tab w:val="right" w:pos="9026" w:leader="dot"/>
            </w:tabs>
            <w:rPr/>
          </w:pPr>
          <w:hyperlink w:anchor="__RefHeading___Toc347720_2142443653">
            <w:r>
              <w:rPr>
                <w:webHidden/>
                <w:rStyle w:val="IndexLink"/>
                <w:rtl w:val="true"/>
              </w:rPr>
              <w:t>أحمد بن الحسن مشترک</w:t>
            </w:r>
            <w:r>
              <w:rPr>
                <w:rStyle w:val="IndexLink"/>
                <w:rtl w:val="true"/>
              </w:rPr>
              <w:tab/>
            </w:r>
            <w:r>
              <w:rPr>
                <w:rStyle w:val="IndexLink"/>
              </w:rPr>
              <w:t>88</w:t>
            </w:r>
          </w:hyperlink>
        </w:p>
        <w:p>
          <w:pPr>
            <w:pStyle w:val="Contents4"/>
            <w:tabs>
              <w:tab w:val="clear" w:pos="8176"/>
              <w:tab w:val="right" w:pos="9026" w:leader="dot"/>
            </w:tabs>
            <w:rPr/>
          </w:pPr>
          <w:hyperlink w:anchor="__RefHeading___Toc347722_2142443653">
            <w:r>
              <w:rPr>
                <w:webHidden/>
                <w:rStyle w:val="IndexLink"/>
                <w:rtl w:val="true"/>
              </w:rPr>
              <w:t>کلمة حول علی بن محمد</w:t>
            </w:r>
            <w:r>
              <w:rPr>
                <w:rStyle w:val="IndexLink"/>
                <w:rtl w:val="true"/>
              </w:rPr>
              <w:tab/>
            </w:r>
            <w:r>
              <w:rPr>
                <w:rStyle w:val="IndexLink"/>
              </w:rPr>
              <w:t>89</w:t>
            </w:r>
          </w:hyperlink>
        </w:p>
        <w:p>
          <w:pPr>
            <w:pStyle w:val="Contents4"/>
            <w:tabs>
              <w:tab w:val="clear" w:pos="8176"/>
              <w:tab w:val="right" w:pos="9026" w:leader="dot"/>
            </w:tabs>
            <w:rPr/>
          </w:pPr>
          <w:hyperlink w:anchor="__RefHeading___Toc347724_2142443653">
            <w:r>
              <w:rPr>
                <w:webHidden/>
                <w:rStyle w:val="IndexLink"/>
                <w:rtl w:val="true"/>
              </w:rPr>
              <w:t>معنی التثویب</w:t>
            </w:r>
            <w:r>
              <w:rPr>
                <w:rStyle w:val="IndexLink"/>
                <w:rtl w:val="true"/>
              </w:rPr>
              <w:tab/>
            </w:r>
            <w:r>
              <w:rPr>
                <w:rStyle w:val="IndexLink"/>
              </w:rPr>
              <w:t>89</w:t>
            </w:r>
          </w:hyperlink>
        </w:p>
        <w:p>
          <w:pPr>
            <w:pStyle w:val="Contents4"/>
            <w:tabs>
              <w:tab w:val="clear" w:pos="8176"/>
              <w:tab w:val="right" w:pos="9026" w:leader="dot"/>
            </w:tabs>
            <w:rPr/>
          </w:pPr>
          <w:hyperlink w:anchor="__RefHeading___Toc347726_2142443653">
            <w:r>
              <w:rPr>
                <w:webHidden/>
                <w:rStyle w:val="IndexLink"/>
                <w:rtl w:val="true"/>
              </w:rPr>
              <w:t>توجیه ما دلّ علی استحباب التثویب</w:t>
            </w:r>
            <w:r>
              <w:rPr>
                <w:rStyle w:val="IndexLink"/>
                <w:rtl w:val="true"/>
              </w:rPr>
              <w:tab/>
            </w:r>
            <w:r>
              <w:rPr>
                <w:rStyle w:val="IndexLink"/>
              </w:rPr>
              <w:t>90</w:t>
            </w:r>
          </w:hyperlink>
        </w:p>
        <w:p>
          <w:pPr>
            <w:pStyle w:val="Contents3"/>
            <w:tabs>
              <w:tab w:val="clear" w:pos="8459"/>
              <w:tab w:val="right" w:pos="9026" w:leader="dot"/>
            </w:tabs>
            <w:rPr/>
          </w:pPr>
          <w:hyperlink w:anchor="__RefHeading___Toc347728_2142443653">
            <w:r>
              <w:rPr>
                <w:webHidden/>
                <w:rStyle w:val="IndexLink"/>
                <w:rtl w:val="true"/>
              </w:rPr>
              <w:t>القعود بین الأذان والإقامة فی المغرب</w:t>
            </w:r>
            <w:r>
              <w:rPr>
                <w:rStyle w:val="IndexLink"/>
                <w:rtl w:val="true"/>
              </w:rPr>
              <w:tab/>
            </w:r>
            <w:r>
              <w:rPr>
                <w:rStyle w:val="IndexLink"/>
              </w:rPr>
              <w:t>91</w:t>
            </w:r>
          </w:hyperlink>
        </w:p>
        <w:p>
          <w:pPr>
            <w:pStyle w:val="Contents4"/>
            <w:tabs>
              <w:tab w:val="clear" w:pos="8176"/>
              <w:tab w:val="right" w:pos="9026" w:leader="dot"/>
            </w:tabs>
            <w:rPr/>
          </w:pPr>
          <w:hyperlink w:anchor="__RefHeading___Toc347730_2142443653">
            <w:r>
              <w:rPr>
                <w:webHidden/>
                <w:rStyle w:val="IndexLink"/>
                <w:rtl w:val="true"/>
              </w:rPr>
              <w:t>الحسن بن علی بن یوسف ثقة</w:t>
            </w:r>
            <w:r>
              <w:rPr>
                <w:rStyle w:val="IndexLink"/>
                <w:rtl w:val="true"/>
              </w:rPr>
              <w:tab/>
            </w:r>
            <w:r>
              <w:rPr>
                <w:rStyle w:val="IndexLink"/>
              </w:rPr>
              <w:t>91</w:t>
            </w:r>
          </w:hyperlink>
        </w:p>
        <w:p>
          <w:pPr>
            <w:pStyle w:val="Contents4"/>
            <w:tabs>
              <w:tab w:val="clear" w:pos="8176"/>
              <w:tab w:val="right" w:pos="9026" w:leader="dot"/>
            </w:tabs>
            <w:rPr/>
          </w:pPr>
          <w:hyperlink w:anchor="__RefHeading___Toc347732_2142443653">
            <w:r>
              <w:rPr>
                <w:webHidden/>
                <w:rStyle w:val="IndexLink"/>
                <w:rtl w:val="true"/>
              </w:rPr>
              <w:t>سعدان بن مسلم مهمل</w:t>
            </w:r>
            <w:r>
              <w:rPr>
                <w:rStyle w:val="IndexLink"/>
                <w:rtl w:val="true"/>
              </w:rPr>
              <w:tab/>
            </w:r>
            <w:r>
              <w:rPr>
                <w:rStyle w:val="IndexLink"/>
              </w:rPr>
              <w:t>91</w:t>
            </w:r>
          </w:hyperlink>
        </w:p>
        <w:p>
          <w:pPr>
            <w:pStyle w:val="Contents4"/>
            <w:tabs>
              <w:tab w:val="clear" w:pos="8176"/>
              <w:tab w:val="right" w:pos="9026" w:leader="dot"/>
            </w:tabs>
            <w:rPr/>
          </w:pPr>
          <w:hyperlink w:anchor="__RefHeading___Toc347734_2142443653">
            <w:r>
              <w:rPr>
                <w:webHidden/>
                <w:rStyle w:val="IndexLink"/>
                <w:rtl w:val="true"/>
              </w:rPr>
              <w:t>بحث حول إسحاق الجریری</w:t>
            </w:r>
            <w:r>
              <w:rPr>
                <w:rStyle w:val="IndexLink"/>
                <w:rtl w:val="true"/>
              </w:rPr>
              <w:tab/>
            </w:r>
            <w:r>
              <w:rPr>
                <w:rStyle w:val="IndexLink"/>
              </w:rPr>
              <w:t>92</w:t>
            </w:r>
          </w:hyperlink>
        </w:p>
        <w:p>
          <w:pPr>
            <w:pStyle w:val="Contents4"/>
            <w:tabs>
              <w:tab w:val="clear" w:pos="8176"/>
              <w:tab w:val="right" w:pos="9026" w:leader="dot"/>
            </w:tabs>
            <w:rPr/>
          </w:pPr>
          <w:hyperlink w:anchor="__RefHeading___Toc347736_2142443653">
            <w:r>
              <w:rPr>
                <w:webHidden/>
                <w:rStyle w:val="IndexLink"/>
                <w:rtl w:val="true"/>
              </w:rPr>
              <w:t>بیان ما دلّ علی الفصل بین الأذان والإقامة بقعود إلّا فی المغرب فإنّ بینهما فیها نَفَساً</w:t>
            </w:r>
            <w:r>
              <w:rPr>
                <w:rStyle w:val="IndexLink"/>
                <w:rtl w:val="true"/>
              </w:rPr>
              <w:tab/>
            </w:r>
            <w:r>
              <w:rPr>
                <w:rStyle w:val="IndexLink"/>
              </w:rPr>
              <w:t>92</w:t>
            </w:r>
          </w:hyperlink>
        </w:p>
        <w:p>
          <w:pPr>
            <w:pStyle w:val="Contents2"/>
            <w:tabs>
              <w:tab w:val="clear" w:pos="8743"/>
              <w:tab w:val="right" w:pos="9026" w:leader="dot"/>
            </w:tabs>
            <w:rPr/>
          </w:pPr>
          <w:hyperlink w:anchor="__RefHeading___Toc347738_2142443653">
            <w:r>
              <w:rPr>
                <w:webHidden/>
                <w:rStyle w:val="IndexLink"/>
                <w:rtl w:val="true"/>
              </w:rPr>
              <w:t>أبواب کیفیّة الصلاة من فاتحتها إلی خاتمتها</w:t>
            </w:r>
            <w:r>
              <w:rPr>
                <w:rStyle w:val="IndexLink"/>
                <w:rtl w:val="true"/>
              </w:rPr>
              <w:tab/>
            </w:r>
            <w:r>
              <w:rPr>
                <w:rStyle w:val="IndexLink"/>
              </w:rPr>
              <w:t>98</w:t>
            </w:r>
          </w:hyperlink>
        </w:p>
        <w:p>
          <w:pPr>
            <w:pStyle w:val="Contents3"/>
            <w:tabs>
              <w:tab w:val="clear" w:pos="8459"/>
              <w:tab w:val="right" w:pos="9026" w:leader="dot"/>
            </w:tabs>
            <w:rPr/>
          </w:pPr>
          <w:hyperlink w:anchor="__RefHeading___Toc347740_2142443653">
            <w:r>
              <w:rPr>
                <w:webHidden/>
                <w:rStyle w:val="IndexLink"/>
                <w:rtl w:val="true"/>
              </w:rPr>
              <w:t>وجوب قراءة الحمد</w:t>
            </w:r>
            <w:r>
              <w:rPr>
                <w:rStyle w:val="IndexLink"/>
                <w:rtl w:val="true"/>
              </w:rPr>
              <w:tab/>
            </w:r>
            <w:r>
              <w:rPr>
                <w:rStyle w:val="IndexLink"/>
              </w:rPr>
              <w:t>98</w:t>
            </w:r>
          </w:hyperlink>
        </w:p>
        <w:p>
          <w:pPr>
            <w:pStyle w:val="Contents4"/>
            <w:tabs>
              <w:tab w:val="clear" w:pos="8176"/>
              <w:tab w:val="right" w:pos="9026" w:leader="dot"/>
            </w:tabs>
            <w:rPr/>
          </w:pPr>
          <w:hyperlink w:anchor="__RefHeading___Toc347742_2142443653">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347744_2142443653">
            <w:r>
              <w:rPr>
                <w:webHidden/>
                <w:rStyle w:val="IndexLink"/>
                <w:rtl w:val="true"/>
              </w:rPr>
              <w:t>بحث حول روایة الحسین بن سعید عن فضالة</w:t>
            </w:r>
            <w:r>
              <w:rPr>
                <w:rStyle w:val="IndexLink"/>
                <w:rtl w:val="true"/>
              </w:rPr>
              <w:tab/>
            </w:r>
            <w:r>
              <w:rPr>
                <w:rStyle w:val="IndexLink"/>
              </w:rPr>
              <w:t>99</w:t>
            </w:r>
          </w:hyperlink>
        </w:p>
        <w:p>
          <w:pPr>
            <w:pStyle w:val="Contents4"/>
            <w:tabs>
              <w:tab w:val="clear" w:pos="8176"/>
              <w:tab w:val="right" w:pos="9026" w:leader="dot"/>
            </w:tabs>
            <w:rPr/>
          </w:pPr>
          <w:hyperlink w:anchor="__RefHeading___Toc347746_2142443653">
            <w:r>
              <w:rPr>
                <w:webHidden/>
                <w:rStyle w:val="IndexLink"/>
                <w:rtl w:val="true"/>
              </w:rPr>
              <w:t>بیان ما دلّ علی أنه لا صلاة إلّا بفاتحة الکتاب فی جهر أو إخفات</w:t>
            </w:r>
            <w:r>
              <w:rPr>
                <w:rStyle w:val="IndexLink"/>
                <w:rtl w:val="true"/>
              </w:rPr>
              <w:tab/>
            </w:r>
            <w:r>
              <w:rPr>
                <w:rStyle w:val="IndexLink"/>
              </w:rPr>
              <w:t>100</w:t>
            </w:r>
          </w:hyperlink>
        </w:p>
        <w:p>
          <w:pPr>
            <w:pStyle w:val="Contents4"/>
            <w:tabs>
              <w:tab w:val="clear" w:pos="8176"/>
              <w:tab w:val="right" w:pos="9026" w:leader="dot"/>
            </w:tabs>
            <w:rPr/>
          </w:pPr>
          <w:hyperlink w:anchor="__RefHeading___Toc347748_2142443653">
            <w:r>
              <w:rPr>
                <w:webHidden/>
                <w:rStyle w:val="IndexLink"/>
                <w:rtl w:val="true"/>
              </w:rPr>
              <w:t>توجیه ما دل علی عدم وجوب الفاتحة علی الخائف والمستعجل</w:t>
            </w:r>
            <w:r>
              <w:rPr>
                <w:rStyle w:val="IndexLink"/>
                <w:rtl w:val="true"/>
              </w:rPr>
              <w:tab/>
            </w:r>
            <w:r>
              <w:rPr>
                <w:rStyle w:val="IndexLink"/>
              </w:rPr>
              <w:t>100</w:t>
            </w:r>
          </w:hyperlink>
        </w:p>
        <w:p>
          <w:pPr>
            <w:pStyle w:val="Contents4"/>
            <w:tabs>
              <w:tab w:val="clear" w:pos="8176"/>
              <w:tab w:val="right" w:pos="9026" w:leader="dot"/>
            </w:tabs>
            <w:rPr/>
          </w:pPr>
          <w:hyperlink w:anchor="__RefHeading___Toc347750_2142443653">
            <w:r>
              <w:rPr>
                <w:webHidden/>
                <w:rStyle w:val="IndexLink"/>
                <w:rtl w:val="true"/>
              </w:rPr>
              <w:t>هل یکتفی بفاتحة الکتاب عن السورة؟</w:t>
            </w:r>
            <w:r>
              <w:rPr>
                <w:rStyle w:val="IndexLink"/>
                <w:rtl w:val="true"/>
              </w:rPr>
              <w:tab/>
            </w:r>
            <w:r>
              <w:rPr>
                <w:rStyle w:val="IndexLink"/>
              </w:rPr>
              <w:t>102</w:t>
            </w:r>
          </w:hyperlink>
        </w:p>
        <w:p>
          <w:pPr>
            <w:pStyle w:val="Contents4"/>
            <w:tabs>
              <w:tab w:val="clear" w:pos="8176"/>
              <w:tab w:val="right" w:pos="9026" w:leader="dot"/>
            </w:tabs>
            <w:rPr/>
          </w:pPr>
          <w:hyperlink w:anchor="__RefHeading___Toc347752_2142443653">
            <w:r>
              <w:rPr>
                <w:webHidden/>
                <w:rStyle w:val="IndexLink"/>
                <w:rtl w:val="true"/>
              </w:rPr>
              <w:t>هل الحمد شرط فی النوافل؟</w:t>
            </w:r>
            <w:r>
              <w:rPr>
                <w:rStyle w:val="IndexLink"/>
                <w:rtl w:val="true"/>
              </w:rPr>
              <w:tab/>
            </w:r>
            <w:r>
              <w:rPr>
                <w:rStyle w:val="IndexLink"/>
              </w:rPr>
              <w:t>103</w:t>
            </w:r>
          </w:hyperlink>
        </w:p>
        <w:p>
          <w:pPr>
            <w:pStyle w:val="Contents4"/>
            <w:tabs>
              <w:tab w:val="clear" w:pos="8176"/>
              <w:tab w:val="right" w:pos="9026" w:leader="dot"/>
            </w:tabs>
            <w:rPr/>
          </w:pPr>
          <w:hyperlink w:anchor="__RefHeading___Toc347754_2142443653">
            <w:r>
              <w:rPr>
                <w:webHidden/>
                <w:rStyle w:val="IndexLink"/>
                <w:rtl w:val="true"/>
              </w:rPr>
              <w:t>بیان ما دل علی حصر المفروض فی الرکوع والسجود</w:t>
            </w:r>
            <w:r>
              <w:rPr>
                <w:rStyle w:val="IndexLink"/>
                <w:rtl w:val="true"/>
              </w:rPr>
              <w:tab/>
            </w:r>
            <w:r>
              <w:rPr>
                <w:rStyle w:val="IndexLink"/>
              </w:rPr>
              <w:t>105</w:t>
            </w:r>
          </w:hyperlink>
        </w:p>
        <w:p>
          <w:pPr>
            <w:pStyle w:val="Contents4"/>
            <w:tabs>
              <w:tab w:val="clear" w:pos="8176"/>
              <w:tab w:val="right" w:pos="9026" w:leader="dot"/>
            </w:tabs>
            <w:rPr/>
          </w:pPr>
          <w:hyperlink w:anchor="__RefHeading___Toc347756_2142443653">
            <w:r>
              <w:rPr>
                <w:webHidden/>
                <w:rStyle w:val="IndexLink"/>
                <w:rtl w:val="true"/>
              </w:rPr>
              <w:t>بیان ما دل علی أنّ العاجز عن القراءة یکفیه التکبیر والتسبیح</w:t>
            </w:r>
            <w:r>
              <w:rPr>
                <w:rStyle w:val="IndexLink"/>
                <w:rtl w:val="true"/>
              </w:rPr>
              <w:tab/>
            </w:r>
            <w:r>
              <w:rPr>
                <w:rStyle w:val="IndexLink"/>
              </w:rPr>
              <w:t>105</w:t>
            </w:r>
          </w:hyperlink>
        </w:p>
        <w:p>
          <w:pPr>
            <w:pStyle w:val="Contents3"/>
            <w:tabs>
              <w:tab w:val="clear" w:pos="8459"/>
              <w:tab w:val="right" w:pos="9026" w:leader="dot"/>
            </w:tabs>
            <w:rPr/>
          </w:pPr>
          <w:hyperlink w:anchor="__RefHeading___Toc347758_2142443653">
            <w:r>
              <w:rPr>
                <w:webHidden/>
                <w:rStyle w:val="IndexLink"/>
                <w:rtl w:val="true"/>
              </w:rPr>
              <w:t>الجهر ببسم اللّه الرحمن الرّحیم</w:t>
            </w:r>
            <w:r>
              <w:rPr>
                <w:rStyle w:val="IndexLink"/>
                <w:rtl w:val="true"/>
              </w:rPr>
              <w:tab/>
            </w:r>
            <w:r>
              <w:rPr>
                <w:rStyle w:val="IndexLink"/>
              </w:rPr>
              <w:t>108</w:t>
            </w:r>
          </w:hyperlink>
        </w:p>
        <w:p>
          <w:pPr>
            <w:pStyle w:val="Contents4"/>
            <w:tabs>
              <w:tab w:val="clear" w:pos="8176"/>
              <w:tab w:val="right" w:pos="9026" w:leader="dot"/>
            </w:tabs>
            <w:rPr/>
          </w:pPr>
          <w:hyperlink w:anchor="__RefHeading___Toc347760_2142443653">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347762_2142443653">
            <w:r>
              <w:rPr>
                <w:webHidden/>
                <w:rStyle w:val="IndexLink"/>
                <w:rtl w:val="true"/>
              </w:rPr>
              <w:t>بحث حول یحیی بن عمران الهمدانی</w:t>
            </w:r>
            <w:r>
              <w:rPr>
                <w:rStyle w:val="IndexLink"/>
                <w:rtl w:val="true"/>
              </w:rPr>
              <w:tab/>
            </w:r>
            <w:r>
              <w:rPr>
                <w:rStyle w:val="IndexLink"/>
              </w:rPr>
              <w:t>110</w:t>
            </w:r>
          </w:hyperlink>
        </w:p>
        <w:p>
          <w:pPr>
            <w:pStyle w:val="Contents4"/>
            <w:tabs>
              <w:tab w:val="clear" w:pos="8176"/>
              <w:tab w:val="right" w:pos="9026" w:leader="dot"/>
            </w:tabs>
            <w:rPr/>
          </w:pPr>
          <w:hyperlink w:anchor="__RefHeading___Toc347764_2142443653">
            <w:r>
              <w:rPr>
                <w:webHidden/>
                <w:rStyle w:val="IndexLink"/>
                <w:rtl w:val="true"/>
              </w:rPr>
              <w:t>محمد بن حمّاد بن زید ثقة</w:t>
            </w:r>
            <w:r>
              <w:rPr>
                <w:rStyle w:val="IndexLink"/>
                <w:rtl w:val="true"/>
              </w:rPr>
              <w:tab/>
            </w:r>
            <w:r>
              <w:rPr>
                <w:rStyle w:val="IndexLink"/>
              </w:rPr>
              <w:t>110</w:t>
            </w:r>
          </w:hyperlink>
        </w:p>
        <w:p>
          <w:pPr>
            <w:pStyle w:val="Contents4"/>
            <w:tabs>
              <w:tab w:val="clear" w:pos="8176"/>
              <w:tab w:val="right" w:pos="9026" w:leader="dot"/>
            </w:tabs>
            <w:rPr/>
          </w:pPr>
          <w:hyperlink w:anchor="__RefHeading___Toc347766_2142443653">
            <w:r>
              <w:rPr>
                <w:webHidden/>
                <w:rStyle w:val="IndexLink"/>
                <w:rtl w:val="true"/>
              </w:rPr>
              <w:t>عبدالله بن یحیی الکاهلی ممدوح</w:t>
            </w:r>
            <w:r>
              <w:rPr>
                <w:rStyle w:val="IndexLink"/>
                <w:rtl w:val="true"/>
              </w:rPr>
              <w:tab/>
            </w:r>
            <w:r>
              <w:rPr>
                <w:rStyle w:val="IndexLink"/>
              </w:rPr>
              <w:t>110</w:t>
            </w:r>
          </w:hyperlink>
        </w:p>
        <w:p>
          <w:pPr>
            <w:pStyle w:val="Contents4"/>
            <w:tabs>
              <w:tab w:val="clear" w:pos="8176"/>
              <w:tab w:val="right" w:pos="9026" w:leader="dot"/>
            </w:tabs>
            <w:rPr/>
          </w:pPr>
          <w:hyperlink w:anchor="__RefHeading___Toc347768_2142443653">
            <w:r>
              <w:rPr>
                <w:webHidden/>
                <w:rStyle w:val="IndexLink"/>
                <w:rtl w:val="true"/>
              </w:rPr>
              <w:t>حکم الجهر بالبسملة فی ما یخافت فیه وبیان ما دلّ علیه ونقل الأقوال فیه</w:t>
            </w:r>
            <w:r>
              <w:rPr>
                <w:rStyle w:val="IndexLink"/>
                <w:rtl w:val="true"/>
              </w:rPr>
              <w:tab/>
            </w:r>
            <w:r>
              <w:rPr>
                <w:rStyle w:val="IndexLink"/>
              </w:rPr>
              <w:t>111</w:t>
            </w:r>
          </w:hyperlink>
        </w:p>
        <w:p>
          <w:pPr>
            <w:pStyle w:val="Contents4"/>
            <w:tabs>
              <w:tab w:val="clear" w:pos="8176"/>
              <w:tab w:val="right" w:pos="9026" w:leader="dot"/>
            </w:tabs>
            <w:rPr/>
          </w:pPr>
          <w:hyperlink w:anchor="__RefHeading___Toc347770_2142443653">
            <w:r>
              <w:rPr>
                <w:webHidden/>
                <w:rStyle w:val="IndexLink"/>
                <w:rtl w:val="true"/>
              </w:rPr>
              <w:t>بحث حول سُلیم بن قیس والراوی عنه</w:t>
            </w:r>
            <w:r>
              <w:rPr>
                <w:rStyle w:val="IndexLink"/>
                <w:rtl w:val="true"/>
              </w:rPr>
              <w:tab/>
            </w:r>
            <w:r>
              <w:rPr>
                <w:rStyle w:val="IndexLink"/>
              </w:rPr>
              <w:t>118</w:t>
            </w:r>
          </w:hyperlink>
        </w:p>
        <w:p>
          <w:pPr>
            <w:pStyle w:val="Contents4"/>
            <w:tabs>
              <w:tab w:val="clear" w:pos="8176"/>
              <w:tab w:val="right" w:pos="9026" w:leader="dot"/>
            </w:tabs>
            <w:rPr/>
          </w:pPr>
          <w:hyperlink w:anchor="__RefHeading___Toc347772_2142443653">
            <w:r>
              <w:rPr>
                <w:webHidden/>
                <w:rStyle w:val="IndexLink"/>
                <w:rtl w:val="true"/>
              </w:rPr>
              <w:t>دلالة روایة معاویة بن عمار علی أنّ التسمیة فی الفاتحة والسورة لابدّ منها وعدم دلالتها علی وجوب السورة</w:t>
            </w:r>
            <w:r>
              <w:rPr>
                <w:rStyle w:val="IndexLink"/>
                <w:rtl w:val="true"/>
              </w:rPr>
              <w:tab/>
            </w:r>
            <w:r>
              <w:rPr>
                <w:rStyle w:val="IndexLink"/>
              </w:rPr>
              <w:t>119</w:t>
            </w:r>
          </w:hyperlink>
        </w:p>
        <w:p>
          <w:pPr>
            <w:pStyle w:val="Contents4"/>
            <w:tabs>
              <w:tab w:val="clear" w:pos="8176"/>
              <w:tab w:val="right" w:pos="9026" w:leader="dot"/>
            </w:tabs>
            <w:rPr/>
          </w:pPr>
          <w:hyperlink w:anchor="__RefHeading___Toc347774_2142443653">
            <w:r>
              <w:rPr>
                <w:webHidden/>
                <w:rStyle w:val="IndexLink"/>
                <w:rtl w:val="true"/>
              </w:rPr>
              <w:t>بیان ما دلّ علی أنّ من ترک البسملة فی السورة یعید</w:t>
            </w:r>
            <w:r>
              <w:rPr>
                <w:rStyle w:val="IndexLink"/>
                <w:rtl w:val="true"/>
              </w:rPr>
              <w:tab/>
            </w:r>
            <w:r>
              <w:rPr>
                <w:rStyle w:val="IndexLink"/>
              </w:rPr>
              <w:t>120</w:t>
            </w:r>
          </w:hyperlink>
        </w:p>
        <w:p>
          <w:pPr>
            <w:pStyle w:val="Contents4"/>
            <w:tabs>
              <w:tab w:val="clear" w:pos="8176"/>
              <w:tab w:val="right" w:pos="9026" w:leader="dot"/>
            </w:tabs>
            <w:rPr/>
          </w:pPr>
          <w:hyperlink w:anchor="__RefHeading___Toc347776_2142443653">
            <w:r>
              <w:rPr>
                <w:webHidden/>
                <w:rStyle w:val="IndexLink"/>
                <w:rtl w:val="true"/>
              </w:rPr>
              <w:t xml:space="preserve">ما المراد بالمرّتین فی قوله </w:t>
            </w:r>
            <w:r>
              <w:rPr>
                <w:rStyle w:val="IndexLink"/>
                <w:rtl w:val="true"/>
              </w:rPr>
              <w:t xml:space="preserve">: </w:t>
            </w:r>
            <w:r>
              <w:rPr>
                <w:rStyle w:val="IndexLink"/>
                <w:rtl w:val="true"/>
              </w:rPr>
              <w:t xml:space="preserve">صلّی بنا أبو عبدالله علیه السلام فجهر مرّتین </w:t>
            </w:r>
            <w:r>
              <w:rPr>
                <w:rStyle w:val="IndexLink"/>
                <w:rtl w:val="true"/>
              </w:rPr>
              <w:t>...</w:t>
            </w:r>
            <w:r>
              <w:rPr>
                <w:rStyle w:val="IndexLink"/>
                <w:rtl w:val="true"/>
              </w:rPr>
              <w:t>؟</w:t>
            </w:r>
            <w:r>
              <w:rPr>
                <w:rStyle w:val="IndexLink"/>
                <w:rtl w:val="true"/>
              </w:rPr>
              <w:tab/>
            </w:r>
            <w:r>
              <w:rPr>
                <w:rStyle w:val="IndexLink"/>
              </w:rPr>
              <w:t>122</w:t>
            </w:r>
          </w:hyperlink>
        </w:p>
        <w:p>
          <w:pPr>
            <w:pStyle w:val="Contents4"/>
            <w:tabs>
              <w:tab w:val="clear" w:pos="8176"/>
              <w:tab w:val="right" w:pos="9026" w:leader="dot"/>
            </w:tabs>
            <w:rPr/>
          </w:pPr>
          <w:hyperlink w:anchor="__RefHeading___Toc347778_2142443653">
            <w:r>
              <w:rPr>
                <w:webHidden/>
                <w:rStyle w:val="IndexLink"/>
                <w:rtl w:val="true"/>
              </w:rPr>
              <w:t>بحث حول مسمع بن عبدالملک البصری</w:t>
            </w:r>
            <w:r>
              <w:rPr>
                <w:rStyle w:val="IndexLink"/>
                <w:rtl w:val="true"/>
              </w:rPr>
              <w:tab/>
            </w:r>
            <w:r>
              <w:rPr>
                <w:rStyle w:val="IndexLink"/>
              </w:rPr>
              <w:t>124</w:t>
            </w:r>
          </w:hyperlink>
        </w:p>
        <w:p>
          <w:pPr>
            <w:pStyle w:val="Contents4"/>
            <w:tabs>
              <w:tab w:val="clear" w:pos="8176"/>
              <w:tab w:val="right" w:pos="9026" w:leader="dot"/>
            </w:tabs>
            <w:rPr/>
          </w:pPr>
          <w:hyperlink w:anchor="__RefHeading___Toc347780_2142443653">
            <w:r>
              <w:rPr>
                <w:webHidden/>
                <w:rStyle w:val="IndexLink"/>
                <w:rtl w:val="true"/>
              </w:rPr>
              <w:t>علی بن السندی مجهول</w:t>
            </w:r>
            <w:r>
              <w:rPr>
                <w:rStyle w:val="IndexLink"/>
                <w:rtl w:val="true"/>
              </w:rPr>
              <w:tab/>
            </w:r>
            <w:r>
              <w:rPr>
                <w:rStyle w:val="IndexLink"/>
              </w:rPr>
              <w:t>125</w:t>
            </w:r>
          </w:hyperlink>
        </w:p>
        <w:p>
          <w:pPr>
            <w:pStyle w:val="Contents4"/>
            <w:tabs>
              <w:tab w:val="clear" w:pos="8176"/>
              <w:tab w:val="right" w:pos="9026" w:leader="dot"/>
            </w:tabs>
            <w:rPr/>
          </w:pPr>
          <w:hyperlink w:anchor="__RefHeading___Toc347782_2142443653">
            <w:r>
              <w:rPr>
                <w:webHidden/>
                <w:rStyle w:val="IndexLink"/>
                <w:rtl w:val="true"/>
              </w:rPr>
              <w:t xml:space="preserve">تمییز أحمد ومحمد فی قوله </w:t>
            </w:r>
            <w:r>
              <w:rPr>
                <w:rStyle w:val="IndexLink"/>
                <w:rtl w:val="true"/>
              </w:rPr>
              <w:t xml:space="preserve">: </w:t>
            </w:r>
            <w:r>
              <w:rPr>
                <w:rStyle w:val="IndexLink"/>
                <w:rtl w:val="true"/>
              </w:rPr>
              <w:t>سعد بن عبدالله عن أحمد ومحمد</w:t>
            </w:r>
            <w:r>
              <w:rPr>
                <w:rStyle w:val="IndexLink"/>
                <w:rtl w:val="true"/>
              </w:rPr>
              <w:tab/>
            </w:r>
            <w:r>
              <w:rPr>
                <w:rStyle w:val="IndexLink"/>
              </w:rPr>
              <w:t>125</w:t>
            </w:r>
          </w:hyperlink>
        </w:p>
        <w:p>
          <w:pPr>
            <w:pStyle w:val="Contents4"/>
            <w:tabs>
              <w:tab w:val="clear" w:pos="8176"/>
              <w:tab w:val="right" w:pos="9026" w:leader="dot"/>
            </w:tabs>
            <w:rPr/>
          </w:pPr>
          <w:hyperlink w:anchor="__RefHeading___Toc347784_2142443653">
            <w:r>
              <w:rPr>
                <w:webHidden/>
                <w:rStyle w:val="IndexLink"/>
                <w:rtl w:val="true"/>
              </w:rPr>
              <w:t>بحث حول أبی جریر زکریا بن إدریس القمی</w:t>
            </w:r>
            <w:r>
              <w:rPr>
                <w:rStyle w:val="IndexLink"/>
                <w:rtl w:val="true"/>
              </w:rPr>
              <w:tab/>
            </w:r>
            <w:r>
              <w:rPr>
                <w:rStyle w:val="IndexLink"/>
              </w:rPr>
              <w:t>125</w:t>
            </w:r>
          </w:hyperlink>
        </w:p>
        <w:p>
          <w:pPr>
            <w:pStyle w:val="Contents4"/>
            <w:tabs>
              <w:tab w:val="clear" w:pos="8176"/>
              <w:tab w:val="right" w:pos="9026" w:leader="dot"/>
            </w:tabs>
            <w:rPr/>
          </w:pPr>
          <w:hyperlink w:anchor="__RefHeading___Toc347786_2142443653">
            <w:r>
              <w:rPr>
                <w:webHidden/>
                <w:rStyle w:val="IndexLink"/>
                <w:rtl w:val="true"/>
              </w:rPr>
              <w:t>توجیه ما دلّ علی جواز ترک البسملة فی الفاتحة والسورة</w:t>
            </w:r>
            <w:r>
              <w:rPr>
                <w:rStyle w:val="IndexLink"/>
                <w:rtl w:val="true"/>
              </w:rPr>
              <w:tab/>
            </w:r>
            <w:r>
              <w:rPr>
                <w:rStyle w:val="IndexLink"/>
              </w:rPr>
              <w:t>126</w:t>
            </w:r>
          </w:hyperlink>
        </w:p>
        <w:p>
          <w:pPr>
            <w:pStyle w:val="Contents4"/>
            <w:tabs>
              <w:tab w:val="clear" w:pos="8176"/>
              <w:tab w:val="right" w:pos="9026" w:leader="dot"/>
            </w:tabs>
            <w:rPr/>
          </w:pPr>
          <w:hyperlink w:anchor="__RefHeading___Toc347788_2142443653">
            <w:r>
              <w:rPr>
                <w:webHidden/>
                <w:rStyle w:val="IndexLink"/>
                <w:rtl w:val="true"/>
              </w:rPr>
              <w:t>بحث حول طریق الشیخ إلی عبیدالله الحلبی ومحمد الحلبی</w:t>
            </w:r>
            <w:r>
              <w:rPr>
                <w:rStyle w:val="IndexLink"/>
                <w:rtl w:val="true"/>
              </w:rPr>
              <w:tab/>
            </w:r>
            <w:r>
              <w:rPr>
                <w:rStyle w:val="IndexLink"/>
              </w:rPr>
              <w:t>128</w:t>
            </w:r>
          </w:hyperlink>
        </w:p>
        <w:p>
          <w:pPr>
            <w:pStyle w:val="Contents4"/>
            <w:tabs>
              <w:tab w:val="clear" w:pos="8176"/>
              <w:tab w:val="right" w:pos="9026" w:leader="dot"/>
            </w:tabs>
            <w:rPr/>
          </w:pPr>
          <w:hyperlink w:anchor="__RefHeading___Toc347790_2142443653">
            <w:r>
              <w:rPr>
                <w:webHidden/>
                <w:rStyle w:val="IndexLink"/>
                <w:rtl w:val="true"/>
              </w:rPr>
              <w:t>بحث حول روایة محمد بن سنان عن عبدالله بن مسکان وعدم روایة الحسین بن سعید عنه</w:t>
            </w:r>
            <w:r>
              <w:rPr>
                <w:rStyle w:val="IndexLink"/>
                <w:rtl w:val="true"/>
              </w:rPr>
              <w:tab/>
            </w:r>
            <w:r>
              <w:rPr>
                <w:rStyle w:val="IndexLink"/>
              </w:rPr>
              <w:t>129</w:t>
            </w:r>
          </w:hyperlink>
        </w:p>
        <w:p>
          <w:pPr>
            <w:pStyle w:val="Contents4"/>
            <w:tabs>
              <w:tab w:val="clear" w:pos="8176"/>
              <w:tab w:val="right" w:pos="9026" w:leader="dot"/>
            </w:tabs>
            <w:rPr/>
          </w:pPr>
          <w:hyperlink w:anchor="__RefHeading___Toc347792_2142443653">
            <w:r>
              <w:rPr>
                <w:webHidden/>
                <w:rStyle w:val="IndexLink"/>
                <w:rtl w:val="true"/>
              </w:rPr>
              <w:t>توجیه ما دلّ علی التخییر بین الجهر والاخفات فی بسملة الفاتحة والنهی عن قراءتها مع السورة</w:t>
            </w:r>
            <w:r>
              <w:rPr>
                <w:rStyle w:val="IndexLink"/>
                <w:rtl w:val="true"/>
              </w:rPr>
              <w:tab/>
            </w:r>
            <w:r>
              <w:rPr>
                <w:rStyle w:val="IndexLink"/>
              </w:rPr>
              <w:t>129</w:t>
            </w:r>
          </w:hyperlink>
        </w:p>
        <w:p>
          <w:pPr>
            <w:pStyle w:val="Contents3"/>
            <w:tabs>
              <w:tab w:val="clear" w:pos="8459"/>
              <w:tab w:val="right" w:pos="9026" w:leader="dot"/>
            </w:tabs>
            <w:rPr/>
          </w:pPr>
          <w:hyperlink w:anchor="__RefHeading___Toc347794_2142443653">
            <w:r>
              <w:rPr>
                <w:webHidden/>
                <w:rStyle w:val="IndexLink"/>
                <w:rtl w:val="true"/>
              </w:rPr>
              <w:t>وجوب الجهر فی القراءة</w:t>
            </w:r>
            <w:r>
              <w:rPr>
                <w:rStyle w:val="IndexLink"/>
                <w:rtl w:val="true"/>
              </w:rPr>
              <w:tab/>
            </w:r>
            <w:r>
              <w:rPr>
                <w:rStyle w:val="IndexLink"/>
              </w:rPr>
              <w:t>131</w:t>
            </w:r>
          </w:hyperlink>
        </w:p>
        <w:p>
          <w:pPr>
            <w:pStyle w:val="Contents4"/>
            <w:tabs>
              <w:tab w:val="clear" w:pos="8176"/>
              <w:tab w:val="right" w:pos="9026" w:leader="dot"/>
            </w:tabs>
            <w:rPr/>
          </w:pPr>
          <w:hyperlink w:anchor="__RefHeading___Toc347796_2142443653">
            <w:r>
              <w:rPr>
                <w:webHidden/>
                <w:rStyle w:val="IndexLink"/>
                <w:rtl w:val="true"/>
              </w:rPr>
              <w:t>بحث حول طرق الشیخ إلی حریز</w:t>
            </w:r>
            <w:r>
              <w:rPr>
                <w:rStyle w:val="IndexLink"/>
                <w:rtl w:val="true"/>
              </w:rPr>
              <w:tab/>
            </w:r>
            <w:r>
              <w:rPr>
                <w:rStyle w:val="IndexLink"/>
              </w:rPr>
              <w:t>131</w:t>
            </w:r>
          </w:hyperlink>
        </w:p>
        <w:p>
          <w:pPr>
            <w:pStyle w:val="Contents4"/>
            <w:tabs>
              <w:tab w:val="clear" w:pos="8176"/>
              <w:tab w:val="right" w:pos="9026" w:leader="dot"/>
            </w:tabs>
            <w:rPr/>
          </w:pPr>
          <w:hyperlink w:anchor="__RefHeading___Toc347798_2142443653">
            <w:r>
              <w:rPr>
                <w:webHidden/>
                <w:rStyle w:val="IndexLink"/>
                <w:rtl w:val="true"/>
              </w:rPr>
              <w:t>بیان ما دل علی أنّ من ترک الجهر والاخفات فی موضعهما متعمّداً علیه الاعادة</w:t>
            </w:r>
            <w:r>
              <w:rPr>
                <w:rStyle w:val="IndexLink"/>
                <w:rtl w:val="true"/>
              </w:rPr>
              <w:tab/>
            </w:r>
            <w:r>
              <w:rPr>
                <w:rStyle w:val="IndexLink"/>
              </w:rPr>
              <w:t>133</w:t>
            </w:r>
          </w:hyperlink>
        </w:p>
        <w:p>
          <w:pPr>
            <w:pStyle w:val="Contents4"/>
            <w:tabs>
              <w:tab w:val="clear" w:pos="8176"/>
              <w:tab w:val="right" w:pos="9026" w:leader="dot"/>
            </w:tabs>
            <w:rPr/>
          </w:pPr>
          <w:hyperlink w:anchor="__RefHeading___Toc347800_2142443653">
            <w:r>
              <w:rPr>
                <w:webHidden/>
                <w:rStyle w:val="IndexLink"/>
                <w:rtl w:val="true"/>
              </w:rPr>
              <w:t xml:space="preserve">نقل الاقوال فی المسألة ومعنی قولع تعالی </w:t>
            </w:r>
            <w:r>
              <w:rPr>
                <w:rStyle w:val="IndexLink"/>
                <w:rtl w:val="true"/>
              </w:rPr>
              <w:t xml:space="preserve">: ( </w:t>
            </w:r>
            <w:r>
              <w:rPr>
                <w:rStyle w:val="IndexLink"/>
                <w:rtl w:val="true"/>
              </w:rPr>
              <w:t xml:space="preserve">ولا تجهر بصلاتک ولا تخافت بها </w:t>
            </w:r>
            <w:r>
              <w:rPr>
                <w:rStyle w:val="IndexLink"/>
                <w:rtl w:val="true"/>
              </w:rPr>
              <w:t>)</w:t>
              <w:tab/>
            </w:r>
            <w:r>
              <w:rPr>
                <w:rStyle w:val="IndexLink"/>
              </w:rPr>
              <w:t>136</w:t>
            </w:r>
          </w:hyperlink>
        </w:p>
        <w:p>
          <w:pPr>
            <w:pStyle w:val="Contents4"/>
            <w:tabs>
              <w:tab w:val="clear" w:pos="8176"/>
              <w:tab w:val="right" w:pos="9026" w:leader="dot"/>
            </w:tabs>
            <w:rPr/>
          </w:pPr>
          <w:hyperlink w:anchor="__RefHeading___Toc347802_2142443653">
            <w:r>
              <w:rPr>
                <w:webHidden/>
                <w:rStyle w:val="IndexLink"/>
                <w:rtl w:val="true"/>
              </w:rPr>
              <w:t>توجیه ما دل علی التخییر بین الجهر وعدمه فی ما یجهر فیه</w:t>
            </w:r>
            <w:r>
              <w:rPr>
                <w:rStyle w:val="IndexLink"/>
                <w:rtl w:val="true"/>
              </w:rPr>
              <w:tab/>
            </w:r>
            <w:r>
              <w:rPr>
                <w:rStyle w:val="IndexLink"/>
              </w:rPr>
              <w:t>139</w:t>
            </w:r>
          </w:hyperlink>
        </w:p>
        <w:p>
          <w:pPr>
            <w:pStyle w:val="Contents4"/>
            <w:tabs>
              <w:tab w:val="clear" w:pos="8176"/>
              <w:tab w:val="right" w:pos="9026" w:leader="dot"/>
            </w:tabs>
            <w:rPr/>
          </w:pPr>
          <w:hyperlink w:anchor="__RefHeading___Toc347804_2142443653">
            <w:r>
              <w:rPr>
                <w:webHidden/>
                <w:rStyle w:val="IndexLink"/>
                <w:rtl w:val="true"/>
              </w:rPr>
              <w:t>أقل الجهر والإخفات وأکثرهما</w:t>
            </w:r>
            <w:r>
              <w:rPr>
                <w:rStyle w:val="IndexLink"/>
                <w:rtl w:val="true"/>
              </w:rPr>
              <w:tab/>
            </w:r>
            <w:r>
              <w:rPr>
                <w:rStyle w:val="IndexLink"/>
              </w:rPr>
              <w:t>140</w:t>
            </w:r>
          </w:hyperlink>
        </w:p>
        <w:p>
          <w:pPr>
            <w:pStyle w:val="Contents3"/>
            <w:tabs>
              <w:tab w:val="clear" w:pos="8459"/>
              <w:tab w:val="right" w:pos="9026" w:leader="dot"/>
            </w:tabs>
            <w:rPr/>
          </w:pPr>
          <w:hyperlink w:anchor="__RefHeading___Toc347806_2142443653">
            <w:r>
              <w:rPr>
                <w:webHidden/>
                <w:rStyle w:val="IndexLink"/>
                <w:rtl w:val="true"/>
              </w:rPr>
              <w:t>الجهر فی النوافل بالنهار</w:t>
            </w:r>
            <w:r>
              <w:rPr>
                <w:rStyle w:val="IndexLink"/>
                <w:rtl w:val="true"/>
              </w:rPr>
              <w:tab/>
            </w:r>
            <w:r>
              <w:rPr>
                <w:rStyle w:val="IndexLink"/>
              </w:rPr>
              <w:t>141</w:t>
            </w:r>
          </w:hyperlink>
        </w:p>
        <w:p>
          <w:pPr>
            <w:pStyle w:val="Contents4"/>
            <w:tabs>
              <w:tab w:val="clear" w:pos="8176"/>
              <w:tab w:val="right" w:pos="9026" w:leader="dot"/>
            </w:tabs>
            <w:rPr/>
          </w:pPr>
          <w:hyperlink w:anchor="__RefHeading___Toc347808_2142443653">
            <w:r>
              <w:rPr>
                <w:webHidden/>
                <w:rStyle w:val="IndexLink"/>
                <w:rtl w:val="true"/>
              </w:rPr>
              <w:t>الحسن بن علی بن فضّال فطحی ثقة</w:t>
            </w:r>
            <w:r>
              <w:rPr>
                <w:rStyle w:val="IndexLink"/>
                <w:rtl w:val="true"/>
              </w:rPr>
              <w:tab/>
            </w:r>
            <w:r>
              <w:rPr>
                <w:rStyle w:val="IndexLink"/>
              </w:rPr>
              <w:t>141</w:t>
            </w:r>
          </w:hyperlink>
        </w:p>
        <w:p>
          <w:pPr>
            <w:pStyle w:val="Contents4"/>
            <w:tabs>
              <w:tab w:val="clear" w:pos="8176"/>
              <w:tab w:val="right" w:pos="9026" w:leader="dot"/>
            </w:tabs>
            <w:rPr/>
          </w:pPr>
          <w:hyperlink w:anchor="__RefHeading___Toc347810_2142443653">
            <w:r>
              <w:rPr>
                <w:webHidden/>
                <w:rStyle w:val="IndexLink"/>
                <w:rtl w:val="true"/>
              </w:rPr>
              <w:t>حکم نوافل اللیل والنهار من حیث الجهر والاخفات</w:t>
            </w:r>
            <w:r>
              <w:rPr>
                <w:rStyle w:val="IndexLink"/>
                <w:rtl w:val="true"/>
              </w:rPr>
              <w:tab/>
            </w:r>
            <w:r>
              <w:rPr>
                <w:rStyle w:val="IndexLink"/>
              </w:rPr>
              <w:t>142</w:t>
            </w:r>
          </w:hyperlink>
        </w:p>
        <w:p>
          <w:pPr>
            <w:pStyle w:val="Contents3"/>
            <w:tabs>
              <w:tab w:val="clear" w:pos="8459"/>
              <w:tab w:val="right" w:pos="9026" w:leader="dot"/>
            </w:tabs>
            <w:rPr/>
          </w:pPr>
          <w:hyperlink w:anchor="__RefHeading___Toc347812_2142443653">
            <w:r>
              <w:rPr>
                <w:webHidden/>
                <w:rStyle w:val="IndexLink"/>
                <w:rtl w:val="true"/>
              </w:rPr>
              <w:t>لا یقرأ فی الفریضةبأقلّ من سورة ولا بأکثر منها</w:t>
            </w:r>
            <w:r>
              <w:rPr>
                <w:rStyle w:val="IndexLink"/>
                <w:rtl w:val="true"/>
              </w:rPr>
              <w:tab/>
            </w:r>
            <w:r>
              <w:rPr>
                <w:rStyle w:val="IndexLink"/>
              </w:rPr>
              <w:t>143</w:t>
            </w:r>
          </w:hyperlink>
        </w:p>
        <w:p>
          <w:pPr>
            <w:pStyle w:val="Contents4"/>
            <w:tabs>
              <w:tab w:val="clear" w:pos="8176"/>
              <w:tab w:val="right" w:pos="9026" w:leader="dot"/>
            </w:tabs>
            <w:rPr/>
          </w:pPr>
          <w:hyperlink w:anchor="__RefHeading___Toc347814_2142443653">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347816_2142443653">
            <w:r>
              <w:rPr>
                <w:webHidden/>
                <w:rStyle w:val="IndexLink"/>
                <w:rtl w:val="true"/>
              </w:rPr>
              <w:t>بحث حول محمد بن عبدالحمید</w:t>
            </w:r>
            <w:r>
              <w:rPr>
                <w:rStyle w:val="IndexLink"/>
                <w:rtl w:val="true"/>
              </w:rPr>
              <w:tab/>
            </w:r>
            <w:r>
              <w:rPr>
                <w:rStyle w:val="IndexLink"/>
              </w:rPr>
              <w:t>145</w:t>
            </w:r>
          </w:hyperlink>
        </w:p>
        <w:p>
          <w:pPr>
            <w:pStyle w:val="Contents4"/>
            <w:tabs>
              <w:tab w:val="clear" w:pos="8176"/>
              <w:tab w:val="right" w:pos="9026" w:leader="dot"/>
            </w:tabs>
            <w:rPr/>
          </w:pPr>
          <w:hyperlink w:anchor="__RefHeading___Toc347818_2142443653">
            <w:r>
              <w:rPr>
                <w:webHidden/>
                <w:rStyle w:val="IndexLink"/>
                <w:rtl w:val="true"/>
              </w:rPr>
              <w:t>سیف بن عمیرة ثقة</w:t>
            </w:r>
            <w:r>
              <w:rPr>
                <w:rStyle w:val="IndexLink"/>
                <w:rtl w:val="true"/>
              </w:rPr>
              <w:tab/>
            </w:r>
            <w:r>
              <w:rPr>
                <w:rStyle w:val="IndexLink"/>
              </w:rPr>
              <w:t>145</w:t>
            </w:r>
          </w:hyperlink>
        </w:p>
        <w:p>
          <w:pPr>
            <w:pStyle w:val="Contents4"/>
            <w:tabs>
              <w:tab w:val="clear" w:pos="8176"/>
              <w:tab w:val="right" w:pos="9026" w:leader="dot"/>
            </w:tabs>
            <w:rPr/>
          </w:pPr>
          <w:hyperlink w:anchor="__RefHeading___Toc347820_2142443653">
            <w:r>
              <w:rPr>
                <w:webHidden/>
                <w:rStyle w:val="IndexLink"/>
                <w:rtl w:val="true"/>
              </w:rPr>
              <w:t>بحث حول الحسن بن محبوب</w:t>
            </w:r>
            <w:r>
              <w:rPr>
                <w:rStyle w:val="IndexLink"/>
                <w:rtl w:val="true"/>
              </w:rPr>
              <w:tab/>
            </w:r>
            <w:r>
              <w:rPr>
                <w:rStyle w:val="IndexLink"/>
              </w:rPr>
              <w:t>146</w:t>
            </w:r>
          </w:hyperlink>
        </w:p>
        <w:p>
          <w:pPr>
            <w:pStyle w:val="Contents4"/>
            <w:tabs>
              <w:tab w:val="clear" w:pos="8176"/>
              <w:tab w:val="right" w:pos="9026" w:leader="dot"/>
            </w:tabs>
            <w:rPr/>
          </w:pPr>
          <w:hyperlink w:anchor="__RefHeading___Toc347822_2142443653">
            <w:r>
              <w:rPr>
                <w:webHidden/>
                <w:rStyle w:val="IndexLink"/>
                <w:rtl w:val="true"/>
              </w:rPr>
              <w:t>إشارة إلی ضعف محمد بن سنان</w:t>
            </w:r>
            <w:r>
              <w:rPr>
                <w:rStyle w:val="IndexLink"/>
                <w:rtl w:val="true"/>
              </w:rPr>
              <w:tab/>
            </w:r>
            <w:r>
              <w:rPr>
                <w:rStyle w:val="IndexLink"/>
              </w:rPr>
              <w:t>146</w:t>
            </w:r>
          </w:hyperlink>
        </w:p>
        <w:p>
          <w:pPr>
            <w:pStyle w:val="Contents4"/>
            <w:tabs>
              <w:tab w:val="clear" w:pos="8176"/>
              <w:tab w:val="right" w:pos="9026" w:leader="dot"/>
            </w:tabs>
            <w:rPr/>
          </w:pPr>
          <w:hyperlink w:anchor="__RefHeading___Toc347824_2142443653">
            <w:r>
              <w:rPr>
                <w:webHidden/>
                <w:rStyle w:val="IndexLink"/>
                <w:rtl w:val="true"/>
              </w:rPr>
              <w:t>بحث حول الحسن الصیقل</w:t>
            </w:r>
            <w:r>
              <w:rPr>
                <w:rStyle w:val="IndexLink"/>
                <w:rtl w:val="true"/>
              </w:rPr>
              <w:tab/>
            </w:r>
            <w:r>
              <w:rPr>
                <w:rStyle w:val="IndexLink"/>
              </w:rPr>
              <w:t>146</w:t>
            </w:r>
          </w:hyperlink>
        </w:p>
        <w:p>
          <w:pPr>
            <w:pStyle w:val="Contents4"/>
            <w:tabs>
              <w:tab w:val="clear" w:pos="8176"/>
              <w:tab w:val="right" w:pos="9026" w:leader="dot"/>
            </w:tabs>
            <w:rPr/>
          </w:pPr>
          <w:hyperlink w:anchor="__RefHeading___Toc347826_2142443653">
            <w:r>
              <w:rPr>
                <w:webHidden/>
                <w:rStyle w:val="IndexLink"/>
                <w:rtl w:val="true"/>
              </w:rPr>
              <w:t>الأقوال فی وجوب السورة أو عدم وجوبها</w:t>
            </w:r>
            <w:r>
              <w:rPr>
                <w:rStyle w:val="IndexLink"/>
                <w:rtl w:val="true"/>
              </w:rPr>
              <w:tab/>
            </w:r>
            <w:r>
              <w:rPr>
                <w:rStyle w:val="IndexLink"/>
              </w:rPr>
              <w:t>147</w:t>
            </w:r>
          </w:hyperlink>
        </w:p>
        <w:p>
          <w:pPr>
            <w:pStyle w:val="Contents4"/>
            <w:tabs>
              <w:tab w:val="clear" w:pos="8176"/>
              <w:tab w:val="right" w:pos="9026" w:leader="dot"/>
            </w:tabs>
            <w:rPr/>
          </w:pPr>
          <w:hyperlink w:anchor="__RefHeading___Toc347828_2142443653">
            <w:r>
              <w:rPr>
                <w:webHidden/>
                <w:rStyle w:val="IndexLink"/>
                <w:rtl w:val="true"/>
              </w:rPr>
              <w:t>بیان ما دل علی أنّه لا یقرأ فی المکتوبة بأقل من سورة ولا بأکثر</w:t>
            </w:r>
            <w:r>
              <w:rPr>
                <w:rStyle w:val="IndexLink"/>
                <w:rtl w:val="true"/>
              </w:rPr>
              <w:tab/>
            </w:r>
            <w:r>
              <w:rPr>
                <w:rStyle w:val="IndexLink"/>
              </w:rPr>
              <w:t>150</w:t>
            </w:r>
          </w:hyperlink>
        </w:p>
        <w:p>
          <w:pPr>
            <w:pStyle w:val="Contents4"/>
            <w:tabs>
              <w:tab w:val="clear" w:pos="8176"/>
              <w:tab w:val="right" w:pos="9026" w:leader="dot"/>
            </w:tabs>
            <w:rPr/>
          </w:pPr>
          <w:hyperlink w:anchor="__RefHeading___Toc347830_2142443653">
            <w:r>
              <w:rPr>
                <w:webHidden/>
                <w:rStyle w:val="IndexLink"/>
                <w:rtl w:val="true"/>
              </w:rPr>
              <w:t>بیان ما دل علی جواز الاقتصار علی الفاتحة فی الفریضة والمناقشة فی توجیه الشیخ له</w:t>
            </w:r>
            <w:r>
              <w:rPr>
                <w:rStyle w:val="IndexLink"/>
                <w:rtl w:val="true"/>
              </w:rPr>
              <w:tab/>
            </w:r>
            <w:r>
              <w:rPr>
                <w:rStyle w:val="IndexLink"/>
              </w:rPr>
              <w:t>151</w:t>
            </w:r>
          </w:hyperlink>
        </w:p>
        <w:p>
          <w:pPr>
            <w:pStyle w:val="Contents4"/>
            <w:tabs>
              <w:tab w:val="clear" w:pos="8176"/>
              <w:tab w:val="right" w:pos="9026" w:leader="dot"/>
            </w:tabs>
            <w:rPr/>
          </w:pPr>
          <w:hyperlink w:anchor="__RefHeading___Toc347832_2142443653">
            <w:r>
              <w:rPr>
                <w:webHidden/>
                <w:rStyle w:val="IndexLink"/>
                <w:rtl w:val="true"/>
              </w:rPr>
              <w:t>بحث حول روایة محمد بن عیسی عن یونس ووجه اعتماد الشیخ علیها</w:t>
            </w:r>
            <w:r>
              <w:rPr>
                <w:rStyle w:val="IndexLink"/>
                <w:rtl w:val="true"/>
              </w:rPr>
              <w:tab/>
            </w:r>
            <w:r>
              <w:rPr>
                <w:rStyle w:val="IndexLink"/>
              </w:rPr>
              <w:t>152</w:t>
            </w:r>
          </w:hyperlink>
        </w:p>
        <w:p>
          <w:pPr>
            <w:pStyle w:val="Contents4"/>
            <w:tabs>
              <w:tab w:val="clear" w:pos="8176"/>
              <w:tab w:val="right" w:pos="9026" w:leader="dot"/>
            </w:tabs>
            <w:rPr/>
          </w:pPr>
          <w:hyperlink w:anchor="__RefHeading___Toc347834_2142443653">
            <w:r>
              <w:rPr>
                <w:webHidden/>
                <w:rStyle w:val="IndexLink"/>
                <w:rtl w:val="true"/>
              </w:rPr>
              <w:t>عدم حجیّة مفهوم الوصف</w:t>
            </w:r>
            <w:r>
              <w:rPr>
                <w:rStyle w:val="IndexLink"/>
                <w:rtl w:val="true"/>
              </w:rPr>
              <w:tab/>
            </w:r>
            <w:r>
              <w:rPr>
                <w:rStyle w:val="IndexLink"/>
              </w:rPr>
              <w:t>154</w:t>
            </w:r>
          </w:hyperlink>
        </w:p>
        <w:p>
          <w:pPr>
            <w:pStyle w:val="Contents4"/>
            <w:tabs>
              <w:tab w:val="clear" w:pos="8176"/>
              <w:tab w:val="right" w:pos="9026" w:leader="dot"/>
            </w:tabs>
            <w:rPr/>
          </w:pPr>
          <w:hyperlink w:anchor="__RefHeading___Toc347836_2142443653">
            <w:r>
              <w:rPr>
                <w:webHidden/>
                <w:rStyle w:val="IndexLink"/>
                <w:rtl w:val="true"/>
              </w:rPr>
              <w:t>أدلّة القائلین بوجوب السورة والمناقشة فیها</w:t>
            </w:r>
            <w:r>
              <w:rPr>
                <w:rStyle w:val="IndexLink"/>
                <w:rtl w:val="true"/>
              </w:rPr>
              <w:tab/>
            </w:r>
            <w:r>
              <w:rPr>
                <w:rStyle w:val="IndexLink"/>
              </w:rPr>
              <w:t>155</w:t>
            </w:r>
          </w:hyperlink>
        </w:p>
        <w:p>
          <w:pPr>
            <w:pStyle w:val="Contents4"/>
            <w:tabs>
              <w:tab w:val="clear" w:pos="8176"/>
              <w:tab w:val="right" w:pos="9026" w:leader="dot"/>
            </w:tabs>
            <w:rPr/>
          </w:pPr>
          <w:hyperlink w:anchor="__RefHeading___Toc347838_2142443653">
            <w:r>
              <w:rPr>
                <w:webHidden/>
                <w:rStyle w:val="IndexLink"/>
                <w:rtl w:val="true"/>
              </w:rPr>
              <w:t>بحث حول الحسن بن السری</w:t>
            </w:r>
            <w:r>
              <w:rPr>
                <w:rStyle w:val="IndexLink"/>
                <w:rtl w:val="true"/>
              </w:rPr>
              <w:tab/>
            </w:r>
            <w:r>
              <w:rPr>
                <w:rStyle w:val="IndexLink"/>
              </w:rPr>
              <w:t>160</w:t>
            </w:r>
          </w:hyperlink>
        </w:p>
        <w:p>
          <w:pPr>
            <w:pStyle w:val="Contents4"/>
            <w:tabs>
              <w:tab w:val="clear" w:pos="8176"/>
              <w:tab w:val="right" w:pos="9026" w:leader="dot"/>
            </w:tabs>
            <w:rPr/>
          </w:pPr>
          <w:hyperlink w:anchor="__RefHeading___Toc347840_2142443653">
            <w:r>
              <w:rPr>
                <w:webHidden/>
                <w:rStyle w:val="IndexLink"/>
                <w:rtl w:val="true"/>
              </w:rPr>
              <w:t>یاسین الضریر مهمل</w:t>
            </w:r>
            <w:r>
              <w:rPr>
                <w:rStyle w:val="IndexLink"/>
                <w:rtl w:val="true"/>
              </w:rPr>
              <w:tab/>
            </w:r>
            <w:r>
              <w:rPr>
                <w:rStyle w:val="IndexLink"/>
              </w:rPr>
              <w:t>162</w:t>
            </w:r>
          </w:hyperlink>
        </w:p>
        <w:p>
          <w:pPr>
            <w:pStyle w:val="Contents4"/>
            <w:tabs>
              <w:tab w:val="clear" w:pos="8176"/>
              <w:tab w:val="right" w:pos="9026" w:leader="dot"/>
            </w:tabs>
            <w:rPr/>
          </w:pPr>
          <w:hyperlink w:anchor="__RefHeading___Toc347842_2142443653">
            <w:r>
              <w:rPr>
                <w:webHidden/>
                <w:rStyle w:val="IndexLink"/>
                <w:rtl w:val="true"/>
              </w:rPr>
              <w:t>إسماعیل بن الفضل هو الهاشمی الثقة</w:t>
            </w:r>
            <w:r>
              <w:rPr>
                <w:rStyle w:val="IndexLink"/>
                <w:rtl w:val="true"/>
              </w:rPr>
              <w:tab/>
            </w:r>
            <w:r>
              <w:rPr>
                <w:rStyle w:val="IndexLink"/>
              </w:rPr>
              <w:t>162</w:t>
            </w:r>
          </w:hyperlink>
        </w:p>
        <w:p>
          <w:pPr>
            <w:pStyle w:val="Contents4"/>
            <w:tabs>
              <w:tab w:val="clear" w:pos="8176"/>
              <w:tab w:val="right" w:pos="9026" w:leader="dot"/>
            </w:tabs>
            <w:rPr/>
          </w:pPr>
          <w:hyperlink w:anchor="__RefHeading___Toc347844_2142443653">
            <w:r>
              <w:rPr>
                <w:webHidden/>
                <w:rStyle w:val="IndexLink"/>
                <w:rtl w:val="true"/>
              </w:rPr>
              <w:t>توجیه ما دل علی جواز تکرار السورة فی الرکعتین من الفریضة إذا کانت أکثر من ثلاث آیات</w:t>
            </w:r>
            <w:r>
              <w:rPr>
                <w:rStyle w:val="IndexLink"/>
                <w:rtl w:val="true"/>
              </w:rPr>
              <w:tab/>
            </w:r>
            <w:r>
              <w:rPr>
                <w:rStyle w:val="IndexLink"/>
              </w:rPr>
              <w:t>163</w:t>
            </w:r>
          </w:hyperlink>
        </w:p>
        <w:p>
          <w:pPr>
            <w:pStyle w:val="Contents3"/>
            <w:tabs>
              <w:tab w:val="clear" w:pos="8459"/>
              <w:tab w:val="right" w:pos="9026" w:leader="dot"/>
            </w:tabs>
            <w:rPr/>
          </w:pPr>
          <w:hyperlink w:anchor="__RefHeading___Toc347846_2142443653">
            <w:r>
              <w:rPr>
                <w:webHidden/>
                <w:rStyle w:val="IndexLink"/>
                <w:rtl w:val="true"/>
              </w:rPr>
              <w:t>القران بین السورتین</w:t>
            </w:r>
            <w:r>
              <w:rPr>
                <w:rStyle w:val="IndexLink"/>
                <w:rtl w:val="true"/>
              </w:rPr>
              <w:tab/>
            </w:r>
            <w:r>
              <w:rPr>
                <w:rStyle w:val="IndexLink"/>
              </w:rPr>
              <w:t>166</w:t>
            </w:r>
          </w:hyperlink>
        </w:p>
        <w:p>
          <w:pPr>
            <w:pStyle w:val="Contents4"/>
            <w:tabs>
              <w:tab w:val="clear" w:pos="8176"/>
              <w:tab w:val="right" w:pos="9026" w:leader="dot"/>
            </w:tabs>
            <w:rPr/>
          </w:pPr>
          <w:hyperlink w:anchor="__RefHeading___Toc347848_2142443653">
            <w:r>
              <w:rPr>
                <w:webHidden/>
                <w:rStyle w:val="IndexLink"/>
                <w:rtl w:val="true"/>
              </w:rPr>
              <w:t>بحث حول الهروی عبدالسلام بن صالح</w:t>
            </w:r>
            <w:r>
              <w:rPr>
                <w:rStyle w:val="IndexLink"/>
                <w:rtl w:val="true"/>
              </w:rPr>
              <w:tab/>
            </w:r>
            <w:r>
              <w:rPr>
                <w:rStyle w:val="IndexLink"/>
              </w:rPr>
              <w:t>166</w:t>
            </w:r>
          </w:hyperlink>
        </w:p>
        <w:p>
          <w:pPr>
            <w:pStyle w:val="Contents4"/>
            <w:tabs>
              <w:tab w:val="clear" w:pos="8176"/>
              <w:tab w:val="right" w:pos="9026" w:leader="dot"/>
            </w:tabs>
            <w:rPr/>
          </w:pPr>
          <w:hyperlink w:anchor="__RefHeading___Toc347850_2142443653">
            <w:r>
              <w:rPr>
                <w:webHidden/>
                <w:rStyle w:val="IndexLink"/>
                <w:rtl w:val="true"/>
              </w:rPr>
              <w:t>بیان ما دل علی جواز القران فی النافلة وعدم جوازه فی الفریضة والجمع بینه وبین ما دل علی الکراهة فی الفریضة</w:t>
            </w:r>
            <w:r>
              <w:rPr>
                <w:rStyle w:val="IndexLink"/>
                <w:rtl w:val="true"/>
              </w:rPr>
              <w:tab/>
            </w:r>
            <w:r>
              <w:rPr>
                <w:rStyle w:val="IndexLink"/>
              </w:rPr>
              <w:t>169</w:t>
            </w:r>
          </w:hyperlink>
        </w:p>
        <w:p>
          <w:pPr>
            <w:pStyle w:val="Contents4"/>
            <w:tabs>
              <w:tab w:val="clear" w:pos="8176"/>
              <w:tab w:val="right" w:pos="9026" w:leader="dot"/>
            </w:tabs>
            <w:rPr/>
          </w:pPr>
          <w:hyperlink w:anchor="__RefHeading___Toc347852_2142443653">
            <w:r>
              <w:rPr>
                <w:webHidden/>
                <w:rStyle w:val="IndexLink"/>
                <w:rtl w:val="true"/>
              </w:rPr>
              <w:t>هل القرآن علی تقدیر التحریم مفسد؟</w:t>
            </w:r>
            <w:r>
              <w:rPr>
                <w:rStyle w:val="IndexLink"/>
                <w:rtl w:val="true"/>
              </w:rPr>
              <w:tab/>
            </w:r>
            <w:r>
              <w:rPr>
                <w:rStyle w:val="IndexLink"/>
              </w:rPr>
              <w:t>172</w:t>
            </w:r>
          </w:hyperlink>
        </w:p>
        <w:p>
          <w:pPr>
            <w:pStyle w:val="Contents4"/>
            <w:tabs>
              <w:tab w:val="clear" w:pos="8176"/>
              <w:tab w:val="right" w:pos="9026" w:leader="dot"/>
            </w:tabs>
            <w:rPr/>
          </w:pPr>
          <w:hyperlink w:anchor="__RefHeading___Toc347854_2142443653">
            <w:r>
              <w:rPr>
                <w:webHidden/>
                <w:rStyle w:val="IndexLink"/>
                <w:rtl w:val="true"/>
              </w:rPr>
              <w:t>بحث حول مراسیل ابن أبی عمیر</w:t>
            </w:r>
            <w:r>
              <w:rPr>
                <w:rStyle w:val="IndexLink"/>
                <w:rtl w:val="true"/>
              </w:rPr>
              <w:tab/>
            </w:r>
            <w:r>
              <w:rPr>
                <w:rStyle w:val="IndexLink"/>
              </w:rPr>
              <w:t>174</w:t>
            </w:r>
          </w:hyperlink>
        </w:p>
        <w:p>
          <w:pPr>
            <w:pStyle w:val="Contents4"/>
            <w:tabs>
              <w:tab w:val="clear" w:pos="8176"/>
              <w:tab w:val="right" w:pos="9026" w:leader="dot"/>
            </w:tabs>
            <w:rPr/>
          </w:pPr>
          <w:hyperlink w:anchor="__RefHeading___Toc347856_2142443653">
            <w:r>
              <w:rPr>
                <w:webHidden/>
                <w:rStyle w:val="IndexLink"/>
                <w:rtl w:val="true"/>
              </w:rPr>
              <w:t>توجیه ما دل علی وقوع القِران من الامام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347858_2142443653">
            <w:r>
              <w:rPr>
                <w:webHidden/>
                <w:rStyle w:val="IndexLink"/>
                <w:rtl w:val="true"/>
              </w:rPr>
              <w:t>النهی عن قول آمین بعد الحمد</w:t>
            </w:r>
            <w:r>
              <w:rPr>
                <w:rStyle w:val="IndexLink"/>
                <w:rtl w:val="true"/>
              </w:rPr>
              <w:tab/>
            </w:r>
            <w:r>
              <w:rPr>
                <w:rStyle w:val="IndexLink"/>
              </w:rPr>
              <w:t>177</w:t>
            </w:r>
          </w:hyperlink>
        </w:p>
        <w:p>
          <w:pPr>
            <w:pStyle w:val="Contents4"/>
            <w:tabs>
              <w:tab w:val="clear" w:pos="8176"/>
              <w:tab w:val="right" w:pos="9026" w:leader="dot"/>
            </w:tabs>
            <w:rPr/>
          </w:pPr>
          <w:hyperlink w:anchor="__RefHeading___Toc347860_2142443653">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347862_2142443653">
            <w:r>
              <w:rPr>
                <w:webHidden/>
                <w:rStyle w:val="IndexLink"/>
                <w:rtl w:val="true"/>
              </w:rPr>
              <w:t>إشارة إلی تمییز عبدالله بن المغیرة</w:t>
            </w:r>
            <w:r>
              <w:rPr>
                <w:rStyle w:val="IndexLink"/>
                <w:rtl w:val="true"/>
              </w:rPr>
              <w:tab/>
            </w:r>
            <w:r>
              <w:rPr>
                <w:rStyle w:val="IndexLink"/>
              </w:rPr>
              <w:t>178</w:t>
            </w:r>
          </w:hyperlink>
        </w:p>
        <w:p>
          <w:pPr>
            <w:pStyle w:val="Contents4"/>
            <w:tabs>
              <w:tab w:val="clear" w:pos="8176"/>
              <w:tab w:val="right" w:pos="9026" w:leader="dot"/>
            </w:tabs>
            <w:rPr/>
          </w:pPr>
          <w:hyperlink w:anchor="__RefHeading___Toc347864_2142443653">
            <w:r>
              <w:rPr>
                <w:webHidden/>
                <w:rStyle w:val="IndexLink"/>
                <w:rtl w:val="true"/>
              </w:rPr>
              <w:t>بیان ما دل علی عدم جواز التأمین بعد الفاتحة والجمع بینه وبین ما دل علی الجواز</w:t>
            </w:r>
            <w:r>
              <w:rPr>
                <w:rStyle w:val="IndexLink"/>
                <w:rtl w:val="true"/>
              </w:rPr>
              <w:tab/>
            </w:r>
            <w:r>
              <w:rPr>
                <w:rStyle w:val="IndexLink"/>
              </w:rPr>
              <w:t>179</w:t>
            </w:r>
          </w:hyperlink>
        </w:p>
        <w:p>
          <w:pPr>
            <w:pStyle w:val="Contents3"/>
            <w:tabs>
              <w:tab w:val="clear" w:pos="8459"/>
              <w:tab w:val="right" w:pos="9026" w:leader="dot"/>
            </w:tabs>
            <w:rPr/>
          </w:pPr>
          <w:hyperlink w:anchor="__RefHeading___Toc347866_2142443653">
            <w:r>
              <w:rPr>
                <w:webHidden/>
                <w:rStyle w:val="IndexLink"/>
                <w:rtl w:val="true"/>
              </w:rPr>
              <w:t>من قرأ سورة من العزائم التی فی آخرها السجود</w:t>
            </w:r>
            <w:r>
              <w:rPr>
                <w:rStyle w:val="IndexLink"/>
                <w:rtl w:val="true"/>
              </w:rPr>
              <w:tab/>
            </w:r>
            <w:r>
              <w:rPr>
                <w:rStyle w:val="IndexLink"/>
              </w:rPr>
              <w:t>184</w:t>
            </w:r>
          </w:hyperlink>
        </w:p>
        <w:p>
          <w:pPr>
            <w:pStyle w:val="Contents4"/>
            <w:tabs>
              <w:tab w:val="clear" w:pos="8176"/>
              <w:tab w:val="right" w:pos="9026" w:leader="dot"/>
            </w:tabs>
            <w:rPr/>
          </w:pPr>
          <w:hyperlink w:anchor="__RefHeading___Toc347868_2142443653">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347870_2142443653">
            <w:r>
              <w:rPr>
                <w:webHidden/>
                <w:rStyle w:val="IndexLink"/>
                <w:rtl w:val="true"/>
              </w:rPr>
              <w:t>وهب بن وهب ضعیف</w:t>
            </w:r>
            <w:r>
              <w:rPr>
                <w:rStyle w:val="IndexLink"/>
                <w:rtl w:val="true"/>
              </w:rPr>
              <w:tab/>
            </w:r>
            <w:r>
              <w:rPr>
                <w:rStyle w:val="IndexLink"/>
              </w:rPr>
              <w:t>185</w:t>
            </w:r>
          </w:hyperlink>
        </w:p>
        <w:p>
          <w:pPr>
            <w:pStyle w:val="Contents4"/>
            <w:tabs>
              <w:tab w:val="clear" w:pos="8176"/>
              <w:tab w:val="right" w:pos="9026" w:leader="dot"/>
            </w:tabs>
            <w:rPr/>
          </w:pPr>
          <w:hyperlink w:anchor="__RefHeading___Toc347872_2142443653">
            <w:r>
              <w:rPr>
                <w:webHidden/>
                <w:rStyle w:val="IndexLink"/>
                <w:rtl w:val="true"/>
              </w:rPr>
              <w:t>إشارة إلی ضعف عثمان بن عیسی</w:t>
            </w:r>
            <w:r>
              <w:rPr>
                <w:rStyle w:val="IndexLink"/>
                <w:rtl w:val="true"/>
              </w:rPr>
              <w:tab/>
            </w:r>
            <w:r>
              <w:rPr>
                <w:rStyle w:val="IndexLink"/>
              </w:rPr>
              <w:t>185</w:t>
            </w:r>
          </w:hyperlink>
        </w:p>
        <w:p>
          <w:pPr>
            <w:pStyle w:val="Contents4"/>
            <w:tabs>
              <w:tab w:val="clear" w:pos="8176"/>
              <w:tab w:val="right" w:pos="9026" w:leader="dot"/>
            </w:tabs>
            <w:rPr/>
          </w:pPr>
          <w:hyperlink w:anchor="__RefHeading___Toc347874_2142443653">
            <w:r>
              <w:rPr>
                <w:webHidden/>
                <w:rStyle w:val="IndexLink"/>
                <w:rtl w:val="true"/>
              </w:rPr>
              <w:t>بیان ما دلّ علی عدم بطلان الصلاة بقراءة العزیمة والجمع بینه وبین ما دل علی النهی عنها</w:t>
            </w:r>
            <w:r>
              <w:rPr>
                <w:rStyle w:val="IndexLink"/>
                <w:rtl w:val="true"/>
              </w:rPr>
              <w:tab/>
            </w:r>
            <w:r>
              <w:rPr>
                <w:rStyle w:val="IndexLink"/>
              </w:rPr>
              <w:t>185</w:t>
            </w:r>
          </w:hyperlink>
        </w:p>
        <w:p>
          <w:pPr>
            <w:pStyle w:val="Contents4"/>
            <w:tabs>
              <w:tab w:val="clear" w:pos="8176"/>
              <w:tab w:val="right" w:pos="9026" w:leader="dot"/>
            </w:tabs>
            <w:rPr/>
          </w:pPr>
          <w:hyperlink w:anchor="__RefHeading___Toc347876_2142443653">
            <w:r>
              <w:rPr>
                <w:webHidden/>
                <w:rStyle w:val="IndexLink"/>
                <w:rtl w:val="true"/>
              </w:rPr>
              <w:t>أدلّة القول بالبطلان والمناقشة فیها</w:t>
            </w:r>
            <w:r>
              <w:rPr>
                <w:rStyle w:val="IndexLink"/>
                <w:rtl w:val="true"/>
              </w:rPr>
              <w:tab/>
            </w:r>
            <w:r>
              <w:rPr>
                <w:rStyle w:val="IndexLink"/>
              </w:rPr>
              <w:t>186</w:t>
            </w:r>
          </w:hyperlink>
        </w:p>
        <w:p>
          <w:pPr>
            <w:pStyle w:val="Contents4"/>
            <w:tabs>
              <w:tab w:val="clear" w:pos="8176"/>
              <w:tab w:val="right" w:pos="9026" w:leader="dot"/>
            </w:tabs>
            <w:rPr/>
          </w:pPr>
          <w:hyperlink w:anchor="__RefHeading___Toc347878_2142443653">
            <w:r>
              <w:rPr>
                <w:webHidden/>
                <w:rStyle w:val="IndexLink"/>
                <w:rtl w:val="true"/>
              </w:rPr>
              <w:t>کلمة حول جهالة القاسم بن عروة</w:t>
            </w:r>
            <w:r>
              <w:rPr>
                <w:rStyle w:val="IndexLink"/>
                <w:rtl w:val="true"/>
              </w:rPr>
              <w:tab/>
            </w:r>
            <w:r>
              <w:rPr>
                <w:rStyle w:val="IndexLink"/>
              </w:rPr>
              <w:t>187</w:t>
            </w:r>
          </w:hyperlink>
        </w:p>
        <w:p>
          <w:pPr>
            <w:pStyle w:val="Contents3"/>
            <w:tabs>
              <w:tab w:val="clear" w:pos="8459"/>
              <w:tab w:val="right" w:pos="9026" w:leader="dot"/>
            </w:tabs>
            <w:rPr/>
          </w:pPr>
          <w:hyperlink w:anchor="__RefHeading___Toc347880_2142443653">
            <w:r>
              <w:rPr>
                <w:webHidden/>
                <w:rStyle w:val="IndexLink"/>
                <w:rtl w:val="true"/>
              </w:rPr>
              <w:t>الحائض تسمع سجدة العزائم</w:t>
            </w:r>
            <w:r>
              <w:rPr>
                <w:rStyle w:val="IndexLink"/>
                <w:rtl w:val="true"/>
              </w:rPr>
              <w:tab/>
            </w:r>
            <w:r>
              <w:rPr>
                <w:rStyle w:val="IndexLink"/>
              </w:rPr>
              <w:t>188</w:t>
            </w:r>
          </w:hyperlink>
        </w:p>
        <w:p>
          <w:pPr>
            <w:pStyle w:val="Contents4"/>
            <w:tabs>
              <w:tab w:val="clear" w:pos="8176"/>
              <w:tab w:val="right" w:pos="9026" w:leader="dot"/>
            </w:tabs>
            <w:rPr/>
          </w:pPr>
          <w:hyperlink w:anchor="__RefHeading___Toc347882_2142443653">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347884_2142443653">
            <w:r>
              <w:rPr>
                <w:webHidden/>
                <w:rStyle w:val="IndexLink"/>
                <w:rtl w:val="true"/>
              </w:rPr>
              <w:t>توجیه ما دل علی أنّ الحائض إذا سمعت السجدة لا تسجد ، واضطراب کلام الشیخ والعلّامة فی المسألة</w:t>
            </w:r>
            <w:r>
              <w:rPr>
                <w:rStyle w:val="IndexLink"/>
                <w:rtl w:val="true"/>
              </w:rPr>
              <w:tab/>
            </w:r>
            <w:r>
              <w:rPr>
                <w:rStyle w:val="IndexLink"/>
              </w:rPr>
              <w:t>189</w:t>
            </w:r>
          </w:hyperlink>
        </w:p>
        <w:p>
          <w:pPr>
            <w:pStyle w:val="Contents3"/>
            <w:tabs>
              <w:tab w:val="clear" w:pos="8459"/>
              <w:tab w:val="right" w:pos="9026" w:leader="dot"/>
            </w:tabs>
            <w:rPr/>
          </w:pPr>
          <w:hyperlink w:anchor="__RefHeading___Toc347886_2142443653">
            <w:r>
              <w:rPr>
                <w:webHidden/>
                <w:rStyle w:val="IndexLink"/>
                <w:rtl w:val="true"/>
              </w:rPr>
              <w:t>إسماع الرجل نفسه القراءة</w:t>
            </w:r>
            <w:r>
              <w:rPr>
                <w:rStyle w:val="IndexLink"/>
                <w:rtl w:val="true"/>
              </w:rPr>
              <w:tab/>
            </w:r>
            <w:r>
              <w:rPr>
                <w:rStyle w:val="IndexLink"/>
              </w:rPr>
              <w:t>191</w:t>
            </w:r>
          </w:hyperlink>
        </w:p>
        <w:p>
          <w:pPr>
            <w:pStyle w:val="Contents4"/>
            <w:tabs>
              <w:tab w:val="clear" w:pos="8176"/>
              <w:tab w:val="right" w:pos="9026" w:leader="dot"/>
            </w:tabs>
            <w:rPr/>
          </w:pPr>
          <w:hyperlink w:anchor="__RefHeading___Toc347888_2142443653">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347890_2142443653">
            <w:r>
              <w:rPr>
                <w:webHidden/>
                <w:rStyle w:val="IndexLink"/>
                <w:rtl w:val="true"/>
              </w:rPr>
              <w:t>کلمة فی الطریق إلی محمد بن أحمد بن یحیی</w:t>
            </w:r>
            <w:r>
              <w:rPr>
                <w:rStyle w:val="IndexLink"/>
                <w:rtl w:val="true"/>
              </w:rPr>
              <w:tab/>
            </w:r>
            <w:r>
              <w:rPr>
                <w:rStyle w:val="IndexLink"/>
              </w:rPr>
              <w:t>192</w:t>
            </w:r>
          </w:hyperlink>
        </w:p>
        <w:p>
          <w:pPr>
            <w:pStyle w:val="Contents4"/>
            <w:tabs>
              <w:tab w:val="clear" w:pos="8176"/>
              <w:tab w:val="right" w:pos="9026" w:leader="dot"/>
            </w:tabs>
            <w:rPr/>
          </w:pPr>
          <w:hyperlink w:anchor="__RefHeading___Toc347892_2142443653">
            <w:r>
              <w:rPr>
                <w:webHidden/>
                <w:rStyle w:val="IndexLink"/>
                <w:rtl w:val="true"/>
              </w:rPr>
              <w:t>کلمة حول تمییز محمد بن أبی حمزة</w:t>
            </w:r>
            <w:r>
              <w:rPr>
                <w:rStyle w:val="IndexLink"/>
                <w:rtl w:val="true"/>
              </w:rPr>
              <w:tab/>
            </w:r>
            <w:r>
              <w:rPr>
                <w:rStyle w:val="IndexLink"/>
              </w:rPr>
              <w:t>193</w:t>
            </w:r>
          </w:hyperlink>
        </w:p>
        <w:p>
          <w:pPr>
            <w:pStyle w:val="Contents4"/>
            <w:tabs>
              <w:tab w:val="clear" w:pos="8176"/>
              <w:tab w:val="right" w:pos="9026" w:leader="dot"/>
            </w:tabs>
            <w:rPr/>
          </w:pPr>
          <w:hyperlink w:anchor="__RefHeading___Toc347894_2142443653">
            <w:r>
              <w:rPr>
                <w:webHidden/>
                <w:rStyle w:val="IndexLink"/>
                <w:rtl w:val="true"/>
              </w:rPr>
              <w:t>بیان ما دل علی لزوم إسماع الرجل نفسه القراءة والجمع بینه وبین ما دل علی کفایة مثل حدیث النفس</w:t>
            </w:r>
            <w:r>
              <w:rPr>
                <w:rStyle w:val="IndexLink"/>
                <w:rtl w:val="true"/>
              </w:rPr>
              <w:tab/>
            </w:r>
            <w:r>
              <w:rPr>
                <w:rStyle w:val="IndexLink"/>
              </w:rPr>
              <w:t>193</w:t>
            </w:r>
          </w:hyperlink>
        </w:p>
        <w:p>
          <w:pPr>
            <w:pStyle w:val="Contents4"/>
            <w:tabs>
              <w:tab w:val="clear" w:pos="8176"/>
              <w:tab w:val="right" w:pos="9026" w:leader="dot"/>
            </w:tabs>
            <w:rPr/>
          </w:pPr>
          <w:hyperlink w:anchor="__RefHeading___Toc347896_2142443653">
            <w:r>
              <w:rPr>
                <w:webHidden/>
                <w:rStyle w:val="IndexLink"/>
                <w:rtl w:val="true"/>
              </w:rPr>
              <w:t>معنی اللهوات والهمهمة</w:t>
            </w:r>
            <w:r>
              <w:rPr>
                <w:rStyle w:val="IndexLink"/>
                <w:rtl w:val="true"/>
              </w:rPr>
              <w:tab/>
            </w:r>
            <w:r>
              <w:rPr>
                <w:rStyle w:val="IndexLink"/>
              </w:rPr>
              <w:t>194</w:t>
            </w:r>
          </w:hyperlink>
        </w:p>
        <w:p>
          <w:pPr>
            <w:pStyle w:val="Contents3"/>
            <w:tabs>
              <w:tab w:val="clear" w:pos="8459"/>
              <w:tab w:val="right" w:pos="9026" w:leader="dot"/>
            </w:tabs>
            <w:rPr/>
          </w:pPr>
          <w:hyperlink w:anchor="__RefHeading___Toc347898_2142443653">
            <w:r>
              <w:rPr>
                <w:webHidden/>
                <w:rStyle w:val="IndexLink"/>
                <w:rtl w:val="true"/>
              </w:rPr>
              <w:t>التخییر بین القراءة والتسبیح فی الرکعتین الأخیرتین</w:t>
            </w:r>
            <w:r>
              <w:rPr>
                <w:rStyle w:val="IndexLink"/>
                <w:rtl w:val="true"/>
              </w:rPr>
              <w:tab/>
            </w:r>
            <w:r>
              <w:rPr>
                <w:rStyle w:val="IndexLink"/>
              </w:rPr>
              <w:t>194</w:t>
            </w:r>
          </w:hyperlink>
        </w:p>
        <w:p>
          <w:pPr>
            <w:pStyle w:val="Contents4"/>
            <w:tabs>
              <w:tab w:val="clear" w:pos="8176"/>
              <w:tab w:val="right" w:pos="9026" w:leader="dot"/>
            </w:tabs>
            <w:rPr/>
          </w:pPr>
          <w:hyperlink w:anchor="__RefHeading___Toc347900_2142443653">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347902_2142443653">
            <w:r>
              <w:rPr>
                <w:webHidden/>
                <w:rStyle w:val="IndexLink"/>
                <w:rtl w:val="true"/>
              </w:rPr>
              <w:t>بحث حول محمد بن اسماعیل</w:t>
            </w:r>
            <w:r>
              <w:rPr>
                <w:rStyle w:val="IndexLink"/>
                <w:rtl w:val="true"/>
              </w:rPr>
              <w:tab/>
            </w:r>
            <w:r>
              <w:rPr>
                <w:rStyle w:val="IndexLink"/>
              </w:rPr>
              <w:t>196</w:t>
            </w:r>
          </w:hyperlink>
        </w:p>
        <w:p>
          <w:pPr>
            <w:pStyle w:val="Contents4"/>
            <w:tabs>
              <w:tab w:val="clear" w:pos="8176"/>
              <w:tab w:val="right" w:pos="9026" w:leader="dot"/>
            </w:tabs>
            <w:rPr/>
          </w:pPr>
          <w:hyperlink w:anchor="__RefHeading___Toc347904_2142443653">
            <w:r>
              <w:rPr>
                <w:webHidden/>
                <w:rStyle w:val="IndexLink"/>
                <w:rtl w:val="true"/>
              </w:rPr>
              <w:t>علی بن حنظلة مهمل</w:t>
            </w:r>
            <w:r>
              <w:rPr>
                <w:rStyle w:val="IndexLink"/>
                <w:rtl w:val="true"/>
              </w:rPr>
              <w:tab/>
            </w:r>
            <w:r>
              <w:rPr>
                <w:rStyle w:val="IndexLink"/>
              </w:rPr>
              <w:t>197</w:t>
            </w:r>
          </w:hyperlink>
        </w:p>
        <w:p>
          <w:pPr>
            <w:pStyle w:val="Contents4"/>
            <w:tabs>
              <w:tab w:val="clear" w:pos="8176"/>
              <w:tab w:val="right" w:pos="9026" w:leader="dot"/>
            </w:tabs>
            <w:rPr/>
          </w:pPr>
          <w:hyperlink w:anchor="__RefHeading___Toc347906_2142443653">
            <w:r>
              <w:rPr>
                <w:webHidden/>
                <w:rStyle w:val="IndexLink"/>
                <w:rtl w:val="true"/>
              </w:rPr>
              <w:t>محمد بن أبی الحسن بن علان مجهول</w:t>
            </w:r>
            <w:r>
              <w:rPr>
                <w:rStyle w:val="IndexLink"/>
                <w:rtl w:val="true"/>
              </w:rPr>
              <w:tab/>
            </w:r>
            <w:r>
              <w:rPr>
                <w:rStyle w:val="IndexLink"/>
              </w:rPr>
              <w:t>197</w:t>
            </w:r>
          </w:hyperlink>
        </w:p>
        <w:p>
          <w:pPr>
            <w:pStyle w:val="Contents4"/>
            <w:tabs>
              <w:tab w:val="clear" w:pos="8176"/>
              <w:tab w:val="right" w:pos="9026" w:leader="dot"/>
            </w:tabs>
            <w:rPr/>
          </w:pPr>
          <w:hyperlink w:anchor="__RefHeading___Toc347908_2142443653">
            <w:r>
              <w:rPr>
                <w:webHidden/>
                <w:rStyle w:val="IndexLink"/>
                <w:rtl w:val="true"/>
              </w:rPr>
              <w:t>محمد بن حکیم مشترک بین مهملین</w:t>
            </w:r>
            <w:r>
              <w:rPr>
                <w:rStyle w:val="IndexLink"/>
                <w:rtl w:val="true"/>
              </w:rPr>
              <w:tab/>
            </w:r>
            <w:r>
              <w:rPr>
                <w:rStyle w:val="IndexLink"/>
              </w:rPr>
              <w:t>197</w:t>
            </w:r>
          </w:hyperlink>
        </w:p>
        <w:p>
          <w:pPr>
            <w:pStyle w:val="Contents4"/>
            <w:tabs>
              <w:tab w:val="clear" w:pos="8176"/>
              <w:tab w:val="right" w:pos="9026" w:leader="dot"/>
            </w:tabs>
            <w:rPr/>
          </w:pPr>
          <w:hyperlink w:anchor="__RefHeading___Toc347910_2142443653">
            <w:r>
              <w:rPr>
                <w:webHidden/>
                <w:rStyle w:val="IndexLink"/>
                <w:rtl w:val="true"/>
              </w:rPr>
              <w:t>التخییر بین الفاتحة والتسبیح فی الاخیرتین وبیان موارد الاختلاف بین الفقهاء فی المسالة</w:t>
            </w:r>
            <w:r>
              <w:rPr>
                <w:rStyle w:val="IndexLink"/>
                <w:rtl w:val="true"/>
              </w:rPr>
              <w:tab/>
            </w:r>
            <w:r>
              <w:rPr>
                <w:rStyle w:val="IndexLink"/>
              </w:rPr>
              <w:t>197</w:t>
            </w:r>
          </w:hyperlink>
        </w:p>
        <w:p>
          <w:pPr>
            <w:pStyle w:val="Contents4"/>
            <w:tabs>
              <w:tab w:val="clear" w:pos="8176"/>
              <w:tab w:val="right" w:pos="9026" w:leader="dot"/>
            </w:tabs>
            <w:rPr/>
          </w:pPr>
          <w:hyperlink w:anchor="__RefHeading___Toc347912_2142443653">
            <w:r>
              <w:rPr>
                <w:webHidden/>
                <w:rStyle w:val="IndexLink"/>
                <w:rtl w:val="true"/>
              </w:rPr>
              <w:t>بیان دلالة الاخبار</w:t>
            </w:r>
            <w:r>
              <w:rPr>
                <w:rStyle w:val="IndexLink"/>
                <w:rtl w:val="true"/>
              </w:rPr>
              <w:tab/>
            </w:r>
            <w:r>
              <w:rPr>
                <w:rStyle w:val="IndexLink"/>
              </w:rPr>
              <w:t>198</w:t>
            </w:r>
          </w:hyperlink>
        </w:p>
        <w:p>
          <w:pPr>
            <w:pStyle w:val="Contents4"/>
            <w:tabs>
              <w:tab w:val="clear" w:pos="8176"/>
              <w:tab w:val="right" w:pos="9026" w:leader="dot"/>
            </w:tabs>
            <w:rPr/>
          </w:pPr>
          <w:hyperlink w:anchor="__RefHeading___Toc347914_2142443653">
            <w:r>
              <w:rPr>
                <w:webHidden/>
                <w:rStyle w:val="IndexLink"/>
                <w:rtl w:val="true"/>
              </w:rPr>
              <w:t>ذکر بقیّة الاخبار الواردة فی الباب</w:t>
            </w:r>
            <w:r>
              <w:rPr>
                <w:rStyle w:val="IndexLink"/>
                <w:rtl w:val="true"/>
              </w:rPr>
              <w:tab/>
            </w:r>
            <w:r>
              <w:rPr>
                <w:rStyle w:val="IndexLink"/>
              </w:rPr>
              <w:t>199</w:t>
            </w:r>
          </w:hyperlink>
        </w:p>
        <w:p>
          <w:pPr>
            <w:pStyle w:val="Contents4"/>
            <w:tabs>
              <w:tab w:val="clear" w:pos="8176"/>
              <w:tab w:val="right" w:pos="9026" w:leader="dot"/>
            </w:tabs>
            <w:rPr/>
          </w:pPr>
          <w:hyperlink w:anchor="__RefHeading___Toc347916_2142443653">
            <w:r>
              <w:rPr>
                <w:webHidden/>
                <w:rStyle w:val="IndexLink"/>
                <w:rtl w:val="true"/>
              </w:rPr>
              <w:t>أفضلیّة التسبیح من القراءة</w:t>
            </w:r>
            <w:r>
              <w:rPr>
                <w:rStyle w:val="IndexLink"/>
                <w:rtl w:val="true"/>
              </w:rPr>
              <w:tab/>
            </w:r>
            <w:r>
              <w:rPr>
                <w:rStyle w:val="IndexLink"/>
              </w:rPr>
              <w:t>202</w:t>
            </w:r>
          </w:hyperlink>
        </w:p>
        <w:p>
          <w:pPr>
            <w:pStyle w:val="Contents4"/>
            <w:tabs>
              <w:tab w:val="clear" w:pos="8176"/>
              <w:tab w:val="right" w:pos="9026" w:leader="dot"/>
            </w:tabs>
            <w:rPr/>
          </w:pPr>
          <w:hyperlink w:anchor="__RefHeading___Toc347918_2142443653">
            <w:r>
              <w:rPr>
                <w:webHidden/>
                <w:rStyle w:val="IndexLink"/>
                <w:rtl w:val="true"/>
              </w:rPr>
              <w:t>حکم الاستغفار والتکبیر ، والترتیب فی التسبیحات</w:t>
            </w:r>
            <w:r>
              <w:rPr>
                <w:rStyle w:val="IndexLink"/>
                <w:rtl w:val="true"/>
              </w:rPr>
              <w:tab/>
            </w:r>
            <w:r>
              <w:rPr>
                <w:rStyle w:val="IndexLink"/>
              </w:rPr>
              <w:t>203</w:t>
            </w:r>
          </w:hyperlink>
        </w:p>
        <w:p>
          <w:pPr>
            <w:pStyle w:val="Contents4"/>
            <w:tabs>
              <w:tab w:val="clear" w:pos="8176"/>
              <w:tab w:val="right" w:pos="9026" w:leader="dot"/>
            </w:tabs>
            <w:rPr/>
          </w:pPr>
          <w:hyperlink w:anchor="__RefHeading___Toc347920_2142443653">
            <w:r>
              <w:rPr>
                <w:webHidden/>
                <w:rStyle w:val="IndexLink"/>
                <w:rtl w:val="true"/>
              </w:rPr>
              <w:t>مقدار التسبیحات</w:t>
            </w:r>
            <w:r>
              <w:rPr>
                <w:rStyle w:val="IndexLink"/>
                <w:rtl w:val="true"/>
              </w:rPr>
              <w:tab/>
            </w:r>
            <w:r>
              <w:rPr>
                <w:rStyle w:val="IndexLink"/>
              </w:rPr>
              <w:t>205</w:t>
            </w:r>
          </w:hyperlink>
        </w:p>
        <w:p>
          <w:pPr>
            <w:pStyle w:val="Contents2"/>
            <w:tabs>
              <w:tab w:val="clear" w:pos="8743"/>
              <w:tab w:val="right" w:pos="9026" w:leader="dot"/>
            </w:tabs>
            <w:rPr/>
          </w:pPr>
          <w:hyperlink w:anchor="__RefHeading___Toc347922_2142443653">
            <w:r>
              <w:rPr>
                <w:webHidden/>
                <w:rStyle w:val="IndexLink"/>
                <w:rtl w:val="true"/>
              </w:rPr>
              <w:t>أبواب الرکوع والسجود</w:t>
            </w:r>
            <w:r>
              <w:rPr>
                <w:rStyle w:val="IndexLink"/>
                <w:rtl w:val="true"/>
              </w:rPr>
              <w:tab/>
            </w:r>
            <w:r>
              <w:rPr>
                <w:rStyle w:val="IndexLink"/>
              </w:rPr>
              <w:t>210</w:t>
            </w:r>
          </w:hyperlink>
        </w:p>
        <w:p>
          <w:pPr>
            <w:pStyle w:val="Contents3"/>
            <w:tabs>
              <w:tab w:val="clear" w:pos="8459"/>
              <w:tab w:val="right" w:pos="9026" w:leader="dot"/>
            </w:tabs>
            <w:rPr/>
          </w:pPr>
          <w:hyperlink w:anchor="__RefHeading___Toc347924_2142443653">
            <w:r>
              <w:rPr>
                <w:webHidden/>
                <w:rStyle w:val="IndexLink"/>
                <w:rtl w:val="true"/>
              </w:rPr>
              <w:t>أقل ما یجزئ من التسبیح فی الرکوع والسجود</w:t>
            </w:r>
            <w:r>
              <w:rPr>
                <w:rStyle w:val="IndexLink"/>
                <w:rtl w:val="true"/>
              </w:rPr>
              <w:tab/>
            </w:r>
            <w:r>
              <w:rPr>
                <w:rStyle w:val="IndexLink"/>
              </w:rPr>
              <w:t>210</w:t>
            </w:r>
          </w:hyperlink>
        </w:p>
        <w:p>
          <w:pPr>
            <w:pStyle w:val="Contents4"/>
            <w:tabs>
              <w:tab w:val="clear" w:pos="8176"/>
              <w:tab w:val="right" w:pos="9026" w:leader="dot"/>
            </w:tabs>
            <w:rPr/>
          </w:pPr>
          <w:hyperlink w:anchor="__RefHeading___Toc347926_2142443653">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347928_2142443653">
            <w:r>
              <w:rPr>
                <w:webHidden/>
                <w:rStyle w:val="IndexLink"/>
                <w:rtl w:val="true"/>
              </w:rPr>
              <w:t>إشارة إلی حال القاسم بن عروة</w:t>
            </w:r>
            <w:r>
              <w:rPr>
                <w:rStyle w:val="IndexLink"/>
                <w:rtl w:val="true"/>
              </w:rPr>
              <w:tab/>
            </w:r>
            <w:r>
              <w:rPr>
                <w:rStyle w:val="IndexLink"/>
              </w:rPr>
              <w:t>211</w:t>
            </w:r>
          </w:hyperlink>
        </w:p>
        <w:p>
          <w:pPr>
            <w:pStyle w:val="Contents4"/>
            <w:tabs>
              <w:tab w:val="clear" w:pos="8176"/>
              <w:tab w:val="right" w:pos="9026" w:leader="dot"/>
            </w:tabs>
            <w:rPr/>
          </w:pPr>
          <w:hyperlink w:anchor="__RefHeading___Toc347930_2142443653">
            <w:r>
              <w:rPr>
                <w:webHidden/>
                <w:rStyle w:val="IndexLink"/>
                <w:rtl w:val="true"/>
              </w:rPr>
              <w:t>کلمة فی روایة علی بن حدید عن عبدالرحمن بن أبی نجران</w:t>
            </w:r>
            <w:r>
              <w:rPr>
                <w:rStyle w:val="IndexLink"/>
                <w:rtl w:val="true"/>
              </w:rPr>
              <w:tab/>
            </w:r>
            <w:r>
              <w:rPr>
                <w:rStyle w:val="IndexLink"/>
              </w:rPr>
              <w:t>211</w:t>
            </w:r>
          </w:hyperlink>
        </w:p>
        <w:p>
          <w:pPr>
            <w:pStyle w:val="Contents4"/>
            <w:tabs>
              <w:tab w:val="clear" w:pos="8176"/>
              <w:tab w:val="right" w:pos="9026" w:leader="dot"/>
            </w:tabs>
            <w:rPr/>
          </w:pPr>
          <w:hyperlink w:anchor="__RefHeading___Toc347932_2142443653">
            <w:r>
              <w:rPr>
                <w:webHidden/>
                <w:rStyle w:val="IndexLink"/>
                <w:rtl w:val="true"/>
              </w:rPr>
              <w:t>الأقوال فی ذکر الرکوع والسجود وبیان ما احتجوا به</w:t>
            </w:r>
            <w:r>
              <w:rPr>
                <w:rStyle w:val="IndexLink"/>
                <w:rtl w:val="true"/>
              </w:rPr>
              <w:tab/>
            </w:r>
            <w:r>
              <w:rPr>
                <w:rStyle w:val="IndexLink"/>
              </w:rPr>
              <w:t>212</w:t>
            </w:r>
          </w:hyperlink>
        </w:p>
        <w:p>
          <w:pPr>
            <w:pStyle w:val="Contents4"/>
            <w:tabs>
              <w:tab w:val="clear" w:pos="8176"/>
              <w:tab w:val="right" w:pos="9026" w:leader="dot"/>
            </w:tabs>
            <w:rPr/>
          </w:pPr>
          <w:hyperlink w:anchor="__RefHeading___Toc347934_2142443653">
            <w:r>
              <w:rPr>
                <w:webHidden/>
                <w:rStyle w:val="IndexLink"/>
                <w:rtl w:val="true"/>
              </w:rPr>
              <w:t>بیان ما دل علی أنّ الفرض تسبیحة والسنّة ثلاث</w:t>
            </w:r>
            <w:r>
              <w:rPr>
                <w:rStyle w:val="IndexLink"/>
                <w:rtl w:val="true"/>
              </w:rPr>
              <w:tab/>
            </w:r>
            <w:r>
              <w:rPr>
                <w:rStyle w:val="IndexLink"/>
              </w:rPr>
              <w:t>214</w:t>
            </w:r>
          </w:hyperlink>
        </w:p>
        <w:p>
          <w:pPr>
            <w:pStyle w:val="Contents4"/>
            <w:tabs>
              <w:tab w:val="clear" w:pos="8176"/>
              <w:tab w:val="right" w:pos="9026" w:leader="dot"/>
            </w:tabs>
            <w:rPr/>
          </w:pPr>
          <w:hyperlink w:anchor="__RefHeading___Toc347936_2142443653">
            <w:r>
              <w:rPr>
                <w:webHidden/>
                <w:rStyle w:val="IndexLink"/>
                <w:rtl w:val="true"/>
              </w:rPr>
              <w:t>بیان ما دلّ علی إجزاء ثلاث تسبیحات فی ترسّل واحد وواحدة تامّة</w:t>
            </w:r>
            <w:r>
              <w:rPr>
                <w:rStyle w:val="IndexLink"/>
                <w:rtl w:val="true"/>
              </w:rPr>
              <w:tab/>
            </w:r>
            <w:r>
              <w:rPr>
                <w:rStyle w:val="IndexLink"/>
              </w:rPr>
              <w:t>214</w:t>
            </w:r>
          </w:hyperlink>
        </w:p>
        <w:p>
          <w:pPr>
            <w:pStyle w:val="Contents4"/>
            <w:tabs>
              <w:tab w:val="clear" w:pos="8176"/>
              <w:tab w:val="right" w:pos="9026" w:leader="dot"/>
            </w:tabs>
            <w:rPr/>
          </w:pPr>
          <w:hyperlink w:anchor="__RefHeading___Toc347938_2142443653">
            <w:r>
              <w:rPr>
                <w:webHidden/>
                <w:rStyle w:val="IndexLink"/>
                <w:rtl w:val="true"/>
              </w:rPr>
              <w:t>إشارة إلی حال مسمع</w:t>
            </w:r>
            <w:r>
              <w:rPr>
                <w:rStyle w:val="IndexLink"/>
                <w:rtl w:val="true"/>
              </w:rPr>
              <w:tab/>
            </w:r>
            <w:r>
              <w:rPr>
                <w:rStyle w:val="IndexLink"/>
              </w:rPr>
              <w:t>218</w:t>
            </w:r>
          </w:hyperlink>
        </w:p>
        <w:p>
          <w:pPr>
            <w:pStyle w:val="Contents4"/>
            <w:tabs>
              <w:tab w:val="clear" w:pos="8176"/>
              <w:tab w:val="right" w:pos="9026" w:leader="dot"/>
            </w:tabs>
            <w:rPr/>
          </w:pPr>
          <w:hyperlink w:anchor="__RefHeading___Toc347940_2142443653">
            <w:r>
              <w:rPr>
                <w:webHidden/>
                <w:rStyle w:val="IndexLink"/>
                <w:rtl w:val="true"/>
              </w:rPr>
              <w:t>داود الأبزاری مهمل</w:t>
            </w:r>
            <w:r>
              <w:rPr>
                <w:rStyle w:val="IndexLink"/>
                <w:rtl w:val="true"/>
              </w:rPr>
              <w:tab/>
            </w:r>
            <w:r>
              <w:rPr>
                <w:rStyle w:val="IndexLink"/>
              </w:rPr>
              <w:t>218</w:t>
            </w:r>
          </w:hyperlink>
        </w:p>
        <w:p>
          <w:pPr>
            <w:pStyle w:val="Contents4"/>
            <w:tabs>
              <w:tab w:val="clear" w:pos="8176"/>
              <w:tab w:val="right" w:pos="9026" w:leader="dot"/>
            </w:tabs>
            <w:rPr/>
          </w:pPr>
          <w:hyperlink w:anchor="__RefHeading___Toc347942_2142443653">
            <w:r>
              <w:rPr>
                <w:webHidden/>
                <w:rStyle w:val="IndexLink"/>
                <w:rtl w:val="true"/>
              </w:rPr>
              <w:t>أحمد بن الحسن مشترک</w:t>
            </w:r>
            <w:r>
              <w:rPr>
                <w:rStyle w:val="IndexLink"/>
                <w:rtl w:val="true"/>
              </w:rPr>
              <w:tab/>
            </w:r>
            <w:r>
              <w:rPr>
                <w:rStyle w:val="IndexLink"/>
              </w:rPr>
              <w:t>218</w:t>
            </w:r>
          </w:hyperlink>
        </w:p>
        <w:p>
          <w:pPr>
            <w:pStyle w:val="Contents4"/>
            <w:tabs>
              <w:tab w:val="clear" w:pos="8176"/>
              <w:tab w:val="right" w:pos="9026" w:leader="dot"/>
            </w:tabs>
            <w:rPr/>
          </w:pPr>
          <w:hyperlink w:anchor="__RefHeading___Toc347944_2142443653">
            <w:r>
              <w:rPr>
                <w:webHidden/>
                <w:rStyle w:val="IndexLink"/>
                <w:rtl w:val="true"/>
              </w:rPr>
              <w:t>توجیه ما دلّ علی أنّه لا یجزئ أقل من ثلاثه تسبیحات أو قدرهن</w:t>
            </w:r>
            <w:r>
              <w:rPr>
                <w:rStyle w:val="IndexLink"/>
                <w:rtl w:val="true"/>
              </w:rPr>
              <w:tab/>
            </w:r>
            <w:r>
              <w:rPr>
                <w:rStyle w:val="IndexLink"/>
              </w:rPr>
              <w:t>219</w:t>
            </w:r>
          </w:hyperlink>
        </w:p>
        <w:p>
          <w:pPr>
            <w:pStyle w:val="Contents4"/>
            <w:tabs>
              <w:tab w:val="clear" w:pos="8176"/>
              <w:tab w:val="right" w:pos="9026" w:leader="dot"/>
            </w:tabs>
            <w:rPr/>
          </w:pPr>
          <w:hyperlink w:anchor="__RefHeading___Toc347946_2142443653">
            <w:r>
              <w:rPr>
                <w:webHidden/>
                <w:rStyle w:val="IndexLink"/>
                <w:rtl w:val="true"/>
              </w:rPr>
              <w:t>معنی الترسّل</w:t>
            </w:r>
            <w:r>
              <w:rPr>
                <w:rStyle w:val="IndexLink"/>
                <w:rtl w:val="true"/>
              </w:rPr>
              <w:tab/>
            </w:r>
            <w:r>
              <w:rPr>
                <w:rStyle w:val="IndexLink"/>
              </w:rPr>
              <w:t>224</w:t>
            </w:r>
          </w:hyperlink>
        </w:p>
        <w:p>
          <w:pPr>
            <w:pStyle w:val="Contents4"/>
            <w:tabs>
              <w:tab w:val="clear" w:pos="8176"/>
              <w:tab w:val="right" w:pos="9026" w:leader="dot"/>
            </w:tabs>
            <w:rPr/>
          </w:pPr>
          <w:hyperlink w:anchor="__RefHeading___Toc347948_2142443653">
            <w:r>
              <w:rPr>
                <w:webHidden/>
                <w:rStyle w:val="IndexLink"/>
                <w:rtl w:val="true"/>
              </w:rPr>
              <w:t>یحیی بن عبدالملک مهمل</w:t>
            </w:r>
            <w:r>
              <w:rPr>
                <w:rStyle w:val="IndexLink"/>
                <w:rtl w:val="true"/>
              </w:rPr>
              <w:tab/>
            </w:r>
            <w:r>
              <w:rPr>
                <w:rStyle w:val="IndexLink"/>
              </w:rPr>
              <w:t>226</w:t>
            </w:r>
          </w:hyperlink>
        </w:p>
        <w:p>
          <w:pPr>
            <w:pStyle w:val="Contents4"/>
            <w:tabs>
              <w:tab w:val="clear" w:pos="8176"/>
              <w:tab w:val="right" w:pos="9026" w:leader="dot"/>
            </w:tabs>
            <w:rPr/>
          </w:pPr>
          <w:hyperlink w:anchor="__RefHeading___Toc347950_2142443653">
            <w:r>
              <w:rPr>
                <w:webHidden/>
                <w:rStyle w:val="IndexLink"/>
                <w:rtl w:val="true"/>
              </w:rPr>
              <w:t>إشارة إلی حال أبی بکر الحضرمی</w:t>
            </w:r>
            <w:r>
              <w:rPr>
                <w:rStyle w:val="IndexLink"/>
                <w:rtl w:val="true"/>
              </w:rPr>
              <w:tab/>
            </w:r>
            <w:r>
              <w:rPr>
                <w:rStyle w:val="IndexLink"/>
              </w:rPr>
              <w:t>226</w:t>
            </w:r>
          </w:hyperlink>
        </w:p>
        <w:p>
          <w:pPr>
            <w:pStyle w:val="Contents4"/>
            <w:tabs>
              <w:tab w:val="clear" w:pos="8176"/>
              <w:tab w:val="right" w:pos="9026" w:leader="dot"/>
            </w:tabs>
            <w:rPr/>
          </w:pPr>
          <w:hyperlink w:anchor="__RefHeading___Toc347952_2142443653">
            <w:r>
              <w:rPr>
                <w:webHidden/>
                <w:rStyle w:val="IndexLink"/>
                <w:rtl w:val="true"/>
              </w:rPr>
              <w:t>حمزة بن حمران مهمل</w:t>
            </w:r>
            <w:r>
              <w:rPr>
                <w:rStyle w:val="IndexLink"/>
                <w:rtl w:val="true"/>
              </w:rPr>
              <w:tab/>
            </w:r>
            <w:r>
              <w:rPr>
                <w:rStyle w:val="IndexLink"/>
              </w:rPr>
              <w:t>226</w:t>
            </w:r>
          </w:hyperlink>
        </w:p>
        <w:p>
          <w:pPr>
            <w:pStyle w:val="Contents4"/>
            <w:tabs>
              <w:tab w:val="clear" w:pos="8176"/>
              <w:tab w:val="right" w:pos="9026" w:leader="dot"/>
            </w:tabs>
            <w:rPr/>
          </w:pPr>
          <w:hyperlink w:anchor="__RefHeading___Toc347954_2142443653">
            <w:r>
              <w:rPr>
                <w:webHidden/>
                <w:rStyle w:val="IndexLink"/>
                <w:rtl w:val="true"/>
              </w:rPr>
              <w:t>الحسن بن زیاد مشترک</w:t>
            </w:r>
            <w:r>
              <w:rPr>
                <w:rStyle w:val="IndexLink"/>
                <w:rtl w:val="true"/>
              </w:rPr>
              <w:tab/>
            </w:r>
            <w:r>
              <w:rPr>
                <w:rStyle w:val="IndexLink"/>
              </w:rPr>
              <w:t>226</w:t>
            </w:r>
          </w:hyperlink>
        </w:p>
        <w:p>
          <w:pPr>
            <w:pStyle w:val="Contents4"/>
            <w:tabs>
              <w:tab w:val="clear" w:pos="8176"/>
              <w:tab w:val="right" w:pos="9026" w:leader="dot"/>
            </w:tabs>
            <w:rPr/>
          </w:pPr>
          <w:hyperlink w:anchor="__RefHeading___Toc347956_2142443653">
            <w:r>
              <w:rPr>
                <w:webHidden/>
                <w:rStyle w:val="IndexLink"/>
                <w:rtl w:val="true"/>
              </w:rPr>
              <w:t>بیان ما دل علی أنّ حد الرکوع والسجود التسبیحة الکبری ثلاثاً وأنّ من لم یسبّح لا صلاة له</w:t>
            </w:r>
            <w:r>
              <w:rPr>
                <w:rStyle w:val="IndexLink"/>
                <w:rtl w:val="true"/>
              </w:rPr>
              <w:tab/>
            </w:r>
            <w:r>
              <w:rPr>
                <w:rStyle w:val="IndexLink"/>
              </w:rPr>
              <w:t>227</w:t>
            </w:r>
          </w:hyperlink>
        </w:p>
        <w:p>
          <w:pPr>
            <w:pStyle w:val="Contents4"/>
            <w:tabs>
              <w:tab w:val="clear" w:pos="8176"/>
              <w:tab w:val="right" w:pos="9026" w:leader="dot"/>
            </w:tabs>
            <w:rPr/>
          </w:pPr>
          <w:hyperlink w:anchor="__RefHeading___Toc347958_2142443653">
            <w:r>
              <w:rPr>
                <w:webHidden/>
                <w:rStyle w:val="IndexLink"/>
                <w:rtl w:val="true"/>
              </w:rPr>
              <w:t xml:space="preserve">حکم زیادة </w:t>
            </w:r>
            <w:r>
              <w:rPr>
                <w:rStyle w:val="IndexLink"/>
                <w:rtl w:val="true"/>
              </w:rPr>
              <w:t xml:space="preserve">« </w:t>
            </w:r>
            <w:r>
              <w:rPr>
                <w:rStyle w:val="IndexLink"/>
                <w:rtl w:val="true"/>
              </w:rPr>
              <w:t xml:space="preserve">وبحمده </w:t>
            </w:r>
            <w:r>
              <w:rPr>
                <w:rStyle w:val="IndexLink"/>
                <w:rtl w:val="true"/>
              </w:rPr>
              <w:t>»</w:t>
              <w:tab/>
            </w:r>
            <w:r>
              <w:rPr>
                <w:rStyle w:val="IndexLink"/>
              </w:rPr>
              <w:t>227</w:t>
            </w:r>
          </w:hyperlink>
        </w:p>
        <w:p>
          <w:pPr>
            <w:pStyle w:val="Contents4"/>
            <w:tabs>
              <w:tab w:val="clear" w:pos="8176"/>
              <w:tab w:val="right" w:pos="9026" w:leader="dot"/>
            </w:tabs>
            <w:rPr/>
          </w:pPr>
          <w:hyperlink w:anchor="__RefHeading___Toc347960_2142443653">
            <w:r>
              <w:rPr>
                <w:webHidden/>
                <w:rStyle w:val="IndexLink"/>
                <w:rtl w:val="true"/>
              </w:rPr>
              <w:t xml:space="preserve">معنی </w:t>
            </w:r>
            <w:r>
              <w:rPr>
                <w:rStyle w:val="IndexLink"/>
                <w:rtl w:val="true"/>
              </w:rPr>
              <w:t xml:space="preserve">« </w:t>
            </w:r>
            <w:r>
              <w:rPr>
                <w:rStyle w:val="IndexLink"/>
                <w:rtl w:val="true"/>
              </w:rPr>
              <w:t xml:space="preserve">سبحان ربیّ الاعلی وبحمده </w:t>
            </w:r>
            <w:r>
              <w:rPr>
                <w:rStyle w:val="IndexLink"/>
                <w:rtl w:val="true"/>
              </w:rPr>
              <w:t>»</w:t>
              <w:tab/>
            </w:r>
            <w:r>
              <w:rPr>
                <w:rStyle w:val="IndexLink"/>
              </w:rPr>
              <w:t>228</w:t>
            </w:r>
          </w:hyperlink>
        </w:p>
        <w:p>
          <w:pPr>
            <w:pStyle w:val="Contents3"/>
            <w:tabs>
              <w:tab w:val="clear" w:pos="8459"/>
              <w:tab w:val="right" w:pos="9026" w:leader="dot"/>
            </w:tabs>
            <w:rPr/>
          </w:pPr>
          <w:hyperlink w:anchor="__RefHeading___Toc347962_2142443653">
            <w:r>
              <w:rPr>
                <w:webHidden/>
                <w:rStyle w:val="IndexLink"/>
                <w:rtl w:val="true"/>
              </w:rPr>
              <w:t>تلقی الأرض بالیدین لمن أراد السجود</w:t>
            </w:r>
            <w:r>
              <w:rPr>
                <w:rStyle w:val="IndexLink"/>
                <w:rtl w:val="true"/>
              </w:rPr>
              <w:tab/>
            </w:r>
            <w:r>
              <w:rPr>
                <w:rStyle w:val="IndexLink"/>
              </w:rPr>
              <w:t>229</w:t>
            </w:r>
          </w:hyperlink>
        </w:p>
        <w:p>
          <w:pPr>
            <w:pStyle w:val="Contents4"/>
            <w:tabs>
              <w:tab w:val="clear" w:pos="8176"/>
              <w:tab w:val="right" w:pos="9026" w:leader="dot"/>
            </w:tabs>
            <w:rPr/>
          </w:pPr>
          <w:hyperlink w:anchor="__RefHeading___Toc347964_2142443653">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347966_2142443653">
            <w:r>
              <w:rPr>
                <w:webHidden/>
                <w:rStyle w:val="IndexLink"/>
                <w:rtl w:val="true"/>
              </w:rPr>
              <w:t>إشارة إلی حال أبی الحسین بن أبی جید</w:t>
            </w:r>
            <w:r>
              <w:rPr>
                <w:rStyle w:val="IndexLink"/>
                <w:rtl w:val="true"/>
              </w:rPr>
              <w:tab/>
            </w:r>
            <w:r>
              <w:rPr>
                <w:rStyle w:val="IndexLink"/>
              </w:rPr>
              <w:t>231</w:t>
            </w:r>
          </w:hyperlink>
        </w:p>
        <w:p>
          <w:pPr>
            <w:pStyle w:val="Contents4"/>
            <w:tabs>
              <w:tab w:val="clear" w:pos="8176"/>
              <w:tab w:val="right" w:pos="9026" w:leader="dot"/>
            </w:tabs>
            <w:rPr/>
          </w:pPr>
          <w:hyperlink w:anchor="__RefHeading___Toc347968_2142443653">
            <w:r>
              <w:rPr>
                <w:webHidden/>
                <w:rStyle w:val="IndexLink"/>
                <w:rtl w:val="true"/>
              </w:rPr>
              <w:t>بحث حول الحسین بن الحسن بن أبان ومحمّد بن اُورمة</w:t>
            </w:r>
            <w:r>
              <w:rPr>
                <w:rStyle w:val="IndexLink"/>
                <w:rtl w:val="true"/>
              </w:rPr>
              <w:tab/>
            </w:r>
            <w:r>
              <w:rPr>
                <w:rStyle w:val="IndexLink"/>
              </w:rPr>
              <w:t>231</w:t>
            </w:r>
          </w:hyperlink>
        </w:p>
        <w:p>
          <w:pPr>
            <w:pStyle w:val="Contents4"/>
            <w:tabs>
              <w:tab w:val="clear" w:pos="8176"/>
              <w:tab w:val="right" w:pos="9026" w:leader="dot"/>
            </w:tabs>
            <w:rPr/>
          </w:pPr>
          <w:hyperlink w:anchor="__RefHeading___Toc347970_2142443653">
            <w:r>
              <w:rPr>
                <w:webHidden/>
                <w:rStyle w:val="IndexLink"/>
                <w:rtl w:val="true"/>
              </w:rPr>
              <w:t>إشارة إلی حال القاسم بن محمّد الجوهری</w:t>
            </w:r>
            <w:r>
              <w:rPr>
                <w:rStyle w:val="IndexLink"/>
                <w:rtl w:val="true"/>
              </w:rPr>
              <w:tab/>
            </w:r>
            <w:r>
              <w:rPr>
                <w:rStyle w:val="IndexLink"/>
              </w:rPr>
              <w:t>232</w:t>
            </w:r>
          </w:hyperlink>
        </w:p>
        <w:p>
          <w:pPr>
            <w:pStyle w:val="Contents4"/>
            <w:tabs>
              <w:tab w:val="clear" w:pos="8176"/>
              <w:tab w:val="right" w:pos="9026" w:leader="dot"/>
            </w:tabs>
            <w:rPr/>
          </w:pPr>
          <w:hyperlink w:anchor="__RefHeading___Toc347972_2142443653">
            <w:r>
              <w:rPr>
                <w:webHidden/>
                <w:rStyle w:val="IndexLink"/>
                <w:rtl w:val="true"/>
              </w:rPr>
              <w:t>إشارة إلی حال الحسین بن أبی العلاء</w:t>
            </w:r>
            <w:r>
              <w:rPr>
                <w:rStyle w:val="IndexLink"/>
                <w:rtl w:val="true"/>
              </w:rPr>
              <w:tab/>
            </w:r>
            <w:r>
              <w:rPr>
                <w:rStyle w:val="IndexLink"/>
              </w:rPr>
              <w:t>232</w:t>
            </w:r>
          </w:hyperlink>
        </w:p>
        <w:p>
          <w:pPr>
            <w:pStyle w:val="Contents4"/>
            <w:tabs>
              <w:tab w:val="clear" w:pos="8176"/>
              <w:tab w:val="right" w:pos="9026" w:leader="dot"/>
            </w:tabs>
            <w:rPr/>
          </w:pPr>
          <w:hyperlink w:anchor="__RefHeading___Toc347974_2142443653">
            <w:r>
              <w:rPr>
                <w:webHidden/>
                <w:rStyle w:val="IndexLink"/>
                <w:rtl w:val="true"/>
              </w:rPr>
              <w:t>بحث حول سماعة</w:t>
            </w:r>
            <w:r>
              <w:rPr>
                <w:rStyle w:val="IndexLink"/>
                <w:rtl w:val="true"/>
              </w:rPr>
              <w:tab/>
            </w:r>
            <w:r>
              <w:rPr>
                <w:rStyle w:val="IndexLink"/>
              </w:rPr>
              <w:t>232</w:t>
            </w:r>
          </w:hyperlink>
        </w:p>
        <w:p>
          <w:pPr>
            <w:pStyle w:val="Contents4"/>
            <w:tabs>
              <w:tab w:val="clear" w:pos="8176"/>
              <w:tab w:val="right" w:pos="9026" w:leader="dot"/>
            </w:tabs>
            <w:rPr/>
          </w:pPr>
          <w:hyperlink w:anchor="__RefHeading___Toc347976_2142443653">
            <w:r>
              <w:rPr>
                <w:webHidden/>
                <w:rStyle w:val="IndexLink"/>
                <w:rtl w:val="true"/>
              </w:rPr>
              <w:t>بیان ما دلّ علی رجحان وضع الیدین قبل الرکعتین عند إرادة السجود وتوجیه ما یعارضه</w:t>
            </w:r>
            <w:r>
              <w:rPr>
                <w:rStyle w:val="IndexLink"/>
                <w:rtl w:val="true"/>
              </w:rPr>
              <w:tab/>
            </w:r>
            <w:r>
              <w:rPr>
                <w:rStyle w:val="IndexLink"/>
              </w:rPr>
              <w:t>233</w:t>
            </w:r>
          </w:hyperlink>
        </w:p>
        <w:p>
          <w:pPr>
            <w:pStyle w:val="Contents3"/>
            <w:tabs>
              <w:tab w:val="clear" w:pos="8459"/>
              <w:tab w:val="right" w:pos="9026" w:leader="dot"/>
            </w:tabs>
            <w:rPr/>
          </w:pPr>
          <w:hyperlink w:anchor="__RefHeading___Toc347978_2142443653">
            <w:r>
              <w:rPr>
                <w:webHidden/>
                <w:rStyle w:val="IndexLink"/>
                <w:rtl w:val="true"/>
              </w:rPr>
              <w:t>السجود علی الجبهة</w:t>
            </w:r>
            <w:r>
              <w:rPr>
                <w:rStyle w:val="IndexLink"/>
                <w:rtl w:val="true"/>
              </w:rPr>
              <w:tab/>
            </w:r>
            <w:r>
              <w:rPr>
                <w:rStyle w:val="IndexLink"/>
              </w:rPr>
              <w:t>235</w:t>
            </w:r>
          </w:hyperlink>
        </w:p>
        <w:p>
          <w:pPr>
            <w:pStyle w:val="Contents4"/>
            <w:tabs>
              <w:tab w:val="clear" w:pos="8176"/>
              <w:tab w:val="right" w:pos="9026" w:leader="dot"/>
            </w:tabs>
            <w:rPr/>
          </w:pPr>
          <w:hyperlink w:anchor="__RefHeading___Toc347980_2142443653">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347982_2142443653">
            <w:r>
              <w:rPr>
                <w:webHidden/>
                <w:rStyle w:val="IndexLink"/>
                <w:rtl w:val="true"/>
              </w:rPr>
              <w:t>بحث حول محمد بن مضارب</w:t>
            </w:r>
            <w:r>
              <w:rPr>
                <w:rStyle w:val="IndexLink"/>
                <w:rtl w:val="true"/>
              </w:rPr>
              <w:tab/>
            </w:r>
            <w:r>
              <w:rPr>
                <w:rStyle w:val="IndexLink"/>
              </w:rPr>
              <w:t>237</w:t>
            </w:r>
          </w:hyperlink>
        </w:p>
        <w:p>
          <w:pPr>
            <w:pStyle w:val="Contents4"/>
            <w:tabs>
              <w:tab w:val="clear" w:pos="8176"/>
              <w:tab w:val="right" w:pos="9026" w:leader="dot"/>
            </w:tabs>
            <w:rPr/>
          </w:pPr>
          <w:hyperlink w:anchor="__RefHeading___Toc347984_2142443653">
            <w:r>
              <w:rPr>
                <w:webHidden/>
                <w:rStyle w:val="IndexLink"/>
                <w:rtl w:val="true"/>
              </w:rPr>
              <w:t xml:space="preserve">بحث حول موسی بن عمیر </w:t>
            </w:r>
            <w:r>
              <w:rPr>
                <w:rStyle w:val="IndexLink"/>
                <w:rtl w:val="true"/>
              </w:rPr>
              <w:t xml:space="preserve">( </w:t>
            </w:r>
            <w:r>
              <w:rPr>
                <w:rStyle w:val="IndexLink"/>
                <w:rtl w:val="true"/>
              </w:rPr>
              <w:t xml:space="preserve">عمر </w:t>
            </w:r>
            <w:r>
              <w:rPr>
                <w:rStyle w:val="IndexLink"/>
                <w:rtl w:val="true"/>
              </w:rPr>
              <w:t>)</w:t>
              <w:tab/>
            </w:r>
            <w:r>
              <w:rPr>
                <w:rStyle w:val="IndexLink"/>
              </w:rPr>
              <w:t>237</w:t>
            </w:r>
          </w:hyperlink>
        </w:p>
        <w:p>
          <w:pPr>
            <w:pStyle w:val="Contents4"/>
            <w:tabs>
              <w:tab w:val="clear" w:pos="8176"/>
              <w:tab w:val="right" w:pos="9026" w:leader="dot"/>
            </w:tabs>
            <w:rPr/>
          </w:pPr>
          <w:hyperlink w:anchor="__RefHeading___Toc347986_2142443653">
            <w:r>
              <w:rPr>
                <w:webHidden/>
                <w:rStyle w:val="IndexLink"/>
                <w:rtl w:val="true"/>
              </w:rPr>
              <w:t>إشارة إلی وثاقة بُرید العجلی</w:t>
            </w:r>
            <w:r>
              <w:rPr>
                <w:rStyle w:val="IndexLink"/>
                <w:rtl w:val="true"/>
              </w:rPr>
              <w:tab/>
            </w:r>
            <w:r>
              <w:rPr>
                <w:rStyle w:val="IndexLink"/>
              </w:rPr>
              <w:t>237</w:t>
            </w:r>
          </w:hyperlink>
        </w:p>
        <w:p>
          <w:pPr>
            <w:pStyle w:val="Contents4"/>
            <w:tabs>
              <w:tab w:val="clear" w:pos="8176"/>
              <w:tab w:val="right" w:pos="9026" w:leader="dot"/>
            </w:tabs>
            <w:rPr/>
          </w:pPr>
          <w:hyperlink w:anchor="__RefHeading___Toc347988_2142443653">
            <w:r>
              <w:rPr>
                <w:webHidden/>
                <w:rStyle w:val="IndexLink"/>
                <w:rtl w:val="true"/>
              </w:rPr>
              <w:t>إشارة إلی وثاقة مروان بن مسلم</w:t>
            </w:r>
            <w:r>
              <w:rPr>
                <w:rStyle w:val="IndexLink"/>
                <w:rtl w:val="true"/>
              </w:rPr>
              <w:tab/>
            </w:r>
            <w:r>
              <w:rPr>
                <w:rStyle w:val="IndexLink"/>
              </w:rPr>
              <w:t>238</w:t>
            </w:r>
          </w:hyperlink>
        </w:p>
        <w:p>
          <w:pPr>
            <w:pStyle w:val="Contents4"/>
            <w:tabs>
              <w:tab w:val="clear" w:pos="8176"/>
              <w:tab w:val="right" w:pos="9026" w:leader="dot"/>
            </w:tabs>
            <w:rPr/>
          </w:pPr>
          <w:hyperlink w:anchor="__RefHeading___Toc347990_2142443653">
            <w:r>
              <w:rPr>
                <w:webHidden/>
                <w:rStyle w:val="IndexLink"/>
                <w:rtl w:val="true"/>
              </w:rPr>
              <w:t>إشارة إلی حال عمّار الساباطی</w:t>
            </w:r>
            <w:r>
              <w:rPr>
                <w:rStyle w:val="IndexLink"/>
                <w:rtl w:val="true"/>
              </w:rPr>
              <w:tab/>
            </w:r>
            <w:r>
              <w:rPr>
                <w:rStyle w:val="IndexLink"/>
              </w:rPr>
              <w:t>238</w:t>
            </w:r>
          </w:hyperlink>
        </w:p>
        <w:p>
          <w:pPr>
            <w:pStyle w:val="Contents4"/>
            <w:tabs>
              <w:tab w:val="clear" w:pos="8176"/>
              <w:tab w:val="right" w:pos="9026" w:leader="dot"/>
            </w:tabs>
            <w:rPr/>
          </w:pPr>
          <w:hyperlink w:anchor="__RefHeading___Toc347992_2142443653">
            <w:r>
              <w:rPr>
                <w:webHidden/>
                <w:rStyle w:val="IndexLink"/>
                <w:rtl w:val="true"/>
              </w:rPr>
              <w:t>بحث حول محمد بن یحیی</w:t>
            </w:r>
            <w:r>
              <w:rPr>
                <w:rStyle w:val="IndexLink"/>
                <w:rtl w:val="true"/>
              </w:rPr>
              <w:tab/>
            </w:r>
            <w:r>
              <w:rPr>
                <w:rStyle w:val="IndexLink"/>
              </w:rPr>
              <w:t>238</w:t>
            </w:r>
          </w:hyperlink>
        </w:p>
        <w:p>
          <w:pPr>
            <w:pStyle w:val="Contents4"/>
            <w:tabs>
              <w:tab w:val="clear" w:pos="8176"/>
              <w:tab w:val="right" w:pos="9026" w:leader="dot"/>
            </w:tabs>
            <w:rPr/>
          </w:pPr>
          <w:hyperlink w:anchor="__RefHeading___Toc347994_2142443653">
            <w:r>
              <w:rPr>
                <w:webHidden/>
                <w:rStyle w:val="IndexLink"/>
                <w:rtl w:val="true"/>
              </w:rPr>
              <w:t>بیان ما دل علی أنّه لیس علی الأنف سجود</w:t>
            </w:r>
            <w:r>
              <w:rPr>
                <w:rStyle w:val="IndexLink"/>
                <w:rtl w:val="true"/>
              </w:rPr>
              <w:tab/>
            </w:r>
            <w:r>
              <w:rPr>
                <w:rStyle w:val="IndexLink"/>
              </w:rPr>
              <w:t>238</w:t>
            </w:r>
          </w:hyperlink>
        </w:p>
        <w:p>
          <w:pPr>
            <w:pStyle w:val="Contents4"/>
            <w:tabs>
              <w:tab w:val="clear" w:pos="8176"/>
              <w:tab w:val="right" w:pos="9026" w:leader="dot"/>
            </w:tabs>
            <w:rPr/>
          </w:pPr>
          <w:hyperlink w:anchor="__RefHeading___Toc347996_2142443653">
            <w:r>
              <w:rPr>
                <w:webHidden/>
                <w:rStyle w:val="IndexLink"/>
                <w:rtl w:val="true"/>
              </w:rPr>
              <w:t>بیان ما دلّ علی إجزاء المسمّی وعدم اعتبار مقدار الدرهم</w:t>
            </w:r>
            <w:r>
              <w:rPr>
                <w:rStyle w:val="IndexLink"/>
                <w:rtl w:val="true"/>
              </w:rPr>
              <w:tab/>
            </w:r>
            <w:r>
              <w:rPr>
                <w:rStyle w:val="IndexLink"/>
              </w:rPr>
              <w:t>239</w:t>
            </w:r>
          </w:hyperlink>
        </w:p>
        <w:p>
          <w:pPr>
            <w:pStyle w:val="Contents4"/>
            <w:tabs>
              <w:tab w:val="clear" w:pos="8176"/>
              <w:tab w:val="right" w:pos="9026" w:leader="dot"/>
            </w:tabs>
            <w:rPr/>
          </w:pPr>
          <w:hyperlink w:anchor="__RefHeading___Toc347998_2142443653">
            <w:r>
              <w:rPr>
                <w:webHidden/>
                <w:rStyle w:val="IndexLink"/>
                <w:rtl w:val="true"/>
              </w:rPr>
              <w:t>توجیه ما دلّ علی لزوم إصابة الأنف لما یصیب الجبین ومعنی الارغام</w:t>
            </w:r>
            <w:r>
              <w:rPr>
                <w:rStyle w:val="IndexLink"/>
                <w:rtl w:val="true"/>
              </w:rPr>
              <w:tab/>
            </w:r>
            <w:r>
              <w:rPr>
                <w:rStyle w:val="IndexLink"/>
              </w:rPr>
              <w:t>240</w:t>
            </w:r>
          </w:hyperlink>
        </w:p>
        <w:p>
          <w:pPr>
            <w:pStyle w:val="Contents4"/>
            <w:tabs>
              <w:tab w:val="clear" w:pos="8176"/>
              <w:tab w:val="right" w:pos="9026" w:leader="dot"/>
            </w:tabs>
            <w:rPr/>
          </w:pPr>
          <w:hyperlink w:anchor="__RefHeading___Toc348000_2142443653">
            <w:r>
              <w:rPr>
                <w:webHidden/>
                <w:rStyle w:val="IndexLink"/>
                <w:rtl w:val="true"/>
              </w:rPr>
              <w:t xml:space="preserve">بیان قوله علیه السلام </w:t>
            </w:r>
            <w:r>
              <w:rPr>
                <w:rStyle w:val="IndexLink"/>
                <w:rtl w:val="true"/>
              </w:rPr>
              <w:t xml:space="preserve">: « </w:t>
            </w:r>
            <w:r>
              <w:rPr>
                <w:rStyle w:val="IndexLink"/>
                <w:rtl w:val="true"/>
              </w:rPr>
              <w:t xml:space="preserve">السجود علی سبعة أعظم </w:t>
            </w:r>
            <w:r>
              <w:rPr>
                <w:rStyle w:val="IndexLink"/>
                <w:rtl w:val="true"/>
              </w:rPr>
              <w:t>»</w:t>
              <w:tab/>
            </w:r>
            <w:r>
              <w:rPr>
                <w:rStyle w:val="IndexLink"/>
              </w:rPr>
              <w:t>242</w:t>
            </w:r>
          </w:hyperlink>
        </w:p>
        <w:p>
          <w:pPr>
            <w:pStyle w:val="Contents3"/>
            <w:tabs>
              <w:tab w:val="clear" w:pos="8459"/>
              <w:tab w:val="right" w:pos="9026" w:leader="dot"/>
            </w:tabs>
            <w:rPr/>
          </w:pPr>
          <w:hyperlink w:anchor="__RefHeading___Toc348002_2142443653">
            <w:r>
              <w:rPr>
                <w:webHidden/>
                <w:rStyle w:val="IndexLink"/>
                <w:rtl w:val="true"/>
              </w:rPr>
              <w:t>الإقعاء بین السجدتین</w:t>
            </w:r>
            <w:r>
              <w:rPr>
                <w:rStyle w:val="IndexLink"/>
                <w:rtl w:val="true"/>
              </w:rPr>
              <w:tab/>
            </w:r>
            <w:r>
              <w:rPr>
                <w:rStyle w:val="IndexLink"/>
              </w:rPr>
              <w:t>243</w:t>
            </w:r>
          </w:hyperlink>
        </w:p>
        <w:p>
          <w:pPr>
            <w:pStyle w:val="Contents4"/>
            <w:tabs>
              <w:tab w:val="clear" w:pos="8176"/>
              <w:tab w:val="right" w:pos="9026" w:leader="dot"/>
            </w:tabs>
            <w:rPr/>
          </w:pPr>
          <w:hyperlink w:anchor="__RefHeading___Toc348004_2142443653">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348006_2142443653">
            <w:r>
              <w:rPr>
                <w:webHidden/>
                <w:rStyle w:val="IndexLink"/>
                <w:rtl w:val="true"/>
              </w:rPr>
              <w:t>کلمة حول طرق الشیخ إلی معاویة بن عمّار وابن مسلم والحلبی</w:t>
            </w:r>
            <w:r>
              <w:rPr>
                <w:rStyle w:val="IndexLink"/>
                <w:rtl w:val="true"/>
              </w:rPr>
              <w:tab/>
            </w:r>
            <w:r>
              <w:rPr>
                <w:rStyle w:val="IndexLink"/>
              </w:rPr>
              <w:t>244</w:t>
            </w:r>
          </w:hyperlink>
        </w:p>
        <w:p>
          <w:pPr>
            <w:pStyle w:val="Contents4"/>
            <w:tabs>
              <w:tab w:val="clear" w:pos="8176"/>
              <w:tab w:val="right" w:pos="9026" w:leader="dot"/>
            </w:tabs>
            <w:rPr/>
          </w:pPr>
          <w:hyperlink w:anchor="__RefHeading___Toc348008_2142443653">
            <w:r>
              <w:rPr>
                <w:webHidden/>
                <w:rStyle w:val="IndexLink"/>
                <w:rtl w:val="true"/>
              </w:rPr>
              <w:t>حکم الإقعاء بین السجدتین</w:t>
            </w:r>
            <w:r>
              <w:rPr>
                <w:rStyle w:val="IndexLink"/>
                <w:rtl w:val="true"/>
              </w:rPr>
              <w:tab/>
            </w:r>
            <w:r>
              <w:rPr>
                <w:rStyle w:val="IndexLink"/>
              </w:rPr>
              <w:t>246</w:t>
            </w:r>
          </w:hyperlink>
        </w:p>
        <w:p>
          <w:pPr>
            <w:pStyle w:val="Contents4"/>
            <w:tabs>
              <w:tab w:val="clear" w:pos="8176"/>
              <w:tab w:val="right" w:pos="9026" w:leader="dot"/>
            </w:tabs>
            <w:rPr/>
          </w:pPr>
          <w:hyperlink w:anchor="__RefHeading___Toc348010_2142443653">
            <w:r>
              <w:rPr>
                <w:webHidden/>
                <w:rStyle w:val="IndexLink"/>
                <w:rtl w:val="true"/>
              </w:rPr>
              <w:t>معنی الإقعاء</w:t>
            </w:r>
            <w:r>
              <w:rPr>
                <w:rStyle w:val="IndexLink"/>
                <w:rtl w:val="true"/>
              </w:rPr>
              <w:tab/>
            </w:r>
            <w:r>
              <w:rPr>
                <w:rStyle w:val="IndexLink"/>
              </w:rPr>
              <w:t>246</w:t>
            </w:r>
          </w:hyperlink>
        </w:p>
        <w:p>
          <w:pPr>
            <w:pStyle w:val="Contents3"/>
            <w:tabs>
              <w:tab w:val="clear" w:pos="8459"/>
              <w:tab w:val="right" w:pos="9026" w:leader="dot"/>
            </w:tabs>
            <w:rPr/>
          </w:pPr>
          <w:hyperlink w:anchor="__RefHeading___Toc348012_2142443653">
            <w:r>
              <w:rPr>
                <w:webHidden/>
                <w:rStyle w:val="IndexLink"/>
                <w:rtl w:val="true"/>
              </w:rPr>
              <w:t>من یقوم من السجدة الثانیة إلی الرکعة الثانیة</w:t>
            </w:r>
            <w:r>
              <w:rPr>
                <w:rStyle w:val="IndexLink"/>
                <w:rtl w:val="true"/>
              </w:rPr>
              <w:tab/>
            </w:r>
            <w:r>
              <w:rPr>
                <w:rStyle w:val="IndexLink"/>
              </w:rPr>
              <w:t>247</w:t>
            </w:r>
          </w:hyperlink>
        </w:p>
        <w:p>
          <w:pPr>
            <w:pStyle w:val="Contents4"/>
            <w:tabs>
              <w:tab w:val="clear" w:pos="8176"/>
              <w:tab w:val="right" w:pos="9026" w:leader="dot"/>
            </w:tabs>
            <w:rPr/>
          </w:pPr>
          <w:hyperlink w:anchor="__RefHeading___Toc348014_2142443653">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348016_2142443653">
            <w:r>
              <w:rPr>
                <w:webHidden/>
                <w:rStyle w:val="IndexLink"/>
                <w:rtl w:val="true"/>
              </w:rPr>
              <w:t>عبدالحمید بن عواض ثقة</w:t>
            </w:r>
            <w:r>
              <w:rPr>
                <w:rStyle w:val="IndexLink"/>
                <w:rtl w:val="true"/>
              </w:rPr>
              <w:tab/>
            </w:r>
            <w:r>
              <w:rPr>
                <w:rStyle w:val="IndexLink"/>
              </w:rPr>
              <w:t>248</w:t>
            </w:r>
          </w:hyperlink>
        </w:p>
        <w:p>
          <w:pPr>
            <w:pStyle w:val="Contents4"/>
            <w:tabs>
              <w:tab w:val="clear" w:pos="8176"/>
              <w:tab w:val="right" w:pos="9026" w:leader="dot"/>
            </w:tabs>
            <w:rPr/>
          </w:pPr>
          <w:hyperlink w:anchor="__RefHeading___Toc348018_2142443653">
            <w:r>
              <w:rPr>
                <w:webHidden/>
                <w:rStyle w:val="IndexLink"/>
                <w:rtl w:val="true"/>
              </w:rPr>
              <w:t>عدم الطریق للشیخ إلی سماعة</w:t>
            </w:r>
            <w:r>
              <w:rPr>
                <w:rStyle w:val="IndexLink"/>
                <w:rtl w:val="true"/>
              </w:rPr>
              <w:tab/>
            </w:r>
            <w:r>
              <w:rPr>
                <w:rStyle w:val="IndexLink"/>
              </w:rPr>
              <w:t>248</w:t>
            </w:r>
          </w:hyperlink>
        </w:p>
        <w:p>
          <w:pPr>
            <w:pStyle w:val="Contents4"/>
            <w:tabs>
              <w:tab w:val="clear" w:pos="8176"/>
              <w:tab w:val="right" w:pos="9026" w:leader="dot"/>
            </w:tabs>
            <w:rPr/>
          </w:pPr>
          <w:hyperlink w:anchor="__RefHeading___Toc348020_2142443653">
            <w:r>
              <w:rPr>
                <w:webHidden/>
                <w:rStyle w:val="IndexLink"/>
                <w:rtl w:val="true"/>
              </w:rPr>
              <w:t>جهالة طریق الشیخ إلی علی بن الحکم</w:t>
            </w:r>
            <w:r>
              <w:rPr>
                <w:rStyle w:val="IndexLink"/>
                <w:rtl w:val="true"/>
              </w:rPr>
              <w:tab/>
            </w:r>
            <w:r>
              <w:rPr>
                <w:rStyle w:val="IndexLink"/>
              </w:rPr>
              <w:t>248</w:t>
            </w:r>
          </w:hyperlink>
        </w:p>
        <w:p>
          <w:pPr>
            <w:pStyle w:val="Contents4"/>
            <w:tabs>
              <w:tab w:val="clear" w:pos="8176"/>
              <w:tab w:val="right" w:pos="9026" w:leader="dot"/>
            </w:tabs>
            <w:rPr/>
          </w:pPr>
          <w:hyperlink w:anchor="__RefHeading___Toc348022_2142443653">
            <w:r>
              <w:rPr>
                <w:webHidden/>
                <w:rStyle w:val="IndexLink"/>
                <w:rtl w:val="true"/>
              </w:rPr>
              <w:t>رحیم مجهول</w:t>
            </w:r>
            <w:r>
              <w:rPr>
                <w:rStyle w:val="IndexLink"/>
                <w:rtl w:val="true"/>
              </w:rPr>
              <w:tab/>
            </w:r>
            <w:r>
              <w:rPr>
                <w:rStyle w:val="IndexLink"/>
              </w:rPr>
              <w:t>248</w:t>
            </w:r>
          </w:hyperlink>
        </w:p>
        <w:p>
          <w:pPr>
            <w:pStyle w:val="Contents4"/>
            <w:tabs>
              <w:tab w:val="clear" w:pos="8176"/>
              <w:tab w:val="right" w:pos="9026" w:leader="dot"/>
            </w:tabs>
            <w:rPr/>
          </w:pPr>
          <w:hyperlink w:anchor="__RefHeading___Toc348024_2142443653">
            <w:r>
              <w:rPr>
                <w:webHidden/>
                <w:rStyle w:val="IndexLink"/>
                <w:rtl w:val="true"/>
              </w:rPr>
              <w:t>کلمة حول حدیث عبدالله بن بکیر</w:t>
            </w:r>
            <w:r>
              <w:rPr>
                <w:rStyle w:val="IndexLink"/>
                <w:rtl w:val="true"/>
              </w:rPr>
              <w:tab/>
            </w:r>
            <w:r>
              <w:rPr>
                <w:rStyle w:val="IndexLink"/>
              </w:rPr>
              <w:t>248</w:t>
            </w:r>
          </w:hyperlink>
        </w:p>
        <w:p>
          <w:pPr>
            <w:pStyle w:val="Contents4"/>
            <w:tabs>
              <w:tab w:val="clear" w:pos="8176"/>
              <w:tab w:val="right" w:pos="9026" w:leader="dot"/>
            </w:tabs>
            <w:rPr/>
          </w:pPr>
          <w:hyperlink w:anchor="__RefHeading___Toc348026_2142443653">
            <w:r>
              <w:rPr>
                <w:webHidden/>
                <w:rStyle w:val="IndexLink"/>
                <w:rtl w:val="true"/>
              </w:rPr>
              <w:t>بیان ما دل علی استحباب جلسة الاستراحة وتوجیه ما یعارضه</w:t>
            </w:r>
            <w:r>
              <w:rPr>
                <w:rStyle w:val="IndexLink"/>
                <w:rtl w:val="true"/>
              </w:rPr>
              <w:tab/>
            </w:r>
            <w:r>
              <w:rPr>
                <w:rStyle w:val="IndexLink"/>
              </w:rPr>
              <w:t>249</w:t>
            </w:r>
          </w:hyperlink>
        </w:p>
        <w:p>
          <w:pPr>
            <w:pStyle w:val="Contents3"/>
            <w:tabs>
              <w:tab w:val="clear" w:pos="8459"/>
              <w:tab w:val="right" w:pos="9026" w:leader="dot"/>
            </w:tabs>
            <w:rPr/>
          </w:pPr>
          <w:hyperlink w:anchor="__RefHeading___Toc348028_2142443653">
            <w:r>
              <w:rPr>
                <w:webHidden/>
                <w:rStyle w:val="IndexLink"/>
                <w:rtl w:val="true"/>
              </w:rPr>
              <w:t>وضع الإبهام فی حال السجود</w:t>
            </w:r>
            <w:r>
              <w:rPr>
                <w:rStyle w:val="IndexLink"/>
                <w:rtl w:val="true"/>
              </w:rPr>
              <w:tab/>
            </w:r>
            <w:r>
              <w:rPr>
                <w:rStyle w:val="IndexLink"/>
              </w:rPr>
              <w:t>250</w:t>
            </w:r>
          </w:hyperlink>
        </w:p>
        <w:p>
          <w:pPr>
            <w:pStyle w:val="Contents4"/>
            <w:tabs>
              <w:tab w:val="clear" w:pos="8176"/>
              <w:tab w:val="right" w:pos="9026" w:leader="dot"/>
            </w:tabs>
            <w:rPr/>
          </w:pPr>
          <w:hyperlink w:anchor="__RefHeading___Toc348030_2142443653">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348032_2142443653">
            <w:r>
              <w:rPr>
                <w:webHidden/>
                <w:rStyle w:val="IndexLink"/>
                <w:rtl w:val="true"/>
              </w:rPr>
              <w:t>إشارة إلی عدم توقّف المشایخ فی احمد بن محمد بن یحیی</w:t>
            </w:r>
            <w:r>
              <w:rPr>
                <w:rStyle w:val="IndexLink"/>
                <w:rtl w:val="true"/>
              </w:rPr>
              <w:tab/>
            </w:r>
            <w:r>
              <w:rPr>
                <w:rStyle w:val="IndexLink"/>
              </w:rPr>
              <w:t>251</w:t>
            </w:r>
          </w:hyperlink>
        </w:p>
        <w:p>
          <w:pPr>
            <w:pStyle w:val="Contents4"/>
            <w:tabs>
              <w:tab w:val="clear" w:pos="8176"/>
              <w:tab w:val="right" w:pos="9026" w:leader="dot"/>
            </w:tabs>
            <w:rPr/>
          </w:pPr>
          <w:hyperlink w:anchor="__RefHeading___Toc348034_2142443653">
            <w:r>
              <w:rPr>
                <w:webHidden/>
                <w:rStyle w:val="IndexLink"/>
                <w:rtl w:val="true"/>
              </w:rPr>
              <w:t>بحث حول أبی اسماعیل السراج</w:t>
            </w:r>
            <w:r>
              <w:rPr>
                <w:rStyle w:val="IndexLink"/>
                <w:rtl w:val="true"/>
              </w:rPr>
              <w:tab/>
            </w:r>
            <w:r>
              <w:rPr>
                <w:rStyle w:val="IndexLink"/>
              </w:rPr>
              <w:t>251</w:t>
            </w:r>
          </w:hyperlink>
        </w:p>
        <w:p>
          <w:pPr>
            <w:pStyle w:val="Contents4"/>
            <w:tabs>
              <w:tab w:val="clear" w:pos="8176"/>
              <w:tab w:val="right" w:pos="9026" w:leader="dot"/>
            </w:tabs>
            <w:rPr/>
          </w:pPr>
          <w:hyperlink w:anchor="__RefHeading___Toc348036_2142443653">
            <w:r>
              <w:rPr>
                <w:webHidden/>
                <w:rStyle w:val="IndexLink"/>
                <w:rtl w:val="true"/>
              </w:rPr>
              <w:t>بحث حول هارون بن خارجة</w:t>
            </w:r>
            <w:r>
              <w:rPr>
                <w:rStyle w:val="IndexLink"/>
                <w:rtl w:val="true"/>
              </w:rPr>
              <w:tab/>
            </w:r>
            <w:r>
              <w:rPr>
                <w:rStyle w:val="IndexLink"/>
              </w:rPr>
              <w:t>252</w:t>
            </w:r>
          </w:hyperlink>
        </w:p>
        <w:p>
          <w:pPr>
            <w:pStyle w:val="Contents4"/>
            <w:tabs>
              <w:tab w:val="clear" w:pos="8176"/>
              <w:tab w:val="right" w:pos="9026" w:leader="dot"/>
            </w:tabs>
            <w:rPr/>
          </w:pPr>
          <w:hyperlink w:anchor="__RefHeading___Toc348038_2142443653">
            <w:r>
              <w:rPr>
                <w:webHidden/>
                <w:rStyle w:val="IndexLink"/>
                <w:rtl w:val="true"/>
              </w:rPr>
              <w:t>وضع الرکبتین فی حال السجود</w:t>
            </w:r>
            <w:r>
              <w:rPr>
                <w:rStyle w:val="IndexLink"/>
                <w:rtl w:val="true"/>
              </w:rPr>
              <w:tab/>
            </w:r>
            <w:r>
              <w:rPr>
                <w:rStyle w:val="IndexLink"/>
              </w:rPr>
              <w:t>253</w:t>
            </w:r>
          </w:hyperlink>
        </w:p>
        <w:p>
          <w:pPr>
            <w:pStyle w:val="Contents4"/>
            <w:tabs>
              <w:tab w:val="clear" w:pos="8176"/>
              <w:tab w:val="right" w:pos="9026" w:leader="dot"/>
            </w:tabs>
            <w:rPr/>
          </w:pPr>
          <w:hyperlink w:anchor="__RefHeading___Toc348040_2142443653">
            <w:r>
              <w:rPr>
                <w:webHidden/>
                <w:rStyle w:val="IndexLink"/>
                <w:rtl w:val="true"/>
              </w:rPr>
              <w:t>وضع الابهامین فی حال السجود</w:t>
            </w:r>
            <w:r>
              <w:rPr>
                <w:rStyle w:val="IndexLink"/>
                <w:rtl w:val="true"/>
              </w:rPr>
              <w:tab/>
            </w:r>
            <w:r>
              <w:rPr>
                <w:rStyle w:val="IndexLink"/>
              </w:rPr>
              <w:t>254</w:t>
            </w:r>
          </w:hyperlink>
        </w:p>
        <w:p>
          <w:pPr>
            <w:pStyle w:val="Contents3"/>
            <w:tabs>
              <w:tab w:val="clear" w:pos="8459"/>
              <w:tab w:val="right" w:pos="9026" w:leader="dot"/>
            </w:tabs>
            <w:rPr/>
          </w:pPr>
          <w:hyperlink w:anchor="__RefHeading___Toc348042_2142443653">
            <w:r>
              <w:rPr>
                <w:webHidden/>
                <w:rStyle w:val="IndexLink"/>
                <w:rtl w:val="true"/>
              </w:rPr>
              <w:t>النفخ فی موضع السجود فی حال الصلاة</w:t>
            </w:r>
            <w:r>
              <w:rPr>
                <w:rStyle w:val="IndexLink"/>
                <w:rtl w:val="true"/>
              </w:rPr>
              <w:tab/>
            </w:r>
            <w:r>
              <w:rPr>
                <w:rStyle w:val="IndexLink"/>
              </w:rPr>
              <w:t>255</w:t>
            </w:r>
          </w:hyperlink>
        </w:p>
        <w:p>
          <w:pPr>
            <w:pStyle w:val="Contents4"/>
            <w:tabs>
              <w:tab w:val="clear" w:pos="8176"/>
              <w:tab w:val="right" w:pos="9026" w:leader="dot"/>
            </w:tabs>
            <w:rPr/>
          </w:pPr>
          <w:hyperlink w:anchor="__RefHeading___Toc348044_2142443653">
            <w:r>
              <w:rPr>
                <w:webHidden/>
                <w:rStyle w:val="IndexLink"/>
                <w:rtl w:val="true"/>
              </w:rPr>
              <w:t>بحث حول روایة محمّد عن الفضل وتمییزهما</w:t>
            </w:r>
            <w:r>
              <w:rPr>
                <w:rStyle w:val="IndexLink"/>
                <w:rtl w:val="true"/>
              </w:rPr>
              <w:tab/>
            </w:r>
            <w:r>
              <w:rPr>
                <w:rStyle w:val="IndexLink"/>
              </w:rPr>
              <w:t>255</w:t>
            </w:r>
          </w:hyperlink>
        </w:p>
        <w:p>
          <w:pPr>
            <w:pStyle w:val="Contents4"/>
            <w:tabs>
              <w:tab w:val="clear" w:pos="8176"/>
              <w:tab w:val="right" w:pos="9026" w:leader="dot"/>
            </w:tabs>
            <w:rPr/>
          </w:pPr>
          <w:hyperlink w:anchor="__RefHeading___Toc348046_2142443653">
            <w:r>
              <w:rPr>
                <w:webHidden/>
                <w:rStyle w:val="IndexLink"/>
                <w:rtl w:val="true"/>
              </w:rPr>
              <w:t>أبو اسحاق الذی روی عنه الحجّال هو ثعلبة بن میمون</w:t>
            </w:r>
            <w:r>
              <w:rPr>
                <w:rStyle w:val="IndexLink"/>
                <w:rtl w:val="true"/>
              </w:rPr>
              <w:tab/>
            </w:r>
            <w:r>
              <w:rPr>
                <w:rStyle w:val="IndexLink"/>
              </w:rPr>
              <w:t>256</w:t>
            </w:r>
          </w:hyperlink>
        </w:p>
        <w:p>
          <w:pPr>
            <w:pStyle w:val="Contents4"/>
            <w:tabs>
              <w:tab w:val="clear" w:pos="8176"/>
              <w:tab w:val="right" w:pos="9026" w:leader="dot"/>
            </w:tabs>
            <w:rPr/>
          </w:pPr>
          <w:hyperlink w:anchor="__RefHeading___Toc348048_2142443653">
            <w:r>
              <w:rPr>
                <w:webHidden/>
                <w:rStyle w:val="IndexLink"/>
                <w:rtl w:val="true"/>
              </w:rPr>
              <w:t>حکم الأنین والنفخ فی حال الصلاة</w:t>
            </w:r>
            <w:r>
              <w:rPr>
                <w:rStyle w:val="IndexLink"/>
                <w:rtl w:val="true"/>
              </w:rPr>
              <w:tab/>
            </w:r>
            <w:r>
              <w:rPr>
                <w:rStyle w:val="IndexLink"/>
              </w:rPr>
              <w:t>257</w:t>
            </w:r>
          </w:hyperlink>
        </w:p>
        <w:p>
          <w:pPr>
            <w:pStyle w:val="Contents3"/>
            <w:tabs>
              <w:tab w:val="clear" w:pos="8459"/>
              <w:tab w:val="right" w:pos="9026" w:leader="dot"/>
            </w:tabs>
            <w:rPr/>
          </w:pPr>
          <w:hyperlink w:anchor="__RefHeading___Toc348050_2142443653">
            <w:r>
              <w:rPr>
                <w:webHidden/>
                <w:rStyle w:val="IndexLink"/>
                <w:rtl w:val="true"/>
              </w:rPr>
              <w:t>من یسجد فتقع جبهته علی موضع مرتفع</w:t>
            </w:r>
            <w:r>
              <w:rPr>
                <w:rStyle w:val="IndexLink"/>
                <w:rtl w:val="true"/>
              </w:rPr>
              <w:tab/>
            </w:r>
            <w:r>
              <w:rPr>
                <w:rStyle w:val="IndexLink"/>
              </w:rPr>
              <w:t>258</w:t>
            </w:r>
          </w:hyperlink>
        </w:p>
        <w:p>
          <w:pPr>
            <w:pStyle w:val="Contents4"/>
            <w:tabs>
              <w:tab w:val="clear" w:pos="8176"/>
              <w:tab w:val="right" w:pos="9026" w:leader="dot"/>
            </w:tabs>
            <w:rPr/>
          </w:pPr>
          <w:hyperlink w:anchor="__RefHeading___Toc348052_2142443653">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348054_2142443653">
            <w:r>
              <w:rPr>
                <w:webHidden/>
                <w:rStyle w:val="IndexLink"/>
                <w:rtl w:val="true"/>
              </w:rPr>
              <w:t>أبو مالک الحضرمی ثقة</w:t>
            </w:r>
            <w:r>
              <w:rPr>
                <w:rStyle w:val="IndexLink"/>
                <w:rtl w:val="true"/>
              </w:rPr>
              <w:tab/>
            </w:r>
            <w:r>
              <w:rPr>
                <w:rStyle w:val="IndexLink"/>
              </w:rPr>
              <w:t>260</w:t>
            </w:r>
          </w:hyperlink>
        </w:p>
        <w:p>
          <w:pPr>
            <w:pStyle w:val="Contents4"/>
            <w:tabs>
              <w:tab w:val="clear" w:pos="8176"/>
              <w:tab w:val="right" w:pos="9026" w:leader="dot"/>
            </w:tabs>
            <w:rPr/>
          </w:pPr>
          <w:hyperlink w:anchor="__RefHeading___Toc348056_2142443653">
            <w:r>
              <w:rPr>
                <w:webHidden/>
                <w:rStyle w:val="IndexLink"/>
                <w:rtl w:val="true"/>
              </w:rPr>
              <w:t>بحث حول معاویة بن حکیم</w:t>
            </w:r>
            <w:r>
              <w:rPr>
                <w:rStyle w:val="IndexLink"/>
                <w:rtl w:val="true"/>
              </w:rPr>
              <w:tab/>
            </w:r>
            <w:r>
              <w:rPr>
                <w:rStyle w:val="IndexLink"/>
              </w:rPr>
              <w:t>260</w:t>
            </w:r>
          </w:hyperlink>
        </w:p>
        <w:p>
          <w:pPr>
            <w:pStyle w:val="Contents4"/>
            <w:tabs>
              <w:tab w:val="clear" w:pos="8176"/>
              <w:tab w:val="right" w:pos="9026" w:leader="dot"/>
            </w:tabs>
            <w:rPr/>
          </w:pPr>
          <w:hyperlink w:anchor="__RefHeading___Toc348058_2142443653">
            <w:r>
              <w:rPr>
                <w:webHidden/>
                <w:rStyle w:val="IndexLink"/>
                <w:rtl w:val="true"/>
              </w:rPr>
              <w:t>الحسن بن حماد والحسین بن حماد مهملان</w:t>
            </w:r>
            <w:r>
              <w:rPr>
                <w:rStyle w:val="IndexLink"/>
                <w:rtl w:val="true"/>
              </w:rPr>
              <w:tab/>
            </w:r>
            <w:r>
              <w:rPr>
                <w:rStyle w:val="IndexLink"/>
              </w:rPr>
              <w:t>260</w:t>
            </w:r>
          </w:hyperlink>
        </w:p>
        <w:p>
          <w:pPr>
            <w:pStyle w:val="Contents4"/>
            <w:tabs>
              <w:tab w:val="clear" w:pos="8176"/>
              <w:tab w:val="right" w:pos="9026" w:leader="dot"/>
            </w:tabs>
            <w:rPr/>
          </w:pPr>
          <w:hyperlink w:anchor="__RefHeading___Toc348060_2142443653">
            <w:r>
              <w:rPr>
                <w:webHidden/>
                <w:rStyle w:val="IndexLink"/>
                <w:rtl w:val="true"/>
              </w:rPr>
              <w:t>حکم ارتفاع موضع السجود عن موقف المصلّی</w:t>
            </w:r>
            <w:r>
              <w:rPr>
                <w:rStyle w:val="IndexLink"/>
                <w:rtl w:val="true"/>
              </w:rPr>
              <w:tab/>
            </w:r>
            <w:r>
              <w:rPr>
                <w:rStyle w:val="IndexLink"/>
              </w:rPr>
              <w:t>261</w:t>
            </w:r>
          </w:hyperlink>
        </w:p>
        <w:p>
          <w:pPr>
            <w:pStyle w:val="Contents4"/>
            <w:tabs>
              <w:tab w:val="clear" w:pos="8176"/>
              <w:tab w:val="right" w:pos="9026" w:leader="dot"/>
            </w:tabs>
            <w:rPr/>
          </w:pPr>
          <w:hyperlink w:anchor="__RefHeading___Toc348062_2142443653">
            <w:r>
              <w:rPr>
                <w:webHidden/>
                <w:rStyle w:val="IndexLink"/>
                <w:rtl w:val="true"/>
              </w:rPr>
              <w:t>بیان ما دلّ علی لزوم رفع الرأس من الموضع المرتفع وما دل علی لزوم جرّ الجبهة والجمع بینهما</w:t>
            </w:r>
            <w:r>
              <w:rPr>
                <w:rStyle w:val="IndexLink"/>
                <w:rtl w:val="true"/>
              </w:rPr>
              <w:tab/>
            </w:r>
            <w:r>
              <w:rPr>
                <w:rStyle w:val="IndexLink"/>
              </w:rPr>
              <w:t>262</w:t>
            </w:r>
          </w:hyperlink>
        </w:p>
        <w:p>
          <w:pPr>
            <w:pStyle w:val="Contents3"/>
            <w:tabs>
              <w:tab w:val="clear" w:pos="8459"/>
              <w:tab w:val="right" w:pos="9026" w:leader="dot"/>
            </w:tabs>
            <w:rPr/>
          </w:pPr>
          <w:hyperlink w:anchor="__RefHeading___Toc348064_2142443653">
            <w:r>
              <w:rPr>
                <w:webHidden/>
                <w:rStyle w:val="IndexLink"/>
                <w:rtl w:val="true"/>
              </w:rPr>
              <w:t>السجود علی القطن والکتان</w:t>
            </w:r>
            <w:r>
              <w:rPr>
                <w:rStyle w:val="IndexLink"/>
                <w:rtl w:val="true"/>
              </w:rPr>
              <w:tab/>
            </w:r>
            <w:r>
              <w:rPr>
                <w:rStyle w:val="IndexLink"/>
              </w:rPr>
              <w:t>264</w:t>
            </w:r>
          </w:hyperlink>
        </w:p>
        <w:p>
          <w:pPr>
            <w:pStyle w:val="Contents4"/>
            <w:tabs>
              <w:tab w:val="clear" w:pos="8176"/>
              <w:tab w:val="right" w:pos="9026" w:leader="dot"/>
            </w:tabs>
            <w:rPr/>
          </w:pPr>
          <w:hyperlink w:anchor="__RefHeading___Toc348066_2142443653">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348068_2142443653">
            <w:r>
              <w:rPr>
                <w:webHidden/>
                <w:rStyle w:val="IndexLink"/>
                <w:rtl w:val="true"/>
              </w:rPr>
              <w:t>إشارة إلی حال أبی العباس الفضل بن عبدالملک</w:t>
            </w:r>
            <w:r>
              <w:rPr>
                <w:rStyle w:val="IndexLink"/>
                <w:rtl w:val="true"/>
              </w:rPr>
              <w:tab/>
            </w:r>
            <w:r>
              <w:rPr>
                <w:rStyle w:val="IndexLink"/>
              </w:rPr>
              <w:t>268</w:t>
            </w:r>
          </w:hyperlink>
        </w:p>
        <w:p>
          <w:pPr>
            <w:pStyle w:val="Contents4"/>
            <w:tabs>
              <w:tab w:val="clear" w:pos="8176"/>
              <w:tab w:val="right" w:pos="9026" w:leader="dot"/>
            </w:tabs>
            <w:rPr/>
          </w:pPr>
          <w:hyperlink w:anchor="__RefHeading___Toc348070_2142443653">
            <w:r>
              <w:rPr>
                <w:webHidden/>
                <w:rStyle w:val="IndexLink"/>
                <w:rtl w:val="true"/>
              </w:rPr>
              <w:t>بحث حول یاسر الخادم</w:t>
            </w:r>
            <w:r>
              <w:rPr>
                <w:rStyle w:val="IndexLink"/>
                <w:rtl w:val="true"/>
              </w:rPr>
              <w:tab/>
            </w:r>
            <w:r>
              <w:rPr>
                <w:rStyle w:val="IndexLink"/>
              </w:rPr>
              <w:t>268</w:t>
            </w:r>
          </w:hyperlink>
        </w:p>
        <w:p>
          <w:pPr>
            <w:pStyle w:val="Contents4"/>
            <w:tabs>
              <w:tab w:val="clear" w:pos="8176"/>
              <w:tab w:val="right" w:pos="9026" w:leader="dot"/>
            </w:tabs>
            <w:rPr/>
          </w:pPr>
          <w:hyperlink w:anchor="__RefHeading___Toc348072_2142443653">
            <w:r>
              <w:rPr>
                <w:webHidden/>
                <w:rStyle w:val="IndexLink"/>
                <w:rtl w:val="true"/>
              </w:rPr>
              <w:t>بحث حول أحمد بن اسحاق</w:t>
            </w:r>
            <w:r>
              <w:rPr>
                <w:rStyle w:val="IndexLink"/>
                <w:rtl w:val="true"/>
              </w:rPr>
              <w:tab/>
            </w:r>
            <w:r>
              <w:rPr>
                <w:rStyle w:val="IndexLink"/>
              </w:rPr>
              <w:t>268</w:t>
            </w:r>
          </w:hyperlink>
        </w:p>
        <w:p>
          <w:pPr>
            <w:pStyle w:val="Contents4"/>
            <w:tabs>
              <w:tab w:val="clear" w:pos="8176"/>
              <w:tab w:val="right" w:pos="9026" w:leader="dot"/>
            </w:tabs>
            <w:rPr/>
          </w:pPr>
          <w:hyperlink w:anchor="__RefHeading___Toc348074_2142443653">
            <w:r>
              <w:rPr>
                <w:webHidden/>
                <w:rStyle w:val="IndexLink"/>
                <w:rtl w:val="true"/>
              </w:rPr>
              <w:t>بحث حول وهیب بن حفص</w:t>
            </w:r>
            <w:r>
              <w:rPr>
                <w:rStyle w:val="IndexLink"/>
                <w:rtl w:val="true"/>
              </w:rPr>
              <w:tab/>
            </w:r>
            <w:r>
              <w:rPr>
                <w:rStyle w:val="IndexLink"/>
              </w:rPr>
              <w:t>269</w:t>
            </w:r>
          </w:hyperlink>
        </w:p>
        <w:p>
          <w:pPr>
            <w:pStyle w:val="Contents4"/>
            <w:tabs>
              <w:tab w:val="clear" w:pos="8176"/>
              <w:tab w:val="right" w:pos="9026" w:leader="dot"/>
            </w:tabs>
            <w:rPr/>
          </w:pPr>
          <w:hyperlink w:anchor="__RefHeading___Toc348076_2142443653">
            <w:r>
              <w:rPr>
                <w:webHidden/>
                <w:rStyle w:val="IndexLink"/>
                <w:rtl w:val="true"/>
              </w:rPr>
              <w:t>داود الصرمی مهمل</w:t>
            </w:r>
            <w:r>
              <w:rPr>
                <w:rStyle w:val="IndexLink"/>
                <w:rtl w:val="true"/>
              </w:rPr>
              <w:tab/>
            </w:r>
            <w:r>
              <w:rPr>
                <w:rStyle w:val="IndexLink"/>
              </w:rPr>
              <w:t>269</w:t>
            </w:r>
          </w:hyperlink>
        </w:p>
        <w:p>
          <w:pPr>
            <w:pStyle w:val="Contents4"/>
            <w:tabs>
              <w:tab w:val="clear" w:pos="8176"/>
              <w:tab w:val="right" w:pos="9026" w:leader="dot"/>
            </w:tabs>
            <w:rPr/>
          </w:pPr>
          <w:hyperlink w:anchor="__RefHeading___Toc348078_2142443653">
            <w:r>
              <w:rPr>
                <w:webHidden/>
                <w:rStyle w:val="IndexLink"/>
                <w:rtl w:val="true"/>
              </w:rPr>
              <w:t>إشارة إلی حال محمد بن عبدالحمید</w:t>
            </w:r>
            <w:r>
              <w:rPr>
                <w:rStyle w:val="IndexLink"/>
                <w:rtl w:val="true"/>
              </w:rPr>
              <w:tab/>
            </w:r>
            <w:r>
              <w:rPr>
                <w:rStyle w:val="IndexLink"/>
              </w:rPr>
              <w:t>269</w:t>
            </w:r>
          </w:hyperlink>
        </w:p>
        <w:p>
          <w:pPr>
            <w:pStyle w:val="Contents4"/>
            <w:tabs>
              <w:tab w:val="clear" w:pos="8176"/>
              <w:tab w:val="right" w:pos="9026" w:leader="dot"/>
            </w:tabs>
            <w:rPr/>
          </w:pPr>
          <w:hyperlink w:anchor="__RefHeading___Toc348080_2142443653">
            <w:r>
              <w:rPr>
                <w:webHidden/>
                <w:rStyle w:val="IndexLink"/>
                <w:rtl w:val="true"/>
              </w:rPr>
              <w:t>مثنّی الحناط لا بأس به</w:t>
            </w:r>
            <w:r>
              <w:rPr>
                <w:rStyle w:val="IndexLink"/>
                <w:rtl w:val="true"/>
              </w:rPr>
              <w:tab/>
            </w:r>
            <w:r>
              <w:rPr>
                <w:rStyle w:val="IndexLink"/>
              </w:rPr>
              <w:t>269</w:t>
            </w:r>
          </w:hyperlink>
        </w:p>
        <w:p>
          <w:pPr>
            <w:pStyle w:val="Contents4"/>
            <w:tabs>
              <w:tab w:val="clear" w:pos="8176"/>
              <w:tab w:val="right" w:pos="9026" w:leader="dot"/>
            </w:tabs>
            <w:rPr/>
          </w:pPr>
          <w:hyperlink w:anchor="__RefHeading___Toc348082_2142443653">
            <w:r>
              <w:rPr>
                <w:webHidden/>
                <w:rStyle w:val="IndexLink"/>
                <w:rtl w:val="true"/>
              </w:rPr>
              <w:t>بحث حول عتیبة بیّاع القصب</w:t>
            </w:r>
            <w:r>
              <w:rPr>
                <w:rStyle w:val="IndexLink"/>
                <w:rtl w:val="true"/>
              </w:rPr>
              <w:tab/>
            </w:r>
            <w:r>
              <w:rPr>
                <w:rStyle w:val="IndexLink"/>
              </w:rPr>
              <w:t>270</w:t>
            </w:r>
          </w:hyperlink>
        </w:p>
        <w:p>
          <w:pPr>
            <w:pStyle w:val="Contents4"/>
            <w:tabs>
              <w:tab w:val="clear" w:pos="8176"/>
              <w:tab w:val="right" w:pos="9026" w:leader="dot"/>
            </w:tabs>
            <w:rPr/>
          </w:pPr>
          <w:hyperlink w:anchor="__RefHeading___Toc348084_2142443653">
            <w:r>
              <w:rPr>
                <w:webHidden/>
                <w:rStyle w:val="IndexLink"/>
                <w:rtl w:val="true"/>
              </w:rPr>
              <w:t>بحث حول القاسم بن الفضیل</w:t>
            </w:r>
            <w:r>
              <w:rPr>
                <w:rStyle w:val="IndexLink"/>
                <w:rtl w:val="true"/>
              </w:rPr>
              <w:tab/>
            </w:r>
            <w:r>
              <w:rPr>
                <w:rStyle w:val="IndexLink"/>
              </w:rPr>
              <w:t>270</w:t>
            </w:r>
          </w:hyperlink>
        </w:p>
        <w:p>
          <w:pPr>
            <w:pStyle w:val="Contents4"/>
            <w:tabs>
              <w:tab w:val="clear" w:pos="8176"/>
              <w:tab w:val="right" w:pos="9026" w:leader="dot"/>
            </w:tabs>
            <w:rPr/>
          </w:pPr>
          <w:hyperlink w:anchor="__RefHeading___Toc348086_2142443653">
            <w:r>
              <w:rPr>
                <w:webHidden/>
                <w:rStyle w:val="IndexLink"/>
                <w:rtl w:val="true"/>
              </w:rPr>
              <w:t>بحث حول عباد بن سلیمان</w:t>
            </w:r>
            <w:r>
              <w:rPr>
                <w:rStyle w:val="IndexLink"/>
                <w:rtl w:val="true"/>
              </w:rPr>
              <w:tab/>
            </w:r>
            <w:r>
              <w:rPr>
                <w:rStyle w:val="IndexLink"/>
              </w:rPr>
              <w:t>270</w:t>
            </w:r>
          </w:hyperlink>
        </w:p>
        <w:p>
          <w:pPr>
            <w:pStyle w:val="Contents4"/>
            <w:tabs>
              <w:tab w:val="clear" w:pos="8176"/>
              <w:tab w:val="right" w:pos="9026" w:leader="dot"/>
            </w:tabs>
            <w:rPr/>
          </w:pPr>
          <w:hyperlink w:anchor="__RefHeading___Toc348088_2142443653">
            <w:r>
              <w:rPr>
                <w:webHidden/>
                <w:rStyle w:val="IndexLink"/>
                <w:rtl w:val="true"/>
              </w:rPr>
              <w:t>محمد بن القاسم بن الفضیل ثقة</w:t>
            </w:r>
            <w:r>
              <w:rPr>
                <w:rStyle w:val="IndexLink"/>
                <w:rtl w:val="true"/>
              </w:rPr>
              <w:tab/>
            </w:r>
            <w:r>
              <w:rPr>
                <w:rStyle w:val="IndexLink"/>
              </w:rPr>
              <w:t>271</w:t>
            </w:r>
          </w:hyperlink>
        </w:p>
        <w:p>
          <w:pPr>
            <w:pStyle w:val="Contents4"/>
            <w:tabs>
              <w:tab w:val="clear" w:pos="8176"/>
              <w:tab w:val="right" w:pos="9026" w:leader="dot"/>
            </w:tabs>
            <w:rPr/>
          </w:pPr>
          <w:hyperlink w:anchor="__RefHeading___Toc348090_2142443653">
            <w:r>
              <w:rPr>
                <w:webHidden/>
                <w:rStyle w:val="IndexLink"/>
                <w:rtl w:val="true"/>
              </w:rPr>
              <w:t>أحمد بن عمر مشترک</w:t>
            </w:r>
            <w:r>
              <w:rPr>
                <w:rStyle w:val="IndexLink"/>
                <w:rtl w:val="true"/>
              </w:rPr>
              <w:tab/>
            </w:r>
            <w:r>
              <w:rPr>
                <w:rStyle w:val="IndexLink"/>
              </w:rPr>
              <w:t>271</w:t>
            </w:r>
          </w:hyperlink>
        </w:p>
        <w:p>
          <w:pPr>
            <w:pStyle w:val="Contents4"/>
            <w:tabs>
              <w:tab w:val="clear" w:pos="8176"/>
              <w:tab w:val="right" w:pos="9026" w:leader="dot"/>
            </w:tabs>
            <w:rPr/>
          </w:pPr>
          <w:hyperlink w:anchor="__RefHeading___Toc348092_2142443653">
            <w:r>
              <w:rPr>
                <w:webHidden/>
                <w:rStyle w:val="IndexLink"/>
                <w:rtl w:val="true"/>
              </w:rPr>
              <w:t>الحسین بن علی بن کیسان غیر مذکور فی الرجال</w:t>
            </w:r>
            <w:r>
              <w:rPr>
                <w:rStyle w:val="IndexLink"/>
                <w:rtl w:val="true"/>
              </w:rPr>
              <w:tab/>
            </w:r>
            <w:r>
              <w:rPr>
                <w:rStyle w:val="IndexLink"/>
              </w:rPr>
              <w:t>272</w:t>
            </w:r>
          </w:hyperlink>
        </w:p>
        <w:p>
          <w:pPr>
            <w:pStyle w:val="Contents4"/>
            <w:tabs>
              <w:tab w:val="clear" w:pos="8176"/>
              <w:tab w:val="right" w:pos="9026" w:leader="dot"/>
            </w:tabs>
            <w:rPr/>
          </w:pPr>
          <w:hyperlink w:anchor="__RefHeading___Toc348094_2142443653">
            <w:r>
              <w:rPr>
                <w:webHidden/>
                <w:rStyle w:val="IndexLink"/>
                <w:rtl w:val="true"/>
              </w:rPr>
              <w:t>کلام العلّامة فی مسألة السجود علی القطن والکتان ، والمناقشة فیه</w:t>
            </w:r>
            <w:r>
              <w:rPr>
                <w:rStyle w:val="IndexLink"/>
                <w:rtl w:val="true"/>
              </w:rPr>
              <w:tab/>
            </w:r>
            <w:r>
              <w:rPr>
                <w:rStyle w:val="IndexLink"/>
              </w:rPr>
              <w:t>272</w:t>
            </w:r>
          </w:hyperlink>
        </w:p>
        <w:p>
          <w:pPr>
            <w:pStyle w:val="Contents4"/>
            <w:tabs>
              <w:tab w:val="clear" w:pos="8176"/>
              <w:tab w:val="right" w:pos="9026" w:leader="dot"/>
            </w:tabs>
            <w:rPr/>
          </w:pPr>
          <w:hyperlink w:anchor="__RefHeading___Toc348096_2142443653">
            <w:r>
              <w:rPr>
                <w:webHidden/>
                <w:rStyle w:val="IndexLink"/>
                <w:rtl w:val="true"/>
              </w:rPr>
              <w:t>بیان ما دل علی عدم جواز السجود علی القطن والکتان</w:t>
            </w:r>
            <w:r>
              <w:rPr>
                <w:rStyle w:val="IndexLink"/>
                <w:rtl w:val="true"/>
              </w:rPr>
              <w:tab/>
            </w:r>
            <w:r>
              <w:rPr>
                <w:rStyle w:val="IndexLink"/>
              </w:rPr>
              <w:t>273</w:t>
            </w:r>
          </w:hyperlink>
        </w:p>
        <w:p>
          <w:pPr>
            <w:pStyle w:val="Contents4"/>
            <w:tabs>
              <w:tab w:val="clear" w:pos="8176"/>
              <w:tab w:val="right" w:pos="9026" w:leader="dot"/>
            </w:tabs>
            <w:rPr/>
          </w:pPr>
          <w:hyperlink w:anchor="__RefHeading___Toc348098_2142443653">
            <w:r>
              <w:rPr>
                <w:webHidden/>
                <w:rStyle w:val="IndexLink"/>
                <w:rtl w:val="true"/>
              </w:rPr>
              <w:t>بیان ما دل علی عدم جواز السجود علی الحیوان والطعام</w:t>
            </w:r>
            <w:r>
              <w:rPr>
                <w:rStyle w:val="IndexLink"/>
                <w:rtl w:val="true"/>
              </w:rPr>
              <w:tab/>
            </w:r>
            <w:r>
              <w:rPr>
                <w:rStyle w:val="IndexLink"/>
              </w:rPr>
              <w:t>273</w:t>
            </w:r>
          </w:hyperlink>
        </w:p>
        <w:p>
          <w:pPr>
            <w:pStyle w:val="Contents4"/>
            <w:tabs>
              <w:tab w:val="clear" w:pos="8176"/>
              <w:tab w:val="right" w:pos="9026" w:leader="dot"/>
            </w:tabs>
            <w:rPr/>
          </w:pPr>
          <w:hyperlink w:anchor="__RefHeading___Toc348100_2142443653">
            <w:r>
              <w:rPr>
                <w:webHidden/>
                <w:rStyle w:val="IndexLink"/>
                <w:rtl w:val="true"/>
              </w:rPr>
              <w:t>توجیه ما دل علی جواز السجود علی الطبری</w:t>
            </w:r>
            <w:r>
              <w:rPr>
                <w:rStyle w:val="IndexLink"/>
                <w:rtl w:val="true"/>
              </w:rPr>
              <w:tab/>
            </w:r>
            <w:r>
              <w:rPr>
                <w:rStyle w:val="IndexLink"/>
              </w:rPr>
              <w:t>276</w:t>
            </w:r>
          </w:hyperlink>
        </w:p>
        <w:p>
          <w:pPr>
            <w:pStyle w:val="Contents4"/>
            <w:tabs>
              <w:tab w:val="clear" w:pos="8176"/>
              <w:tab w:val="right" w:pos="9026" w:leader="dot"/>
            </w:tabs>
            <w:rPr/>
          </w:pPr>
          <w:hyperlink w:anchor="__RefHeading___Toc348102_2142443653">
            <w:r>
              <w:rPr>
                <w:webHidden/>
                <w:rStyle w:val="IndexLink"/>
                <w:rtl w:val="true"/>
              </w:rPr>
              <w:t>توجیه ما دل علی جواز السجود علی القطن والکتان من غیر تقیة</w:t>
            </w:r>
            <w:r>
              <w:rPr>
                <w:rStyle w:val="IndexLink"/>
                <w:rtl w:val="true"/>
              </w:rPr>
              <w:tab/>
            </w:r>
            <w:r>
              <w:rPr>
                <w:rStyle w:val="IndexLink"/>
              </w:rPr>
              <w:t>277</w:t>
            </w:r>
          </w:hyperlink>
        </w:p>
        <w:p>
          <w:pPr>
            <w:pStyle w:val="Contents4"/>
            <w:tabs>
              <w:tab w:val="clear" w:pos="8176"/>
              <w:tab w:val="right" w:pos="9026" w:leader="dot"/>
            </w:tabs>
            <w:rPr/>
          </w:pPr>
          <w:hyperlink w:anchor="__RefHeading___Toc348104_2142443653">
            <w:r>
              <w:rPr>
                <w:webHidden/>
                <w:rStyle w:val="IndexLink"/>
                <w:rtl w:val="true"/>
              </w:rPr>
              <w:t>بیان ما دل علی السجود علی ظهر الکفّ والکُمّ</w:t>
            </w:r>
            <w:r>
              <w:rPr>
                <w:rStyle w:val="IndexLink"/>
                <w:rtl w:val="true"/>
              </w:rPr>
              <w:tab/>
            </w:r>
            <w:r>
              <w:rPr>
                <w:rStyle w:val="IndexLink"/>
              </w:rPr>
              <w:t>278</w:t>
            </w:r>
          </w:hyperlink>
        </w:p>
        <w:p>
          <w:pPr>
            <w:pStyle w:val="Contents4"/>
            <w:tabs>
              <w:tab w:val="clear" w:pos="8176"/>
              <w:tab w:val="right" w:pos="9026" w:leader="dot"/>
            </w:tabs>
            <w:rPr/>
          </w:pPr>
          <w:hyperlink w:anchor="__RefHeading___Toc348106_2142443653">
            <w:r>
              <w:rPr>
                <w:webHidden/>
                <w:rStyle w:val="IndexLink"/>
                <w:rtl w:val="true"/>
              </w:rPr>
              <w:t>توجیه ما دل علی جواز السجود علی القطن والکتان من غیر تقیة ولا ضرورة</w:t>
            </w:r>
            <w:r>
              <w:rPr>
                <w:rStyle w:val="IndexLink"/>
                <w:rtl w:val="true"/>
              </w:rPr>
              <w:tab/>
            </w:r>
            <w:r>
              <w:rPr>
                <w:rStyle w:val="IndexLink"/>
              </w:rPr>
              <w:t>278</w:t>
            </w:r>
          </w:hyperlink>
        </w:p>
        <w:p>
          <w:pPr>
            <w:pStyle w:val="Contents4"/>
            <w:tabs>
              <w:tab w:val="clear" w:pos="8176"/>
              <w:tab w:val="right" w:pos="9026" w:leader="dot"/>
            </w:tabs>
            <w:rPr/>
          </w:pPr>
          <w:hyperlink w:anchor="__RefHeading___Toc348108_2142443653">
            <w:r>
              <w:rPr>
                <w:webHidden/>
                <w:rStyle w:val="IndexLink"/>
                <w:rtl w:val="true"/>
              </w:rPr>
              <w:t>معنی المسح والریاش</w:t>
            </w:r>
            <w:r>
              <w:rPr>
                <w:rStyle w:val="IndexLink"/>
                <w:rtl w:val="true"/>
              </w:rPr>
              <w:tab/>
            </w:r>
            <w:r>
              <w:rPr>
                <w:rStyle w:val="IndexLink"/>
              </w:rPr>
              <w:t>278</w:t>
            </w:r>
          </w:hyperlink>
        </w:p>
        <w:p>
          <w:pPr>
            <w:pStyle w:val="Contents3"/>
            <w:tabs>
              <w:tab w:val="clear" w:pos="8459"/>
              <w:tab w:val="right" w:pos="9026" w:leader="dot"/>
            </w:tabs>
            <w:rPr/>
          </w:pPr>
          <w:hyperlink w:anchor="__RefHeading___Toc348110_2142443653">
            <w:r>
              <w:rPr>
                <w:webHidden/>
                <w:rStyle w:val="IndexLink"/>
                <w:rtl w:val="true"/>
              </w:rPr>
              <w:t>السجود علی القیر والقفر</w:t>
            </w:r>
            <w:r>
              <w:rPr>
                <w:rStyle w:val="IndexLink"/>
                <w:rtl w:val="true"/>
              </w:rPr>
              <w:tab/>
            </w:r>
            <w:r>
              <w:rPr>
                <w:rStyle w:val="IndexLink"/>
              </w:rPr>
              <w:t>279</w:t>
            </w:r>
          </w:hyperlink>
        </w:p>
        <w:p>
          <w:pPr>
            <w:pStyle w:val="Contents4"/>
            <w:tabs>
              <w:tab w:val="clear" w:pos="8176"/>
              <w:tab w:val="right" w:pos="9026" w:leader="dot"/>
            </w:tabs>
            <w:rPr/>
          </w:pPr>
          <w:hyperlink w:anchor="__RefHeading___Toc348112_2142443653">
            <w:r>
              <w:rPr>
                <w:webHidden/>
                <w:rStyle w:val="IndexLink"/>
                <w:rtl w:val="true"/>
              </w:rPr>
              <w:t>بحث حول علی بن اسماعیل</w:t>
            </w:r>
            <w:r>
              <w:rPr>
                <w:rStyle w:val="IndexLink"/>
                <w:rtl w:val="true"/>
              </w:rPr>
              <w:tab/>
            </w:r>
            <w:r>
              <w:rPr>
                <w:rStyle w:val="IndexLink"/>
              </w:rPr>
              <w:t>279</w:t>
            </w:r>
          </w:hyperlink>
        </w:p>
        <w:p>
          <w:pPr>
            <w:pStyle w:val="Contents4"/>
            <w:tabs>
              <w:tab w:val="clear" w:pos="8176"/>
              <w:tab w:val="right" w:pos="9026" w:leader="dot"/>
            </w:tabs>
            <w:rPr/>
          </w:pPr>
          <w:hyperlink w:anchor="__RefHeading___Toc348114_2142443653">
            <w:r>
              <w:rPr>
                <w:webHidden/>
                <w:rStyle w:val="IndexLink"/>
                <w:rtl w:val="true"/>
              </w:rPr>
              <w:t>محمد بن أبی حمزة مشترک بین ثقة ومهمل</w:t>
            </w:r>
            <w:r>
              <w:rPr>
                <w:rStyle w:val="IndexLink"/>
                <w:rtl w:val="true"/>
              </w:rPr>
              <w:tab/>
            </w:r>
            <w:r>
              <w:rPr>
                <w:rStyle w:val="IndexLink"/>
              </w:rPr>
              <w:t>280</w:t>
            </w:r>
          </w:hyperlink>
        </w:p>
        <w:p>
          <w:pPr>
            <w:pStyle w:val="Contents4"/>
            <w:tabs>
              <w:tab w:val="clear" w:pos="8176"/>
              <w:tab w:val="right" w:pos="9026" w:leader="dot"/>
            </w:tabs>
            <w:rPr/>
          </w:pPr>
          <w:hyperlink w:anchor="__RefHeading___Toc348116_2142443653">
            <w:r>
              <w:rPr>
                <w:webHidden/>
                <w:rStyle w:val="IndexLink"/>
                <w:rtl w:val="true"/>
              </w:rPr>
              <w:t>بیان ما دل علی النهی عن السجود علی القیر والقفر والصاروج وتوجیه ما یعارضه</w:t>
            </w:r>
            <w:r>
              <w:rPr>
                <w:rStyle w:val="IndexLink"/>
                <w:rtl w:val="true"/>
              </w:rPr>
              <w:tab/>
            </w:r>
            <w:r>
              <w:rPr>
                <w:rStyle w:val="IndexLink"/>
              </w:rPr>
              <w:t>281</w:t>
            </w:r>
          </w:hyperlink>
        </w:p>
        <w:p>
          <w:pPr>
            <w:pStyle w:val="Contents4"/>
            <w:tabs>
              <w:tab w:val="clear" w:pos="8176"/>
              <w:tab w:val="right" w:pos="9026" w:leader="dot"/>
            </w:tabs>
            <w:rPr/>
          </w:pPr>
          <w:hyperlink w:anchor="__RefHeading___Toc348118_2142443653">
            <w:r>
              <w:rPr>
                <w:webHidden/>
                <w:rStyle w:val="IndexLink"/>
                <w:rtl w:val="true"/>
              </w:rPr>
              <w:t>معنی القفر والصاروج</w:t>
            </w:r>
            <w:r>
              <w:rPr>
                <w:rStyle w:val="IndexLink"/>
                <w:rtl w:val="true"/>
              </w:rPr>
              <w:tab/>
            </w:r>
            <w:r>
              <w:rPr>
                <w:rStyle w:val="IndexLink"/>
              </w:rPr>
              <w:t>283</w:t>
            </w:r>
          </w:hyperlink>
        </w:p>
        <w:p>
          <w:pPr>
            <w:pStyle w:val="Contents3"/>
            <w:tabs>
              <w:tab w:val="clear" w:pos="8459"/>
              <w:tab w:val="right" w:pos="9026" w:leader="dot"/>
            </w:tabs>
            <w:rPr/>
          </w:pPr>
          <w:hyperlink w:anchor="__RefHeading___Toc348120_2142443653">
            <w:r>
              <w:rPr>
                <w:webHidden/>
                <w:rStyle w:val="IndexLink"/>
                <w:rtl w:val="true"/>
              </w:rPr>
              <w:t>السجود علی القرطاس فیه کتابة</w:t>
            </w:r>
            <w:r>
              <w:rPr>
                <w:rStyle w:val="IndexLink"/>
                <w:rtl w:val="true"/>
              </w:rPr>
              <w:tab/>
            </w:r>
            <w:r>
              <w:rPr>
                <w:rStyle w:val="IndexLink"/>
              </w:rPr>
              <w:t>284</w:t>
            </w:r>
          </w:hyperlink>
        </w:p>
        <w:p>
          <w:pPr>
            <w:pStyle w:val="Contents4"/>
            <w:tabs>
              <w:tab w:val="clear" w:pos="8176"/>
              <w:tab w:val="right" w:pos="9026" w:leader="dot"/>
            </w:tabs>
            <w:rPr/>
          </w:pPr>
          <w:hyperlink w:anchor="__RefHeading___Toc348122_2142443653">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348124_2142443653">
            <w:r>
              <w:rPr>
                <w:webHidden/>
                <w:rStyle w:val="IndexLink"/>
                <w:rtl w:val="true"/>
              </w:rPr>
              <w:t>داود بن فرقد ثقة</w:t>
            </w:r>
            <w:r>
              <w:rPr>
                <w:rStyle w:val="IndexLink"/>
                <w:rtl w:val="true"/>
              </w:rPr>
              <w:tab/>
            </w:r>
            <w:r>
              <w:rPr>
                <w:rStyle w:val="IndexLink"/>
              </w:rPr>
              <w:t>285</w:t>
            </w:r>
          </w:hyperlink>
        </w:p>
        <w:p>
          <w:pPr>
            <w:pStyle w:val="Contents4"/>
            <w:tabs>
              <w:tab w:val="clear" w:pos="8176"/>
              <w:tab w:val="right" w:pos="9026" w:leader="dot"/>
            </w:tabs>
            <w:rPr/>
          </w:pPr>
          <w:hyperlink w:anchor="__RefHeading___Toc348126_2142443653">
            <w:r>
              <w:rPr>
                <w:webHidden/>
                <w:rStyle w:val="IndexLink"/>
                <w:rtl w:val="true"/>
              </w:rPr>
              <w:t>بیان ما دل علی کراهة السجود علی القرطاس المکتوب علیه</w:t>
            </w:r>
            <w:r>
              <w:rPr>
                <w:rStyle w:val="IndexLink"/>
                <w:rtl w:val="true"/>
              </w:rPr>
              <w:tab/>
            </w:r>
            <w:r>
              <w:rPr>
                <w:rStyle w:val="IndexLink"/>
              </w:rPr>
              <w:t>285</w:t>
            </w:r>
          </w:hyperlink>
        </w:p>
        <w:p>
          <w:pPr>
            <w:pStyle w:val="Contents4"/>
            <w:tabs>
              <w:tab w:val="clear" w:pos="8176"/>
              <w:tab w:val="right" w:pos="9026" w:leader="dot"/>
            </w:tabs>
            <w:rPr/>
          </w:pPr>
          <w:hyperlink w:anchor="__RefHeading___Toc348128_2142443653">
            <w:r>
              <w:rPr>
                <w:webHidden/>
                <w:rStyle w:val="IndexLink"/>
                <w:rtl w:val="true"/>
              </w:rPr>
              <w:t>معنی القرطاس</w:t>
            </w:r>
            <w:r>
              <w:rPr>
                <w:rStyle w:val="IndexLink"/>
                <w:rtl w:val="true"/>
              </w:rPr>
              <w:tab/>
            </w:r>
            <w:r>
              <w:rPr>
                <w:rStyle w:val="IndexLink"/>
              </w:rPr>
              <w:t>287</w:t>
            </w:r>
          </w:hyperlink>
        </w:p>
        <w:p>
          <w:pPr>
            <w:pStyle w:val="Contents3"/>
            <w:tabs>
              <w:tab w:val="clear" w:pos="8459"/>
              <w:tab w:val="right" w:pos="9026" w:leader="dot"/>
            </w:tabs>
            <w:rPr/>
          </w:pPr>
          <w:hyperlink w:anchor="__RefHeading___Toc348130_2142443653">
            <w:r>
              <w:rPr>
                <w:webHidden/>
                <w:rStyle w:val="IndexLink"/>
                <w:rtl w:val="true"/>
              </w:rPr>
              <w:t>السجود علی شی‌ء لیس علیه سائر البدن</w:t>
            </w:r>
            <w:r>
              <w:rPr>
                <w:rStyle w:val="IndexLink"/>
                <w:rtl w:val="true"/>
              </w:rPr>
              <w:tab/>
            </w:r>
            <w:r>
              <w:rPr>
                <w:rStyle w:val="IndexLink"/>
              </w:rPr>
              <w:t>288</w:t>
            </w:r>
          </w:hyperlink>
        </w:p>
        <w:p>
          <w:pPr>
            <w:pStyle w:val="Contents4"/>
            <w:tabs>
              <w:tab w:val="clear" w:pos="8176"/>
              <w:tab w:val="right" w:pos="9026" w:leader="dot"/>
            </w:tabs>
            <w:rPr/>
          </w:pPr>
          <w:hyperlink w:anchor="__RefHeading___Toc348132_2142443653">
            <w:r>
              <w:rPr>
                <w:webHidden/>
                <w:rStyle w:val="IndexLink"/>
                <w:rtl w:val="true"/>
              </w:rPr>
              <w:t>عبدالرحمان بن أبی عقبة مجهول الحال</w:t>
            </w:r>
            <w:r>
              <w:rPr>
                <w:rStyle w:val="IndexLink"/>
                <w:rtl w:val="true"/>
              </w:rPr>
              <w:tab/>
            </w:r>
            <w:r>
              <w:rPr>
                <w:rStyle w:val="IndexLink"/>
              </w:rPr>
              <w:t>288</w:t>
            </w:r>
          </w:hyperlink>
        </w:p>
        <w:p>
          <w:pPr>
            <w:pStyle w:val="Contents4"/>
            <w:tabs>
              <w:tab w:val="clear" w:pos="8176"/>
              <w:tab w:val="right" w:pos="9026" w:leader="dot"/>
            </w:tabs>
            <w:rPr/>
          </w:pPr>
          <w:hyperlink w:anchor="__RefHeading___Toc348134_2142443653">
            <w:r>
              <w:rPr>
                <w:webHidden/>
                <w:rStyle w:val="IndexLink"/>
                <w:rtl w:val="true"/>
              </w:rPr>
              <w:t>محمد بن یحیی الخزاز ثقة</w:t>
            </w:r>
            <w:r>
              <w:rPr>
                <w:rStyle w:val="IndexLink"/>
                <w:rtl w:val="true"/>
              </w:rPr>
              <w:tab/>
            </w:r>
            <w:r>
              <w:rPr>
                <w:rStyle w:val="IndexLink"/>
              </w:rPr>
              <w:t>289</w:t>
            </w:r>
          </w:hyperlink>
        </w:p>
        <w:p>
          <w:pPr>
            <w:pStyle w:val="Contents4"/>
            <w:tabs>
              <w:tab w:val="clear" w:pos="8176"/>
              <w:tab w:val="right" w:pos="9026" w:leader="dot"/>
            </w:tabs>
            <w:rPr/>
          </w:pPr>
          <w:hyperlink w:anchor="__RefHeading___Toc348136_2142443653">
            <w:r>
              <w:rPr>
                <w:webHidden/>
                <w:rStyle w:val="IndexLink"/>
                <w:rtl w:val="true"/>
              </w:rPr>
              <w:t>بحث حول غیاث بن ابراهیم</w:t>
            </w:r>
            <w:r>
              <w:rPr>
                <w:rStyle w:val="IndexLink"/>
                <w:rtl w:val="true"/>
              </w:rPr>
              <w:tab/>
            </w:r>
            <w:r>
              <w:rPr>
                <w:rStyle w:val="IndexLink"/>
              </w:rPr>
              <w:t>289</w:t>
            </w:r>
          </w:hyperlink>
        </w:p>
        <w:p>
          <w:pPr>
            <w:pStyle w:val="Contents4"/>
            <w:tabs>
              <w:tab w:val="clear" w:pos="8176"/>
              <w:tab w:val="right" w:pos="9026" w:leader="dot"/>
            </w:tabs>
            <w:rPr/>
          </w:pPr>
          <w:hyperlink w:anchor="__RefHeading___Toc348138_2142443653">
            <w:r>
              <w:rPr>
                <w:webHidden/>
                <w:rStyle w:val="IndexLink"/>
                <w:rtl w:val="true"/>
              </w:rPr>
              <w:t>بیان ما دل علی جواز السجود علی شیء لیس علیه سائر البدن</w:t>
            </w:r>
            <w:r>
              <w:rPr>
                <w:rStyle w:val="IndexLink"/>
                <w:rtl w:val="true"/>
              </w:rPr>
              <w:tab/>
            </w:r>
            <w:r>
              <w:rPr>
                <w:rStyle w:val="IndexLink"/>
              </w:rPr>
              <w:t>290</w:t>
            </w:r>
          </w:hyperlink>
        </w:p>
        <w:p>
          <w:pPr>
            <w:pStyle w:val="Contents4"/>
            <w:tabs>
              <w:tab w:val="clear" w:pos="8176"/>
              <w:tab w:val="right" w:pos="9026" w:leader="dot"/>
            </w:tabs>
            <w:rPr/>
          </w:pPr>
          <w:hyperlink w:anchor="__RefHeading___Toc348140_2142443653">
            <w:r>
              <w:rPr>
                <w:webHidden/>
                <w:rStyle w:val="IndexLink"/>
                <w:rtl w:val="true"/>
              </w:rPr>
              <w:t>معنی الخُمرة</w:t>
            </w:r>
            <w:r>
              <w:rPr>
                <w:rStyle w:val="IndexLink"/>
                <w:rtl w:val="true"/>
              </w:rPr>
              <w:tab/>
            </w:r>
            <w:r>
              <w:rPr>
                <w:rStyle w:val="IndexLink"/>
              </w:rPr>
              <w:t>290</w:t>
            </w:r>
          </w:hyperlink>
        </w:p>
        <w:p>
          <w:pPr>
            <w:pStyle w:val="Contents3"/>
            <w:tabs>
              <w:tab w:val="clear" w:pos="8459"/>
              <w:tab w:val="right" w:pos="9026" w:leader="dot"/>
            </w:tabs>
            <w:rPr/>
          </w:pPr>
          <w:hyperlink w:anchor="__RefHeading___Toc348142_2142443653">
            <w:r>
              <w:rPr>
                <w:webHidden/>
                <w:rStyle w:val="IndexLink"/>
                <w:rtl w:val="true"/>
              </w:rPr>
              <w:t>السجود علی الثلج</w:t>
            </w:r>
            <w:r>
              <w:rPr>
                <w:rStyle w:val="IndexLink"/>
                <w:rtl w:val="true"/>
              </w:rPr>
              <w:tab/>
            </w:r>
            <w:r>
              <w:rPr>
                <w:rStyle w:val="IndexLink"/>
              </w:rPr>
              <w:t>290</w:t>
            </w:r>
          </w:hyperlink>
        </w:p>
        <w:p>
          <w:pPr>
            <w:pStyle w:val="Contents4"/>
            <w:tabs>
              <w:tab w:val="clear" w:pos="8176"/>
              <w:tab w:val="right" w:pos="9026" w:leader="dot"/>
            </w:tabs>
            <w:rPr/>
          </w:pPr>
          <w:hyperlink w:anchor="__RefHeading___Toc348144_2142443653">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348146_2142443653">
            <w:r>
              <w:rPr>
                <w:webHidden/>
                <w:rStyle w:val="IndexLink"/>
                <w:rtl w:val="true"/>
              </w:rPr>
              <w:t>معمّر بن خلّاد ثقة</w:t>
            </w:r>
            <w:r>
              <w:rPr>
                <w:rStyle w:val="IndexLink"/>
                <w:rtl w:val="true"/>
              </w:rPr>
              <w:tab/>
            </w:r>
            <w:r>
              <w:rPr>
                <w:rStyle w:val="IndexLink"/>
              </w:rPr>
              <w:t>291</w:t>
            </w:r>
          </w:hyperlink>
        </w:p>
        <w:p>
          <w:pPr>
            <w:pStyle w:val="Contents4"/>
            <w:tabs>
              <w:tab w:val="clear" w:pos="8176"/>
              <w:tab w:val="right" w:pos="9026" w:leader="dot"/>
            </w:tabs>
            <w:rPr/>
          </w:pPr>
          <w:hyperlink w:anchor="__RefHeading___Toc348148_2142443653">
            <w:r>
              <w:rPr>
                <w:webHidden/>
                <w:rStyle w:val="IndexLink"/>
                <w:rtl w:val="true"/>
              </w:rPr>
              <w:t>داود الصرمی مهمل</w:t>
            </w:r>
            <w:r>
              <w:rPr>
                <w:rStyle w:val="IndexLink"/>
                <w:rtl w:val="true"/>
              </w:rPr>
              <w:tab/>
            </w:r>
            <w:r>
              <w:rPr>
                <w:rStyle w:val="IndexLink"/>
              </w:rPr>
              <w:t>291</w:t>
            </w:r>
          </w:hyperlink>
        </w:p>
        <w:p>
          <w:pPr>
            <w:pStyle w:val="Contents4"/>
            <w:tabs>
              <w:tab w:val="clear" w:pos="8176"/>
              <w:tab w:val="right" w:pos="9026" w:leader="dot"/>
            </w:tabs>
            <w:rPr/>
          </w:pPr>
          <w:hyperlink w:anchor="__RefHeading___Toc348150_2142443653">
            <w:r>
              <w:rPr>
                <w:webHidden/>
                <w:rStyle w:val="IndexLink"/>
                <w:rtl w:val="true"/>
              </w:rPr>
              <w:t>بیان ما دلّ علی النهی عن السجود علی الثلج والسبخة والجواز عند الضرورة</w:t>
            </w:r>
            <w:r>
              <w:rPr>
                <w:rStyle w:val="IndexLink"/>
                <w:rtl w:val="true"/>
              </w:rPr>
              <w:tab/>
            </w:r>
            <w:r>
              <w:rPr>
                <w:rStyle w:val="IndexLink"/>
              </w:rPr>
              <w:t>291</w:t>
            </w:r>
          </w:hyperlink>
        </w:p>
        <w:p>
          <w:pPr>
            <w:pStyle w:val="Contents2"/>
            <w:tabs>
              <w:tab w:val="clear" w:pos="8743"/>
              <w:tab w:val="right" w:pos="9026" w:leader="dot"/>
            </w:tabs>
            <w:rPr/>
          </w:pPr>
          <w:hyperlink w:anchor="__RefHeading___Toc348152_2142443653">
            <w:r>
              <w:rPr>
                <w:webHidden/>
                <w:rStyle w:val="IndexLink"/>
                <w:rtl w:val="true"/>
              </w:rPr>
              <w:t>أبواب القنوت وأحکامه</w:t>
            </w:r>
            <w:r>
              <w:rPr>
                <w:rStyle w:val="IndexLink"/>
                <w:rtl w:val="true"/>
              </w:rPr>
              <w:tab/>
            </w:r>
            <w:r>
              <w:rPr>
                <w:rStyle w:val="IndexLink"/>
              </w:rPr>
              <w:t>293</w:t>
            </w:r>
          </w:hyperlink>
        </w:p>
        <w:p>
          <w:pPr>
            <w:pStyle w:val="Contents3"/>
            <w:tabs>
              <w:tab w:val="clear" w:pos="8459"/>
              <w:tab w:val="right" w:pos="9026" w:leader="dot"/>
            </w:tabs>
            <w:rPr/>
          </w:pPr>
          <w:hyperlink w:anchor="__RefHeading___Toc348154_2142443653">
            <w:r>
              <w:rPr>
                <w:webHidden/>
                <w:rStyle w:val="IndexLink"/>
                <w:rtl w:val="true"/>
              </w:rPr>
              <w:t>رفع الیدین بالتکبیر إلی القنوت فی الصلوات الخمس</w:t>
            </w:r>
            <w:r>
              <w:rPr>
                <w:rStyle w:val="IndexLink"/>
                <w:rtl w:val="true"/>
              </w:rPr>
              <w:tab/>
            </w:r>
            <w:r>
              <w:rPr>
                <w:rStyle w:val="IndexLink"/>
              </w:rPr>
              <w:t>293</w:t>
            </w:r>
          </w:hyperlink>
        </w:p>
        <w:p>
          <w:pPr>
            <w:pStyle w:val="Contents4"/>
            <w:tabs>
              <w:tab w:val="clear" w:pos="8176"/>
              <w:tab w:val="right" w:pos="9026" w:leader="dot"/>
            </w:tabs>
            <w:rPr/>
          </w:pPr>
          <w:hyperlink w:anchor="__RefHeading___Toc348156_2142443653">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348158_2142443653">
            <w:r>
              <w:rPr>
                <w:webHidden/>
                <w:rStyle w:val="IndexLink"/>
                <w:rtl w:val="true"/>
              </w:rPr>
              <w:t>أشارة إلی حال عبدالله بن المغیرة</w:t>
            </w:r>
            <w:r>
              <w:rPr>
                <w:rStyle w:val="IndexLink"/>
                <w:rtl w:val="true"/>
              </w:rPr>
              <w:tab/>
            </w:r>
            <w:r>
              <w:rPr>
                <w:rStyle w:val="IndexLink"/>
              </w:rPr>
              <w:t>295</w:t>
            </w:r>
          </w:hyperlink>
        </w:p>
        <w:p>
          <w:pPr>
            <w:pStyle w:val="Contents4"/>
            <w:tabs>
              <w:tab w:val="clear" w:pos="8176"/>
              <w:tab w:val="right" w:pos="9026" w:leader="dot"/>
            </w:tabs>
            <w:rPr/>
          </w:pPr>
          <w:hyperlink w:anchor="__RefHeading___Toc348160_2142443653">
            <w:r>
              <w:rPr>
                <w:webHidden/>
                <w:rStyle w:val="IndexLink"/>
                <w:rtl w:val="true"/>
              </w:rPr>
              <w:t xml:space="preserve">بحث حول إسناد عبارة عبدالله بن المغیرة المبدوّة بقوله </w:t>
            </w:r>
            <w:r>
              <w:rPr>
                <w:rStyle w:val="IndexLink"/>
                <w:rtl w:val="true"/>
              </w:rPr>
              <w:t xml:space="preserve">: </w:t>
            </w:r>
            <w:r>
              <w:rPr>
                <w:rStyle w:val="IndexLink"/>
                <w:rtl w:val="true"/>
              </w:rPr>
              <w:t xml:space="preserve">وفسّرهنّ </w:t>
            </w:r>
            <w:r>
              <w:rPr>
                <w:rStyle w:val="IndexLink"/>
                <w:rtl w:val="true"/>
              </w:rPr>
              <w:t xml:space="preserve">... </w:t>
            </w:r>
            <w:r>
              <w:rPr>
                <w:rStyle w:val="IndexLink"/>
                <w:rtl w:val="true"/>
              </w:rPr>
              <w:t>، إلی الامام علیه 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348162_2142443653">
            <w:r>
              <w:rPr>
                <w:webHidden/>
                <w:rStyle w:val="IndexLink"/>
                <w:rtl w:val="true"/>
              </w:rPr>
              <w:t>موسی بن عمر مشترک</w:t>
            </w:r>
            <w:r>
              <w:rPr>
                <w:rStyle w:val="IndexLink"/>
                <w:rtl w:val="true"/>
              </w:rPr>
              <w:tab/>
            </w:r>
            <w:r>
              <w:rPr>
                <w:rStyle w:val="IndexLink"/>
              </w:rPr>
              <w:t>296</w:t>
            </w:r>
          </w:hyperlink>
        </w:p>
        <w:p>
          <w:pPr>
            <w:pStyle w:val="Contents4"/>
            <w:tabs>
              <w:tab w:val="clear" w:pos="8176"/>
              <w:tab w:val="right" w:pos="9026" w:leader="dot"/>
            </w:tabs>
            <w:rPr/>
          </w:pPr>
          <w:hyperlink w:anchor="__RefHeading___Toc348164_2142443653">
            <w:r>
              <w:rPr>
                <w:webHidden/>
                <w:rStyle w:val="IndexLink"/>
                <w:rtl w:val="true"/>
              </w:rPr>
              <w:t>بحث حول الصباح المزنی</w:t>
            </w:r>
            <w:r>
              <w:rPr>
                <w:rStyle w:val="IndexLink"/>
                <w:rtl w:val="true"/>
              </w:rPr>
              <w:tab/>
            </w:r>
            <w:r>
              <w:rPr>
                <w:rStyle w:val="IndexLink"/>
              </w:rPr>
              <w:t>296</w:t>
            </w:r>
          </w:hyperlink>
        </w:p>
        <w:p>
          <w:pPr>
            <w:pStyle w:val="Contents4"/>
            <w:tabs>
              <w:tab w:val="clear" w:pos="8176"/>
              <w:tab w:val="right" w:pos="9026" w:leader="dot"/>
            </w:tabs>
            <w:rPr/>
          </w:pPr>
          <w:hyperlink w:anchor="__RefHeading___Toc348166_2142443653">
            <w:r>
              <w:rPr>
                <w:webHidden/>
                <w:rStyle w:val="IndexLink"/>
                <w:rtl w:val="true"/>
              </w:rPr>
              <w:t>اشارة الی حال سیف بن عمیرة وابی بکر الحضرمی</w:t>
            </w:r>
            <w:r>
              <w:rPr>
                <w:rStyle w:val="IndexLink"/>
                <w:rtl w:val="true"/>
              </w:rPr>
              <w:tab/>
            </w:r>
            <w:r>
              <w:rPr>
                <w:rStyle w:val="IndexLink"/>
              </w:rPr>
              <w:t>297</w:t>
            </w:r>
          </w:hyperlink>
        </w:p>
        <w:p>
          <w:pPr>
            <w:pStyle w:val="Contents4"/>
            <w:tabs>
              <w:tab w:val="clear" w:pos="8176"/>
              <w:tab w:val="right" w:pos="9026" w:leader="dot"/>
            </w:tabs>
            <w:rPr/>
          </w:pPr>
          <w:hyperlink w:anchor="__RefHeading___Toc348168_2142443653">
            <w:r>
              <w:rPr>
                <w:webHidden/>
                <w:rStyle w:val="IndexLink"/>
                <w:rtl w:val="true"/>
              </w:rPr>
              <w:t>بیان ما دلّ علی عدد التکبیرات فی الصلوات الخمس</w:t>
            </w:r>
            <w:r>
              <w:rPr>
                <w:rStyle w:val="IndexLink"/>
                <w:rtl w:val="true"/>
              </w:rPr>
              <w:tab/>
            </w:r>
            <w:r>
              <w:rPr>
                <w:rStyle w:val="IndexLink"/>
              </w:rPr>
              <w:t>297</w:t>
            </w:r>
          </w:hyperlink>
        </w:p>
        <w:p>
          <w:pPr>
            <w:pStyle w:val="Contents4"/>
            <w:tabs>
              <w:tab w:val="clear" w:pos="8176"/>
              <w:tab w:val="right" w:pos="9026" w:leader="dot"/>
            </w:tabs>
            <w:rPr/>
          </w:pPr>
          <w:hyperlink w:anchor="__RefHeading___Toc348170_2142443653">
            <w:r>
              <w:rPr>
                <w:webHidden/>
                <w:rStyle w:val="IndexLink"/>
                <w:rtl w:val="true"/>
              </w:rPr>
              <w:t>معنی الحول والقوّة</w:t>
            </w:r>
            <w:r>
              <w:rPr>
                <w:rStyle w:val="IndexLink"/>
                <w:rtl w:val="true"/>
              </w:rPr>
              <w:tab/>
            </w:r>
            <w:r>
              <w:rPr>
                <w:rStyle w:val="IndexLink"/>
              </w:rPr>
              <w:t>299</w:t>
            </w:r>
          </w:hyperlink>
        </w:p>
        <w:p>
          <w:pPr>
            <w:pStyle w:val="Contents3"/>
            <w:tabs>
              <w:tab w:val="clear" w:pos="8459"/>
              <w:tab w:val="right" w:pos="9026" w:leader="dot"/>
            </w:tabs>
            <w:rPr/>
          </w:pPr>
          <w:hyperlink w:anchor="__RefHeading___Toc348172_2142443653">
            <w:r>
              <w:rPr>
                <w:webHidden/>
                <w:rStyle w:val="IndexLink"/>
                <w:rtl w:val="true"/>
              </w:rPr>
              <w:t>السنّة فی القنوت</w:t>
            </w:r>
            <w:r>
              <w:rPr>
                <w:rStyle w:val="IndexLink"/>
                <w:rtl w:val="true"/>
              </w:rPr>
              <w:tab/>
            </w:r>
            <w:r>
              <w:rPr>
                <w:rStyle w:val="IndexLink"/>
              </w:rPr>
              <w:t>299</w:t>
            </w:r>
          </w:hyperlink>
        </w:p>
        <w:p>
          <w:pPr>
            <w:pStyle w:val="Contents4"/>
            <w:tabs>
              <w:tab w:val="clear" w:pos="8176"/>
              <w:tab w:val="right" w:pos="9026" w:leader="dot"/>
            </w:tabs>
            <w:rPr/>
          </w:pPr>
          <w:hyperlink w:anchor="__RefHeading___Toc348174_2142443653">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348176_2142443653">
            <w:r>
              <w:rPr>
                <w:webHidden/>
                <w:rStyle w:val="IndexLink"/>
                <w:rtl w:val="true"/>
              </w:rPr>
              <w:t>إشارة حال عبدالله بن بکیر</w:t>
            </w:r>
            <w:r>
              <w:rPr>
                <w:rStyle w:val="IndexLink"/>
                <w:rtl w:val="true"/>
              </w:rPr>
              <w:tab/>
            </w:r>
            <w:r>
              <w:rPr>
                <w:rStyle w:val="IndexLink"/>
              </w:rPr>
              <w:t>301</w:t>
            </w:r>
          </w:hyperlink>
        </w:p>
        <w:p>
          <w:pPr>
            <w:pStyle w:val="Contents4"/>
            <w:tabs>
              <w:tab w:val="clear" w:pos="8176"/>
              <w:tab w:val="right" w:pos="9026" w:leader="dot"/>
            </w:tabs>
            <w:rPr/>
          </w:pPr>
          <w:hyperlink w:anchor="__RefHeading___Toc348178_2142443653">
            <w:r>
              <w:rPr>
                <w:webHidden/>
                <w:rStyle w:val="IndexLink"/>
                <w:rtl w:val="true"/>
              </w:rPr>
              <w:t>کلمة حول روایة الحسین بن سعید عن صفوان</w:t>
            </w:r>
            <w:r>
              <w:rPr>
                <w:rStyle w:val="IndexLink"/>
                <w:rtl w:val="true"/>
              </w:rPr>
              <w:tab/>
            </w:r>
            <w:r>
              <w:rPr>
                <w:rStyle w:val="IndexLink"/>
              </w:rPr>
              <w:t>301</w:t>
            </w:r>
          </w:hyperlink>
        </w:p>
        <w:p>
          <w:pPr>
            <w:pStyle w:val="Contents4"/>
            <w:tabs>
              <w:tab w:val="clear" w:pos="8176"/>
              <w:tab w:val="right" w:pos="9026" w:leader="dot"/>
            </w:tabs>
            <w:rPr/>
          </w:pPr>
          <w:hyperlink w:anchor="__RefHeading___Toc348180_2142443653">
            <w:r>
              <w:rPr>
                <w:webHidden/>
                <w:rStyle w:val="IndexLink"/>
                <w:rtl w:val="true"/>
              </w:rPr>
              <w:t xml:space="preserve">بحث حول ما قیل </w:t>
            </w:r>
            <w:r>
              <w:rPr>
                <w:rStyle w:val="IndexLink"/>
                <w:rtl w:val="true"/>
              </w:rPr>
              <w:t xml:space="preserve">: </w:t>
            </w:r>
            <w:r>
              <w:rPr>
                <w:rStyle w:val="IndexLink"/>
                <w:rtl w:val="true"/>
              </w:rPr>
              <w:t>إنّ عبدالله بن مسکان لم یرو عن أبی عبدالله علیه السلام إلّا حدیثاً واحداً</w:t>
            </w:r>
            <w:r>
              <w:rPr>
                <w:rStyle w:val="IndexLink"/>
                <w:rtl w:val="true"/>
              </w:rPr>
              <w:tab/>
            </w:r>
            <w:r>
              <w:rPr>
                <w:rStyle w:val="IndexLink"/>
              </w:rPr>
              <w:t>301</w:t>
            </w:r>
          </w:hyperlink>
        </w:p>
        <w:p>
          <w:pPr>
            <w:pStyle w:val="Contents4"/>
            <w:tabs>
              <w:tab w:val="clear" w:pos="8176"/>
              <w:tab w:val="right" w:pos="9026" w:leader="dot"/>
            </w:tabs>
            <w:rPr/>
          </w:pPr>
          <w:hyperlink w:anchor="__RefHeading___Toc348182_2142443653">
            <w:r>
              <w:rPr>
                <w:webHidden/>
                <w:rStyle w:val="IndexLink"/>
                <w:rtl w:val="true"/>
              </w:rPr>
              <w:t>تمییز علی بن الحکم</w:t>
            </w:r>
            <w:r>
              <w:rPr>
                <w:rStyle w:val="IndexLink"/>
                <w:rtl w:val="true"/>
              </w:rPr>
              <w:tab/>
            </w:r>
            <w:r>
              <w:rPr>
                <w:rStyle w:val="IndexLink"/>
              </w:rPr>
              <w:t>302</w:t>
            </w:r>
          </w:hyperlink>
        </w:p>
        <w:p>
          <w:pPr>
            <w:pStyle w:val="Contents4"/>
            <w:tabs>
              <w:tab w:val="clear" w:pos="8176"/>
              <w:tab w:val="right" w:pos="9026" w:leader="dot"/>
            </w:tabs>
            <w:rPr/>
          </w:pPr>
          <w:hyperlink w:anchor="__RefHeading___Toc348184_2142443653">
            <w:r>
              <w:rPr>
                <w:webHidden/>
                <w:rStyle w:val="IndexLink"/>
                <w:rtl w:val="true"/>
              </w:rPr>
              <w:t>توضیح حول روایة أبی أیوب الخزاز عن أبی بصیر</w:t>
            </w:r>
            <w:r>
              <w:rPr>
                <w:rStyle w:val="IndexLink"/>
                <w:rtl w:val="true"/>
              </w:rPr>
              <w:tab/>
            </w:r>
            <w:r>
              <w:rPr>
                <w:rStyle w:val="IndexLink"/>
              </w:rPr>
              <w:t>302</w:t>
            </w:r>
          </w:hyperlink>
        </w:p>
        <w:p>
          <w:pPr>
            <w:pStyle w:val="Contents4"/>
            <w:tabs>
              <w:tab w:val="clear" w:pos="8176"/>
              <w:tab w:val="right" w:pos="9026" w:leader="dot"/>
            </w:tabs>
            <w:rPr/>
          </w:pPr>
          <w:hyperlink w:anchor="__RefHeading___Toc348186_2142443653">
            <w:r>
              <w:rPr>
                <w:webHidden/>
                <w:rStyle w:val="IndexLink"/>
                <w:rtl w:val="true"/>
              </w:rPr>
              <w:t>وهب مشترک بین مهمل وثقة وعامی</w:t>
            </w:r>
            <w:r>
              <w:rPr>
                <w:rStyle w:val="IndexLink"/>
                <w:rtl w:val="true"/>
              </w:rPr>
              <w:tab/>
            </w:r>
            <w:r>
              <w:rPr>
                <w:rStyle w:val="IndexLink"/>
              </w:rPr>
              <w:t>303</w:t>
            </w:r>
          </w:hyperlink>
        </w:p>
        <w:p>
          <w:pPr>
            <w:pStyle w:val="Contents4"/>
            <w:tabs>
              <w:tab w:val="clear" w:pos="8176"/>
              <w:tab w:val="right" w:pos="9026" w:leader="dot"/>
            </w:tabs>
            <w:rPr/>
          </w:pPr>
          <w:hyperlink w:anchor="__RefHeading___Toc348188_2142443653">
            <w:r>
              <w:rPr>
                <w:webHidden/>
                <w:rStyle w:val="IndexLink"/>
                <w:rtl w:val="true"/>
              </w:rPr>
              <w:t xml:space="preserve">توضیح عبارة </w:t>
            </w:r>
            <w:r>
              <w:rPr>
                <w:rStyle w:val="IndexLink"/>
                <w:rtl w:val="true"/>
              </w:rPr>
              <w:t xml:space="preserve">: </w:t>
            </w:r>
            <w:r>
              <w:rPr>
                <w:rStyle w:val="IndexLink"/>
                <w:rtl w:val="true"/>
              </w:rPr>
              <w:t>قال الحسن ، فی ذیل روایة محمد بن مسلم</w:t>
            </w:r>
            <w:r>
              <w:rPr>
                <w:rStyle w:val="IndexLink"/>
                <w:rtl w:val="true"/>
              </w:rPr>
              <w:tab/>
            </w:r>
            <w:r>
              <w:rPr>
                <w:rStyle w:val="IndexLink"/>
              </w:rPr>
              <w:t>303</w:t>
            </w:r>
          </w:hyperlink>
        </w:p>
        <w:p>
          <w:pPr>
            <w:pStyle w:val="Contents4"/>
            <w:tabs>
              <w:tab w:val="clear" w:pos="8176"/>
              <w:tab w:val="right" w:pos="9026" w:leader="dot"/>
            </w:tabs>
            <w:rPr/>
          </w:pPr>
          <w:hyperlink w:anchor="__RefHeading___Toc348190_2142443653">
            <w:r>
              <w:rPr>
                <w:webHidden/>
                <w:rStyle w:val="IndexLink"/>
                <w:rtl w:val="true"/>
              </w:rPr>
              <w:t>اختلاف العلماء فی وجوب القنوت واستحبابه</w:t>
            </w:r>
            <w:r>
              <w:rPr>
                <w:rStyle w:val="IndexLink"/>
                <w:rtl w:val="true"/>
              </w:rPr>
              <w:tab/>
            </w:r>
            <w:r>
              <w:rPr>
                <w:rStyle w:val="IndexLink"/>
              </w:rPr>
              <w:t>304</w:t>
            </w:r>
          </w:hyperlink>
        </w:p>
        <w:p>
          <w:pPr>
            <w:pStyle w:val="Contents4"/>
            <w:tabs>
              <w:tab w:val="clear" w:pos="8176"/>
              <w:tab w:val="right" w:pos="9026" w:leader="dot"/>
            </w:tabs>
            <w:rPr/>
          </w:pPr>
          <w:hyperlink w:anchor="__RefHeading___Toc348192_2142443653">
            <w:r>
              <w:rPr>
                <w:webHidden/>
                <w:rStyle w:val="IndexLink"/>
                <w:rtl w:val="true"/>
              </w:rPr>
              <w:t>بیان ما دل علی رجحان القنوت</w:t>
            </w:r>
            <w:r>
              <w:rPr>
                <w:rStyle w:val="IndexLink"/>
                <w:rtl w:val="true"/>
              </w:rPr>
              <w:tab/>
            </w:r>
            <w:r>
              <w:rPr>
                <w:rStyle w:val="IndexLink"/>
              </w:rPr>
              <w:t>304</w:t>
            </w:r>
          </w:hyperlink>
        </w:p>
        <w:p>
          <w:pPr>
            <w:pStyle w:val="Contents4"/>
            <w:tabs>
              <w:tab w:val="clear" w:pos="8176"/>
              <w:tab w:val="right" w:pos="9026" w:leader="dot"/>
            </w:tabs>
            <w:rPr/>
          </w:pPr>
          <w:hyperlink w:anchor="__RefHeading___Toc348194_2142443653">
            <w:r>
              <w:rPr>
                <w:webHidden/>
                <w:rStyle w:val="IndexLink"/>
                <w:rtl w:val="true"/>
              </w:rPr>
              <w:t>بیان ما دل علی وجوب القنوت فی الجهریة أو مطلقاً</w:t>
            </w:r>
            <w:r>
              <w:rPr>
                <w:rStyle w:val="IndexLink"/>
                <w:rtl w:val="true"/>
              </w:rPr>
              <w:tab/>
            </w:r>
            <w:r>
              <w:rPr>
                <w:rStyle w:val="IndexLink"/>
              </w:rPr>
              <w:t>305</w:t>
            </w:r>
          </w:hyperlink>
        </w:p>
        <w:p>
          <w:pPr>
            <w:pStyle w:val="Contents4"/>
            <w:tabs>
              <w:tab w:val="clear" w:pos="8176"/>
              <w:tab w:val="right" w:pos="9026" w:leader="dot"/>
            </w:tabs>
            <w:rPr/>
          </w:pPr>
          <w:hyperlink w:anchor="__RefHeading___Toc348196_2142443653">
            <w:r>
              <w:rPr>
                <w:webHidden/>
                <w:rStyle w:val="IndexLink"/>
                <w:rtl w:val="true"/>
              </w:rPr>
              <w:t>بیان ما دل علی تعدّد القنوت فی الجمعة</w:t>
            </w:r>
            <w:r>
              <w:rPr>
                <w:rStyle w:val="IndexLink"/>
                <w:rtl w:val="true"/>
              </w:rPr>
              <w:tab/>
            </w:r>
            <w:r>
              <w:rPr>
                <w:rStyle w:val="IndexLink"/>
              </w:rPr>
              <w:t>307</w:t>
            </w:r>
          </w:hyperlink>
        </w:p>
        <w:p>
          <w:pPr>
            <w:pStyle w:val="Contents4"/>
            <w:tabs>
              <w:tab w:val="clear" w:pos="8176"/>
              <w:tab w:val="right" w:pos="9026" w:leader="dot"/>
            </w:tabs>
            <w:rPr/>
          </w:pPr>
          <w:hyperlink w:anchor="__RefHeading___Toc348198_2142443653">
            <w:r>
              <w:rPr>
                <w:webHidden/>
                <w:rStyle w:val="IndexLink"/>
                <w:rtl w:val="true"/>
              </w:rPr>
              <w:t>بیان ما دل علی أنّ من ترک القنوت رغبة عنه لا صلاة له</w:t>
            </w:r>
            <w:r>
              <w:rPr>
                <w:rStyle w:val="IndexLink"/>
                <w:rtl w:val="true"/>
              </w:rPr>
              <w:tab/>
            </w:r>
            <w:r>
              <w:rPr>
                <w:rStyle w:val="IndexLink"/>
              </w:rPr>
              <w:t>308</w:t>
            </w:r>
          </w:hyperlink>
        </w:p>
        <w:p>
          <w:pPr>
            <w:pStyle w:val="Contents4"/>
            <w:tabs>
              <w:tab w:val="clear" w:pos="8176"/>
              <w:tab w:val="right" w:pos="9026" w:leader="dot"/>
            </w:tabs>
            <w:rPr/>
          </w:pPr>
          <w:hyperlink w:anchor="__RefHeading___Toc348200_2142443653">
            <w:r>
              <w:rPr>
                <w:webHidden/>
                <w:rStyle w:val="IndexLink"/>
                <w:rtl w:val="true"/>
              </w:rPr>
              <w:t>أدلّة القائلین بوجوب القنوت وما فیها من النقض والابرام</w:t>
            </w:r>
            <w:r>
              <w:rPr>
                <w:rStyle w:val="IndexLink"/>
                <w:rtl w:val="true"/>
              </w:rPr>
              <w:tab/>
            </w:r>
            <w:r>
              <w:rPr>
                <w:rStyle w:val="IndexLink"/>
              </w:rPr>
              <w:t>308</w:t>
            </w:r>
          </w:hyperlink>
        </w:p>
        <w:p>
          <w:pPr>
            <w:pStyle w:val="Contents4"/>
            <w:tabs>
              <w:tab w:val="clear" w:pos="8176"/>
              <w:tab w:val="right" w:pos="9026" w:leader="dot"/>
            </w:tabs>
            <w:rPr/>
          </w:pPr>
          <w:hyperlink w:anchor="__RefHeading___Toc348202_2142443653">
            <w:r>
              <w:rPr>
                <w:webHidden/>
                <w:rStyle w:val="IndexLink"/>
                <w:rtl w:val="true"/>
              </w:rPr>
              <w:t>بحث حول عبدالملک بن عمرو</w:t>
            </w:r>
            <w:r>
              <w:rPr>
                <w:rStyle w:val="IndexLink"/>
                <w:rtl w:val="true"/>
              </w:rPr>
              <w:tab/>
            </w:r>
            <w:r>
              <w:rPr>
                <w:rStyle w:val="IndexLink"/>
              </w:rPr>
              <w:t>315</w:t>
            </w:r>
          </w:hyperlink>
        </w:p>
        <w:p>
          <w:pPr>
            <w:pStyle w:val="Contents4"/>
            <w:tabs>
              <w:tab w:val="clear" w:pos="8176"/>
              <w:tab w:val="right" w:pos="9026" w:leader="dot"/>
            </w:tabs>
            <w:rPr/>
          </w:pPr>
          <w:hyperlink w:anchor="__RefHeading___Toc348204_2142443653">
            <w:r>
              <w:rPr>
                <w:webHidden/>
                <w:rStyle w:val="IndexLink"/>
                <w:rtl w:val="true"/>
              </w:rPr>
              <w:t>بحث حول جمیل بن صالح</w:t>
            </w:r>
            <w:r>
              <w:rPr>
                <w:rStyle w:val="IndexLink"/>
                <w:rtl w:val="true"/>
              </w:rPr>
              <w:tab/>
            </w:r>
            <w:r>
              <w:rPr>
                <w:rStyle w:val="IndexLink"/>
              </w:rPr>
              <w:t>316</w:t>
            </w:r>
          </w:hyperlink>
        </w:p>
        <w:p>
          <w:pPr>
            <w:pStyle w:val="Contents4"/>
            <w:tabs>
              <w:tab w:val="clear" w:pos="8176"/>
              <w:tab w:val="right" w:pos="9026" w:leader="dot"/>
            </w:tabs>
            <w:rPr/>
          </w:pPr>
          <w:hyperlink w:anchor="__RefHeading___Toc348206_2142443653">
            <w:r>
              <w:rPr>
                <w:webHidden/>
                <w:rStyle w:val="IndexLink"/>
                <w:rtl w:val="true"/>
              </w:rPr>
              <w:t>تمییز أبی جعفر الذی یروی عنه سعد</w:t>
            </w:r>
            <w:r>
              <w:rPr>
                <w:rStyle w:val="IndexLink"/>
                <w:rtl w:val="true"/>
              </w:rPr>
              <w:tab/>
            </w:r>
            <w:r>
              <w:rPr>
                <w:rStyle w:val="IndexLink"/>
              </w:rPr>
              <w:t>317</w:t>
            </w:r>
          </w:hyperlink>
        </w:p>
        <w:p>
          <w:pPr>
            <w:pStyle w:val="Contents4"/>
            <w:tabs>
              <w:tab w:val="clear" w:pos="8176"/>
              <w:tab w:val="right" w:pos="9026" w:leader="dot"/>
            </w:tabs>
            <w:rPr/>
          </w:pPr>
          <w:hyperlink w:anchor="__RefHeading___Toc348208_2142443653">
            <w:r>
              <w:rPr>
                <w:webHidden/>
                <w:rStyle w:val="IndexLink"/>
                <w:rtl w:val="true"/>
              </w:rPr>
              <w:t>بحث حول اسماعیل الجعفی</w:t>
            </w:r>
            <w:r>
              <w:rPr>
                <w:rStyle w:val="IndexLink"/>
                <w:rtl w:val="true"/>
              </w:rPr>
              <w:tab/>
            </w:r>
            <w:r>
              <w:rPr>
                <w:rStyle w:val="IndexLink"/>
              </w:rPr>
              <w:t>317</w:t>
            </w:r>
          </w:hyperlink>
        </w:p>
        <w:p>
          <w:pPr>
            <w:pStyle w:val="Contents4"/>
            <w:tabs>
              <w:tab w:val="clear" w:pos="8176"/>
              <w:tab w:val="right" w:pos="9026" w:leader="dot"/>
            </w:tabs>
            <w:rPr/>
          </w:pPr>
          <w:hyperlink w:anchor="__RefHeading___Toc348210_2142443653">
            <w:r>
              <w:rPr>
                <w:webHidden/>
                <w:rStyle w:val="IndexLink"/>
                <w:rtl w:val="true"/>
              </w:rPr>
              <w:t>معمر بن یحیی مشترک بین ثقة ومهمل</w:t>
            </w:r>
            <w:r>
              <w:rPr>
                <w:rStyle w:val="IndexLink"/>
                <w:rtl w:val="true"/>
              </w:rPr>
              <w:tab/>
            </w:r>
            <w:r>
              <w:rPr>
                <w:rStyle w:val="IndexLink"/>
              </w:rPr>
              <w:t>317</w:t>
            </w:r>
          </w:hyperlink>
        </w:p>
        <w:p>
          <w:pPr>
            <w:pStyle w:val="Contents4"/>
            <w:tabs>
              <w:tab w:val="clear" w:pos="8176"/>
              <w:tab w:val="right" w:pos="9026" w:leader="dot"/>
            </w:tabs>
            <w:rPr/>
          </w:pPr>
          <w:hyperlink w:anchor="__RefHeading___Toc348212_2142443653">
            <w:r>
              <w:rPr>
                <w:webHidden/>
                <w:rStyle w:val="IndexLink"/>
                <w:rtl w:val="true"/>
              </w:rPr>
              <w:t>معنی القنوت لغةً وشرعا</w:t>
            </w:r>
            <w:r>
              <w:rPr>
                <w:rStyle w:val="IndexLink"/>
                <w:rtl w:val="true"/>
              </w:rPr>
              <w:tab/>
            </w:r>
            <w:r>
              <w:rPr>
                <w:rStyle w:val="IndexLink"/>
              </w:rPr>
              <w:t>318</w:t>
            </w:r>
          </w:hyperlink>
        </w:p>
        <w:p>
          <w:pPr>
            <w:pStyle w:val="Contents4"/>
            <w:tabs>
              <w:tab w:val="clear" w:pos="8176"/>
              <w:tab w:val="right" w:pos="9026" w:leader="dot"/>
            </w:tabs>
            <w:rPr/>
          </w:pPr>
          <w:hyperlink w:anchor="__RefHeading___Toc348214_2142443653">
            <w:r>
              <w:rPr>
                <w:webHidden/>
                <w:rStyle w:val="IndexLink"/>
                <w:rtl w:val="true"/>
              </w:rPr>
              <w:t>توجیه ما دل علی نفی القنوت قبل الرکوع وبعده</w:t>
            </w:r>
            <w:r>
              <w:rPr>
                <w:rStyle w:val="IndexLink"/>
                <w:rtl w:val="true"/>
              </w:rPr>
              <w:tab/>
            </w:r>
            <w:r>
              <w:rPr>
                <w:rStyle w:val="IndexLink"/>
              </w:rPr>
              <w:t>318</w:t>
            </w:r>
          </w:hyperlink>
        </w:p>
        <w:p>
          <w:pPr>
            <w:pStyle w:val="Contents4"/>
            <w:tabs>
              <w:tab w:val="clear" w:pos="8176"/>
              <w:tab w:val="right" w:pos="9026" w:leader="dot"/>
            </w:tabs>
            <w:rPr/>
          </w:pPr>
          <w:hyperlink w:anchor="__RefHeading___Toc348216_2142443653">
            <w:r>
              <w:rPr>
                <w:webHidden/>
                <w:rStyle w:val="IndexLink"/>
                <w:rtl w:val="true"/>
              </w:rPr>
              <w:t>توجیه ما دل علی حصر القنوت فی الغداة والوتر والجمعة والمغرب</w:t>
            </w:r>
            <w:r>
              <w:rPr>
                <w:rStyle w:val="IndexLink"/>
                <w:rtl w:val="true"/>
              </w:rPr>
              <w:tab/>
            </w:r>
            <w:r>
              <w:rPr>
                <w:rStyle w:val="IndexLink"/>
              </w:rPr>
              <w:t>319</w:t>
            </w:r>
          </w:hyperlink>
        </w:p>
        <w:p>
          <w:pPr>
            <w:pStyle w:val="Contents4"/>
            <w:tabs>
              <w:tab w:val="clear" w:pos="8176"/>
              <w:tab w:val="right" w:pos="9026" w:leader="dot"/>
            </w:tabs>
            <w:rPr/>
          </w:pPr>
          <w:hyperlink w:anchor="__RefHeading___Toc348218_2142443653">
            <w:r>
              <w:rPr>
                <w:webHidden/>
                <w:rStyle w:val="IndexLink"/>
                <w:rtl w:val="true"/>
              </w:rPr>
              <w:t>بیان ما دل علی التخییر بین القنوت وعدمه وعدم جوازه مع التقیة</w:t>
            </w:r>
            <w:r>
              <w:rPr>
                <w:rStyle w:val="IndexLink"/>
                <w:rtl w:val="true"/>
              </w:rPr>
              <w:tab/>
            </w:r>
            <w:r>
              <w:rPr>
                <w:rStyle w:val="IndexLink"/>
              </w:rPr>
              <w:t>319</w:t>
            </w:r>
          </w:hyperlink>
        </w:p>
        <w:p>
          <w:pPr>
            <w:pStyle w:val="Contents4"/>
            <w:tabs>
              <w:tab w:val="clear" w:pos="8176"/>
              <w:tab w:val="right" w:pos="9026" w:leader="dot"/>
            </w:tabs>
            <w:rPr/>
          </w:pPr>
          <w:hyperlink w:anchor="__RefHeading___Toc348220_2142443653">
            <w:r>
              <w:rPr>
                <w:webHidden/>
                <w:rStyle w:val="IndexLink"/>
                <w:rtl w:val="true"/>
              </w:rPr>
              <w:t>عدم تعیّن دعاء مخصوص فی القنوت</w:t>
            </w:r>
            <w:r>
              <w:rPr>
                <w:rStyle w:val="IndexLink"/>
                <w:rtl w:val="true"/>
              </w:rPr>
              <w:tab/>
            </w:r>
            <w:r>
              <w:rPr>
                <w:rStyle w:val="IndexLink"/>
              </w:rPr>
              <w:t>320</w:t>
            </w:r>
          </w:hyperlink>
        </w:p>
        <w:p>
          <w:pPr>
            <w:pStyle w:val="Contents3"/>
            <w:tabs>
              <w:tab w:val="clear" w:pos="8459"/>
              <w:tab w:val="right" w:pos="9026" w:leader="dot"/>
            </w:tabs>
            <w:rPr/>
          </w:pPr>
          <w:hyperlink w:anchor="__RefHeading___Toc348222_2142443653">
            <w:r>
              <w:rPr>
                <w:webHidden/>
                <w:rStyle w:val="IndexLink"/>
                <w:rtl w:val="true"/>
              </w:rPr>
              <w:t>وجوب التشهد وأقل ما یجزئ عنه</w:t>
            </w:r>
            <w:r>
              <w:rPr>
                <w:rStyle w:val="IndexLink"/>
                <w:rtl w:val="true"/>
              </w:rPr>
              <w:tab/>
            </w:r>
            <w:r>
              <w:rPr>
                <w:rStyle w:val="IndexLink"/>
              </w:rPr>
              <w:t>321</w:t>
            </w:r>
          </w:hyperlink>
        </w:p>
        <w:p>
          <w:pPr>
            <w:pStyle w:val="Contents4"/>
            <w:tabs>
              <w:tab w:val="clear" w:pos="8176"/>
              <w:tab w:val="right" w:pos="9026" w:leader="dot"/>
            </w:tabs>
            <w:rPr/>
          </w:pPr>
          <w:hyperlink w:anchor="__RefHeading___Toc348224_2142443653">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348226_2142443653">
            <w:r>
              <w:rPr>
                <w:webHidden/>
                <w:rStyle w:val="IndexLink"/>
                <w:rtl w:val="true"/>
              </w:rPr>
              <w:t>بحث حول الحجّال</w:t>
            </w:r>
            <w:r>
              <w:rPr>
                <w:rStyle w:val="IndexLink"/>
                <w:rtl w:val="true"/>
              </w:rPr>
              <w:tab/>
            </w:r>
            <w:r>
              <w:rPr>
                <w:rStyle w:val="IndexLink"/>
              </w:rPr>
              <w:t>323</w:t>
            </w:r>
          </w:hyperlink>
        </w:p>
        <w:p>
          <w:pPr>
            <w:pStyle w:val="Contents4"/>
            <w:tabs>
              <w:tab w:val="clear" w:pos="8176"/>
              <w:tab w:val="right" w:pos="9026" w:leader="dot"/>
            </w:tabs>
            <w:rPr/>
          </w:pPr>
          <w:hyperlink w:anchor="__RefHeading___Toc348228_2142443653">
            <w:r>
              <w:rPr>
                <w:webHidden/>
                <w:rStyle w:val="IndexLink"/>
                <w:rtl w:val="true"/>
              </w:rPr>
              <w:t>یحیی بن طلحة غیر مذکور فی الرجال</w:t>
            </w:r>
            <w:r>
              <w:rPr>
                <w:rStyle w:val="IndexLink"/>
                <w:rtl w:val="true"/>
              </w:rPr>
              <w:tab/>
            </w:r>
            <w:r>
              <w:rPr>
                <w:rStyle w:val="IndexLink"/>
              </w:rPr>
              <w:t>324</w:t>
            </w:r>
          </w:hyperlink>
        </w:p>
        <w:p>
          <w:pPr>
            <w:pStyle w:val="Contents4"/>
            <w:tabs>
              <w:tab w:val="clear" w:pos="8176"/>
              <w:tab w:val="right" w:pos="9026" w:leader="dot"/>
            </w:tabs>
            <w:rPr/>
          </w:pPr>
          <w:hyperlink w:anchor="__RefHeading___Toc348230_2142443653">
            <w:r>
              <w:rPr>
                <w:webHidden/>
                <w:rStyle w:val="IndexLink"/>
                <w:rtl w:val="true"/>
              </w:rPr>
              <w:t>سورة بن کلیب مهمل</w:t>
            </w:r>
            <w:r>
              <w:rPr>
                <w:rStyle w:val="IndexLink"/>
                <w:rtl w:val="true"/>
              </w:rPr>
              <w:tab/>
            </w:r>
            <w:r>
              <w:rPr>
                <w:rStyle w:val="IndexLink"/>
              </w:rPr>
              <w:t>324</w:t>
            </w:r>
          </w:hyperlink>
        </w:p>
        <w:p>
          <w:pPr>
            <w:pStyle w:val="Contents4"/>
            <w:tabs>
              <w:tab w:val="clear" w:pos="8176"/>
              <w:tab w:val="right" w:pos="9026" w:leader="dot"/>
            </w:tabs>
            <w:rPr/>
          </w:pPr>
          <w:hyperlink w:anchor="__RefHeading___Toc348232_2142443653">
            <w:r>
              <w:rPr>
                <w:webHidden/>
                <w:rStyle w:val="IndexLink"/>
                <w:rtl w:val="true"/>
              </w:rPr>
              <w:t>سعد بن بکر مجهول</w:t>
            </w:r>
            <w:r>
              <w:rPr>
                <w:rStyle w:val="IndexLink"/>
                <w:rtl w:val="true"/>
              </w:rPr>
              <w:tab/>
            </w:r>
            <w:r>
              <w:rPr>
                <w:rStyle w:val="IndexLink"/>
              </w:rPr>
              <w:t>324</w:t>
            </w:r>
          </w:hyperlink>
        </w:p>
        <w:p>
          <w:pPr>
            <w:pStyle w:val="Contents4"/>
            <w:tabs>
              <w:tab w:val="clear" w:pos="8176"/>
              <w:tab w:val="right" w:pos="9026" w:leader="dot"/>
            </w:tabs>
            <w:rPr/>
          </w:pPr>
          <w:hyperlink w:anchor="__RefHeading___Toc348234_2142443653">
            <w:r>
              <w:rPr>
                <w:webHidden/>
                <w:rStyle w:val="IndexLink"/>
                <w:rtl w:val="true"/>
              </w:rPr>
              <w:t>بحث حول حبیب الخثعمی</w:t>
            </w:r>
            <w:r>
              <w:rPr>
                <w:rStyle w:val="IndexLink"/>
                <w:rtl w:val="true"/>
              </w:rPr>
              <w:tab/>
            </w:r>
            <w:r>
              <w:rPr>
                <w:rStyle w:val="IndexLink"/>
              </w:rPr>
              <w:t>324</w:t>
            </w:r>
          </w:hyperlink>
        </w:p>
        <w:p>
          <w:pPr>
            <w:pStyle w:val="Contents4"/>
            <w:tabs>
              <w:tab w:val="clear" w:pos="8176"/>
              <w:tab w:val="right" w:pos="9026" w:leader="dot"/>
            </w:tabs>
            <w:rPr/>
          </w:pPr>
          <w:hyperlink w:anchor="__RefHeading___Toc348236_2142443653">
            <w:r>
              <w:rPr>
                <w:webHidden/>
                <w:rStyle w:val="IndexLink"/>
                <w:rtl w:val="true"/>
              </w:rPr>
              <w:t>بکر بن حبیب مهمل</w:t>
            </w:r>
            <w:r>
              <w:rPr>
                <w:rStyle w:val="IndexLink"/>
                <w:rtl w:val="true"/>
              </w:rPr>
              <w:tab/>
            </w:r>
            <w:r>
              <w:rPr>
                <w:rStyle w:val="IndexLink"/>
              </w:rPr>
              <w:t>325</w:t>
            </w:r>
          </w:hyperlink>
        </w:p>
        <w:p>
          <w:pPr>
            <w:pStyle w:val="Contents4"/>
            <w:tabs>
              <w:tab w:val="clear" w:pos="8176"/>
              <w:tab w:val="right" w:pos="9026" w:leader="dot"/>
            </w:tabs>
            <w:rPr/>
          </w:pPr>
          <w:hyperlink w:anchor="__RefHeading___Toc348238_2142443653">
            <w:r>
              <w:rPr>
                <w:webHidden/>
                <w:rStyle w:val="IndexLink"/>
                <w:rtl w:val="true"/>
              </w:rPr>
              <w:t>بیان ما دل علی وجوب التشهد وکیفیته</w:t>
            </w:r>
            <w:r>
              <w:rPr>
                <w:rStyle w:val="IndexLink"/>
                <w:rtl w:val="true"/>
              </w:rPr>
              <w:tab/>
            </w:r>
            <w:r>
              <w:rPr>
                <w:rStyle w:val="IndexLink"/>
              </w:rPr>
              <w:t>325</w:t>
            </w:r>
          </w:hyperlink>
        </w:p>
        <w:p>
          <w:pPr>
            <w:pStyle w:val="Contents4"/>
            <w:tabs>
              <w:tab w:val="clear" w:pos="8176"/>
              <w:tab w:val="right" w:pos="9026" w:leader="dot"/>
            </w:tabs>
            <w:rPr/>
          </w:pPr>
          <w:hyperlink w:anchor="__RefHeading___Toc348240_2142443653">
            <w:r>
              <w:rPr>
                <w:webHidden/>
                <w:rStyle w:val="IndexLink"/>
                <w:rtl w:val="true"/>
              </w:rPr>
              <w:t>توجیه ما دلّ علی کفایة الحمد فی التشهد</w:t>
            </w:r>
            <w:r>
              <w:rPr>
                <w:rStyle w:val="IndexLink"/>
                <w:rtl w:val="true"/>
              </w:rPr>
              <w:tab/>
            </w:r>
            <w:r>
              <w:rPr>
                <w:rStyle w:val="IndexLink"/>
              </w:rPr>
              <w:t>331</w:t>
            </w:r>
          </w:hyperlink>
        </w:p>
        <w:p>
          <w:pPr>
            <w:pStyle w:val="Contents4"/>
            <w:tabs>
              <w:tab w:val="clear" w:pos="8176"/>
              <w:tab w:val="right" w:pos="9026" w:leader="dot"/>
            </w:tabs>
            <w:rPr/>
          </w:pPr>
          <w:hyperlink w:anchor="__RefHeading___Toc348242_2142443653">
            <w:r>
              <w:rPr>
                <w:webHidden/>
                <w:rStyle w:val="IndexLink"/>
                <w:rtl w:val="true"/>
              </w:rPr>
              <w:t>معنی التحیّات والطیّبات</w:t>
            </w:r>
            <w:r>
              <w:rPr>
                <w:rStyle w:val="IndexLink"/>
                <w:rtl w:val="true"/>
              </w:rPr>
              <w:tab/>
            </w:r>
            <w:r>
              <w:rPr>
                <w:rStyle w:val="IndexLink"/>
              </w:rPr>
              <w:t>332</w:t>
            </w:r>
          </w:hyperlink>
        </w:p>
        <w:p>
          <w:pPr>
            <w:pStyle w:val="Contents4"/>
            <w:tabs>
              <w:tab w:val="clear" w:pos="8176"/>
              <w:tab w:val="right" w:pos="9026" w:leader="dot"/>
            </w:tabs>
            <w:rPr/>
          </w:pPr>
          <w:hyperlink w:anchor="__RefHeading___Toc348244_2142443653">
            <w:r>
              <w:rPr>
                <w:webHidden/>
                <w:rStyle w:val="IndexLink"/>
                <w:rtl w:val="true"/>
              </w:rPr>
              <w:t>دلالة روایة محمد بن مسلم علی وجوب الطمأنینة فی التشهد</w:t>
            </w:r>
            <w:r>
              <w:rPr>
                <w:rStyle w:val="IndexLink"/>
                <w:rtl w:val="true"/>
              </w:rPr>
              <w:tab/>
            </w:r>
            <w:r>
              <w:rPr>
                <w:rStyle w:val="IndexLink"/>
              </w:rPr>
              <w:t>332</w:t>
            </w:r>
          </w:hyperlink>
        </w:p>
        <w:p>
          <w:pPr>
            <w:pStyle w:val="Contents4"/>
            <w:tabs>
              <w:tab w:val="clear" w:pos="8176"/>
              <w:tab w:val="right" w:pos="9026" w:leader="dot"/>
            </w:tabs>
            <w:rPr/>
          </w:pPr>
          <w:hyperlink w:anchor="__RefHeading___Toc348246_2142443653">
            <w:r>
              <w:rPr>
                <w:webHidden/>
                <w:rStyle w:val="IndexLink"/>
                <w:rtl w:val="true"/>
              </w:rPr>
              <w:t>إشارة إلی حال عبدالله بن بکیر</w:t>
            </w:r>
            <w:r>
              <w:rPr>
                <w:rStyle w:val="IndexLink"/>
                <w:rtl w:val="true"/>
              </w:rPr>
              <w:tab/>
            </w:r>
            <w:r>
              <w:rPr>
                <w:rStyle w:val="IndexLink"/>
              </w:rPr>
              <w:t>334</w:t>
            </w:r>
          </w:hyperlink>
        </w:p>
        <w:p>
          <w:pPr>
            <w:pStyle w:val="Contents4"/>
            <w:tabs>
              <w:tab w:val="clear" w:pos="8176"/>
              <w:tab w:val="right" w:pos="9026" w:leader="dot"/>
            </w:tabs>
            <w:rPr/>
          </w:pPr>
          <w:hyperlink w:anchor="__RefHeading___Toc348248_2142443653">
            <w:r>
              <w:rPr>
                <w:webHidden/>
                <w:rStyle w:val="IndexLink"/>
                <w:rtl w:val="true"/>
              </w:rPr>
              <w:t>إشارة إلی حال محمد بن عیسی الأشعری</w:t>
            </w:r>
            <w:r>
              <w:rPr>
                <w:rStyle w:val="IndexLink"/>
                <w:rtl w:val="true"/>
              </w:rPr>
              <w:tab/>
            </w:r>
            <w:r>
              <w:rPr>
                <w:rStyle w:val="IndexLink"/>
              </w:rPr>
              <w:t>334</w:t>
            </w:r>
          </w:hyperlink>
        </w:p>
        <w:p>
          <w:pPr>
            <w:pStyle w:val="Contents4"/>
            <w:tabs>
              <w:tab w:val="clear" w:pos="8176"/>
              <w:tab w:val="right" w:pos="9026" w:leader="dot"/>
            </w:tabs>
            <w:rPr/>
          </w:pPr>
          <w:hyperlink w:anchor="__RefHeading___Toc348250_2142443653">
            <w:r>
              <w:rPr>
                <w:webHidden/>
                <w:rStyle w:val="IndexLink"/>
                <w:rtl w:val="true"/>
              </w:rPr>
              <w:t>بحث حول الراوی عن محمد بن عیسی الیقطینی</w:t>
            </w:r>
            <w:r>
              <w:rPr>
                <w:rStyle w:val="IndexLink"/>
                <w:rtl w:val="true"/>
              </w:rPr>
              <w:tab/>
            </w:r>
            <w:r>
              <w:rPr>
                <w:rStyle w:val="IndexLink"/>
              </w:rPr>
              <w:t>334</w:t>
            </w:r>
          </w:hyperlink>
        </w:p>
        <w:p>
          <w:pPr>
            <w:pStyle w:val="Contents4"/>
            <w:tabs>
              <w:tab w:val="clear" w:pos="8176"/>
              <w:tab w:val="right" w:pos="9026" w:leader="dot"/>
            </w:tabs>
            <w:rPr/>
          </w:pPr>
          <w:hyperlink w:anchor="__RefHeading___Toc348252_2142443653">
            <w:r>
              <w:rPr>
                <w:webHidden/>
                <w:rStyle w:val="IndexLink"/>
                <w:rtl w:val="true"/>
              </w:rPr>
              <w:t>توجیه ما دل علی عدم وجوب التشهد والتسلیم</w:t>
            </w:r>
            <w:r>
              <w:rPr>
                <w:rStyle w:val="IndexLink"/>
                <w:rtl w:val="true"/>
              </w:rPr>
              <w:tab/>
            </w:r>
            <w:r>
              <w:rPr>
                <w:rStyle w:val="IndexLink"/>
              </w:rPr>
              <w:t>335</w:t>
            </w:r>
          </w:hyperlink>
        </w:p>
        <w:p>
          <w:pPr>
            <w:pStyle w:val="Contents3"/>
            <w:tabs>
              <w:tab w:val="clear" w:pos="8459"/>
              <w:tab w:val="right" w:pos="9026" w:leader="dot"/>
            </w:tabs>
            <w:rPr/>
          </w:pPr>
          <w:hyperlink w:anchor="__RefHeading___Toc348254_2142443653">
            <w:r>
              <w:rPr>
                <w:webHidden/>
                <w:rStyle w:val="IndexLink"/>
                <w:rtl w:val="true"/>
              </w:rPr>
              <w:t>وجوب الصلاة علی النبی صلی الله علیه و آله فی التشهد</w:t>
            </w:r>
            <w:r>
              <w:rPr>
                <w:rStyle w:val="IndexLink"/>
                <w:rtl w:val="true"/>
              </w:rPr>
              <w:tab/>
            </w:r>
            <w:r>
              <w:rPr>
                <w:rStyle w:val="IndexLink"/>
              </w:rPr>
              <w:t>338</w:t>
            </w:r>
          </w:hyperlink>
        </w:p>
        <w:p>
          <w:pPr>
            <w:pStyle w:val="Contents4"/>
            <w:tabs>
              <w:tab w:val="clear" w:pos="8176"/>
              <w:tab w:val="right" w:pos="9026" w:leader="dot"/>
            </w:tabs>
            <w:rPr/>
          </w:pPr>
          <w:hyperlink w:anchor="__RefHeading___Toc348256_2142443653">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348258_2142443653">
            <w:r>
              <w:rPr>
                <w:webHidden/>
                <w:rStyle w:val="IndexLink"/>
                <w:rtl w:val="true"/>
              </w:rPr>
              <w:t>بحث حول طریق الشیخ إلی ابن أبی عمیر</w:t>
            </w:r>
            <w:r>
              <w:rPr>
                <w:rStyle w:val="IndexLink"/>
                <w:rtl w:val="true"/>
              </w:rPr>
              <w:tab/>
            </w:r>
            <w:r>
              <w:rPr>
                <w:rStyle w:val="IndexLink"/>
              </w:rPr>
              <w:t>339</w:t>
            </w:r>
          </w:hyperlink>
        </w:p>
        <w:p>
          <w:pPr>
            <w:pStyle w:val="Contents4"/>
            <w:tabs>
              <w:tab w:val="clear" w:pos="8176"/>
              <w:tab w:val="right" w:pos="9026" w:leader="dot"/>
            </w:tabs>
            <w:rPr/>
          </w:pPr>
          <w:hyperlink w:anchor="__RefHeading___Toc348260_2142443653">
            <w:r>
              <w:rPr>
                <w:webHidden/>
                <w:rStyle w:val="IndexLink"/>
                <w:rtl w:val="true"/>
              </w:rPr>
              <w:t>بحث حول علی بن خالد</w:t>
            </w:r>
            <w:r>
              <w:rPr>
                <w:rStyle w:val="IndexLink"/>
                <w:rtl w:val="true"/>
              </w:rPr>
              <w:tab/>
            </w:r>
            <w:r>
              <w:rPr>
                <w:rStyle w:val="IndexLink"/>
              </w:rPr>
              <w:t>341</w:t>
            </w:r>
          </w:hyperlink>
        </w:p>
        <w:p>
          <w:pPr>
            <w:pStyle w:val="Contents4"/>
            <w:tabs>
              <w:tab w:val="clear" w:pos="8176"/>
              <w:tab w:val="right" w:pos="9026" w:leader="dot"/>
            </w:tabs>
            <w:rPr/>
          </w:pPr>
          <w:hyperlink w:anchor="__RefHeading___Toc348262_2142443653">
            <w:r>
              <w:rPr>
                <w:webHidden/>
                <w:rStyle w:val="IndexLink"/>
                <w:rtl w:val="true"/>
              </w:rPr>
              <w:t>بیان ما دلّ علی وجوب الصلاة علی النبی وآله فی الصلاة وتوجیه ما یعارضه</w:t>
            </w:r>
            <w:r>
              <w:rPr>
                <w:rStyle w:val="IndexLink"/>
                <w:rtl w:val="true"/>
              </w:rPr>
              <w:tab/>
            </w:r>
            <w:r>
              <w:rPr>
                <w:rStyle w:val="IndexLink"/>
              </w:rPr>
              <w:t>342</w:t>
            </w:r>
          </w:hyperlink>
        </w:p>
        <w:p>
          <w:pPr>
            <w:pStyle w:val="Contents4"/>
            <w:tabs>
              <w:tab w:val="clear" w:pos="8176"/>
              <w:tab w:val="right" w:pos="9026" w:leader="dot"/>
            </w:tabs>
            <w:rPr/>
          </w:pPr>
          <w:hyperlink w:anchor="__RefHeading___Toc348264_2142443653">
            <w:r>
              <w:rPr>
                <w:webHidden/>
                <w:rStyle w:val="IndexLink"/>
                <w:rtl w:val="true"/>
              </w:rPr>
              <w:t>کلمة حول تشبیه الصلاة علی النبی صلی الله علیه و آله بالصلاة علی إبراهیم علیه 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348266_2142443653">
            <w:r>
              <w:rPr>
                <w:webHidden/>
                <w:rStyle w:val="IndexLink"/>
                <w:rtl w:val="true"/>
              </w:rPr>
              <w:t>قضاء القنوت</w:t>
            </w:r>
            <w:r>
              <w:rPr>
                <w:rStyle w:val="IndexLink"/>
                <w:rtl w:val="true"/>
              </w:rPr>
              <w:tab/>
            </w:r>
            <w:r>
              <w:rPr>
                <w:rStyle w:val="IndexLink"/>
              </w:rPr>
              <w:t>346</w:t>
            </w:r>
          </w:hyperlink>
        </w:p>
        <w:p>
          <w:pPr>
            <w:pStyle w:val="Contents4"/>
            <w:tabs>
              <w:tab w:val="clear" w:pos="8176"/>
              <w:tab w:val="right" w:pos="9026" w:leader="dot"/>
            </w:tabs>
            <w:rPr/>
          </w:pPr>
          <w:hyperlink w:anchor="__RefHeading___Toc348268_2142443653">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348270_2142443653">
            <w:r>
              <w:rPr>
                <w:webHidden/>
                <w:rStyle w:val="IndexLink"/>
                <w:rtl w:val="true"/>
              </w:rPr>
              <w:t>محمد بن سهل مهمل وأبوه ثقة</w:t>
            </w:r>
            <w:r>
              <w:rPr>
                <w:rStyle w:val="IndexLink"/>
                <w:rtl w:val="true"/>
              </w:rPr>
              <w:tab/>
            </w:r>
            <w:r>
              <w:rPr>
                <w:rStyle w:val="IndexLink"/>
              </w:rPr>
              <w:t>348</w:t>
            </w:r>
          </w:hyperlink>
        </w:p>
        <w:p>
          <w:pPr>
            <w:pStyle w:val="Contents4"/>
            <w:tabs>
              <w:tab w:val="clear" w:pos="8176"/>
              <w:tab w:val="right" w:pos="9026" w:leader="dot"/>
            </w:tabs>
            <w:rPr/>
          </w:pPr>
          <w:hyperlink w:anchor="__RefHeading___Toc348272_2142443653">
            <w:r>
              <w:rPr>
                <w:webHidden/>
                <w:rStyle w:val="IndexLink"/>
                <w:rtl w:val="true"/>
              </w:rPr>
              <w:t>بیان ما دل علی أنّ ناسی القنوت یقضیه بعد الرکوع أو بعد الصلاة وتوجیه ما یعارضه</w:t>
            </w:r>
            <w:r>
              <w:rPr>
                <w:rStyle w:val="IndexLink"/>
                <w:rtl w:val="true"/>
              </w:rPr>
              <w:tab/>
            </w:r>
            <w:r>
              <w:rPr>
                <w:rStyle w:val="IndexLink"/>
              </w:rPr>
              <w:t>349</w:t>
            </w:r>
          </w:hyperlink>
        </w:p>
        <w:p>
          <w:pPr>
            <w:pStyle w:val="Contents3"/>
            <w:tabs>
              <w:tab w:val="clear" w:pos="8459"/>
              <w:tab w:val="right" w:pos="9026" w:leader="dot"/>
            </w:tabs>
            <w:rPr/>
          </w:pPr>
          <w:hyperlink w:anchor="__RefHeading___Toc348274_2142443653">
            <w:r>
              <w:rPr>
                <w:webHidden/>
                <w:rStyle w:val="IndexLink"/>
                <w:rtl w:val="true"/>
              </w:rPr>
              <w:t>التسلیم لیس بفرض</w:t>
            </w:r>
            <w:r>
              <w:rPr>
                <w:rStyle w:val="IndexLink"/>
                <w:rtl w:val="true"/>
              </w:rPr>
              <w:tab/>
            </w:r>
            <w:r>
              <w:rPr>
                <w:rStyle w:val="IndexLink"/>
              </w:rPr>
              <w:t>352</w:t>
            </w:r>
          </w:hyperlink>
        </w:p>
        <w:p>
          <w:pPr>
            <w:pStyle w:val="Contents4"/>
            <w:tabs>
              <w:tab w:val="clear" w:pos="8176"/>
              <w:tab w:val="right" w:pos="9026" w:leader="dot"/>
            </w:tabs>
            <w:rPr/>
          </w:pPr>
          <w:hyperlink w:anchor="__RefHeading___Toc348276_2142443653">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348278_2142443653">
            <w:r>
              <w:rPr>
                <w:webHidden/>
                <w:rStyle w:val="IndexLink"/>
                <w:rtl w:val="true"/>
              </w:rPr>
              <w:t>ظهور روایة زرارة فی أنّ التسلیم لیس من الصلاة</w:t>
            </w:r>
            <w:r>
              <w:rPr>
                <w:rStyle w:val="IndexLink"/>
                <w:rtl w:val="true"/>
              </w:rPr>
              <w:tab/>
            </w:r>
            <w:r>
              <w:rPr>
                <w:rStyle w:val="IndexLink"/>
              </w:rPr>
              <w:t>353</w:t>
            </w:r>
          </w:hyperlink>
        </w:p>
        <w:p>
          <w:pPr>
            <w:pStyle w:val="Contents4"/>
            <w:tabs>
              <w:tab w:val="clear" w:pos="8176"/>
              <w:tab w:val="right" w:pos="9026" w:leader="dot"/>
            </w:tabs>
            <w:rPr/>
          </w:pPr>
          <w:hyperlink w:anchor="__RefHeading___Toc348280_2142443653">
            <w:r>
              <w:rPr>
                <w:webHidden/>
                <w:rStyle w:val="IndexLink"/>
                <w:rtl w:val="true"/>
              </w:rPr>
              <w:t>الاستدلال بروایة زرارة علی أستحباب التسلیم والمناقشة فی أدلة القائلین بالوجوب</w:t>
            </w:r>
            <w:r>
              <w:rPr>
                <w:rStyle w:val="IndexLink"/>
                <w:rtl w:val="true"/>
              </w:rPr>
              <w:tab/>
            </w:r>
            <w:r>
              <w:rPr>
                <w:rStyle w:val="IndexLink"/>
              </w:rPr>
              <w:t>354</w:t>
            </w:r>
          </w:hyperlink>
        </w:p>
        <w:p>
          <w:pPr>
            <w:pStyle w:val="Contents4"/>
            <w:tabs>
              <w:tab w:val="clear" w:pos="8176"/>
              <w:tab w:val="right" w:pos="9026" w:leader="dot"/>
            </w:tabs>
            <w:rPr/>
          </w:pPr>
          <w:hyperlink w:anchor="__RefHeading___Toc348282_2142443653">
            <w:r>
              <w:rPr>
                <w:webHidden/>
                <w:rStyle w:val="IndexLink"/>
                <w:rtl w:val="true"/>
              </w:rPr>
              <w:t>توجیه ما دل علی أنّ آخر الصلاة التسلیم</w:t>
            </w:r>
            <w:r>
              <w:rPr>
                <w:rStyle w:val="IndexLink"/>
                <w:rtl w:val="true"/>
              </w:rPr>
              <w:tab/>
            </w:r>
            <w:r>
              <w:rPr>
                <w:rStyle w:val="IndexLink"/>
              </w:rPr>
              <w:t>359</w:t>
            </w:r>
          </w:hyperlink>
        </w:p>
        <w:p>
          <w:pPr>
            <w:pStyle w:val="Contents4"/>
            <w:tabs>
              <w:tab w:val="clear" w:pos="8176"/>
              <w:tab w:val="right" w:pos="9026" w:leader="dot"/>
            </w:tabs>
            <w:rPr/>
          </w:pPr>
          <w:hyperlink w:anchor="__RefHeading___Toc348284_2142443653">
            <w:r>
              <w:rPr>
                <w:webHidden/>
                <w:rStyle w:val="IndexLink"/>
                <w:rtl w:val="true"/>
              </w:rPr>
              <w:t>هل یضرّ قصد الوجوب علی تقدیر استحباب التسلیم؟</w:t>
            </w:r>
            <w:r>
              <w:rPr>
                <w:rStyle w:val="IndexLink"/>
                <w:rtl w:val="true"/>
              </w:rPr>
              <w:tab/>
            </w:r>
            <w:r>
              <w:rPr>
                <w:rStyle w:val="IndexLink"/>
              </w:rPr>
              <w:t>360</w:t>
            </w:r>
          </w:hyperlink>
        </w:p>
        <w:p>
          <w:pPr>
            <w:pStyle w:val="Contents4"/>
            <w:tabs>
              <w:tab w:val="clear" w:pos="8176"/>
              <w:tab w:val="right" w:pos="9026" w:leader="dot"/>
            </w:tabs>
            <w:rPr/>
          </w:pPr>
          <w:hyperlink w:anchor="__RefHeading___Toc348286_2142443653">
            <w:r>
              <w:rPr>
                <w:webHidden/>
                <w:rStyle w:val="IndexLink"/>
                <w:rtl w:val="true"/>
              </w:rPr>
              <w:t>هل یعتبر قصد الخروج بالتسلیم؟</w:t>
            </w:r>
            <w:r>
              <w:rPr>
                <w:rStyle w:val="IndexLink"/>
                <w:rtl w:val="true"/>
              </w:rPr>
              <w:tab/>
            </w:r>
            <w:r>
              <w:rPr>
                <w:rStyle w:val="IndexLink"/>
              </w:rPr>
              <w:t>362</w:t>
            </w:r>
          </w:hyperlink>
        </w:p>
        <w:p>
          <w:pPr>
            <w:pStyle w:val="Contents3"/>
            <w:tabs>
              <w:tab w:val="clear" w:pos="8459"/>
              <w:tab w:val="right" w:pos="9026" w:leader="dot"/>
            </w:tabs>
            <w:rPr/>
          </w:pPr>
          <w:hyperlink w:anchor="__RefHeading___Toc348288_2142443653">
            <w:r>
              <w:rPr>
                <w:webHidden/>
                <w:rStyle w:val="IndexLink"/>
                <w:rtl w:val="true"/>
              </w:rPr>
              <w:t>کیفیة التسلیم</w:t>
            </w:r>
            <w:r>
              <w:rPr>
                <w:rStyle w:val="IndexLink"/>
                <w:rtl w:val="true"/>
              </w:rPr>
              <w:tab/>
            </w:r>
            <w:r>
              <w:rPr>
                <w:rStyle w:val="IndexLink"/>
              </w:rPr>
              <w:t>364</w:t>
            </w:r>
          </w:hyperlink>
        </w:p>
        <w:p>
          <w:pPr>
            <w:pStyle w:val="Contents4"/>
            <w:tabs>
              <w:tab w:val="clear" w:pos="8176"/>
              <w:tab w:val="right" w:pos="9026" w:leader="dot"/>
            </w:tabs>
            <w:rPr/>
          </w:pPr>
          <w:hyperlink w:anchor="__RefHeading___Toc348290_2142443653">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348292_2142443653">
            <w:r>
              <w:rPr>
                <w:webHidden/>
                <w:rStyle w:val="IndexLink"/>
                <w:rtl w:val="true"/>
              </w:rPr>
              <w:t>عبدالحمید بن عواض ثقةبیان ما دلّ علی أنّ الإمام یسلّم تسلیمة واحدة عن یمینه والمأموم تسلیمتین والمنفرد واحدة مستقبل القبلة</w:t>
            </w:r>
            <w:r>
              <w:rPr>
                <w:rStyle w:val="IndexLink"/>
                <w:rtl w:val="true"/>
              </w:rPr>
              <w:tab/>
            </w:r>
            <w:r>
              <w:rPr>
                <w:rStyle w:val="IndexLink"/>
              </w:rPr>
              <w:t>365</w:t>
            </w:r>
          </w:hyperlink>
        </w:p>
        <w:p>
          <w:pPr>
            <w:pStyle w:val="Contents4"/>
            <w:tabs>
              <w:tab w:val="clear" w:pos="8176"/>
              <w:tab w:val="right" w:pos="9026" w:leader="dot"/>
            </w:tabs>
            <w:rPr/>
          </w:pPr>
          <w:hyperlink w:anchor="__RefHeading___Toc348294_2142443653">
            <w:r>
              <w:rPr>
                <w:webHidden/>
                <w:rStyle w:val="IndexLink"/>
                <w:rtl w:val="true"/>
              </w:rPr>
              <w:t>إشارة إلی حال عنبسة بن مصعب</w:t>
            </w:r>
            <w:r>
              <w:rPr>
                <w:rStyle w:val="IndexLink"/>
                <w:rtl w:val="true"/>
              </w:rPr>
              <w:tab/>
            </w:r>
            <w:r>
              <w:rPr>
                <w:rStyle w:val="IndexLink"/>
              </w:rPr>
              <w:t>365</w:t>
            </w:r>
          </w:hyperlink>
        </w:p>
        <w:p>
          <w:pPr>
            <w:pStyle w:val="Contents4"/>
            <w:tabs>
              <w:tab w:val="clear" w:pos="8176"/>
              <w:tab w:val="right" w:pos="9026" w:leader="dot"/>
            </w:tabs>
            <w:rPr/>
          </w:pPr>
          <w:hyperlink w:anchor="__RefHeading___Toc348296_2142443653">
            <w:r>
              <w:rPr>
                <w:webHidden/>
                <w:rStyle w:val="IndexLink"/>
                <w:rtl w:val="true"/>
              </w:rPr>
              <w:t>بیان ما دلّ علی أنّ الإمام یسلّم تسلیمة واحدة عن یمینه والمأموم تسلیمتین والمنفرد واحدة مستقبل القبلة</w:t>
            </w:r>
            <w:r>
              <w:rPr>
                <w:rStyle w:val="IndexLink"/>
                <w:rtl w:val="true"/>
              </w:rPr>
              <w:tab/>
            </w:r>
            <w:r>
              <w:rPr>
                <w:rStyle w:val="IndexLink"/>
              </w:rPr>
              <w:t>366</w:t>
            </w:r>
          </w:hyperlink>
        </w:p>
        <w:p>
          <w:pPr>
            <w:pStyle w:val="Contents4"/>
            <w:tabs>
              <w:tab w:val="clear" w:pos="8176"/>
              <w:tab w:val="right" w:pos="9026" w:leader="dot"/>
            </w:tabs>
            <w:rPr/>
          </w:pPr>
          <w:hyperlink w:anchor="__RefHeading___Toc348298_2142443653">
            <w:r>
              <w:rPr>
                <w:webHidden/>
                <w:rStyle w:val="IndexLink"/>
                <w:rtl w:val="true"/>
              </w:rPr>
              <w:t>تعیین التسلیم المُخرج من الصلاة</w:t>
            </w:r>
            <w:r>
              <w:rPr>
                <w:rStyle w:val="IndexLink"/>
                <w:rtl w:val="true"/>
              </w:rPr>
              <w:tab/>
            </w:r>
            <w:r>
              <w:rPr>
                <w:rStyle w:val="IndexLink"/>
              </w:rPr>
              <w:t>367</w:t>
            </w:r>
          </w:hyperlink>
        </w:p>
        <w:p>
          <w:pPr>
            <w:pStyle w:val="Contents4"/>
            <w:tabs>
              <w:tab w:val="clear" w:pos="8176"/>
              <w:tab w:val="right" w:pos="9026" w:leader="dot"/>
            </w:tabs>
            <w:rPr/>
          </w:pPr>
          <w:hyperlink w:anchor="__RefHeading___Toc348300_2142443653">
            <w:r>
              <w:rPr>
                <w:webHidden/>
                <w:rStyle w:val="IndexLink"/>
                <w:rtl w:val="true"/>
              </w:rPr>
              <w:t>کیفیة تسلیم الامام والمأموم والمنفرد فی عبارات بعض الأصحاب</w:t>
            </w:r>
            <w:r>
              <w:rPr>
                <w:rStyle w:val="IndexLink"/>
                <w:rtl w:val="true"/>
              </w:rPr>
              <w:tab/>
            </w:r>
            <w:r>
              <w:rPr>
                <w:rStyle w:val="IndexLink"/>
              </w:rPr>
              <w:t>371</w:t>
            </w:r>
          </w:hyperlink>
        </w:p>
        <w:p>
          <w:pPr>
            <w:pStyle w:val="Contents4"/>
            <w:tabs>
              <w:tab w:val="clear" w:pos="8176"/>
              <w:tab w:val="right" w:pos="9026" w:leader="dot"/>
            </w:tabs>
            <w:rPr/>
          </w:pPr>
          <w:hyperlink w:anchor="__RefHeading___Toc348302_2142443653">
            <w:r>
              <w:rPr>
                <w:webHidden/>
                <w:rStyle w:val="IndexLink"/>
                <w:rtl w:val="true"/>
              </w:rPr>
              <w:t>التردّد فی وجوب الردّ</w:t>
            </w:r>
            <w:r>
              <w:rPr>
                <w:rStyle w:val="IndexLink"/>
                <w:rtl w:val="true"/>
              </w:rPr>
              <w:tab/>
            </w:r>
            <w:r>
              <w:rPr>
                <w:rStyle w:val="IndexLink"/>
              </w:rPr>
              <w:t>371</w:t>
            </w:r>
          </w:hyperlink>
        </w:p>
        <w:p>
          <w:pPr>
            <w:pStyle w:val="Contents4"/>
            <w:tabs>
              <w:tab w:val="clear" w:pos="8176"/>
              <w:tab w:val="right" w:pos="9026" w:leader="dot"/>
            </w:tabs>
            <w:rPr/>
          </w:pPr>
          <w:hyperlink w:anchor="__RefHeading___Toc348304_2142443653">
            <w:r>
              <w:rPr>
                <w:webHidden/>
                <w:rStyle w:val="IndexLink"/>
                <w:rtl w:val="true"/>
              </w:rPr>
              <w:t xml:space="preserve">معنی </w:t>
            </w:r>
            <w:r>
              <w:rPr>
                <w:rStyle w:val="IndexLink"/>
                <w:rtl w:val="true"/>
              </w:rPr>
              <w:t xml:space="preserve">« </w:t>
            </w:r>
            <w:r>
              <w:rPr>
                <w:rStyle w:val="IndexLink"/>
                <w:rtl w:val="true"/>
              </w:rPr>
              <w:t xml:space="preserve">السلام علیک أیّها النبی </w:t>
            </w:r>
            <w:r>
              <w:rPr>
                <w:rStyle w:val="IndexLink"/>
                <w:rtl w:val="true"/>
              </w:rPr>
              <w:t>»</w:t>
              <w:tab/>
            </w:r>
            <w:r>
              <w:rPr>
                <w:rStyle w:val="IndexLink"/>
              </w:rPr>
              <w:t>372</w:t>
            </w:r>
          </w:hyperlink>
        </w:p>
        <w:p>
          <w:pPr>
            <w:pStyle w:val="Contents3"/>
            <w:tabs>
              <w:tab w:val="clear" w:pos="8459"/>
              <w:tab w:val="right" w:pos="9026" w:leader="dot"/>
            </w:tabs>
            <w:rPr/>
          </w:pPr>
          <w:hyperlink w:anchor="__RefHeading___Toc348306_2142443653">
            <w:r>
              <w:rPr>
                <w:webHidden/>
                <w:rStyle w:val="IndexLink"/>
                <w:rtl w:val="true"/>
              </w:rPr>
              <w:t>سجدتی الشکر بین فریضة المغرب ونوافلها</w:t>
            </w:r>
            <w:r>
              <w:rPr>
                <w:rStyle w:val="IndexLink"/>
                <w:rtl w:val="true"/>
              </w:rPr>
              <w:tab/>
            </w:r>
            <w:r>
              <w:rPr>
                <w:rStyle w:val="IndexLink"/>
              </w:rPr>
              <w:t>372</w:t>
            </w:r>
          </w:hyperlink>
        </w:p>
        <w:p>
          <w:pPr>
            <w:pStyle w:val="Contents4"/>
            <w:tabs>
              <w:tab w:val="clear" w:pos="8176"/>
              <w:tab w:val="right" w:pos="9026" w:leader="dot"/>
            </w:tabs>
            <w:rPr/>
          </w:pPr>
          <w:hyperlink w:anchor="__RefHeading___Toc348308_2142443653">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348310_2142443653">
            <w:r>
              <w:rPr>
                <w:webHidden/>
                <w:rStyle w:val="IndexLink"/>
                <w:rtl w:val="true"/>
              </w:rPr>
              <w:t>حفص الجوهری مهمل</w:t>
            </w:r>
            <w:r>
              <w:rPr>
                <w:rStyle w:val="IndexLink"/>
                <w:rtl w:val="true"/>
              </w:rPr>
              <w:tab/>
            </w:r>
            <w:r>
              <w:rPr>
                <w:rStyle w:val="IndexLink"/>
              </w:rPr>
              <w:t>373</w:t>
            </w:r>
          </w:hyperlink>
        </w:p>
        <w:p>
          <w:pPr>
            <w:pStyle w:val="Contents4"/>
            <w:tabs>
              <w:tab w:val="clear" w:pos="8176"/>
              <w:tab w:val="right" w:pos="9026" w:leader="dot"/>
            </w:tabs>
            <w:rPr/>
          </w:pPr>
          <w:hyperlink w:anchor="__RefHeading___Toc348312_2142443653">
            <w:r>
              <w:rPr>
                <w:webHidden/>
                <w:rStyle w:val="IndexLink"/>
                <w:rtl w:val="true"/>
              </w:rPr>
              <w:t>جهم بن أبی جهم مهمل</w:t>
            </w:r>
            <w:r>
              <w:rPr>
                <w:rStyle w:val="IndexLink"/>
                <w:rtl w:val="true"/>
              </w:rPr>
              <w:tab/>
            </w:r>
            <w:r>
              <w:rPr>
                <w:rStyle w:val="IndexLink"/>
              </w:rPr>
              <w:t>373</w:t>
            </w:r>
          </w:hyperlink>
        </w:p>
        <w:p>
          <w:pPr>
            <w:pStyle w:val="Contents4"/>
            <w:tabs>
              <w:tab w:val="clear" w:pos="8176"/>
              <w:tab w:val="right" w:pos="9026" w:leader="dot"/>
            </w:tabs>
            <w:rPr/>
          </w:pPr>
          <w:hyperlink w:anchor="__RefHeading___Toc348314_2142443653">
            <w:r>
              <w:rPr>
                <w:webHidden/>
                <w:rStyle w:val="IndexLink"/>
                <w:rtl w:val="true"/>
              </w:rPr>
              <w:t>سعدان بن مسلم مهمل</w:t>
            </w:r>
            <w:r>
              <w:rPr>
                <w:rStyle w:val="IndexLink"/>
                <w:rtl w:val="true"/>
              </w:rPr>
              <w:tab/>
            </w:r>
            <w:r>
              <w:rPr>
                <w:rStyle w:val="IndexLink"/>
              </w:rPr>
              <w:t>374</w:t>
            </w:r>
          </w:hyperlink>
        </w:p>
        <w:p>
          <w:pPr>
            <w:pStyle w:val="Contents4"/>
            <w:tabs>
              <w:tab w:val="clear" w:pos="8176"/>
              <w:tab w:val="right" w:pos="9026" w:leader="dot"/>
            </w:tabs>
            <w:rPr/>
          </w:pPr>
          <w:hyperlink w:anchor="__RefHeading___Toc348316_2142443653">
            <w:r>
              <w:rPr>
                <w:webHidden/>
                <w:rStyle w:val="IndexLink"/>
                <w:rtl w:val="true"/>
              </w:rPr>
              <w:t>بیان ما دل علی استحباب سجدة الشکر بعد النوافل أو الفرائض أو مطلقا</w:t>
            </w:r>
            <w:r>
              <w:rPr>
                <w:rStyle w:val="IndexLink"/>
                <w:rtl w:val="true"/>
              </w:rPr>
              <w:tab/>
            </w:r>
            <w:r>
              <w:rPr>
                <w:rStyle w:val="IndexLink"/>
              </w:rPr>
              <w:t>374</w:t>
            </w:r>
          </w:hyperlink>
        </w:p>
        <w:p>
          <w:pPr>
            <w:pStyle w:val="Contents3"/>
            <w:tabs>
              <w:tab w:val="clear" w:pos="8459"/>
              <w:tab w:val="right" w:pos="9026" w:leader="dot"/>
            </w:tabs>
            <w:rPr/>
          </w:pPr>
          <w:hyperlink w:anchor="__RefHeading___Toc348318_2142443653">
            <w:r>
              <w:rPr>
                <w:webHidden/>
                <w:rStyle w:val="IndexLink"/>
                <w:rtl w:val="true"/>
              </w:rPr>
              <w:t>وجوب الفصل بین رکعتی الشفع والوتر</w:t>
            </w:r>
            <w:r>
              <w:rPr>
                <w:rStyle w:val="IndexLink"/>
                <w:rtl w:val="true"/>
              </w:rPr>
              <w:tab/>
            </w:r>
            <w:r>
              <w:rPr>
                <w:rStyle w:val="IndexLink"/>
              </w:rPr>
              <w:t>376</w:t>
            </w:r>
          </w:hyperlink>
        </w:p>
        <w:p>
          <w:pPr>
            <w:pStyle w:val="Contents4"/>
            <w:tabs>
              <w:tab w:val="clear" w:pos="8176"/>
              <w:tab w:val="right" w:pos="9026" w:leader="dot"/>
            </w:tabs>
            <w:rPr/>
          </w:pPr>
          <w:hyperlink w:anchor="__RefHeading___Toc348320_2142443653">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348322_2142443653">
            <w:r>
              <w:rPr>
                <w:webHidden/>
                <w:rStyle w:val="IndexLink"/>
                <w:rtl w:val="true"/>
              </w:rPr>
              <w:t>إشارة إلی حال محمد بن أبی حمزة</w:t>
            </w:r>
            <w:r>
              <w:rPr>
                <w:rStyle w:val="IndexLink"/>
                <w:rtl w:val="true"/>
              </w:rPr>
              <w:tab/>
            </w:r>
            <w:r>
              <w:rPr>
                <w:rStyle w:val="IndexLink"/>
              </w:rPr>
              <w:t>378</w:t>
            </w:r>
          </w:hyperlink>
        </w:p>
        <w:p>
          <w:pPr>
            <w:pStyle w:val="Contents4"/>
            <w:tabs>
              <w:tab w:val="clear" w:pos="8176"/>
              <w:tab w:val="right" w:pos="9026" w:leader="dot"/>
            </w:tabs>
            <w:rPr/>
          </w:pPr>
          <w:hyperlink w:anchor="__RefHeading___Toc348324_2142443653">
            <w:r>
              <w:rPr>
                <w:webHidden/>
                <w:rStyle w:val="IndexLink"/>
                <w:rtl w:val="true"/>
              </w:rPr>
              <w:t>أبو ولّأد حفص بن سالم لا ارتیاب فیه</w:t>
            </w:r>
            <w:r>
              <w:rPr>
                <w:rStyle w:val="IndexLink"/>
                <w:rtl w:val="true"/>
              </w:rPr>
              <w:tab/>
            </w:r>
            <w:r>
              <w:rPr>
                <w:rStyle w:val="IndexLink"/>
              </w:rPr>
              <w:t>378</w:t>
            </w:r>
          </w:hyperlink>
        </w:p>
        <w:p>
          <w:pPr>
            <w:pStyle w:val="Contents4"/>
            <w:tabs>
              <w:tab w:val="clear" w:pos="8176"/>
              <w:tab w:val="right" w:pos="9026" w:leader="dot"/>
            </w:tabs>
            <w:rPr/>
          </w:pPr>
          <w:hyperlink w:anchor="__RefHeading___Toc348326_2142443653">
            <w:r>
              <w:rPr>
                <w:webHidden/>
                <w:rStyle w:val="IndexLink"/>
                <w:rtl w:val="true"/>
              </w:rPr>
              <w:t>بحث حول یعقوب بن شعیب</w:t>
            </w:r>
            <w:r>
              <w:rPr>
                <w:rStyle w:val="IndexLink"/>
                <w:rtl w:val="true"/>
              </w:rPr>
              <w:tab/>
            </w:r>
            <w:r>
              <w:rPr>
                <w:rStyle w:val="IndexLink"/>
              </w:rPr>
              <w:t>378</w:t>
            </w:r>
          </w:hyperlink>
        </w:p>
        <w:p>
          <w:pPr>
            <w:pStyle w:val="Contents4"/>
            <w:tabs>
              <w:tab w:val="clear" w:pos="8176"/>
              <w:tab w:val="right" w:pos="9026" w:leader="dot"/>
            </w:tabs>
            <w:rPr/>
          </w:pPr>
          <w:hyperlink w:anchor="__RefHeading___Toc348328_2142443653">
            <w:r>
              <w:rPr>
                <w:webHidden/>
                <w:rStyle w:val="IndexLink"/>
                <w:rtl w:val="true"/>
              </w:rPr>
              <w:t>کردویه مجهول الحال</w:t>
            </w:r>
            <w:r>
              <w:rPr>
                <w:rStyle w:val="IndexLink"/>
                <w:rtl w:val="true"/>
              </w:rPr>
              <w:tab/>
            </w:r>
            <w:r>
              <w:rPr>
                <w:rStyle w:val="IndexLink"/>
              </w:rPr>
              <w:t>379</w:t>
            </w:r>
          </w:hyperlink>
        </w:p>
        <w:p>
          <w:pPr>
            <w:pStyle w:val="Contents4"/>
            <w:tabs>
              <w:tab w:val="clear" w:pos="8176"/>
              <w:tab w:val="right" w:pos="9026" w:leader="dot"/>
            </w:tabs>
            <w:rPr/>
          </w:pPr>
          <w:hyperlink w:anchor="__RefHeading___Toc348330_2142443653">
            <w:r>
              <w:rPr>
                <w:webHidden/>
                <w:rStyle w:val="IndexLink"/>
                <w:rtl w:val="true"/>
              </w:rPr>
              <w:t>محمد بن زیاد مشترک</w:t>
            </w:r>
            <w:r>
              <w:rPr>
                <w:rStyle w:val="IndexLink"/>
                <w:rtl w:val="true"/>
              </w:rPr>
              <w:tab/>
            </w:r>
            <w:r>
              <w:rPr>
                <w:rStyle w:val="IndexLink"/>
              </w:rPr>
              <w:t>379</w:t>
            </w:r>
          </w:hyperlink>
        </w:p>
        <w:p>
          <w:pPr>
            <w:pStyle w:val="Contents4"/>
            <w:tabs>
              <w:tab w:val="clear" w:pos="8176"/>
              <w:tab w:val="right" w:pos="9026" w:leader="dot"/>
            </w:tabs>
            <w:rPr/>
          </w:pPr>
          <w:hyperlink w:anchor="__RefHeading___Toc348332_2142443653">
            <w:r>
              <w:rPr>
                <w:webHidden/>
                <w:rStyle w:val="IndexLink"/>
                <w:rtl w:val="true"/>
              </w:rPr>
              <w:t>بیان ما دل علی لزوم الفصل بین الشفع والوتر وتوجیه ما دلّ علی التخییر</w:t>
            </w:r>
            <w:r>
              <w:rPr>
                <w:rStyle w:val="IndexLink"/>
                <w:rtl w:val="true"/>
              </w:rPr>
              <w:tab/>
            </w:r>
            <w:r>
              <w:rPr>
                <w:rStyle w:val="IndexLink"/>
              </w:rPr>
              <w:t>379</w:t>
            </w:r>
          </w:hyperlink>
        </w:p>
        <w:p>
          <w:pPr>
            <w:pStyle w:val="Contents3"/>
            <w:tabs>
              <w:tab w:val="clear" w:pos="8459"/>
              <w:tab w:val="right" w:pos="9026" w:leader="dot"/>
            </w:tabs>
            <w:rPr/>
          </w:pPr>
          <w:hyperlink w:anchor="__RefHeading___Toc348334_2142443653">
            <w:r>
              <w:rPr>
                <w:webHidden/>
                <w:rStyle w:val="IndexLink"/>
                <w:rtl w:val="true"/>
              </w:rPr>
              <w:t>کراهیة النوم بین رکعتی الفجر وبین صلاة الغداة</w:t>
            </w:r>
            <w:r>
              <w:rPr>
                <w:rStyle w:val="IndexLink"/>
                <w:rtl w:val="true"/>
              </w:rPr>
              <w:tab/>
            </w:r>
            <w:r>
              <w:rPr>
                <w:rStyle w:val="IndexLink"/>
              </w:rPr>
              <w:t>381</w:t>
            </w:r>
          </w:hyperlink>
        </w:p>
        <w:p>
          <w:pPr>
            <w:pStyle w:val="Contents4"/>
            <w:tabs>
              <w:tab w:val="clear" w:pos="8176"/>
              <w:tab w:val="right" w:pos="9026" w:leader="dot"/>
            </w:tabs>
            <w:rPr/>
          </w:pPr>
          <w:hyperlink w:anchor="__RefHeading___Toc348336_2142443653">
            <w:r>
              <w:rPr>
                <w:webHidden/>
                <w:rStyle w:val="IndexLink"/>
                <w:rtl w:val="true"/>
              </w:rPr>
              <w:t>بحث حول علی بن محمد القاسانی</w:t>
            </w:r>
            <w:r>
              <w:rPr>
                <w:rStyle w:val="IndexLink"/>
                <w:rtl w:val="true"/>
              </w:rPr>
              <w:tab/>
            </w:r>
            <w:r>
              <w:rPr>
                <w:rStyle w:val="IndexLink"/>
              </w:rPr>
              <w:t>381</w:t>
            </w:r>
          </w:hyperlink>
        </w:p>
        <w:p>
          <w:pPr>
            <w:pStyle w:val="Contents4"/>
            <w:tabs>
              <w:tab w:val="clear" w:pos="8176"/>
              <w:tab w:val="right" w:pos="9026" w:leader="dot"/>
            </w:tabs>
            <w:rPr/>
          </w:pPr>
          <w:hyperlink w:anchor="__RefHeading___Toc348338_2142443653">
            <w:r>
              <w:rPr>
                <w:webHidden/>
                <w:rStyle w:val="IndexLink"/>
                <w:rtl w:val="true"/>
              </w:rPr>
              <w:t>سلیمان بن حفص مجهول الحال</w:t>
            </w:r>
            <w:r>
              <w:rPr>
                <w:rStyle w:val="IndexLink"/>
                <w:rtl w:val="true"/>
              </w:rPr>
              <w:tab/>
            </w:r>
            <w:r>
              <w:rPr>
                <w:rStyle w:val="IndexLink"/>
              </w:rPr>
              <w:t>382</w:t>
            </w:r>
          </w:hyperlink>
        </w:p>
        <w:p>
          <w:pPr>
            <w:pStyle w:val="Contents4"/>
            <w:tabs>
              <w:tab w:val="clear" w:pos="8176"/>
              <w:tab w:val="right" w:pos="9026" w:leader="dot"/>
            </w:tabs>
            <w:rPr/>
          </w:pPr>
          <w:hyperlink w:anchor="__RefHeading___Toc348340_2142443653">
            <w:r>
              <w:rPr>
                <w:webHidden/>
                <w:rStyle w:val="IndexLink"/>
                <w:rtl w:val="true"/>
              </w:rPr>
              <w:t>بیان ما دل علی المنع من النوم بین صلاة اللیل والفجر والجمع بینه وبین ما دل علی الجواز</w:t>
            </w:r>
            <w:r>
              <w:rPr>
                <w:rStyle w:val="IndexLink"/>
                <w:rtl w:val="true"/>
              </w:rPr>
              <w:tab/>
            </w:r>
            <w:r>
              <w:rPr>
                <w:rStyle w:val="IndexLink"/>
              </w:rPr>
              <w:t>382</w:t>
            </w:r>
          </w:hyperlink>
        </w:p>
        <w:p>
          <w:pPr>
            <w:pStyle w:val="Contents3"/>
            <w:tabs>
              <w:tab w:val="clear" w:pos="8459"/>
              <w:tab w:val="right" w:pos="9026" w:leader="dot"/>
            </w:tabs>
            <w:rPr/>
          </w:pPr>
          <w:hyperlink w:anchor="__RefHeading___Toc348342_2142443653">
            <w:r>
              <w:rPr>
                <w:webHidden/>
                <w:rStyle w:val="IndexLink"/>
                <w:rtl w:val="true"/>
              </w:rPr>
              <w:t>کراهیة النوم بعد صلاة الغداة</w:t>
            </w:r>
            <w:r>
              <w:rPr>
                <w:rStyle w:val="IndexLink"/>
                <w:rtl w:val="true"/>
              </w:rPr>
              <w:tab/>
            </w:r>
            <w:r>
              <w:rPr>
                <w:rStyle w:val="IndexLink"/>
              </w:rPr>
              <w:t>383</w:t>
            </w:r>
          </w:hyperlink>
        </w:p>
        <w:p>
          <w:pPr>
            <w:pStyle w:val="Contents4"/>
            <w:tabs>
              <w:tab w:val="clear" w:pos="8176"/>
              <w:tab w:val="right" w:pos="9026" w:leader="dot"/>
            </w:tabs>
            <w:rPr/>
          </w:pPr>
          <w:hyperlink w:anchor="__RefHeading___Toc348344_2142443653">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348346_2142443653">
            <w:r>
              <w:rPr>
                <w:webHidden/>
                <w:rStyle w:val="IndexLink"/>
                <w:rtl w:val="true"/>
              </w:rPr>
              <w:t>بحث حول أبی الجوزاء المنبه بن عبدالله</w:t>
            </w:r>
            <w:r>
              <w:rPr>
                <w:rStyle w:val="IndexLink"/>
                <w:rtl w:val="true"/>
              </w:rPr>
              <w:tab/>
            </w:r>
            <w:r>
              <w:rPr>
                <w:rStyle w:val="IndexLink"/>
              </w:rPr>
              <w:t>384</w:t>
            </w:r>
          </w:hyperlink>
        </w:p>
        <w:p>
          <w:pPr>
            <w:pStyle w:val="Contents4"/>
            <w:tabs>
              <w:tab w:val="clear" w:pos="8176"/>
              <w:tab w:val="right" w:pos="9026" w:leader="dot"/>
            </w:tabs>
            <w:rPr/>
          </w:pPr>
          <w:hyperlink w:anchor="__RefHeading___Toc348348_2142443653">
            <w:r>
              <w:rPr>
                <w:webHidden/>
                <w:rStyle w:val="IndexLink"/>
                <w:rtl w:val="true"/>
              </w:rPr>
              <w:t>الحسین بن علوان عامی</w:t>
            </w:r>
            <w:r>
              <w:rPr>
                <w:rStyle w:val="IndexLink"/>
                <w:rtl w:val="true"/>
              </w:rPr>
              <w:tab/>
            </w:r>
            <w:r>
              <w:rPr>
                <w:rStyle w:val="IndexLink"/>
              </w:rPr>
              <w:t>384</w:t>
            </w:r>
          </w:hyperlink>
        </w:p>
        <w:p>
          <w:pPr>
            <w:pStyle w:val="Contents4"/>
            <w:tabs>
              <w:tab w:val="clear" w:pos="8176"/>
              <w:tab w:val="right" w:pos="9026" w:leader="dot"/>
            </w:tabs>
            <w:rPr/>
          </w:pPr>
          <w:hyperlink w:anchor="__RefHeading___Toc348350_2142443653">
            <w:r>
              <w:rPr>
                <w:webHidden/>
                <w:rStyle w:val="IndexLink"/>
                <w:rtl w:val="true"/>
              </w:rPr>
              <w:t>عمرو بن خالد عامی</w:t>
            </w:r>
            <w:r>
              <w:rPr>
                <w:rStyle w:val="IndexLink"/>
                <w:rtl w:val="true"/>
              </w:rPr>
              <w:tab/>
            </w:r>
            <w:r>
              <w:rPr>
                <w:rStyle w:val="IndexLink"/>
              </w:rPr>
              <w:t>384</w:t>
            </w:r>
          </w:hyperlink>
        </w:p>
        <w:p>
          <w:pPr>
            <w:pStyle w:val="Contents4"/>
            <w:tabs>
              <w:tab w:val="clear" w:pos="8176"/>
              <w:tab w:val="right" w:pos="9026" w:leader="dot"/>
            </w:tabs>
            <w:rPr/>
          </w:pPr>
          <w:hyperlink w:anchor="__RefHeading___Toc348352_2142443653">
            <w:r>
              <w:rPr>
                <w:webHidden/>
                <w:rStyle w:val="IndexLink"/>
                <w:rtl w:val="true"/>
              </w:rPr>
              <w:t>عاصم بن أبی النجود الأسدی مجهول</w:t>
            </w:r>
            <w:r>
              <w:rPr>
                <w:rStyle w:val="IndexLink"/>
                <w:rtl w:val="true"/>
              </w:rPr>
              <w:tab/>
            </w:r>
            <w:r>
              <w:rPr>
                <w:rStyle w:val="IndexLink"/>
              </w:rPr>
              <w:t>384</w:t>
            </w:r>
          </w:hyperlink>
        </w:p>
        <w:p>
          <w:pPr>
            <w:pStyle w:val="Contents4"/>
            <w:tabs>
              <w:tab w:val="clear" w:pos="8176"/>
              <w:tab w:val="right" w:pos="9026" w:leader="dot"/>
            </w:tabs>
            <w:rPr/>
          </w:pPr>
          <w:hyperlink w:anchor="__RefHeading___Toc348354_2142443653">
            <w:r>
              <w:rPr>
                <w:webHidden/>
                <w:rStyle w:val="IndexLink"/>
                <w:rtl w:val="true"/>
              </w:rPr>
              <w:t>کلمة حول الطریق إلی العلاء</w:t>
            </w:r>
            <w:r>
              <w:rPr>
                <w:rStyle w:val="IndexLink"/>
                <w:rtl w:val="true"/>
              </w:rPr>
              <w:tab/>
            </w:r>
            <w:r>
              <w:rPr>
                <w:rStyle w:val="IndexLink"/>
              </w:rPr>
              <w:t>385</w:t>
            </w:r>
          </w:hyperlink>
        </w:p>
        <w:p>
          <w:pPr>
            <w:pStyle w:val="Contents4"/>
            <w:tabs>
              <w:tab w:val="clear" w:pos="8176"/>
              <w:tab w:val="right" w:pos="9026" w:leader="dot"/>
            </w:tabs>
            <w:rPr/>
          </w:pPr>
          <w:hyperlink w:anchor="__RefHeading___Toc348356_2142443653">
            <w:r>
              <w:rPr>
                <w:webHidden/>
                <w:rStyle w:val="IndexLink"/>
                <w:rtl w:val="true"/>
              </w:rPr>
              <w:t>موسی بن عمر الصیقل مهمل</w:t>
            </w:r>
            <w:r>
              <w:rPr>
                <w:rStyle w:val="IndexLink"/>
                <w:rtl w:val="true"/>
              </w:rPr>
              <w:tab/>
            </w:r>
            <w:r>
              <w:rPr>
                <w:rStyle w:val="IndexLink"/>
              </w:rPr>
              <w:t>385</w:t>
            </w:r>
          </w:hyperlink>
        </w:p>
        <w:p>
          <w:pPr>
            <w:pStyle w:val="Contents4"/>
            <w:tabs>
              <w:tab w:val="clear" w:pos="8176"/>
              <w:tab w:val="right" w:pos="9026" w:leader="dot"/>
            </w:tabs>
            <w:rPr/>
          </w:pPr>
          <w:hyperlink w:anchor="__RefHeading___Toc348358_2142443653">
            <w:r>
              <w:rPr>
                <w:webHidden/>
                <w:rStyle w:val="IndexLink"/>
                <w:rtl w:val="true"/>
              </w:rPr>
              <w:t>معمر بن خلّاد ثقة</w:t>
            </w:r>
            <w:r>
              <w:rPr>
                <w:rStyle w:val="IndexLink"/>
                <w:rtl w:val="true"/>
              </w:rPr>
              <w:tab/>
            </w:r>
            <w:r>
              <w:rPr>
                <w:rStyle w:val="IndexLink"/>
              </w:rPr>
              <w:t>385</w:t>
            </w:r>
          </w:hyperlink>
        </w:p>
        <w:p>
          <w:pPr>
            <w:pStyle w:val="Contents4"/>
            <w:tabs>
              <w:tab w:val="clear" w:pos="8176"/>
              <w:tab w:val="right" w:pos="9026" w:leader="dot"/>
            </w:tabs>
            <w:rPr/>
          </w:pPr>
          <w:hyperlink w:anchor="__RefHeading___Toc348360_2142443653">
            <w:r>
              <w:rPr>
                <w:webHidden/>
                <w:rStyle w:val="IndexLink"/>
                <w:rtl w:val="true"/>
              </w:rPr>
              <w:t>سالم بن أبی خدیجة مهمل</w:t>
            </w:r>
            <w:r>
              <w:rPr>
                <w:rStyle w:val="IndexLink"/>
                <w:rtl w:val="true"/>
              </w:rPr>
              <w:tab/>
            </w:r>
            <w:r>
              <w:rPr>
                <w:rStyle w:val="IndexLink"/>
              </w:rPr>
              <w:t>385</w:t>
            </w:r>
          </w:hyperlink>
        </w:p>
        <w:p>
          <w:pPr>
            <w:pStyle w:val="Contents4"/>
            <w:tabs>
              <w:tab w:val="clear" w:pos="8176"/>
              <w:tab w:val="right" w:pos="9026" w:leader="dot"/>
            </w:tabs>
            <w:rPr/>
          </w:pPr>
          <w:hyperlink w:anchor="__RefHeading___Toc348362_2142443653">
            <w:r>
              <w:rPr>
                <w:webHidden/>
                <w:rStyle w:val="IndexLink"/>
                <w:rtl w:val="true"/>
              </w:rPr>
              <w:t>عبدالرحمن بن أبی هاشم ثقة</w:t>
            </w:r>
            <w:r>
              <w:rPr>
                <w:rStyle w:val="IndexLink"/>
                <w:rtl w:val="true"/>
              </w:rPr>
              <w:tab/>
            </w:r>
            <w:r>
              <w:rPr>
                <w:rStyle w:val="IndexLink"/>
              </w:rPr>
              <w:t>385</w:t>
            </w:r>
          </w:hyperlink>
        </w:p>
        <w:p>
          <w:pPr>
            <w:pStyle w:val="Contents4"/>
            <w:tabs>
              <w:tab w:val="clear" w:pos="8176"/>
              <w:tab w:val="right" w:pos="9026" w:leader="dot"/>
            </w:tabs>
            <w:rPr/>
          </w:pPr>
          <w:hyperlink w:anchor="__RefHeading___Toc348364_2142443653">
            <w:r>
              <w:rPr>
                <w:webHidden/>
                <w:rStyle w:val="IndexLink"/>
                <w:rtl w:val="true"/>
              </w:rPr>
              <w:t>بیان ما دل علی کراهیة النوم بعد صلاة الصبح وتوجیه ما یعارضه</w:t>
            </w:r>
            <w:r>
              <w:rPr>
                <w:rStyle w:val="IndexLink"/>
                <w:rtl w:val="true"/>
              </w:rPr>
              <w:tab/>
            </w:r>
            <w:r>
              <w:rPr>
                <w:rStyle w:val="IndexLink"/>
              </w:rPr>
              <w:t>385</w:t>
            </w:r>
          </w:hyperlink>
        </w:p>
        <w:p>
          <w:pPr>
            <w:pStyle w:val="Contents2"/>
            <w:tabs>
              <w:tab w:val="clear" w:pos="8743"/>
              <w:tab w:val="right" w:pos="9026" w:leader="dot"/>
            </w:tabs>
            <w:rPr/>
          </w:pPr>
          <w:hyperlink w:anchor="__RefHeading___Toc348366_2142443653">
            <w:r>
              <w:rPr>
                <w:webHidden/>
                <w:rStyle w:val="IndexLink"/>
                <w:rtl w:val="true"/>
              </w:rPr>
              <w:t>فهرس الموضوعات</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37_163546"/>
      <w:bookmarkStart w:id="1" w:name="pg15037_163546"/>
      <w:bookmarkEnd w:id="1"/>
    </w:p>
    <w:p>
      <w:pPr>
        <w:pStyle w:val="Heading2"/>
        <w:numPr>
          <w:ilvl w:val="1"/>
          <w:numId w:val="1"/>
        </w:numPr>
        <w:rPr/>
      </w:pPr>
      <w:bookmarkStart w:id="2" w:name="pg15037_163546"/>
      <w:bookmarkStart w:id="3" w:name="__RefHeading___Toc347540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محمد بن الحسن ،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استقصاء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محمد بن الحسن بن الشهيد الثاني ؛ تحقيق مؤسسة آل البيت علیهم السلام الإحياء التراث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مؤسسةآل البيت علیهم السلام الإحياء التراث ، مشهد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بالهامش</w:t>
      </w:r>
    </w:p>
    <w:p>
      <w:pPr>
        <w:pStyle w:val="BookText"/>
        <w:rPr/>
      </w:pPr>
      <w:r>
        <w:rPr>
          <w:rFonts w:ascii="Amiri" w:hAnsi="Amiri" w:eastAsia="Amiri" w:cs="Amiri"/>
          <w:color w:val="111111"/>
          <w:sz w:val="28"/>
          <w:sz w:val="28"/>
          <w:szCs w:val="28"/>
          <w:rtl w:val="true"/>
          <w:lang w:bidi="ar-SA"/>
        </w:rPr>
        <w:t xml:space="preserve">هذا الكتاب شرح للاستبصار للشيخ الطوسي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 محمد بن الحسن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 محمد بن الحسن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 xml:space="preserve">شايك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p>
    <w:p>
      <w:pPr>
        <w:pStyle w:val="BookText"/>
        <w:rPr/>
      </w:pPr>
      <w:r>
        <w:rPr>
          <w:rFonts w:eastAsia="Times New Roman" w:cs="Times New Roman" w:ascii="Times New Roman" w:hAnsi="Times New Roman"/>
          <w:color w:val="111111"/>
          <w:sz w:val="28"/>
          <w:szCs w:val="28"/>
          <w:lang w:val="en-US" w:bidi="en-US"/>
        </w:rPr>
        <w:t>ISBN 964 - 319 - 172 - 9 / 7 VOLS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ISBN 964 - 319 - 177 / VOL. 5</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بن الشهيد الثاني</w:t>
      </w:r>
    </w:p>
    <w:p>
      <w:pPr>
        <w:pStyle w:val="BookText"/>
        <w:rPr/>
      </w:pP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الفلم والالواح الحساسة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تیز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754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37_163553"/>
      <w:bookmarkStart w:id="8" w:name="pg15037_163553"/>
      <w:bookmarkEnd w:id="8"/>
    </w:p>
    <w:p>
      <w:pPr>
        <w:pStyle w:val="BookText"/>
        <w:rPr/>
      </w:pPr>
      <w:bookmarkStart w:id="9" w:name="pg15037_163553"/>
      <w:bookmarkEnd w:id="9"/>
      <w:r>
        <w:rPr>
          <w:rFonts w:ascii="IRNazanin" w:hAnsi="IRNazanin" w:eastAsia="IRNazanin"/>
          <w:color w:val="111111"/>
          <w:sz w:val="28"/>
          <w:sz w:val="28"/>
          <w:szCs w:val="28"/>
          <w:rtl w:val="true"/>
          <w:lang w:bidi="fa-IR"/>
        </w:rPr>
        <w:t xml:space="preserve">قوله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أبواب القبلة</w:t>
      </w:r>
    </w:p>
    <w:p>
      <w:pPr>
        <w:pStyle w:val="BookText"/>
        <w:rPr/>
      </w:pPr>
      <w:r>
        <w:rPr>
          <w:rFonts w:ascii="IRNazanin" w:hAnsi="IRNazanin" w:eastAsia="IRNazanin"/>
          <w:color w:val="111111"/>
          <w:sz w:val="28"/>
          <w:sz w:val="28"/>
          <w:szCs w:val="28"/>
          <w:rtl w:val="true"/>
          <w:lang w:bidi="fa-IR"/>
        </w:rPr>
        <w:t>باب من اشتبه علیه القبلة فی یوم غیم</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 عن أبیه ، عن محمّد بن علی بن محبوب ، عن العباس ، عن عبد الله بن المغیرة ، عن إسماعیل بن عباد ، عن خراش ، عن بعض أصحابنا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إنّ هؤلاء المخالفین علینا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أطبقت علینا أو أظلمت </w:t>
      </w:r>
      <w:r>
        <w:rPr>
          <w:rStyle w:val="FootnoteAnchor"/>
          <w:rtl w:val="true"/>
        </w:rPr>
        <w:footnoteReference w:id="4"/>
      </w:r>
      <w:r>
        <w:rPr>
          <w:rFonts w:ascii="IRNazanin" w:hAnsi="IRNazanin" w:eastAsia="IRNazanin"/>
          <w:color w:val="111111"/>
          <w:sz w:val="28"/>
          <w:sz w:val="28"/>
          <w:szCs w:val="28"/>
          <w:rtl w:val="true"/>
          <w:lang w:bidi="fa-IR"/>
        </w:rPr>
        <w:t xml:space="preserve">فلم نعرف </w:t>
      </w:r>
      <w:r>
        <w:rPr>
          <w:rStyle w:val="FootnoteAnchor"/>
          <w:rtl w:val="true"/>
        </w:rPr>
        <w:footnoteReference w:id="5"/>
      </w:r>
      <w:r>
        <w:rPr>
          <w:rFonts w:ascii="IRNazanin" w:hAnsi="IRNazanin" w:eastAsia="IRNazanin"/>
          <w:color w:val="111111"/>
          <w:sz w:val="28"/>
          <w:sz w:val="28"/>
          <w:szCs w:val="28"/>
          <w:rtl w:val="true"/>
          <w:lang w:bidi="fa-IR"/>
        </w:rPr>
        <w:t>السماء کنّا وأنتم سواء فی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کما یقولون ، إذا کان کذلک فلیصلّ لأربع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سعید ، عن إسماعیل بن عباد ، عن خراش ، عن بعض أصحابنا مثله</w:t>
      </w:r>
      <w:r>
        <w:rPr>
          <w:rFonts w:eastAsia="IRNazanin" w:cs="IRNazanin"/>
          <w:color w:val="111111"/>
          <w:sz w:val="28"/>
          <w:szCs w:val="28"/>
          <w:rtl w:val="true"/>
          <w:lang w:bidi="fa-IR"/>
        </w:rPr>
        <w:t>.</w:t>
      </w:r>
    </w:p>
    <w:p>
      <w:pPr>
        <w:pStyle w:val="Heading2"/>
        <w:numPr>
          <w:ilvl w:val="1"/>
          <w:numId w:val="1"/>
        </w:numPr>
        <w:rPr/>
      </w:pPr>
      <w:bookmarkStart w:id="10" w:name="__RefHeading___Toc347544_2142443653"/>
      <w:bookmarkStart w:id="11" w:name="_Toc3"/>
      <w:bookmarkEnd w:id="10"/>
      <w:r>
        <w:rPr>
          <w:rtl w:val="true"/>
        </w:rPr>
        <w:t>أبواب القبلة</w:t>
      </w:r>
      <w:bookmarkEnd w:id="11"/>
    </w:p>
    <w:p>
      <w:pPr>
        <w:pStyle w:val="Heading3"/>
        <w:numPr>
          <w:ilvl w:val="2"/>
          <w:numId w:val="1"/>
        </w:numPr>
        <w:rPr/>
      </w:pPr>
      <w:bookmarkStart w:id="12" w:name="__RefHeading___Toc347546_2142443653"/>
      <w:bookmarkStart w:id="13" w:name="_Toc4"/>
      <w:bookmarkEnd w:id="12"/>
      <w:r>
        <w:rPr>
          <w:rtl w:val="true"/>
        </w:rPr>
        <w:t>من اشتبه علیه القبلة فی یوم غیم</w:t>
      </w:r>
      <w:bookmarkEnd w:id="1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 w:name="__RefHeading___Toc347548_2142443653"/>
      <w:bookmarkStart w:id="15" w:name="_Toc5"/>
      <w:bookmarkEnd w:id="14"/>
      <w:r>
        <w:rPr>
          <w:rtl w:val="true"/>
        </w:rPr>
        <w:t>اشارة</w:t>
      </w:r>
      <w:bookmarkStart w:id="16" w:name="pg15037_163555"/>
      <w:bookmarkEnd w:id="15"/>
    </w:p>
    <w:p>
      <w:pPr>
        <w:pStyle w:val="BookText"/>
        <w:rPr/>
      </w:pPr>
      <w:bookmarkEnd w:id="16"/>
      <w:r>
        <w:rPr>
          <w:rFonts w:ascii="IRNazanin" w:hAnsi="IRNazanin" w:eastAsia="IRNazanin"/>
          <w:color w:val="111111"/>
          <w:sz w:val="28"/>
          <w:sz w:val="28"/>
          <w:szCs w:val="28"/>
          <w:rtl w:val="true"/>
          <w:lang w:bidi="fa-IR"/>
        </w:rPr>
        <w:t xml:space="preserve">فأمّا ما رواه محمّد بن یعقوب ، عن محمّد بن یحیی ، عن أحمد بن محمّد ، عن حمّاد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یجزئ التحرّی </w:t>
      </w:r>
      <w:r>
        <w:rPr>
          <w:rStyle w:val="FootnoteAnchor"/>
          <w:rtl w:val="true"/>
        </w:rPr>
        <w:footnoteReference w:id="6"/>
      </w:r>
      <w:r>
        <w:rPr>
          <w:rFonts w:ascii="IRNazanin" w:hAnsi="IRNazanin" w:eastAsia="IRNazanin"/>
          <w:color w:val="111111"/>
          <w:sz w:val="28"/>
          <w:sz w:val="28"/>
          <w:szCs w:val="28"/>
          <w:rtl w:val="true"/>
          <w:lang w:bidi="fa-IR"/>
        </w:rPr>
        <w:t xml:space="preserve">أبدا إذا لم یعلم أین وجه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محمّد بن یحیی ، عن محمّد بن الحسین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باللیل والنهار إذا لم تر الشمس ولا القمر ولا النجوم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اجتهد رأیک وتعمد القبلة جهدک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الحسن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باللیل والنهار إذا لم تُر الشمس ولا القمر ولا النجوم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تجتهد رأیک وتعمد القبلة جهدک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الأخبار أن نحملها علی حال الضرورة التی لا یتمکن الإنسان فیها من الصلاة إلی أربع جهات ، فإنّه یجزؤه التحرّی ، فإمّا إذا تمکن فلا بد من الصلاة إلی أربع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إسماعیل بن عباد ، والموجود فی رجال الرضا علیه السلام من کتاب الشیخ ابن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القصری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مهملا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بعض له من أصحاب الکاظم علیه السلام </w:t>
      </w:r>
      <w:r>
        <w:rPr>
          <w:rStyle w:val="FootnoteAnchor"/>
          <w:rtl w:val="true"/>
        </w:rPr>
        <w:footnoteReference w:id="9"/>
      </w:r>
      <w:r>
        <w:rPr>
          <w:rFonts w:ascii="IRNazanin" w:hAnsi="IRNazanin" w:eastAsia="IRNazanin"/>
          <w:color w:val="111111"/>
          <w:sz w:val="28"/>
          <w:sz w:val="28"/>
          <w:szCs w:val="28"/>
          <w:rtl w:val="true"/>
          <w:lang w:bidi="fa-IR"/>
        </w:rPr>
        <w:t>لا نعلم مأخذه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347550_2142443653"/>
      <w:bookmarkStart w:id="18" w:name="_Toc6"/>
      <w:bookmarkEnd w:id="17"/>
      <w:r>
        <w:rPr>
          <w:rtl w:val="true"/>
        </w:rPr>
        <w:t>بحث حول اسماعیل بن عباد</w:t>
      </w:r>
      <w:bookmarkStart w:id="19" w:name="pg15037_163557"/>
      <w:bookmarkEnd w:id="18"/>
    </w:p>
    <w:p>
      <w:pPr>
        <w:pStyle w:val="BookText"/>
        <w:rPr/>
      </w:pPr>
      <w:bookmarkEnd w:id="19"/>
      <w:r>
        <w:rPr>
          <w:rFonts w:ascii="IRNazanin" w:hAnsi="IRNazanin" w:eastAsia="IRNazanin"/>
          <w:color w:val="111111"/>
          <w:sz w:val="28"/>
          <w:sz w:val="28"/>
          <w:szCs w:val="28"/>
          <w:rtl w:val="true"/>
          <w:lang w:bidi="fa-IR"/>
        </w:rPr>
        <w:t xml:space="preserve">وخراش مذکور فی رجال الصادق علیه السلام من کتاب الشیخ مهملا </w:t>
      </w:r>
      <w:r>
        <w:rPr>
          <w:rStyle w:val="FootnoteAnchor"/>
          <w:rtl w:val="true"/>
        </w:rPr>
        <w:footnoteReference w:id="10"/>
      </w:r>
      <w:r>
        <w:rPr>
          <w:rFonts w:ascii="IRNazanin" w:hAnsi="IRNazanin" w:eastAsia="IRNazanin"/>
          <w:color w:val="111111"/>
          <w:sz w:val="28"/>
          <w:sz w:val="28"/>
          <w:szCs w:val="28"/>
          <w:rtl w:val="true"/>
          <w:lang w:bidi="fa-IR"/>
        </w:rPr>
        <w:t>، لکن لا یخفی أنّ الطریق فی الأوّل إلی إسماعیل بن عباد فیه عبد 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الکشی الإجماع علی تصحیح ما یصح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والطریق إلیه صحیح ، لأنّ العباس علی الظاهر هو ابن معروف ، کما کرّرنا القول فی ذلک </w:t>
      </w:r>
      <w:r>
        <w:rPr>
          <w:rStyle w:val="FootnoteAnchor"/>
          <w:rtl w:val="true"/>
        </w:rPr>
        <w:footnoteReference w:id="11"/>
      </w:r>
      <w:r>
        <w:rPr>
          <w:rFonts w:ascii="IRNazanin" w:hAnsi="IRNazanin" w:eastAsia="IRNazanin"/>
          <w:color w:val="111111"/>
          <w:sz w:val="28"/>
          <w:sz w:val="28"/>
          <w:szCs w:val="28"/>
          <w:rtl w:val="true"/>
          <w:lang w:bidi="fa-IR"/>
        </w:rPr>
        <w:t>، أو ابن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اعتمد علی فهم أنّ المراد بالإجماع المذکور کون الخبر إذا صح إلی مثل عبد الله کفی فی صحة جمیعه یلزمه صحة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اعترف به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یعدّه من الصحاح </w:t>
      </w:r>
      <w:r>
        <w:rPr>
          <w:rStyle w:val="FootnoteAnchor"/>
          <w:rtl w:val="true"/>
        </w:rPr>
        <w:footnoteReference w:id="12"/>
      </w:r>
      <w:r>
        <w:rPr>
          <w:rFonts w:ascii="IRNazanin" w:hAnsi="IRNazanin" w:eastAsia="IRNazanin"/>
          <w:color w:val="111111"/>
          <w:sz w:val="28"/>
          <w:sz w:val="28"/>
          <w:szCs w:val="28"/>
          <w:rtl w:val="true"/>
          <w:lang w:bidi="fa-IR"/>
        </w:rPr>
        <w:t>، فلا أدری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قد قدّمنا فی أول الکتاب </w:t>
      </w:r>
      <w:r>
        <w:rPr>
          <w:rStyle w:val="FootnoteAnchor"/>
          <w:rtl w:val="true"/>
        </w:rPr>
        <w:footnoteReference w:id="13"/>
      </w:r>
      <w:r>
        <w:rPr>
          <w:rFonts w:ascii="IRNazanin" w:hAnsi="IRNazanin" w:eastAsia="IRNazanin"/>
          <w:color w:val="111111"/>
          <w:sz w:val="28"/>
          <w:sz w:val="28"/>
          <w:szCs w:val="28"/>
          <w:rtl w:val="true"/>
          <w:lang w:bidi="fa-IR"/>
        </w:rPr>
        <w:t xml:space="preserve">أنّ الشیخ قد ردّ بعض الأخبار المشتملة علی الإرسال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وجود من اجمع علی تصحیح ما یصح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بالضعف بسبب الإرسال ، والشیخ أدری بمراد الکشی من العبارة فی الإجماع علی تصحیح ما یصح عن الرجل ، وذکرنا ما یمکّن توجیه الإجماع المذکور ، وهو أنّ الغرض منه الاکتفاء عن القرائن للعمل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 بعد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عثمان بن عیسی ، وقد قدّمناه أیضا حاله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347552_2142443653"/>
      <w:bookmarkStart w:id="21" w:name="_Toc7"/>
      <w:bookmarkEnd w:id="20"/>
      <w:r>
        <w:rPr>
          <w:rtl w:val="true"/>
        </w:rPr>
        <w:t>خراش مهمل</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 w:name="__RefHeading___Toc347554_2142443653"/>
      <w:bookmarkStart w:id="23" w:name="_Toc8"/>
      <w:bookmarkEnd w:id="22"/>
      <w:r>
        <w:rPr>
          <w:rtl w:val="true"/>
        </w:rPr>
        <w:t>بحث حول المراد بالإجماع علی تصحیح ما یصح عن الرجل</w:t>
      </w:r>
      <w:bookmarkStart w:id="24" w:name="pg15037_163558"/>
      <w:bookmarkEnd w:id="23"/>
    </w:p>
    <w:p>
      <w:pPr>
        <w:pStyle w:val="BookText"/>
        <w:rPr/>
      </w:pPr>
      <w:bookmarkEnd w:id="24"/>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القائلین بأنّه مع اشتباه القبلة یصلّی لأربع جهات استدلوا به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وإن ضعف ، إلاّ أنّ عمل عظماء الأصحاب یعضده مع البعد عن قول العامة ،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یلزم من العمل به سقوط الاجتهاد بالکلیة فی القبلة ، لأنه مصرح به ، والأصحاب یفتون بالاجتهاد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الاجتهاد الذی صار إلیه الأصحاب هو ما أفاد القطع بالجهة من نحو مطلع الشمس ومغربها دون الاعتقاد المفید للظن کالریاح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محتملة لأن یکون المراد بقوله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المخالفین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ما تخیّله أهل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الاجتهاد فی الأحکام الشرعیة لا بدّ منه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کما یقوله الشیعة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المعصوم لا یحکم بالاجتهاد بل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حاصل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تعذر العلم فی المسألة المتکلم فیها لا وجه له ، إذ بالصلاة إلی الأربع جهات یتحقق العلم ، وعلی هذا یصیر مفاد الروایة أنّه لو أرید تحصیل العلم فی القبلة مع الاشتباه فهو ممکن بالصلاة إلی أربع جهات ، فالإلزام للخصم حاصل ، وما ورد من الأخبار المتضمنة لإجزاء أیّ جهة مع التحیّر لا ینافی هذا الخبر بالوجه الذی قررناه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 w:name="__RefHeading___Toc347556_2142443653"/>
      <w:bookmarkStart w:id="26" w:name="_Toc9"/>
      <w:bookmarkEnd w:id="25"/>
      <w:r>
        <w:rPr>
          <w:rtl w:val="true"/>
        </w:rPr>
        <w:t>بیان ما دل علی أنّ من اشتبه علیه القبلة یصلّی لأربع جهات والجمع بینه وبین ما یعارضه</w:t>
      </w:r>
      <w:bookmarkEnd w:id="26"/>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المنافاة باقیة ، لأنّ تحصیل العلم إذا أمکن تعیّن ، فما دلّ علی الاکتفاء بأیّ جهة ینافی اعتبار حصول العلم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الاکتفاء بالظن فلا مانع من القول بأنّ تحصیل العلم إنّما هو من باب فعل الأولی ، نعم لو لم یدل دلیل علی الظن کان اللازم وجوب تحصیل العلم عینا ، علی أنّ الروایة إذا احتمل فیها إلزام الخصم فیمکن ادعاء کون الصلاة إلی أیّ جهة یحصّل العلم الشرعی ، لأنه تابع للدلیل ، فإذا ورد ما یقتضی الاکتفاء بأیّ جهة کفی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ذکره شیخنا الشهید رحمه الله من أن الروایة یلزم من العمل بها سقوط الاجتهاد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 لأنّ مفادها علی تقدیر إلزام الخصم لیس نفی الاجتهاد مطلقا ، بل فی المادة المذکورة ، ولیس الاجتهاد منفیا فیها علی أن یکون الاکتفاء بالأربع جهات لمن لم یجتهد ، بل إنّما یدل علی أنّ تحصیل العلم ممکن ، فلا وجه للاجتهاد المفید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شیخنا الشهید رحمه الله فی الفرق بین الاجتهاد المفید للقطع وما أفاد الظن لا یثمر نفعا مع إطلاق الروایة ، بل صراحتها فی تحصیل العلم الذی هو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تقدیر العمل بالروایة والنظر إلی ما دلّ علی إجزاء أیّ جهة ، لکن فی بعض تلک الأخبار قد وقع نوع اختلاف ، فإنّ الشیخ کما تری نقل فی الروایة الثالثة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یجزئ التحرّی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بابویه نقل فی بعض الأخبار المعتبرة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ومحمّد بن مسلم ، عن أبی </w:t>
      </w:r>
      <w:r>
        <w:rPr>
          <w:rStyle w:val="FootnoteAnchor"/>
          <w:rtl w:val="true"/>
        </w:rPr>
        <w:footnoteReference w:id="19"/>
      </w:r>
      <w:r>
        <w:rPr>
          <w:rFonts w:ascii="IRNazanin" w:hAnsi="IRNazanin" w:eastAsia="IRNazanin"/>
          <w:color w:val="111111"/>
          <w:sz w:val="28"/>
          <w:sz w:val="28"/>
          <w:szCs w:val="28"/>
          <w:rtl w:val="true"/>
          <w:lang w:bidi="fa-IR"/>
        </w:rPr>
        <w:t xml:space="preserve">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یجزئ المتحیر أبدا </w:t>
      </w:r>
    </w:p>
    <w:p>
      <w:pPr>
        <w:pStyle w:val="BookText"/>
        <w:rPr/>
      </w:pPr>
      <w:r>
        <w:rPr>
          <w:rFonts w:ascii="IRNazanin" w:hAnsi="IRNazanin" w:eastAsia="IRNazanin"/>
          <w:color w:val="111111"/>
          <w:sz w:val="28"/>
          <w:sz w:val="28"/>
          <w:szCs w:val="28"/>
          <w:rtl w:val="true"/>
          <w:lang w:bidi="fa-IR"/>
        </w:rPr>
        <w:t xml:space="preserve">أینما توجه إذا لم یعلم أین وجه القبلة </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العبارتین ظاهر ، فإنّ ما نقله الشیخ یدل بظاهره علی إجزاء الاجتهاد المعبّر عنه بالتحرّی إذا لم تعلم القبلة ، وعبارة روایة الصدوق تفید أنّ المتحیّر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لم یعلم ویظنّ جهة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یجزؤه کیف ما توجّه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یؤید روایة الصدوق أنّه روی أیضا فی الصحیح عن معاویة بن عمّار ، عن الصادق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الآیة فی قبلة المتحیر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الْمَشْرِقُ وَالْمَغْرِبُ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فالخبر المبحوث عنه المتضمن للصلاة إلی أربع جهات یمکن حمله علی الأکملیة کما تقدم ، ولو نظرنا إلی روایتی الصدوق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لم یعلم </w:t>
      </w:r>
      <w:r>
        <w:rPr>
          <w:rStyle w:val="FootnoteAnchor"/>
          <w:rtl w:val="true"/>
        </w:rPr>
        <w:footnoteReference w:id="23"/>
      </w:r>
      <w:r>
        <w:rPr>
          <w:rFonts w:ascii="IRNazanin" w:hAnsi="IRNazanin" w:eastAsia="IRNazanin"/>
          <w:color w:val="111111"/>
          <w:sz w:val="28"/>
          <w:sz w:val="28"/>
          <w:szCs w:val="28"/>
          <w:rtl w:val="true"/>
          <w:lang w:bidi="fa-IR"/>
        </w:rPr>
        <w:t>القبلة تخیّر أیّ جهة شاء ، وعلی روایة الشیخ یراد أنّ الظنّ کاف فی العبادة إلی أیّ جهة شاء ، وحینئذ لا بد من حمل الخبر الأوّل علی عدم الظنّ فلا تنافی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 الشیخ علی الضرورة محل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مفاد الخبر الأوّل من المنافیین إجزاء التحرّی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العلم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وظاهر </w:t>
      </w:r>
      <w:r>
        <w:rPr>
          <w:rStyle w:val="FootnoteAnchor"/>
          <w:rtl w:val="true"/>
        </w:rPr>
        <w:footnoteReference w:id="25"/>
      </w:r>
      <w:r>
        <w:rPr>
          <w:rFonts w:ascii="IRNazanin" w:hAnsi="IRNazanin" w:eastAsia="IRNazanin"/>
          <w:color w:val="111111"/>
          <w:sz w:val="28"/>
          <w:sz w:val="28"/>
          <w:szCs w:val="28"/>
          <w:rtl w:val="true"/>
          <w:lang w:bidi="fa-IR"/>
        </w:rPr>
        <w:t xml:space="preserve">أنّ المراد به الاجتهاد فی القبلة ، أما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أربع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فلا یدل علیها الخبر ، ولو دل علی الجهة لأفاد أنّ الاجتهاد کاف فی الصلاة إلی جهة ، والخبر </w:t>
      </w:r>
    </w:p>
    <w:p>
      <w:pPr>
        <w:pStyle w:val="BookText"/>
        <w:rPr/>
      </w:pPr>
      <w:r>
        <w:rPr>
          <w:rFonts w:ascii="IRNazanin" w:hAnsi="IRNazanin" w:eastAsia="IRNazanin"/>
          <w:color w:val="111111"/>
          <w:sz w:val="28"/>
          <w:sz w:val="28"/>
          <w:szCs w:val="28"/>
          <w:rtl w:val="true"/>
          <w:lang w:bidi="fa-IR"/>
        </w:rPr>
        <w:t>الأوّل المتضمن للأربع لو خلی من الاحتمال السابق منا یحمل علی حالة عدم إمکان الاجتهاد أو تساوی الظنون فی الأربع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ثانی المنافیین </w:t>
      </w:r>
      <w:r>
        <w:rPr>
          <w:rStyle w:val="FootnoteAnchor"/>
          <w:rtl w:val="true"/>
        </w:rPr>
        <w:footnoteReference w:id="27"/>
      </w:r>
      <w:r>
        <w:rPr>
          <w:rFonts w:ascii="IRNazanin" w:hAnsi="IRNazanin" w:eastAsia="IRNazanin"/>
          <w:color w:val="111111"/>
          <w:sz w:val="28"/>
          <w:sz w:val="28"/>
          <w:szCs w:val="28"/>
          <w:rtl w:val="true"/>
          <w:lang w:bidi="fa-IR"/>
        </w:rPr>
        <w:t>ظاهر فی الاجتهاد ، ولا دلالة له علی ما ینافی الأربع علی نحو ما قلناه فی الأوّل ، وکذلک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 الشیخ علی تقدیر الحمل علی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یجزؤه التحرّی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به أنّه یجزؤه الاجتهاد مع الضرورة ، فالمفهوم منه أنّ مع عدم الضرورة لا یجزؤه الاجتهاد ، وحینئذ لا وجه للصلاة إلی الأربع جهات وکلامه یقتضی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یرید الشیخ أنّ الاجتهاد إنّما یکفی مع الضرورة ، ومع عدمها یجب تحصیل العلم وهو یحصل بالصلاة إلی أربع جهات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المتعارف من اعتبار العلم علی وجه التعین </w:t>
      </w:r>
      <w:r>
        <w:rPr>
          <w:rStyle w:val="FootnoteAnchor"/>
          <w:rtl w:val="true"/>
        </w:rPr>
        <w:footnoteReference w:id="28"/>
      </w:r>
      <w:r>
        <w:rPr>
          <w:rFonts w:ascii="IRNazanin" w:hAnsi="IRNazanin" w:eastAsia="IRNazanin"/>
          <w:color w:val="111111"/>
          <w:sz w:val="28"/>
          <w:sz w:val="28"/>
          <w:szCs w:val="28"/>
          <w:rtl w:val="true"/>
          <w:lang w:bidi="fa-IR"/>
        </w:rPr>
        <w:t>لا کونه فی جملة الأربع ، ولو تمّ ما ذکره لزم أنّ المضطر لو أمکنه أکثر من جهة وجب والخبران لا یدلان علیه ، فلیتأمّل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شیخنا قدس سره فی فوائد الکتاب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ظن الشیخ منافاتها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تدل علی الأمر بالاجتهاد بالقبلة إذا فقد العلم ، وهذا ممّا لا نزاع فیه بل الاتفاق علیه واقع ، وأمّا الصلاة إلی الجهات الأربع عند من أثبته فإنّما یثبت مع فقد العلم والظن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 ففیه تأمّل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أفاد انتفاء العلم هو أحد الأخبار وهو أوّلها ، وأمّا الآخران فمفادهما الاجتهاد إذا لم تر الشمس والقمر والنجوم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واستفادة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العلم من المذکورات غیر واضحة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بالعلم ما یشمل الظنّ فالخبر الأوّل قد دل علی أنّ مجرد إطباق السماء یقتضی الصلاة إلی الأربع جهات مع إمکان تحصیل الظنّ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الاتفاق واقع علی الاجتهاد مع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العلاّمة فی المختلف نقل عن ابن أبی عقیل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خفیت علیه القبلة لغیم أو ریح أو ظلمة فلم یقدر علی القبلة صلّی حیث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من اختیار 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الشیخین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أطبقت السماء بالغیم ولم یتمکن الإنسان من استعلام القبلة أو کان محبوسا فی بیت لا یجد دلیلا علی القبلة فلیصلّ إلی أربع جهات مع الاختیار ، ومع الضرورة إلی أیّ جهة شاء ،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الظاهر من کلام ابن الجنید وأبی الصلاح وسلاّر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نقل عن ابن أبی عقیل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کان مکلفا بالاستقبال حال عدم العلم کان تکلیف ما لا یطاق ، وبالروایتین المذکورتین هنا وهی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المنافیات وثانیها </w:t>
      </w:r>
      <w:r>
        <w:rPr>
          <w:rFonts w:eastAsia="IRNazanin" w:cs="IRNazanin"/>
          <w:color w:val="111111"/>
          <w:sz w:val="28"/>
          <w:szCs w:val="28"/>
          <w:rtl w:val="true"/>
          <w:lang w:bidi="fa-IR"/>
        </w:rPr>
        <w:t xml:space="preserve">) </w:t>
      </w:r>
      <w:r>
        <w:rPr>
          <w:rStyle w:val="FootnoteAnchor"/>
          <w:rtl w:val="true"/>
        </w:rPr>
        <w:footnoteReference w:id="31"/>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أنّ کلام ابن أبی عقیل وحجته لا یعطیان وجوب الاجتهاد مع فقد العلم إلاّ بتکلف</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الصلاة إلی الأربع جهات مع فقد العلم والظن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المنقول فی المختلف لا یوافقه علی الإطلاق ، والعجب أنّه قدس سره اختار مذهب ابن أبی عقیل فی فوائد الکتاب بعد أن ذکر روایتی الصدوق السابقتین ، وحکی عن المختلف أنّه نفی عنه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فی </w:t>
      </w:r>
    </w:p>
    <w:p>
      <w:pPr>
        <w:pStyle w:val="BookText"/>
        <w:rPr/>
      </w:pPr>
      <w:r>
        <w:rPr>
          <w:rFonts w:ascii="IRNazanin" w:hAnsi="IRNazanin" w:eastAsia="IRNazanin"/>
          <w:color w:val="111111"/>
          <w:sz w:val="28"/>
          <w:sz w:val="28"/>
          <w:szCs w:val="28"/>
          <w:rtl w:val="true"/>
          <w:lang w:bidi="fa-IR"/>
        </w:rPr>
        <w:t>المختلف قد سمعته من حکایة قول ابن أبی عقیل واستدلاله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العلاّمة احتج علی ما اختاره من قول الشیخین والجماعة المذکورین معهما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متمکن من الاستقبال فیکون واجبا علیه ، أمّا 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بفعل الأربع یحصل الاستقبال ، وأمّا الثانیة فإجماعیة ، وبما رواه خراش ، وذکر الروایة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 حجة ابن أبی عقیل بمنع الملازمة ، إذ مع الإتیان بالصلاة أربع مرّات یخرج عن العهدة ، وهو ممّا یطاق ، وعن 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صحیح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علی ضیق الوقت أو علی التحرّی مع غلبة الظن ، إذ مع عدم العلم یجزئ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الجواب عن الثانی مع ضعف سنده وکونه </w:t>
      </w:r>
      <w:r>
        <w:rPr>
          <w:rStyle w:val="FootnoteAnchor"/>
          <w:rtl w:val="true"/>
        </w:rPr>
        <w:footnoteReference w:id="33"/>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فقول ابن أبی عقیل لیس بذلک المستبعد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أنّه یتوجه علیه أنّ الجواب بمنع الملازمة إنّما یتم علی تقدیر تحقق التکلیف بالاستقبال المعلوم حال عدم العلم لیکون فعل الأربع وسیلة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الامتثال </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والحال أنّ ما دل علی الاکتفاء بأیّ جهة شاء صحیح ، فالتکلیف بالأربع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اقتصر المستدل علی الأوّل من أدلته أمکن توجیه الجواب ، وحمل الخبر علی ضیق الوقت فرع صلاحیة المعارض للمعارضة ، والحمل علی غلبة الظن کذلک ، مضافا إلی أنّ الروایة کما سمعته من نقل الصدوق لا یوافق الحمل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ذکر من الصلاة إلی الأربع جهات إنما یتحقق الوجوب فی </w:t>
      </w:r>
      <w:bookmarkStart w:id="27" w:name="pg15037_163570"/>
    </w:p>
    <w:p>
      <w:pPr>
        <w:pStyle w:val="BookText"/>
        <w:rPr/>
      </w:pPr>
      <w:bookmarkEnd w:id="27"/>
      <w:r>
        <w:rPr>
          <w:rFonts w:ascii="IRNazanin" w:hAnsi="IRNazanin" w:eastAsia="IRNazanin"/>
          <w:color w:val="111111"/>
          <w:sz w:val="28"/>
          <w:sz w:val="28"/>
          <w:szCs w:val="28"/>
          <w:rtl w:val="true"/>
          <w:lang w:bidi="fa-IR"/>
        </w:rPr>
        <w:t>الأربع علی تقدیر التکلیف بالقبلة لتکون مقدمة إلی تحصیل القبلة ، والحال قد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السید رضی الدین بن طاوس القول بالقرعة فی المتحیر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 أنّ فی إطلاق أخبار القرعة ما یتناوله کما فی بعض أخبار الخنثی فی المیراث </w:t>
      </w:r>
      <w:r>
        <w:rPr>
          <w:rStyle w:val="FootnoteAnchor"/>
          <w:rtl w:val="true"/>
        </w:rPr>
        <w:footnoteReference w:id="37"/>
      </w:r>
      <w:r>
        <w:rPr>
          <w:rFonts w:ascii="IRNazanin" w:hAnsi="IRNazanin" w:eastAsia="IRNazanin"/>
          <w:color w:val="111111"/>
          <w:sz w:val="28"/>
          <w:sz w:val="28"/>
          <w:szCs w:val="28"/>
          <w:rtl w:val="true"/>
          <w:lang w:bidi="fa-IR"/>
        </w:rPr>
        <w:t>، غیر أنّ السند فیه جهالة ، وعلی تقدیر السلامة فالتخصیص فی الأخبار المعتبرة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یقتضیه ظاهر عبارة شیخنا الشهید رحمه الله فی قواعده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نفی القرعة فی العبادات إجماعا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إجمال کما یفهم من مراجعتها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صلّی إلی غیر القبلة ثم تبیّن</w:t>
      </w:r>
    </w:p>
    <w:p>
      <w:pPr>
        <w:pStyle w:val="BookText"/>
        <w:rPr/>
      </w:pPr>
      <w:r>
        <w:rPr>
          <w:rFonts w:ascii="IRNazanin" w:hAnsi="IRNazanin" w:eastAsia="IRNazanin"/>
          <w:color w:val="111111"/>
          <w:sz w:val="28"/>
          <w:sz w:val="28"/>
          <w:szCs w:val="28"/>
          <w:rtl w:val="true"/>
          <w:lang w:bidi="fa-IR"/>
        </w:rPr>
        <w:t>بعد ذلک قبل انقضاء الوقت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 عن فضالة بن أیوب ، عن عبد الرحمن بن أبی عبد الله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وأنت علی غیر قبلة واستبان لک أنّک صلیت وأنت علی غیر القبلة وأنت فی وقت فأعد ، وإن فاتک الوقت فلا تعد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محمّد بن یحیی ، عن أحمد بن محمّد </w:t>
      </w:r>
      <w:r>
        <w:rPr>
          <w:rStyle w:val="FootnoteAnchor"/>
          <w:rtl w:val="true"/>
        </w:rPr>
        <w:footnoteReference w:id="39"/>
      </w:r>
      <w:r>
        <w:rPr>
          <w:rFonts w:ascii="IRNazanin" w:hAnsi="IRNazanin" w:eastAsia="IRNazanin"/>
          <w:color w:val="111111"/>
          <w:sz w:val="28"/>
          <w:sz w:val="28"/>
          <w:szCs w:val="28"/>
          <w:rtl w:val="true"/>
          <w:lang w:bidi="fa-IR"/>
        </w:rPr>
        <w:t>، عن ابن أبی عمیر ، عن هشام بن سالم ، عن سلیمان بن</w:t>
      </w:r>
    </w:p>
    <w:p>
      <w:pPr>
        <w:pStyle w:val="Heading3"/>
        <w:numPr>
          <w:ilvl w:val="2"/>
          <w:numId w:val="1"/>
        </w:numPr>
        <w:rPr/>
      </w:pPr>
      <w:bookmarkStart w:id="28" w:name="__RefHeading___Toc347558_2142443653"/>
      <w:bookmarkStart w:id="29" w:name="_Toc10"/>
      <w:bookmarkEnd w:id="28"/>
      <w:r>
        <w:rPr>
          <w:rtl w:val="true"/>
        </w:rPr>
        <w:t>من صلّی إلی غیر القبلة ثم تبیّن‌بعد ذلک قبل انقضاء الوقت وبعده</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 w:name="__RefHeading___Toc347560_2142443653"/>
      <w:bookmarkStart w:id="31" w:name="_Toc11"/>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 xml:space="preserve">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فی قفر من الأرض فی یوم غیم فیصلّی لغیر القبلة ،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یصحی فیعلم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أنّه صلّی لغیر القبلة ،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وقت فلیعد صلاته ، وإن کان مضی الوقت فحسبه اجتهاده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الحسن الطاطری ، عن محمّد بن أبی حمزة ، عن عبد الله بن مسکان ، عن سلیمان بن خالد ،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محمّد بن الحسین ، عن یعقوب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عبدا صالحا </w:t>
      </w:r>
      <w:r>
        <w:rPr>
          <w:rStyle w:val="FootnoteAnchor"/>
          <w:rtl w:val="true"/>
        </w:rPr>
        <w:footnoteReference w:id="41"/>
      </w:r>
      <w:r>
        <w:rPr>
          <w:rFonts w:ascii="IRNazanin" w:hAnsi="IRNazanin" w:eastAsia="IRNazanin"/>
          <w:color w:val="111111"/>
          <w:sz w:val="28"/>
          <w:sz w:val="28"/>
          <w:szCs w:val="28"/>
          <w:rtl w:val="true"/>
          <w:lang w:bidi="fa-IR"/>
        </w:rPr>
        <w:t xml:space="preserve">عن رجل صلّی فی یوم سحاب علی غیر القبلة ثم طلعت الشمس وهو فی وقت ، أیعید الصلاة إذا کان قد صلّی علی غیر القبلة؟ وإن کان قد تحرّی القبلة بجهده أتجزؤه صلاته؟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ما کان فی وقت ، فإذا ذهب الوقت فلا إعادة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 عن الحسین ، عن فضالة ، عن أبان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علی غیر القبلة فاستبان </w:t>
      </w:r>
      <w:r>
        <w:rPr>
          <w:rStyle w:val="FootnoteAnchor"/>
          <w:rtl w:val="true"/>
        </w:rPr>
        <w:footnoteReference w:id="42"/>
      </w:r>
      <w:r>
        <w:rPr>
          <w:rFonts w:ascii="IRNazanin" w:hAnsi="IRNazanin" w:eastAsia="IRNazanin"/>
          <w:color w:val="111111"/>
          <w:sz w:val="28"/>
          <w:sz w:val="28"/>
          <w:szCs w:val="28"/>
          <w:rtl w:val="true"/>
          <w:lang w:bidi="fa-IR"/>
        </w:rPr>
        <w:t xml:space="preserve">لک قبل أن تصبح أنّک صلّیت علی غیر القبلة فأعد صلاتک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محمّد بن الحسین ، عن الحجّال ، عن ثعلبة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میمون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عن معاویة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یقوم من الصلاة ، ثم ینظر بعد ما فرغ فیری أنّه قد انحرف عن </w:t>
      </w:r>
    </w:p>
    <w:p>
      <w:pPr>
        <w:pStyle w:val="BookText"/>
        <w:rPr/>
      </w:pPr>
      <w:r>
        <w:rPr>
          <w:rFonts w:ascii="IRNazanin" w:hAnsi="IRNazanin" w:eastAsia="IRNazanin"/>
          <w:color w:val="111111"/>
          <w:sz w:val="28"/>
          <w:sz w:val="28"/>
          <w:szCs w:val="28"/>
          <w:rtl w:val="true"/>
          <w:lang w:bidi="fa-IR"/>
        </w:rPr>
        <w:t xml:space="preserve">القبلة یمینا وشمالا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مضت صلاته وما بین المشرق والمغرب </w:t>
      </w:r>
      <w:r>
        <w:rPr>
          <w:rStyle w:val="FootnoteAnchor"/>
          <w:rtl w:val="true"/>
        </w:rPr>
        <w:footnoteReference w:id="44"/>
      </w:r>
      <w:r>
        <w:rPr>
          <w:rFonts w:ascii="Amiri" w:hAnsi="Amiri" w:eastAsia="Amiri" w:cs="Amiri"/>
          <w:color w:val="111111"/>
          <w:sz w:val="28"/>
          <w:sz w:val="28"/>
          <w:szCs w:val="28"/>
          <w:rtl w:val="true"/>
          <w:lang w:bidi="ar-SA"/>
        </w:rPr>
        <w:t xml:space="preserve">قبلة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 عن أحمد ، عن أبیه ، عن عبد الله بن المغیرة ، عن القاسم بن الولید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تبیّن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غیر القبلة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یستقبلها إذا ثبت ذلک ، وإن کان فرغ منها فلا یعیدها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محمّد بن الحصین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عبد صالح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یصلّی فی یوم غیم فی فلاة من الأرض ولا یعرف القبلة ، فیصلّی حتی إذا فرغ من صلاته بدت له الشمس فإذا هو قد صلی لغیر القبلة أیعتدّ بصلاته أم یعیدها؟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یعیدها ما لم یفته الوقت أو لم یعلم أنّ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الحق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فَأَیْنَما تُوَلُّوا فَثَمَّ وَجْهُ اللهِ </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الثانی ، بعد ما قدمناه </w:t>
      </w:r>
      <w:r>
        <w:rPr>
          <w:rStyle w:val="FootnoteAnchor"/>
          <w:rtl w:val="true"/>
        </w:rPr>
        <w:footnoteReference w:id="47"/>
      </w:r>
      <w:r>
        <w:rPr>
          <w:rFonts w:ascii="IRNazanin" w:hAnsi="IRNazanin" w:eastAsia="IRNazanin"/>
          <w:color w:val="111111"/>
          <w:sz w:val="28"/>
          <w:sz w:val="28"/>
          <w:szCs w:val="28"/>
          <w:rtl w:val="true"/>
          <w:lang w:bidi="fa-IR"/>
        </w:rPr>
        <w:t xml:space="preserve">فی سلیمان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وهشام بن سالم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32" w:name="pg15037_163577"/>
    </w:p>
    <w:p>
      <w:pPr>
        <w:pStyle w:val="BookText"/>
        <w:rPr/>
      </w:pPr>
      <w:bookmarkEnd w:id="32"/>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الحسن الطاطری مع ما فی الطریق إلیه کما مضی أیضا </w:t>
      </w:r>
      <w:r>
        <w:rPr>
          <w:rStyle w:val="FootnoteAnchor"/>
          <w:rtl w:val="true"/>
        </w:rPr>
        <w:footnoteReference w:id="49"/>
      </w:r>
      <w:r>
        <w:rPr>
          <w:rFonts w:ascii="IRNazanin" w:hAnsi="IRNazanin" w:eastAsia="IRNazanin"/>
          <w:color w:val="111111"/>
          <w:sz w:val="28"/>
          <w:sz w:val="28"/>
          <w:szCs w:val="28"/>
          <w:rtl w:val="true"/>
          <w:lang w:bidi="fa-IR"/>
        </w:rPr>
        <w:t>، والحاصل أنّ علی بن الحسن واقفی ثقة ، والطریق إلیه فیه 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محمّد 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فالثمالی ثقة ، وغیره من المذکورین فی رجال الصادق علیه السلام مهمل </w:t>
      </w:r>
      <w:r>
        <w:rPr>
          <w:rStyle w:val="FootnoteAnchor"/>
          <w:rtl w:val="true"/>
        </w:rPr>
        <w:footnoteReference w:id="50"/>
      </w:r>
      <w:r>
        <w:rPr>
          <w:rFonts w:ascii="IRNazanin" w:hAnsi="IRNazanin" w:eastAsia="IRNazanin"/>
          <w:color w:val="111111"/>
          <w:sz w:val="28"/>
          <w:sz w:val="28"/>
          <w:szCs w:val="28"/>
          <w:rtl w:val="true"/>
          <w:lang w:bidi="fa-IR"/>
        </w:rPr>
        <w:t>، والأمر سهل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مسکان مع سلیمان بن خالد غنیان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محمّد بن علی بن محبوب ، وأحمد هو ابن محمّد بن عیسی ، والحسین هو ابن سعید ، فالسند لا ارتیاب فیه ، لأنّ الظاهر من أبان کونه ابن عثمان یعلم من ممارسة الأخبار ، واحتمال غیره فی حیّز الإمکان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ثعلبة بن میمون ، وقد تقدّم </w:t>
      </w:r>
      <w:r>
        <w:rPr>
          <w:rStyle w:val="FootnoteAnchor"/>
          <w:rtl w:val="true"/>
        </w:rPr>
        <w:footnoteReference w:id="51"/>
      </w:r>
      <w:r>
        <w:rPr>
          <w:rFonts w:ascii="IRNazanin" w:hAnsi="IRNazanin" w:eastAsia="IRNazanin"/>
          <w:color w:val="111111"/>
          <w:sz w:val="28"/>
          <w:sz w:val="28"/>
          <w:szCs w:val="28"/>
          <w:rtl w:val="true"/>
          <w:lang w:bidi="fa-IR"/>
        </w:rPr>
        <w:t>ما یدل علی المدح فیه من کتب الرجال واحتمال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w:t>
      </w:r>
      <w:r>
        <w:rPr>
          <w:rStyle w:val="FootnoteAnchor"/>
          <w:rtl w:val="true"/>
        </w:rPr>
        <w:footnoteReference w:id="52"/>
      </w:r>
      <w:r>
        <w:rPr>
          <w:rFonts w:ascii="Amiri" w:hAnsi="Amiri" w:eastAsia="Amiri" w:cs="Amiri"/>
          <w:color w:val="111111"/>
          <w:sz w:val="28"/>
          <w:sz w:val="28"/>
          <w:szCs w:val="28"/>
          <w:rtl w:val="true"/>
          <w:lang w:bidi="ar-SA"/>
        </w:rPr>
        <w:t>أنّه عبد الله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الأشعری المعبّر عنه بأبیه ، وقد تقدم القول فیه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القاسم بن الولید فالمذکور فی الرجال مهمل یروی عن أبی عبد الله علیه السلام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الحصین ، وقد ذکر فی رجال الهادی علیه السلام من</w:t>
      </w:r>
    </w:p>
    <w:p>
      <w:pPr>
        <w:pStyle w:val="Heading4"/>
        <w:numPr>
          <w:ilvl w:val="3"/>
          <w:numId w:val="1"/>
        </w:numPr>
        <w:rPr/>
      </w:pPr>
      <w:bookmarkStart w:id="33" w:name="__RefHeading___Toc347562_2142443653"/>
      <w:bookmarkStart w:id="34" w:name="_Toc12"/>
      <w:bookmarkEnd w:id="33"/>
      <w:r>
        <w:rPr>
          <w:rtl w:val="true"/>
        </w:rPr>
        <w:t>بحث حول علی بن الحسن الطاطری</w:t>
      </w:r>
      <w:bookmarkEnd w:id="34"/>
    </w:p>
    <w:p>
      <w:pPr>
        <w:pStyle w:val="Heading4"/>
        <w:numPr>
          <w:ilvl w:val="3"/>
          <w:numId w:val="1"/>
        </w:numPr>
        <w:rPr/>
      </w:pPr>
      <w:bookmarkStart w:id="35" w:name="__RefHeading___Toc347564_2142443653"/>
      <w:bookmarkStart w:id="36" w:name="_Toc13"/>
      <w:bookmarkEnd w:id="35"/>
      <w:r>
        <w:rPr>
          <w:rtl w:val="true"/>
        </w:rPr>
        <w:t>بحث حول محمد بن أبی حمزة</w:t>
      </w:r>
      <w:bookmarkEnd w:id="36"/>
    </w:p>
    <w:p>
      <w:pPr>
        <w:pStyle w:val="Heading4"/>
        <w:numPr>
          <w:ilvl w:val="3"/>
          <w:numId w:val="1"/>
        </w:numPr>
        <w:rPr/>
      </w:pPr>
      <w:bookmarkStart w:id="37" w:name="__RefHeading___Toc347566_2142443653"/>
      <w:bookmarkStart w:id="38" w:name="_Toc14"/>
      <w:bookmarkEnd w:id="37"/>
      <w:r>
        <w:rPr>
          <w:rtl w:val="true"/>
        </w:rPr>
        <w:t>إشارة إلی حال ثعلبة بن میمون والحجّال</w:t>
      </w:r>
      <w:bookmarkEnd w:id="38"/>
    </w:p>
    <w:p>
      <w:pPr>
        <w:pStyle w:val="Heading4"/>
        <w:numPr>
          <w:ilvl w:val="3"/>
          <w:numId w:val="1"/>
        </w:numPr>
        <w:rPr/>
      </w:pPr>
      <w:bookmarkStart w:id="39" w:name="__RefHeading___Toc347568_2142443653"/>
      <w:bookmarkStart w:id="40" w:name="_Toc15"/>
      <w:bookmarkEnd w:id="39"/>
      <w:r>
        <w:rPr>
          <w:rtl w:val="true"/>
        </w:rPr>
        <w:t>القاسم بن الولید المهمل</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 w:name="__RefHeading___Toc347570_2142443653"/>
      <w:bookmarkStart w:id="42" w:name="_Toc16"/>
      <w:bookmarkEnd w:id="41"/>
      <w:r>
        <w:rPr>
          <w:rtl w:val="true"/>
        </w:rPr>
        <w:t>بحث حول محمد بن الحصین</w:t>
      </w:r>
      <w:bookmarkStart w:id="43" w:name="pg15037_163578"/>
      <w:bookmarkEnd w:id="42"/>
    </w:p>
    <w:p>
      <w:pPr>
        <w:pStyle w:val="BookText"/>
        <w:rPr/>
      </w:pPr>
      <w:bookmarkEnd w:id="43"/>
      <w:r>
        <w:rPr>
          <w:rFonts w:ascii="IRNazanin" w:hAnsi="IRNazanin" w:eastAsia="IRNazanin"/>
          <w:color w:val="111111"/>
          <w:sz w:val="28"/>
          <w:sz w:val="28"/>
          <w:szCs w:val="28"/>
          <w:rtl w:val="true"/>
          <w:lang w:bidi="fa-IR"/>
        </w:rPr>
        <w:t xml:space="preserve">کتاب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الحصین الأهوازی مهملا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ومحمّد بن الحصین الفهری مع لفظ ملعون </w:t>
      </w:r>
      <w:r>
        <w:rPr>
          <w:rStyle w:val="FootnoteAnchor"/>
          <w:rtl w:val="true"/>
        </w:rPr>
        <w:footnoteReference w:id="56"/>
      </w:r>
      <w:r>
        <w:rPr>
          <w:rFonts w:ascii="IRNazanin" w:hAnsi="IRNazanin" w:eastAsia="IRNazanin"/>
          <w:color w:val="111111"/>
          <w:sz w:val="28"/>
          <w:sz w:val="28"/>
          <w:szCs w:val="28"/>
          <w:rtl w:val="true"/>
          <w:lang w:bidi="fa-IR"/>
        </w:rPr>
        <w:t xml:space="preserve">، وفی أصحاب الصادق علیه السلام محمّد بن الحصین الجعفی مهملا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کل حال الرجل معلوم ، غیر أنّ المتعارف من العبد الصالح موسی علیه السلام ، والذی من أصحاب الهادی علیه السلام لا یناسب الروایة من هذه الجهة ، وکونه أهوازیا یناسب روایة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یکون الاشتباه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اشترک موسی والهادی علیهماالسلام فیه ، أو یطلق العبد الصالح علی غیر موسی علیه السلام ، والأمر سهل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بظاهره علی أنّ من صلّی لغیر القبلة یعید فی الوقت دون خارجه ، غیر أنّ الصلاة حینئذ إمّا أن تکون بالاجتهاد المفید للظن الشرعی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ظاهر قوله علیه السلام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فحسبه 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الإعادة فی خارج الوقت مع الاجتهاد ، فیخصّ الأوّل أو یقیّد ، إلاّ أنّ الاجتهاد لا یخلو من إجمال ، وقد سمعت فیما مضی کلام الشهید فی الفرق بین الاجتهاد المفید للقطع والمفید للظن ، لکنّی لم أقف علی دلیل الفرق مع بیان حقیقة القطع وعدمه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 w:name="__RefHeading___Toc347572_2142443653"/>
      <w:bookmarkStart w:id="45" w:name="_Toc17"/>
      <w:bookmarkEnd w:id="44"/>
      <w:r>
        <w:rPr>
          <w:rtl w:val="true"/>
        </w:rPr>
        <w:t>بیان ما دل علی أنّ من استبان له أنّه صلّی إلی غیر القبلة یعید فی الوقت دون خارجه مع الاجتهاد</w:t>
      </w:r>
      <w:bookmarkEnd w:id="45"/>
    </w:p>
    <w:p>
      <w:pPr>
        <w:pStyle w:val="BookText"/>
        <w:rPr/>
      </w:pPr>
      <w:r>
        <w:rPr>
          <w:rFonts w:ascii="IRNazanin" w:hAnsi="IRNazanin" w:eastAsia="IRNazanin"/>
          <w:color w:val="111111"/>
          <w:sz w:val="28"/>
          <w:sz w:val="28"/>
          <w:szCs w:val="28"/>
          <w:rtl w:val="true"/>
          <w:lang w:bidi="fa-IR"/>
        </w:rPr>
        <w:t xml:space="preserve">وفی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اجتهد فظن القبلة فصلّی ثم تبیّن الخطاء بعد فراغه ،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الوقت أعاد الصلاة علی کل حال ، وإن کان قد مضی فلا إعادة ، إلاّ أن یکون استدبر القبلة فإنّه یعیدها علی الصحیح من المذهب ، وقال قوم من أصحابنا لا یعید ، وهو اختیار المفید وسلاّر وأبی الصلاح وابن البراج ، 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الوقت باقیا أعاد ، وإن کان خارجا لا إعادة وإن کان مستدبرا ، واختاره ابن إدریس وابن الجنید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دلالة الکلام علی أنّ محل الخلاف مع الاجتهاد المفید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الخبرین المبحوث عنهما یختلج فی البال دلالتهما علی أنّ الصلاة وقعت إلی جهة واحدة ، إذ لو وقعت إلی الأربع لم یتم الحکم فیها إلاّ بنوع تکلّف ، وعلی هذا فربما یؤیّد أنّ القول بأنّ الصلاة إلی الأربع مع عدم الظن ، فیندفع احتمال ما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یقتضیه عدم الاستفصال من الإمام علیه السلام فی الأوّل لا یفید العموم فی غیر الظانّ ، لأنّ السائل لیس من قسم من یحتمل فی حقه غیر الظنّ کما لا یخفی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یستفاد من الخبرین أنّ مطلق وجود الوقت یقتضی الإعادة فیتناول إدراک جمیع الصلاة فی وقتها أو بعضها ، إلاّ أن یدّعی تبادر جمیع الوقت ، وفیه ما فیه ، غیر أنّ ثبوت الاکتفاء بالرکعة فی الوقت لا یخلو من شی‌ء کما ذکرناه فی محل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الأوّل یتناول من صلّی لغیر القبلة ظانّا ثم تغیّر ظنّه بظنّ آخر أو بعلم ، بخلاف الثانی لتضمنه العلم ، وإن کان فیه تأمّل ، لأنّه من کلام السائل ، فلا یفید تقییدا بعد الملاحظة ، لأنّ السؤال عن بعض أفراد العام والمطلق لا یفید تقییدا أو تخصیصا کما قدّمنا فیه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تناول الخبر الأوّل قد تکثر </w:t>
      </w:r>
      <w:r>
        <w:rPr>
          <w:rStyle w:val="FootnoteAnchor"/>
          <w:rtl w:val="true"/>
        </w:rPr>
        <w:footnoteReference w:id="59"/>
      </w:r>
      <w:r>
        <w:rPr>
          <w:rFonts w:ascii="Amiri" w:hAnsi="Amiri" w:eastAsia="Amiri" w:cs="Amiri"/>
          <w:color w:val="111111"/>
          <w:sz w:val="28"/>
          <w:sz w:val="28"/>
          <w:szCs w:val="28"/>
          <w:rtl w:val="true"/>
          <w:lang w:bidi="ar-SA"/>
        </w:rPr>
        <w:t xml:space="preserve">أفراد المسألة بسبب اختلاف الظنّ </w:t>
      </w:r>
      <w:r>
        <w:rPr>
          <w:rStyle w:val="FootnoteAnchor"/>
          <w:rtl w:val="true"/>
        </w:rPr>
        <w:footnoteReference w:id="60"/>
      </w:r>
      <w:r>
        <w:rPr>
          <w:rFonts w:ascii="IRNazanin" w:hAnsi="IRNazanin" w:eastAsia="IRNazanin"/>
          <w:color w:val="111111"/>
          <w:sz w:val="28"/>
          <w:sz w:val="28"/>
          <w:szCs w:val="28"/>
          <w:rtl w:val="true"/>
          <w:lang w:bidi="fa-IR"/>
        </w:rPr>
        <w:t>إلاّ أنّی لم أر الآن من صرح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ظاهر الخبرین الحکم بالإعادة بعد العلم أو الظنّ إذا فرغ من الصلاة ، أمّا لو کان فی الأثناء ففیه تفصیل سنشیر إلیه فی غیرهما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فدلالته علی الإعادة فی الوقت فقط ظاهرة ، وقول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یفید جواز الصلاة من دون تحرّ ، فالجواب حیث لم یتعرض لإنکار السؤال قد یدل علی الجواز أیضا ، إلاّ أنّ الظاهر من السؤال الاستفهام عن فعل الصلاة مع المبالغة فی الاجتهاد ، فیکون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الفرد الأکمل ، لا لبیان صورة الاجتهاد فی الجملة ، علی أنّ احتمال غیر الاجتهاد لا یأبی نفیه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الأخبار الثلاثة دالّة بإطلاقها علی ما یشمل الاستدبار والیمین والیسار ، وستسمع القول فیما ظنّ دلالته علی الإعادة مطلقا فی الاستدبار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إجمال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أن تصبح </w:t>
      </w:r>
      <w:r>
        <w:rPr>
          <w:rFonts w:eastAsia="IRNazanin" w:cs="IRNazanin"/>
          <w:color w:val="111111"/>
          <w:sz w:val="28"/>
          <w:szCs w:val="28"/>
          <w:rtl w:val="true"/>
          <w:lang w:bidi="fa-IR"/>
        </w:rPr>
        <w:t xml:space="preserve">» </w:t>
      </w:r>
      <w:bookmarkStart w:id="46" w:name="pg15037_163584"/>
    </w:p>
    <w:p>
      <w:pPr>
        <w:pStyle w:val="BookText"/>
        <w:rPr/>
      </w:pPr>
      <w:bookmarkEnd w:id="46"/>
      <w:r>
        <w:rPr>
          <w:rFonts w:ascii="IRNazanin" w:hAnsi="IRNazanin" w:eastAsia="IRNazanin"/>
          <w:color w:val="111111"/>
          <w:sz w:val="28"/>
          <w:sz w:val="28"/>
          <w:szCs w:val="28"/>
          <w:rtl w:val="true"/>
          <w:lang w:bidi="fa-IR"/>
        </w:rPr>
        <w:t>یحتمل أن یراد به قبل فوت وقت العشاء ، فیدل علی الإعادة فی الوقت کما یدل علی امتداد وقت العشاء فی مثل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یراد بقبلیّة الصبح ما یعم القضاء ، فیحمل علی الاستحباب فی خارج الوقت للمعارض ، ولو قیّد بالوقت أمکن لو لا الاحتمال الموجب للإجمال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ظاهر الدلالة علی أنّ من انحرف عن القبلة یمینا وشمالا لا یعید ، إلاّ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بین المغرب والمشرق 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المنحرف لنفس المشرق ونفس المغرب لا یکون صلّی إلی القبلة والجواب </w:t>
      </w:r>
      <w:r>
        <w:rPr>
          <w:rStyle w:val="FootnoteAnchor"/>
          <w:rtl w:val="true"/>
        </w:rPr>
        <w:footnoteReference w:id="63"/>
      </w:r>
      <w:r>
        <w:rPr>
          <w:rFonts w:ascii="IRNazanin" w:hAnsi="IRNazanin" w:eastAsia="IRNazanin"/>
          <w:color w:val="111111"/>
          <w:sz w:val="28"/>
          <w:sz w:val="28"/>
          <w:szCs w:val="28"/>
          <w:rtl w:val="true"/>
          <w:lang w:bidi="fa-IR"/>
        </w:rPr>
        <w:t xml:space="preserve">لا یطابق فی الظاهر السؤال إلاّ علی ما ذکره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إرادة الانحراف الیسیر لا بلوغ نفس الیمین والیسار ، کما یؤذن به الجواب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الکلام فی قبلة العراق ، فإنّ معاویة بن عمار عراقی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الخبر الانحراف إلی یمین القبلة وشمالها ، وعلی تقدیر الانحراف الیسیر لا یندفع معه الإشکال ، لأنّ ما نقله العلاّمة فی المختلف من الإجماع علی أنّ الانحراف لمحض </w:t>
      </w:r>
      <w:r>
        <w:rPr>
          <w:rStyle w:val="FootnoteAnchor"/>
          <w:rtl w:val="true"/>
        </w:rPr>
        <w:footnoteReference w:id="65"/>
      </w:r>
      <w:r>
        <w:rPr>
          <w:rFonts w:ascii="IRNazanin" w:hAnsi="IRNazanin" w:eastAsia="IRNazanin"/>
          <w:color w:val="111111"/>
          <w:sz w:val="28"/>
          <w:sz w:val="28"/>
          <w:szCs w:val="28"/>
          <w:rtl w:val="true"/>
          <w:lang w:bidi="fa-IR"/>
        </w:rPr>
        <w:t xml:space="preserve">الیمین والیسار یقتضی الإعادة </w:t>
      </w:r>
      <w:r>
        <w:rPr>
          <w:rStyle w:val="FootnoteAnchor"/>
          <w:rtl w:val="true"/>
        </w:rPr>
        <w:footnoteReference w:id="66"/>
      </w:r>
      <w:r>
        <w:rPr>
          <w:rFonts w:ascii="IRNazanin" w:hAnsi="IRNazanin" w:eastAsia="IRNazanin"/>
          <w:color w:val="111111"/>
          <w:sz w:val="28"/>
          <w:sz w:val="28"/>
          <w:szCs w:val="28"/>
          <w:rtl w:val="true"/>
          <w:lang w:bidi="fa-IR"/>
        </w:rPr>
        <w:t xml:space="preserve">، وما استدل به فی المنتهی علی الإعادة فیما ذکر بالروایة الأولی والثانیة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تأمّل ، أمّا الإجماع فثبوته مشکل ، وأمّا الخبران فمطلقان ، وقد ذکر فی المنتهی أنّهما یقیّدان بخبر معاویة بن عمّار </w:t>
      </w:r>
      <w:r>
        <w:rPr>
          <w:rStyle w:val="FootnoteAnchor"/>
          <w:rtl w:val="true"/>
        </w:rPr>
        <w:footnoteReference w:id="68"/>
      </w:r>
      <w:r>
        <w:rPr>
          <w:rFonts w:ascii="IRNazanin" w:hAnsi="IRNazanin" w:eastAsia="IRNazanin"/>
          <w:color w:val="111111"/>
          <w:sz w:val="28"/>
          <w:sz w:val="28"/>
          <w:szCs w:val="28"/>
          <w:rtl w:val="true"/>
          <w:lang w:bidi="fa-IR"/>
        </w:rPr>
        <w:t>، وهو السادس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 w:name="__RefHeading___Toc347574_2142443653"/>
      <w:bookmarkStart w:id="48" w:name="_Toc18"/>
      <w:bookmarkEnd w:id="47"/>
      <w:r>
        <w:rPr>
          <w:rtl w:val="true"/>
        </w:rPr>
        <w:t>بیان ما دلّ علی عدم الاعادة اذا کان الانحراف یمیناً وشاملاً وأنّ ما بین المغرب والمشرق قبلة</w:t>
      </w:r>
      <w:bookmarkEnd w:id="48"/>
    </w:p>
    <w:p>
      <w:pPr>
        <w:pStyle w:val="BookText"/>
        <w:rPr/>
      </w:pPr>
      <w:r>
        <w:rPr>
          <w:rFonts w:ascii="IRNazanin" w:hAnsi="IRNazanin" w:eastAsia="IRNazanin"/>
          <w:color w:val="111111"/>
          <w:sz w:val="28"/>
          <w:sz w:val="28"/>
          <w:szCs w:val="28"/>
          <w:rtl w:val="true"/>
          <w:lang w:bidi="fa-IR"/>
        </w:rPr>
        <w:t>والحال أنّ الخبر کما یحتمل الانحراف الیسیر یحتمل الانحراف إلی نفس الیمین والیسار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وإن دل ظاهرا علی أنّ نفس الیمین والیسار لیس قبلة ، إلاّ أنّه محتمل أیضا احتمالا لا یبعد عن الأوّل ، وهو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بین المغرب والمشرق 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مستقل لا دخل له بالجواب ، وحینئذ فمفاد الجواب مضیّ الصلاة ثم إعلام السائل بأنّ ما بین المشرق والمغرب قبلة ، غایة الأمر أنّه مخصوص بالمضطر ولا یبعد أن تکون فائدة الإتیان بهذه فی الجواب التنبیه علی أنّ الانحراف عن القبلة التی ما بین المغرب والمشرق للمضطر لا یضر وإن وصل إلی نفس الیمین والیسار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قاله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عن الاعتراض بأنّ خبر معاویة بن عمّار لیس تخصیصه بأولی من تخصیصه بالخبرین ، علی معنی أنّه یحمل علی خارج الوقت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أنّه أولی لوجهین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الأصل ، ولو قیّد بخارج الوقت لزم الإعادة لمن صلّی بین المشرق والمغرب فی الوقت ، والأصل عدمه ، والثانی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نمنع تخصیص ما ذکرتم من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الأحادیث للخبر </w:t>
      </w:r>
      <w:r>
        <w:rPr>
          <w:rStyle w:val="FootnoteAnchor"/>
          <w:rtl w:val="true"/>
        </w:rPr>
        <w:footnoteReference w:id="70"/>
      </w:r>
      <w:r>
        <w:rPr>
          <w:rFonts w:ascii="IRNazanin" w:hAnsi="IRNazanin" w:eastAsia="IRNazanin"/>
          <w:color w:val="111111"/>
          <w:sz w:val="28"/>
          <w:sz w:val="28"/>
          <w:szCs w:val="28"/>
          <w:rtl w:val="true"/>
          <w:lang w:bidi="fa-IR"/>
        </w:rPr>
        <w:t xml:space="preserve">،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المشرق والمغرب 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مخصّصا لما دلّ علی الإعادة فی الوقت دون خارجه ، إذ غایة ما یدل علیه أن ما بین المشرق والمغرب قبلة ، بل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وأنت علی غیر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یتناول لفظ القبلة ما بین المشرق والمغرب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براءة الذمّة تقتضی عدم الإعادة مطلقا ، لأنّ الأمر یقتضی الإجزاء علی تقدیر التکلیف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لو انکشف فساده لا یکون مجزئا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الذمّة مشغولة بالعبادة یقینا فلا یزول إلاّ بمثله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72"/>
      </w:r>
      <w:r>
        <w:rPr>
          <w:rFonts w:ascii="IRNazanin" w:hAnsi="IRNazanin" w:eastAsia="IRNazanin"/>
          <w:color w:val="111111"/>
          <w:sz w:val="28"/>
          <w:sz w:val="28"/>
          <w:szCs w:val="28"/>
          <w:rtl w:val="true"/>
          <w:lang w:bidi="fa-IR"/>
        </w:rPr>
        <w:t>بعد فعل العبادة یزول یقین اشتغال الذمّة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أنّه فی المختلف صرّح فی الاستدلال علی الإعادة فی الوقت بأنّ انکشاف فساد الظنّ یقتضی الإعادة </w:t>
      </w:r>
      <w:r>
        <w:rPr>
          <w:rStyle w:val="FootnoteAnchor"/>
          <w:rtl w:val="true"/>
        </w:rPr>
        <w:footnoteReference w:id="73"/>
      </w:r>
      <w:r>
        <w:rPr>
          <w:rFonts w:ascii="IRNazanin" w:hAnsi="IRNazanin" w:eastAsia="IRNazanin"/>
          <w:color w:val="111111"/>
          <w:sz w:val="28"/>
          <w:sz w:val="28"/>
          <w:szCs w:val="28"/>
          <w:rtl w:val="true"/>
          <w:lang w:bidi="fa-IR"/>
        </w:rPr>
        <w:t xml:space="preserve">، وفی المنتهی کما تری ذکر أصالة براءة الذمّة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ما </w:t>
      </w:r>
      <w:r>
        <w:rPr>
          <w:rStyle w:val="FootnoteAnchor"/>
          <w:rtl w:val="true"/>
        </w:rPr>
        <w:footnoteReference w:id="75"/>
      </w:r>
      <w:r>
        <w:rPr>
          <w:rFonts w:ascii="IRNazanin" w:hAnsi="IRNazanin" w:eastAsia="IRNazanin"/>
          <w:color w:val="111111"/>
          <w:sz w:val="28"/>
          <w:sz w:val="28"/>
          <w:szCs w:val="28"/>
          <w:rtl w:val="true"/>
          <w:lang w:bidi="fa-IR"/>
        </w:rPr>
        <w:t xml:space="preserve">ذکره فی المنتهی من منع التخصیص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إن حملت علی ظاهرها لا تدل علی الانحراف الیسیر ، ولو عدل بها عن الظاهر وأرید الانحراف الیسیر بقرینة الجواب کما اعترف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استدل علی عدم الإعادة بالانحراف الیسیر بخبر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ینافی الاستدلال ، کما أنّه یتحقق الاحتمال </w:t>
      </w:r>
      <w:r>
        <w:rPr>
          <w:rStyle w:val="FootnoteAnchor"/>
          <w:rtl w:val="true"/>
        </w:rPr>
        <w:footnoteReference w:id="76"/>
      </w:r>
      <w:r>
        <w:rPr>
          <w:rFonts w:ascii="IRNazanin" w:hAnsi="IRNazanin" w:eastAsia="IRNazanin"/>
          <w:color w:val="111111"/>
          <w:sz w:val="28"/>
          <w:sz w:val="28"/>
          <w:szCs w:val="28"/>
          <w:rtl w:val="true"/>
          <w:lang w:bidi="fa-IR"/>
        </w:rPr>
        <w:t>الذی ذکرناه فی الروایة ، فینبغی التأمّل فی هذا کلّه ، وسیجی‌ء تمام تحقیق ما لا بدّ منه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یظن من الروایة أنّ الانحراف یقتضی صحة الصلاة ولو علم فی الأثناء کما یفیده الجواب ، وسیأتی فی خبر عمّار تحویل الوجه لو علم </w:t>
      </w:r>
      <w:bookmarkStart w:id="49" w:name="pg15037_163590"/>
    </w:p>
    <w:p>
      <w:pPr>
        <w:pStyle w:val="BookText"/>
        <w:rPr/>
      </w:pPr>
      <w:bookmarkEnd w:id="49"/>
      <w:r>
        <w:rPr>
          <w:rFonts w:ascii="IRNazanin" w:hAnsi="IRNazanin" w:eastAsia="IRNazanin"/>
          <w:color w:val="111111"/>
          <w:sz w:val="28"/>
          <w:sz w:val="28"/>
          <w:szCs w:val="28"/>
          <w:rtl w:val="true"/>
          <w:lang w:bidi="fa-IR"/>
        </w:rPr>
        <w:t xml:space="preserve">فی الأثناء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دال علی استقبال القبلة إذا ثبت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والثبوت لا یخلو من إجمال إلاّ أنّ الحدیث لا یصلح للکلام فیه ، کما ترکنا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فی الاستقبال المذکور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یشکل علی الشیخ ذکر </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الروایة ، لتضمنها عدم الإعادة ولو فی الوقت ، فلیتأمّل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کالسابع إلاّ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لأنّ یراد به الاستفهام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یعلم قوله الله سبحانه ،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إرادة بیان حالة اخری لعدم الإعادة ، وهی عدم العلم ، وفیه ما لا یخفی والتسدید ممکن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فاعلم أنّ أکثر الأخبار المتضمنة للإعادة فی الوقت دون خارجه یتناول الاستدبار ، ویؤیّد عدم الإعادة خارج الوقت توقف القضاء علی أمر جدید ، وقد اتفق للعلاّمة فی المختلف الاستدلال علی عدم القضاء خارج الوقت بما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القضاء فرض مستأنف ، إلاّ أنّ فی المختلف له اضطراب فی القضاء ، ففی المسألة المذکورة ذکر ما حکیناه ، وفی بحث صلاة الکسوف صرّح بتبعیة القضاء للأداء ، وکذا فی غیره أیضا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وستسمع ما یقوله الشیخ فی لزوم القضاء للمستدبر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 w:name="__RefHeading___Toc347576_2142443653"/>
      <w:bookmarkStart w:id="51" w:name="_Toc19"/>
      <w:bookmarkEnd w:id="50"/>
      <w:r>
        <w:rPr>
          <w:rtl w:val="true"/>
        </w:rPr>
        <w:t>بیان ما دلّ علی أنّه إذا ثبت فی الأثناء یستقبل</w:t>
      </w:r>
      <w:bookmarkEnd w:id="5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الطاطری ، عن محمّد بن زیاد ، عن حمّاد ، عن معمر </w:t>
      </w:r>
      <w:r>
        <w:rPr>
          <w:rStyle w:val="FootnoteAnchor"/>
          <w:rtl w:val="true"/>
        </w:rPr>
        <w:footnoteReference w:id="81"/>
      </w:r>
      <w:r>
        <w:rPr>
          <w:rFonts w:ascii="IRNazanin" w:hAnsi="IRNazanin" w:eastAsia="IRNazanin"/>
          <w:color w:val="111111"/>
          <w:sz w:val="28"/>
          <w:sz w:val="28"/>
          <w:szCs w:val="28"/>
          <w:rtl w:val="true"/>
          <w:lang w:bidi="fa-IR"/>
        </w:rPr>
        <w:t xml:space="preserve">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صلّی علی غیر القبلة ثم تبین </w:t>
      </w:r>
      <w:r>
        <w:rPr>
          <w:rStyle w:val="FootnoteAnchor"/>
          <w:rtl w:val="true"/>
        </w:rPr>
        <w:footnoteReference w:id="82"/>
      </w:r>
      <w:r>
        <w:rPr>
          <w:rFonts w:ascii="IRNazanin" w:hAnsi="IRNazanin" w:eastAsia="IRNazanin"/>
          <w:color w:val="111111"/>
          <w:sz w:val="28"/>
          <w:sz w:val="28"/>
          <w:szCs w:val="28"/>
          <w:rtl w:val="true"/>
          <w:lang w:bidi="fa-IR"/>
        </w:rPr>
        <w:t xml:space="preserve">له القبلة وقد دخل فی وقت صلاة أخری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یعیدها قبل أن یصلی هذه التی </w:t>
      </w:r>
      <w:r>
        <w:rPr>
          <w:rStyle w:val="FootnoteAnchor"/>
          <w:rtl w:val="true"/>
        </w:rPr>
        <w:footnoteReference w:id="83"/>
      </w:r>
      <w:r>
        <w:rPr>
          <w:rFonts w:ascii="IRNazanin" w:hAnsi="IRNazanin" w:eastAsia="IRNazanin"/>
          <w:color w:val="111111"/>
          <w:sz w:val="28"/>
          <w:sz w:val="28"/>
          <w:szCs w:val="28"/>
          <w:rtl w:val="true"/>
          <w:lang w:bidi="fa-IR"/>
        </w:rPr>
        <w:t xml:space="preserve">قد دخل وقتها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زیاد </w:t>
      </w:r>
      <w:r>
        <w:rPr>
          <w:rStyle w:val="FootnoteAnchor"/>
          <w:rtl w:val="true"/>
        </w:rPr>
        <w:footnoteReference w:id="84"/>
      </w:r>
      <w:r>
        <w:rPr>
          <w:rFonts w:ascii="IRNazanin" w:hAnsi="IRNazanin" w:eastAsia="IRNazanin"/>
          <w:color w:val="111111"/>
          <w:sz w:val="28"/>
          <w:sz w:val="28"/>
          <w:szCs w:val="28"/>
          <w:rtl w:val="true"/>
          <w:lang w:bidi="fa-IR"/>
        </w:rPr>
        <w:t xml:space="preserve">، عن معمّر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صلّی علی غیر القبلة ثم تبین </w:t>
      </w:r>
      <w:r>
        <w:rPr>
          <w:rStyle w:val="FootnoteAnchor"/>
          <w:rtl w:val="true"/>
        </w:rPr>
        <w:footnoteReference w:id="85"/>
      </w:r>
      <w:r>
        <w:rPr>
          <w:rFonts w:ascii="IRNazanin" w:hAnsi="IRNazanin" w:eastAsia="IRNazanin"/>
          <w:color w:val="111111"/>
          <w:sz w:val="28"/>
          <w:sz w:val="28"/>
          <w:szCs w:val="28"/>
          <w:rtl w:val="true"/>
          <w:lang w:bidi="fa-IR"/>
        </w:rPr>
        <w:t xml:space="preserve">له القبلة وقد دخل وقت صلاة أخری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یصلّیها قبل أن یصلّی هذه التی دخل وقتها ، إلاّ أن یخاف فوت التی دخل وقتها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هذین الخبرین أن نحملهما علی أنّه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استدبر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القبلة فإنّه یجب علیه إعادة الصلاة </w:t>
      </w:r>
      <w:r>
        <w:rPr>
          <w:rStyle w:val="FootnoteAnchor"/>
          <w:rtl w:val="true"/>
        </w:rPr>
        <w:footnoteReference w:id="87"/>
      </w:r>
      <w:r>
        <w:rPr>
          <w:rFonts w:ascii="IRNazanin" w:hAnsi="IRNazanin" w:eastAsia="IRNazanin"/>
          <w:color w:val="111111"/>
          <w:sz w:val="28"/>
          <w:sz w:val="28"/>
          <w:szCs w:val="28"/>
          <w:rtl w:val="true"/>
          <w:lang w:bidi="fa-IR"/>
        </w:rPr>
        <w:t>سواء کان الوقت باقیا أو منقضیا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محمّد بن یعقوب ، عن أحمد بن إدریس ، عن محمّد بن </w:t>
      </w:r>
      <w:bookmarkStart w:id="52" w:name="pg15037_163595"/>
    </w:p>
    <w:p>
      <w:pPr>
        <w:pStyle w:val="BookText"/>
        <w:rPr/>
      </w:pPr>
      <w:bookmarkEnd w:id="52"/>
      <w:r>
        <w:rPr>
          <w:rFonts w:ascii="IRNazanin" w:hAnsi="IRNazanin" w:eastAsia="IRNazanin"/>
          <w:color w:val="111111"/>
          <w:sz w:val="28"/>
          <w:sz w:val="28"/>
          <w:szCs w:val="28"/>
          <w:rtl w:val="true"/>
          <w:lang w:bidi="fa-IR"/>
        </w:rPr>
        <w:t xml:space="preserve">أحمد بن یحیی ، عن أحمد بن الحسن بن علی بن فضال ، عن عمرو بن سعید ، عن مصدق بن صدقة ، عن عمّار الساباطی ، عن أبی عبد الله علیه السلام فی رجل صلّی علی غیر القبلة فیعلم وهو فی الصلاة قبل أن یفرغ من صلاته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متوجّها فیما بین المشرق والمغرب فلیحوّل وجهه إلی القبلة حین یعلم ، وإن کان متوجّها إلی دبر القبلة فلیقطع ثم یحوّل وجهه إلی القبلة ثم یفتتح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بالنسبة إلی الطاطری والطریق إلیه ممّا مضی </w:t>
      </w:r>
      <w:r>
        <w:rPr>
          <w:rStyle w:val="FootnoteAnchor"/>
          <w:rtl w:val="true"/>
        </w:rPr>
        <w:footnoteReference w:id="88"/>
      </w:r>
      <w:r>
        <w:rPr>
          <w:rFonts w:ascii="Amiri" w:hAnsi="Amiri" w:eastAsia="Amiri" w:cs="Amiri"/>
          <w:color w:val="111111"/>
          <w:sz w:val="28"/>
          <w:sz w:val="28"/>
          <w:szCs w:val="28"/>
          <w:rtl w:val="true"/>
          <w:lang w:bidi="ar-SA"/>
        </w:rPr>
        <w:t xml:space="preserve">، وأمّا محمّد بن زیاد فقد قدّمنا أنّه مشترک </w:t>
      </w:r>
      <w:r>
        <w:rPr>
          <w:rStyle w:val="FootnoteAnchor"/>
          <w:rtl w:val="true"/>
        </w:rPr>
        <w:footnoteReference w:id="89"/>
      </w:r>
      <w:r>
        <w:rPr>
          <w:rFonts w:ascii="IRNazanin" w:hAnsi="IRNazanin" w:eastAsia="IRNazanin"/>
          <w:color w:val="111111"/>
          <w:sz w:val="28"/>
          <w:sz w:val="28"/>
          <w:szCs w:val="28"/>
          <w:rtl w:val="true"/>
          <w:lang w:bidi="fa-IR"/>
        </w:rPr>
        <w:t xml:space="preserve">، غیر أنّ الاشتراک بین الثقة وغیره من المذکورین بعنوان محمّد بن زیاد فی الرجال ، وخطر فی البال سابقا </w:t>
      </w:r>
      <w:r>
        <w:rPr>
          <w:rStyle w:val="FootnoteAnchor"/>
          <w:rtl w:val="true"/>
        </w:rPr>
        <w:footnoteReference w:id="90"/>
      </w:r>
      <w:r>
        <w:rPr>
          <w:rFonts w:ascii="IRNazanin" w:hAnsi="IRNazanin" w:eastAsia="IRNazanin"/>
          <w:color w:val="111111"/>
          <w:sz w:val="28"/>
          <w:sz w:val="28"/>
          <w:szCs w:val="28"/>
          <w:rtl w:val="true"/>
          <w:lang w:bidi="fa-IR"/>
        </w:rPr>
        <w:t>أنّ محمّد بن أبی عمیر یقال له محمّد بن زیاد ؛ لأنّ أبا عمیر اسمه زیاد ولم یذکر فی الرجال بهذا العنوان ، وحیث لم یسبق ما یدل علی احتمال محمّد بن أبی عمیر بوجه یوجب الرجحان لم نذکره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فالراوی عن حمّاد بن عثمان فی الرجال محمّد بن أبی عمیر فی جملة آخرین </w:t>
      </w:r>
      <w:r>
        <w:rPr>
          <w:rStyle w:val="FootnoteAnchor"/>
          <w:rtl w:val="true"/>
        </w:rPr>
        <w:footnoteReference w:id="91"/>
      </w:r>
      <w:r>
        <w:rPr>
          <w:rFonts w:ascii="IRNazanin" w:hAnsi="IRNazanin" w:eastAsia="IRNazanin"/>
          <w:color w:val="111111"/>
          <w:sz w:val="28"/>
          <w:sz w:val="28"/>
          <w:szCs w:val="28"/>
          <w:rtl w:val="true"/>
          <w:lang w:bidi="fa-IR"/>
        </w:rPr>
        <w:t xml:space="preserve">، واحتمال حمّاد هنا لابن عثمان وإن کان موقوفا علی تحقق کون محمّد بن زیاد هو ابن أبی عمیر فلا یتم المطلوب ، إلاّ أنّ فی التهذیب عن حماد بن عثمان </w:t>
      </w:r>
      <w:r>
        <w:rPr>
          <w:rStyle w:val="FootnoteAnchor"/>
          <w:rtl w:val="true"/>
        </w:rPr>
        <w:footnoteReference w:id="92"/>
      </w:r>
      <w:r>
        <w:rPr>
          <w:rFonts w:ascii="IRNazanin" w:hAnsi="IRNazanin" w:eastAsia="IRNazanin"/>
          <w:color w:val="111111"/>
          <w:sz w:val="28"/>
          <w:sz w:val="28"/>
          <w:szCs w:val="28"/>
          <w:rtl w:val="true"/>
          <w:lang w:bidi="fa-IR"/>
        </w:rPr>
        <w:t>، وحینئذ فالرجحان لکونه ابن أبی عمیر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 w:name="__RefHeading___Toc347578_2142443653"/>
      <w:bookmarkStart w:id="54" w:name="_Toc20"/>
      <w:bookmarkEnd w:id="53"/>
      <w:r>
        <w:rPr>
          <w:rtl w:val="true"/>
        </w:rPr>
        <w:t>بحث حول محمد بن زیاد</w:t>
      </w:r>
      <w:bookmarkEnd w:id="54"/>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یظن أنّ جمیع من تقدم أو الأکثر هو ابن أبی عمیر ، ویؤیّده أنّه مضی فی باب وقت المغرب والعشاء روایة عن الحسن بن محمّد بن سماعة ، عن محمّد بن زیاد ، عن عبد الله بن سنان ، وفی الرجال أنّ الراوی عن عبد الله بن سنان محمّد بن أبی عمیر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فأثر هذا وإن کان هیّنا فی المقام ، إلاّ أنّ له نفعا فی التنبیه علی أنّه یترک فی کتب الرجال بعض الأسماء بالنظر إلی الکنیة مع وجوده فی الأخبار بالاسم ، وقد مضی عن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هاشم ، وهو غیر مذکور فی الرجال بهذا العنوان ، ولکن خطر فی البال أنّه ابن أبی سعید المکاری ؛ لأنّ أبا سعید اسمه هاشم ، وذکرنا سابقا فی الروایة المذکور فیها ما یفید تعینه ، ومثله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یروی فیه محمّد بن زیاد عن معمّر بن یحیی ، والحال أنّه فی الأوّل محمّد بن زیاد عن حمّاد عن معمر ، والواسطة وإن أمکن انتفاؤها تارة ووجودها أخری ، إلاّ أنّ الشیخ فی التهذیب </w:t>
      </w:r>
      <w:r>
        <w:rPr>
          <w:rStyle w:val="FootnoteAnchor"/>
          <w:rtl w:val="true"/>
        </w:rPr>
        <w:footnoteReference w:id="94"/>
      </w:r>
      <w:r>
        <w:rPr>
          <w:rFonts w:ascii="IRNazanin" w:hAnsi="IRNazanin" w:eastAsia="IRNazanin"/>
          <w:color w:val="111111"/>
          <w:sz w:val="28"/>
          <w:sz w:val="28"/>
          <w:szCs w:val="28"/>
          <w:rtl w:val="true"/>
          <w:lang w:bidi="fa-IR"/>
        </w:rPr>
        <w:t>روی الثانی عن محمّد بن زیاد عن حماد بن عثمان عن معمر بن یحیی ، فالسهو وقع هنا من طغیان القلم ، والذی أشرنا إلیه من روایة التهذیب هو هذا ، وعلی کل حال فروایة ابن أبی عمیر عن حمّاد بن عثمان أکثر من أن تحصی ، فلو لم یکن مصرّحا بابن عثمان فالظن یقتضی تعیّنه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خفیّ الحال</w:t>
      </w:r>
      <w:r>
        <w:rPr>
          <w:rFonts w:eastAsia="IRNazanin" w:cs="IRNazanin"/>
          <w:color w:val="111111"/>
          <w:sz w:val="28"/>
          <w:szCs w:val="28"/>
          <w:rtl w:val="true"/>
          <w:lang w:bidi="fa-IR"/>
        </w:rPr>
        <w:t xml:space="preserve">. </w:t>
      </w:r>
      <w:bookmarkStart w:id="55" w:name="pg15037_163598"/>
    </w:p>
    <w:p>
      <w:pPr>
        <w:pStyle w:val="BookText"/>
        <w:rPr/>
      </w:pPr>
      <w:bookmarkEnd w:id="55"/>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الخبرین الأولین ما ذکره الشیخ فیه ممکن لو وجد ما یدل علیه بتقدیر العمل بالخبرین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له علی ما ذکر کما هو واضح ، بل إنما تضمن القطع لو علم فی الأثناء ، ولا یدل علی القضاء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یقتضی بطلان الصلاة إذا وقعت إلی الاستدبار ، فعلی تقدیر الفوات یدخل فی عموم الخبر الدال علی قضاء ما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واضح ، لأنّ الخبر الدال علی قضاء ما فات یتوقف علی تحقق الفوات ، ومع عدم العلم بالاستدبار فی الأثناء لا دلیل علی البطلان لتکون فائتة ، وعلی تقدیر البطلان ربما یدعی أنّ الفوات لا یتناولها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فی الفقیه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الصلاة لا تعاد إلاّ من خمسة </w:t>
      </w:r>
      <w:r>
        <w:rPr>
          <w:rStyle w:val="FootnoteAnchor"/>
          <w:rtl w:val="true"/>
        </w:rPr>
        <w:footnoteReference w:id="95"/>
      </w:r>
      <w:r>
        <w:rPr>
          <w:rFonts w:ascii="IRNazanin" w:hAnsi="IRNazanin" w:eastAsia="IRNazanin"/>
          <w:color w:val="111111"/>
          <w:sz w:val="28"/>
          <w:sz w:val="28"/>
          <w:szCs w:val="28"/>
          <w:rtl w:val="true"/>
          <w:lang w:bidi="fa-IR"/>
        </w:rPr>
        <w:t>وعدّ منها القبلة ، یدل علی أنّ الإخلال بالقبلة یقتضی الإعادة ، واستعمال الإعادة فی الأخبار لما یتناول القضاء شائع ، فإذا خرج ما یعاد فی الوقت فقط بقی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المذکور لا یخرج عن الإطلاق ، والأخبار المتضمنة للإعادة فی الوقت دون خارجه مقیّدة ، والمقیّد یحکّم علی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الوقت مطلق أیضا کإطلاق ما دل علی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کل منها لا ینافی التقیید ، وقد ذکرنا ما لا بدّ منه فی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347580_2142443653"/>
      <w:bookmarkStart w:id="57" w:name="_Toc21"/>
      <w:bookmarkEnd w:id="56"/>
      <w:r>
        <w:rPr>
          <w:rtl w:val="true"/>
        </w:rPr>
        <w:t>توجیه ما دل علی لزوم الاعادة مع انقضاء الوقت أیضاً</w:t>
      </w:r>
      <w:bookmarkStart w:id="58" w:name="pg15037_163600"/>
      <w:bookmarkEnd w:id="57"/>
    </w:p>
    <w:p>
      <w:pPr>
        <w:pStyle w:val="BookText"/>
        <w:rPr/>
      </w:pPr>
      <w:bookmarkEnd w:id="58"/>
      <w:r>
        <w:rPr>
          <w:rFonts w:ascii="IRNazanin" w:hAnsi="IRNazanin" w:eastAsia="IRNazanin"/>
          <w:color w:val="111111"/>
          <w:sz w:val="28"/>
          <w:sz w:val="28"/>
          <w:szCs w:val="28"/>
          <w:rtl w:val="true"/>
          <w:lang w:bidi="fa-IR"/>
        </w:rPr>
        <w:t>کتاب معاهد التنبیه علی کتاب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فالخبران المذکوران أوّلا لو صحّا أمکن الحمل علی الاستحباب فی الإعادة ، وإن لم یصحّا أمکن أیضا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دلالة علی أنّ من کان بین المشرق والمغرب یحوّل وجهه ، والظاهر أنّ المراد بتحویل الوجه تحویل جمیع البدن ، واستعمال هذا غیر عزیز الوجود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المشرق والمغرب علی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الاعتدالیّین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یظهر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بینهما ، أمّا علی تقدیر الأعم فالتبیّن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یدل علی أنّه إذا تبیّن الانحراف عن القبلة فی أثناء الصلاة فإن کان یسیرا انحرف إلی القبلة وصحت صلاته ، وإن ظهر أنّه کان مستدبرا بطلت ، ولا یحضرنی أن أحدا من الأصحاب خالف فی ذلک ، وقد ألحقوا بالاستدبار بلوغ الانحراف إلی نفس الیمین والیسار ، لأنّه لو ظهر بعد الفراغ استأنف فکذا فی الأثناء ، لأنّ ما یقتضی فساد الکل یقتضی فساد جزئه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لمّا تضمن ذکر الاستدبار فی إیجاب القطع ، والتحویل فیما بین المشرق والمغرب ، لزم منه أحد أمرین ، إمّا عدم التعرض لمحض الیمین والیسار ولما بینهما وبین دبر القبلة ، أو أنّ الحکم کأحد الفردین المذکورین علی الإجمال ، وهو لا یناسب الجواب المقصود به الإفهام والسکوت عن الآخر کذلک ، وحینئذ یمکن ادعاء إرادة ما بین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 w:name="__RefHeading___Toc347582_2142443653"/>
      <w:bookmarkStart w:id="60" w:name="_Toc22"/>
      <w:bookmarkEnd w:id="59"/>
      <w:r>
        <w:rPr>
          <w:rtl w:val="true"/>
        </w:rPr>
        <w:t>بیان ما دلّ علی أنّه لو علم فی الأثناء یحوّل وجهه إن کان متوجّهاً إلی ما بین المشرق والمغرب ویقطع مع الاستدبار</w:t>
      </w:r>
      <w:bookmarkEnd w:id="60"/>
    </w:p>
    <w:p>
      <w:pPr>
        <w:pStyle w:val="BookText"/>
        <w:rPr/>
      </w:pPr>
      <w:r>
        <w:rPr>
          <w:rFonts w:ascii="IRNazanin" w:hAnsi="IRNazanin" w:eastAsia="IRNazanin"/>
          <w:color w:val="111111"/>
          <w:sz w:val="28"/>
          <w:sz w:val="28"/>
          <w:szCs w:val="28"/>
          <w:rtl w:val="true"/>
          <w:lang w:bidi="fa-IR"/>
        </w:rPr>
        <w:t>المشرق والمغرب فی الروایة ما عدا الاستدبار لتکون بیانا لحکم تحویل الوجه من دون قطع ، فلا یتم الاستدلال بأنّ بطلان الکل یستلزم بطلان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مسلّم الإعادة علی تقدیر الانحراف نحو الیمین والیسار أم لا؟ فإن کان الأوّل لزم من إبطال الکل إبطال الجزء ، وإن کان الثانی لزم مخالفة الإجماع وإطلاق معتبر الأخبار الدال علی الإعادة فی الوقت لمن صلّی إلی غیر القبلة المتناول لمحض الیمین والیسار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الإجماع وإطلاق الأخبار أمکن أن یقال بجواز الحکم ببطلان الکل علی تقدیر العلم بعد الفراغ ، والاکتفاء بالانحراف فی الأثناء إلی القبلة فی صحة العبادة ، والمانع عقلا مفقود وشرعا غیر معلوم ، بل فی بعض الأحکام ما یساعده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التوقف فی إطلاق الأخبار مع أنّه ظاهر؟</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نوع کلام فی الإطلاق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ما تضمنه الخبر الأخیر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دبر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یراد بالقبلة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المعلومة ، ویحتمل أن یراد بها ما یتناول ما بین المشرق والمغرب ، وحینئذ یکون دبرها إضافیّا ، فیفید الخبر القطع فیما بین دبر القبلة والمشرق والمغرب ، ولا یبعد ادعاء </w:t>
      </w:r>
      <w:r>
        <w:rPr>
          <w:rStyle w:val="FootnoteAnchor"/>
          <w:rtl w:val="true"/>
        </w:rPr>
        <w:footnoteReference w:id="99"/>
      </w:r>
      <w:r>
        <w:rPr>
          <w:rFonts w:ascii="IRNazanin" w:hAnsi="IRNazanin" w:eastAsia="IRNazanin"/>
          <w:color w:val="111111"/>
          <w:sz w:val="28"/>
          <w:sz w:val="28"/>
          <w:szCs w:val="28"/>
          <w:rtl w:val="true"/>
          <w:lang w:bidi="fa-IR"/>
        </w:rPr>
        <w:t>تبادر القبلة المعلومة ؛ لأنّ ما بین المشرق والمغرب قبلة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قبلة المضطرّ دبرها کذلک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الجواب عنه بأن قبلة المضطر إذا لم یتبادر لا یلتفت إلی </w:t>
      </w:r>
      <w:bookmarkStart w:id="61" w:name="pg15037_163604"/>
    </w:p>
    <w:p>
      <w:pPr>
        <w:pStyle w:val="BookText"/>
        <w:rPr/>
      </w:pPr>
      <w:bookmarkEnd w:id="61"/>
      <w:r>
        <w:rPr>
          <w:rFonts w:ascii="IRNazanin" w:hAnsi="IRNazanin" w:eastAsia="IRNazanin"/>
          <w:color w:val="111111"/>
          <w:sz w:val="28"/>
          <w:sz w:val="28"/>
          <w:szCs w:val="28"/>
          <w:rtl w:val="true"/>
          <w:lang w:bidi="fa-IR"/>
        </w:rPr>
        <w:t>دبرها ، والأمر سهل بعد معرفة سند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أنّه یبقی علی الشیخ أنّ روایة القاسم بن الولید السابقة تقتضی عدم الإعادة بعد الفراغ من الصلاة إذا صلّی لغیر القبلة ، وهی تدل علی أنّ ما دلّ علی الإعادة یحمل علی الاستحباب أو علی الاستدبار ، والأمران مشکلان علی الشیخ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فلقوله بالوجوب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فلقوله بإعادة المستدبر فی الوقت وخارجه ، وحینئذ لا بدّ من صرف عنان النظر نحو جمیع الأخبار عند من یعمل بها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الصلاة فی جوف الکعبة</w:t>
      </w:r>
    </w:p>
    <w:p>
      <w:pPr>
        <w:pStyle w:val="BookText"/>
        <w:rPr/>
      </w:pPr>
      <w:r>
        <w:rPr>
          <w:rFonts w:ascii="IRNazanin" w:hAnsi="IRNazanin" w:eastAsia="IRNazanin"/>
          <w:color w:val="111111"/>
          <w:sz w:val="28"/>
          <w:sz w:val="28"/>
          <w:szCs w:val="28"/>
          <w:rtl w:val="true"/>
          <w:lang w:bidi="fa-IR"/>
        </w:rPr>
        <w:t xml:space="preserve">أخبرنی أبو الحسین بن أبی جید القمی ، عن محمّد بن الحسن بن الولید ، عن الحسین بن الحسن بن أبان ، عن الحسین بن سعید ، عن فضالة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تصلّی المکتوبة فی الکعبة ، إن </w:t>
      </w:r>
      <w:r>
        <w:rPr>
          <w:rStyle w:val="FootnoteAnchor"/>
          <w:rtl w:val="true"/>
        </w:rPr>
        <w:footnoteReference w:id="101"/>
      </w:r>
      <w:r>
        <w:rPr>
          <w:rFonts w:ascii="IRNazanin" w:hAnsi="IRNazanin" w:eastAsia="IRNazanin"/>
          <w:color w:val="111111"/>
          <w:sz w:val="28"/>
          <w:sz w:val="28"/>
          <w:szCs w:val="28"/>
          <w:rtl w:val="true"/>
          <w:lang w:bidi="fa-IR"/>
        </w:rPr>
        <w:t xml:space="preserve">النبی صلی الله علیه و آله لم یدخل الکعبة فی حجّ ولا عمرة ، ولکنه دخلها فی الفتح فتح مکة وصلّی رکعتین بین العمودین ومعه أسامة 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صفوان وفضالة ، عن العلاء ، عن محمّد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تصلح صلاة المکتوبة فی جوف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الحسین بن سعید ، عن الحسن بن علی بن فضال ،</w:t>
      </w:r>
    </w:p>
    <w:p>
      <w:pPr>
        <w:pStyle w:val="Heading3"/>
        <w:numPr>
          <w:ilvl w:val="2"/>
          <w:numId w:val="1"/>
        </w:numPr>
        <w:rPr/>
      </w:pPr>
      <w:bookmarkStart w:id="62" w:name="__RefHeading___Toc347584_2142443653"/>
      <w:bookmarkStart w:id="63" w:name="_Toc23"/>
      <w:bookmarkEnd w:id="62"/>
      <w:r>
        <w:rPr>
          <w:rtl w:val="true"/>
        </w:rPr>
        <w:t>الصلاة فی جوف الکعبة</w:t>
      </w:r>
      <w:bookmarkEnd w:id="6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 w:name="__RefHeading___Toc347586_2142443653"/>
      <w:bookmarkStart w:id="65" w:name="_Toc24"/>
      <w:bookmarkEnd w:id="64"/>
      <w:r>
        <w:rPr>
          <w:rtl w:val="true"/>
        </w:rPr>
        <w:t>اشارة</w:t>
      </w:r>
      <w:bookmarkStart w:id="66" w:name="pg15037_163606"/>
      <w:bookmarkEnd w:id="65"/>
    </w:p>
    <w:p>
      <w:pPr>
        <w:pStyle w:val="BookText"/>
        <w:rPr/>
      </w:pPr>
      <w:bookmarkEnd w:id="66"/>
      <w:r>
        <w:rPr>
          <w:rFonts w:ascii="IRNazanin" w:hAnsi="IRNazanin" w:eastAsia="IRNazanin"/>
          <w:color w:val="111111"/>
          <w:sz w:val="28"/>
          <w:sz w:val="28"/>
          <w:szCs w:val="28"/>
          <w:rtl w:val="true"/>
          <w:lang w:bidi="fa-IR"/>
        </w:rPr>
        <w:t xml:space="preserve">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102"/>
      </w:r>
      <w:r>
        <w:rPr>
          <w:rFonts w:ascii="IRNazanin" w:hAnsi="IRNazanin" w:eastAsia="IRNazanin"/>
          <w:color w:val="111111"/>
          <w:sz w:val="28"/>
          <w:sz w:val="28"/>
          <w:szCs w:val="28"/>
          <w:rtl w:val="true"/>
          <w:lang w:bidi="fa-IR"/>
        </w:rPr>
        <w:t xml:space="preserve">حضرت الصلاة المکتوبة وأنا فی الکعبة أفأصلّی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هذا الخبر الخبرین الأوّلین ؛ لأنّ الوجه فی هذا الخبر أن نحمله علی حال الضرورة التی لا یتمکن الإنسان من الخروج منها ، وحینئذ یجوز له الصلاة فیها ، علی أن ذلک مکروه غیر محظور ، وقد صرّح بذلک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الصلاة المکتوبة فی جوف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صریح بالکراهة ، والخبر الأوّل وإن کان لفظه لفظ النهی فمعناه الکراهة بدلالة ما فسّره فی الخبر الثانی وما ورد من جوازه فی الخبر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الحسین بن أبی جید ، ویقال له علی بن أحمد بن أبی جید کما ذکره النجاشی فی ترجمة جعفر بن سلیمان </w:t>
      </w:r>
      <w:r>
        <w:rPr>
          <w:rStyle w:val="FootnoteAnchor"/>
          <w:rtl w:val="true"/>
        </w:rPr>
        <w:footnoteReference w:id="103"/>
      </w:r>
      <w:r>
        <w:rPr>
          <w:rFonts w:ascii="IRNazanin" w:hAnsi="IRNazanin" w:eastAsia="IRNazanin"/>
          <w:color w:val="111111"/>
          <w:sz w:val="28"/>
          <w:sz w:val="28"/>
          <w:szCs w:val="28"/>
          <w:rtl w:val="true"/>
          <w:lang w:bidi="fa-IR"/>
        </w:rPr>
        <w:t xml:space="preserve">، ویقال </w:t>
      </w:r>
      <w:r>
        <w:rPr>
          <w:rStyle w:val="FootnoteAnchor"/>
          <w:rtl w:val="true"/>
        </w:rPr>
        <w:footnoteReference w:id="104"/>
      </w:r>
      <w:r>
        <w:rPr>
          <w:rFonts w:ascii="IRNazanin" w:hAnsi="IRNazanin" w:eastAsia="IRNazanin"/>
          <w:color w:val="111111"/>
          <w:sz w:val="28"/>
          <w:sz w:val="28"/>
          <w:szCs w:val="28"/>
          <w:rtl w:val="true"/>
          <w:lang w:bidi="fa-IR"/>
        </w:rPr>
        <w:t>علی بن أحمد القمی ، ویظهر من النجاشی أیضا فی مواضع أنّه یقال له علی بن أحمد بن طاهر ، فیکون اسم أبی جید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الرجل غیر مذکور فی کتب الرجال ، لکنّه من الشیوخ ، ولم تجر عادة المتقدمین بذکر الشیوخ علی الاطراد ، کما أنّهم لو ذُکروا لم ینص علی توثیقهم ، وظاهر بعض الأصحاب المتأخّرین الاعتماد علی خبر هذا الرجل إذا خلا من مانع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بن الحسن بن أبان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 w:name="__RefHeading___Toc347588_2142443653"/>
      <w:bookmarkStart w:id="68" w:name="_Toc25"/>
      <w:bookmarkEnd w:id="67"/>
      <w:r>
        <w:rPr>
          <w:rtl w:val="true"/>
        </w:rPr>
        <w:t>بحث حول أبی الحسین بن أبی جید</w:t>
      </w:r>
      <w:bookmarkStart w:id="69" w:name="pg15037_163608"/>
      <w:bookmarkEnd w:id="68"/>
    </w:p>
    <w:p>
      <w:pPr>
        <w:pStyle w:val="BookText"/>
        <w:rPr/>
      </w:pPr>
      <w:bookmarkEnd w:id="69"/>
      <w:r>
        <w:rPr>
          <w:rFonts w:ascii="IRNazanin" w:hAnsi="IRNazanin" w:eastAsia="IRNazanin"/>
          <w:color w:val="111111"/>
          <w:sz w:val="28"/>
          <w:sz w:val="28"/>
          <w:szCs w:val="28"/>
          <w:rtl w:val="true"/>
          <w:lang w:bidi="fa-IR"/>
        </w:rPr>
        <w:t xml:space="preserve">مضی القول فیه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معلوم الحال ممّا مضی </w:t>
      </w:r>
      <w:r>
        <w:rPr>
          <w:rStyle w:val="FootnoteAnchor"/>
          <w:rtl w:val="true"/>
        </w:rPr>
        <w:footnoteReference w:id="10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 ومحمّد فیه هو ابن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بصورة النفی لثبوت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المثناة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وجدت من النسخ ، لکن الظاهر أنّه فی معنی النهی ، لما تقدم فی أمثاله مع نوع کلام ، وعلی تقدیر إرادة النهی قد یخطر فی البال أنّ الحدیث ربّما کان فیه دلالة علی وجوب التأسّی ، فإنّ ذکر النبی صلی الله علیه و آله حیث لم یصلّ فیها المکتوبة یدل علی أنّ عدم فعله علیه السلام یقتضی عدم فعلنا ، أو أنّه لو فعل لجاز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التأسّی علی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الحکایة عن النبی صلی الله علیه و آله یفید التعلیل ، واحتمال غیره فی غایة البُعد عن المساق و</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ظاهر التعلیل یقتضی أنّ عدم فعل المکتوبة لعدم فعل النبی صلی الله علیه و آله وهو معنی التأسّی ، إلاّ أنّ المذکور کثیرا فی مباحث الأصول التأسّی بالفعل فلنا أن نوجّه الروایة بما یرجع إلی الفعل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الصلاة لأنّ النبی صلی الله علیه و آله لو فعلها لفعلنا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التأسّی هنا لا وجه له ؛ إذ لا یجب الصلاة فی الکعبة ، والکلام فی الجواز</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 w:name="__RefHeading___Toc347590_2142443653"/>
      <w:bookmarkStart w:id="71" w:name="_Toc26"/>
      <w:bookmarkEnd w:id="70"/>
      <w:r>
        <w:rPr>
          <w:rtl w:val="true"/>
        </w:rPr>
        <w:t>بیان ما دل علی المنع من الصلاة فی جوف الکعبة والجمع بینه وبین ما دل علی الجواز</w:t>
      </w:r>
      <w:bookmarkEnd w:id="71"/>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ذکرت وجه ، إلاّ أنّ ذکر النبی صلی الله علیه و آله فی مقام النهی یشعر به ، وحینئذ یرجع إلی التحریم ، وهو عدم الجواز لعدم فعله صلی الله علیه و آله ، وغیر خفیّ الإشکال فیه ؛ لأنّ عدم الفعل فی محل لا یفید التحریم ، وحینئذ فالوجه فی الروایة الکراهة ، والتعلیل لذلک حینئذ ظاهر ؛ إذ حاصله أنّ الصلاة لو کانت راجحة رجحانا زائدا علی الوجوب فی الکعبة لفعلها النبی صلی الله علیه و آله ، فلمّا لم یفعل علم انتفاء الرجحان المذکور ، فلا ینبغی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الفعل علی تقدیر دخول وقت الوجوب ، ومن الجائز عدم الدخول فی وقت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الرجحان المذکور موجودا لطلب فعله علیه السلام ، نعم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الرجحان المذکور لا یقتضی الکراهة ، إذ هی أقلّ الرجحان ، وعدم فعله علیه السلام لکون الواجب لا یزید ولا ینقص فلا یتم الاستدلال علی الکراهة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الکراهة من مجموع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تصلّی المکتوبة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ذکر فعل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ما ذکره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ظاهر الخبر المبحوث عنه التحریم وحمله علی الکراهة صرفا له عن ظاهره </w:t>
      </w:r>
      <w:r>
        <w:rPr>
          <w:rStyle w:val="FootnoteAnchor"/>
          <w:rtl w:val="true"/>
        </w:rPr>
        <w:footnoteReference w:id="108"/>
      </w:r>
      <w:r>
        <w:rPr>
          <w:rFonts w:ascii="IRNazanin" w:hAnsi="IRNazanin" w:eastAsia="IRNazanin"/>
          <w:color w:val="111111"/>
          <w:sz w:val="28"/>
          <w:sz w:val="28"/>
          <w:szCs w:val="28"/>
          <w:rtl w:val="true"/>
          <w:lang w:bidi="fa-IR"/>
        </w:rPr>
        <w:t>، لا یخلو من غرابة کما یعلم ممّا قررناه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فالشیخ استفاد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علی الکراهة ، وله وجه أیضا یندفع به ما ادعی من أنّ ظاهره التحریم ، إلاّ أنّ الشیخ رحمه الله کثیرا ما یستدل علی التحریم بمثل هذا اللفظ ، وغیر بعید اشتراکه بین الکراهة والتحریم ، والصراحة أو الظهور منتف ، علی أنّ فی کلام الشیخ نوع تأمل ؛ لأنّ الحمل علی الضرورة ثم ذکر الکراهة لا یخلو من تشویش ، </w:t>
      </w:r>
    </w:p>
    <w:p>
      <w:pPr>
        <w:pStyle w:val="BookText"/>
        <w:rPr/>
      </w:pPr>
      <w:r>
        <w:rPr>
          <w:rFonts w:ascii="IRNazanin" w:hAnsi="IRNazanin" w:eastAsia="IRNazanin"/>
          <w:color w:val="111111"/>
          <w:sz w:val="28"/>
          <w:sz w:val="28"/>
          <w:szCs w:val="28"/>
          <w:rtl w:val="true"/>
          <w:lang w:bidi="fa-IR"/>
        </w:rPr>
        <w:t>ولعلّ المراد الکراهة وجواز الفعل من دون کراهة للضرورة ، وفیه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ینقل فی الاستدلال للمنع من الصلاة داخل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إجماع الشیخ المدعی فی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فَوَلُّوا وُجُوهَکُمْ شَطْرَهُ </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وإنّما یصدق ذلک إذا کان خارجا ؛ ولروایة غیر صالحة سندا ومتنا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أسامة أنّ النبی صلی الله علیه و آله دخل البیت ودعا وخرج فوقف علی بابه وصلّی رکعتین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إلیها </w:t>
      </w:r>
      <w:r>
        <w:rPr>
          <w:rStyle w:val="FootnoteAnchor"/>
          <w:rtl w:val="true"/>
        </w:rPr>
        <w:footnoteReference w:id="110"/>
      </w:r>
      <w:r>
        <w:rPr>
          <w:rFonts w:ascii="IRNazanin" w:hAnsi="IRNazanin" w:eastAsia="IRNazanin"/>
          <w:color w:val="111111"/>
          <w:sz w:val="28"/>
          <w:sz w:val="28"/>
          <w:szCs w:val="28"/>
          <w:rtl w:val="true"/>
          <w:lang w:bidi="fa-IR"/>
        </w:rPr>
        <w:t>، وإشارته إلی نفس البیت یقتضی بطلان الصلاة داخله ، ولاستلزام الصلاة فی داخله استدبار القبلة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ففیه 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الإجماع فکیف یثبت مع مخالفة المدّعی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الآیة الشریفة فالظاهر منها اعتبار الجهة وهی للبعید ، أمّا القریب فقبلته العین ، واعتبار مجموع العین لا وجه له مع صحة صلاة المصلّی إلی جزء من العین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 العین بالإجماع ، فلا یتم فی محل النزاع ، علی أنّ الآیة الشریفة ظاهرها استقبال الجهة مطلقا ، لکن لا أعلم القائل به ، وعلی تقدیر الظاهر تشکل الصلاة داخل الکعبة المشرفة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 من استدبار الکعبة فأثره </w:t>
      </w:r>
      <w:r>
        <w:rPr>
          <w:rStyle w:val="FootnoteAnchor"/>
          <w:rtl w:val="true"/>
        </w:rPr>
        <w:footnoteReference w:id="111"/>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قاله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حمل الخبر الأخیر علی حال الضرورة أو صلاة النافلة أی نافلة المکتوبة </w:t>
      </w:r>
      <w:r>
        <w:rPr>
          <w:rStyle w:val="FootnoteAnchor"/>
          <w:rtl w:val="true"/>
        </w:rPr>
        <w:footnoteReference w:id="112"/>
      </w:r>
      <w:r>
        <w:rPr>
          <w:rFonts w:ascii="IRNazanin" w:hAnsi="IRNazanin" w:eastAsia="IRNazanin"/>
          <w:color w:val="111111"/>
          <w:sz w:val="28"/>
          <w:sz w:val="28"/>
          <w:szCs w:val="28"/>
          <w:rtl w:val="true"/>
          <w:lang w:bidi="fa-IR"/>
        </w:rPr>
        <w:t>، فمن البعد بمکان ؛ واحتمال الکراهة وانتفاؤها بالضرورة ممکن ، والاحتیاط مطلوب</w:t>
      </w:r>
      <w:r>
        <w:rPr>
          <w:rFonts w:eastAsia="IRNazanin" w:cs="IRNazanin"/>
          <w:color w:val="111111"/>
          <w:sz w:val="28"/>
          <w:szCs w:val="28"/>
          <w:rtl w:val="true"/>
          <w:lang w:bidi="fa-IR"/>
        </w:rPr>
        <w:t xml:space="preserve">. </w:t>
      </w:r>
      <w:bookmarkStart w:id="72" w:name="pg15037_163614"/>
    </w:p>
    <w:p>
      <w:pPr>
        <w:pStyle w:val="BookText"/>
        <w:rPr/>
      </w:pPr>
      <w:bookmarkEnd w:id="7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أبواب الأذان والإقامة</w:t>
      </w:r>
    </w:p>
    <w:p>
      <w:pPr>
        <w:pStyle w:val="BookText"/>
        <w:rPr/>
      </w:pPr>
      <w:r>
        <w:rPr>
          <w:rFonts w:ascii="IRNazanin" w:hAnsi="IRNazanin" w:eastAsia="IRNazanin"/>
          <w:color w:val="111111"/>
          <w:sz w:val="28"/>
          <w:sz w:val="28"/>
          <w:szCs w:val="28"/>
          <w:rtl w:val="true"/>
          <w:lang w:bidi="fa-IR"/>
        </w:rPr>
        <w:t>باب الأذان والإقامة فی صلاة المغرب</w:t>
      </w:r>
    </w:p>
    <w:p>
      <w:pPr>
        <w:pStyle w:val="BookText"/>
        <w:rPr/>
      </w:pPr>
      <w:r>
        <w:rPr>
          <w:rFonts w:ascii="IRNazanin" w:hAnsi="IRNazanin" w:eastAsia="IRNazanin"/>
          <w:color w:val="111111"/>
          <w:sz w:val="28"/>
          <w:sz w:val="28"/>
          <w:szCs w:val="28"/>
          <w:rtl w:val="true"/>
          <w:lang w:bidi="fa-IR"/>
        </w:rPr>
        <w:t>وغیرها من الصلوات</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بن الحسن بن أبان ، عن الحسین بن سعید ، عن حمّاد ، عن معاویة بن وهب أو ابن عمار ، عن الصباح بن سیّابة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تدع الأذان فی الصلوات کلّها ، فإن ترکته فلا تترکه فی المغرب والفجر فإنّه لیس فیهما تقصیر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أبی القاسم جعفر بن محمّد ، عن محمّد بن یعقوب ، عن محمّد بن یحیی ، عن أحمد بن محمّد ، عن الحسین بن سعید ، عن القاسم بن محمّد ، عن علیّ بن أبی حمزة ، عن أبی بصیر ، عن أحدهما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أیجزئ أذان واحد؟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صلّیت جماعة لم یجز إلاّ أذان وإقامة ، وإن کنت وحدک تبادر أمرا تخاف أن یفوتک یجزؤک إقامة إلاّ الفجر والمغرب ، فإنّه ینبغی أن تؤذّن فیهما وتقیم من أجل أنّه لا یقصّر فیهما کما یقصّر فی سائر الصلوات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الحسن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تصلّی الغداة والمغرب إلاّ بأذان وإقامة ، ورخّص فی سائر الصلوات بالإقامة ، والأذان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النضر بن سوید ، عن ابن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یجزؤک فی الصلاة إقامة واحدة إلاّ الغداة والمغرب </w:t>
      </w:r>
      <w:r>
        <w:rPr>
          <w:rFonts w:eastAsia="IRNazanin" w:cs="IRNazanin"/>
          <w:color w:val="111111"/>
          <w:sz w:val="28"/>
          <w:szCs w:val="28"/>
          <w:rtl w:val="true"/>
          <w:lang w:bidi="fa-IR"/>
        </w:rPr>
        <w:t>».</w:t>
      </w:r>
    </w:p>
    <w:p>
      <w:pPr>
        <w:pStyle w:val="Heading2"/>
        <w:numPr>
          <w:ilvl w:val="1"/>
          <w:numId w:val="1"/>
        </w:numPr>
        <w:rPr/>
      </w:pPr>
      <w:bookmarkStart w:id="73" w:name="__RefHeading___Toc347592_2142443653"/>
      <w:bookmarkStart w:id="74" w:name="_Toc27"/>
      <w:bookmarkEnd w:id="73"/>
      <w:r>
        <w:rPr>
          <w:rtl w:val="true"/>
        </w:rPr>
        <w:t>أبواب الأذان والإقامة</w:t>
      </w:r>
      <w:bookmarkEnd w:id="74"/>
    </w:p>
    <w:p>
      <w:pPr>
        <w:pStyle w:val="Heading3"/>
        <w:numPr>
          <w:ilvl w:val="2"/>
          <w:numId w:val="1"/>
        </w:numPr>
        <w:rPr/>
      </w:pPr>
      <w:bookmarkStart w:id="75" w:name="__RefHeading___Toc347594_2142443653"/>
      <w:bookmarkStart w:id="76" w:name="_Toc28"/>
      <w:bookmarkEnd w:id="75"/>
      <w:r>
        <w:rPr>
          <w:rtl w:val="true"/>
        </w:rPr>
        <w:t>الأذان والإقامة فی صلاة المغرب‌و غیرها من الصلوات</w:t>
      </w:r>
      <w:bookmarkEnd w:id="7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 w:name="__RefHeading___Toc347596_2142443653"/>
      <w:bookmarkStart w:id="78" w:name="_Toc29"/>
      <w:bookmarkEnd w:id="77"/>
      <w:r>
        <w:rPr>
          <w:rtl w:val="true"/>
        </w:rPr>
        <w:t>اشارة</w:t>
      </w:r>
      <w:bookmarkStart w:id="79" w:name="pg15037_163616"/>
      <w:bookmarkEnd w:id="78"/>
    </w:p>
    <w:p>
      <w:pPr>
        <w:pStyle w:val="BookText"/>
        <w:rPr/>
      </w:pPr>
      <w:bookmarkEnd w:id="79"/>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مفصّلا ، والصباح بن سیّابة مذکور مهملا فی رجال الصادق علیه السلام من کتاب الشیخ </w:t>
      </w:r>
      <w:r>
        <w:rPr>
          <w:rStyle w:val="FootnoteAnchor"/>
          <w:rtl w:val="true"/>
        </w:rPr>
        <w:footnoteReference w:id="113"/>
      </w:r>
      <w:r>
        <w:rPr>
          <w:rFonts w:ascii="IRNazanin" w:hAnsi="IRNazanin" w:eastAsia="IRNazanin"/>
          <w:color w:val="111111"/>
          <w:sz w:val="28"/>
          <w:sz w:val="28"/>
          <w:szCs w:val="28"/>
          <w:rtl w:val="true"/>
          <w:lang w:bidi="fa-IR"/>
        </w:rPr>
        <w:t>، والتردّد بین معاویة بن وهب ومعاویة بن عمّار مع ثقتهما لا یضر کما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کذلک ؛ لما مضی </w:t>
      </w:r>
      <w:r>
        <w:rPr>
          <w:rStyle w:val="FootnoteAnchor"/>
          <w:rtl w:val="true"/>
        </w:rPr>
        <w:footnoteReference w:id="114"/>
      </w:r>
      <w:r>
        <w:rPr>
          <w:rFonts w:ascii="IRNazanin" w:hAnsi="IRNazanin" w:eastAsia="IRNazanin"/>
          <w:color w:val="111111"/>
          <w:sz w:val="28"/>
          <w:sz w:val="28"/>
          <w:szCs w:val="28"/>
          <w:rtl w:val="true"/>
          <w:lang w:bidi="fa-IR"/>
        </w:rPr>
        <w:t xml:space="preserve">فی القاسم بن محمّد وهو الجوهری وعلی بن أبی حمزة البطائنی وأبی بصیر ، من الوقف فی الأوّل مع عدم التوثیق ، والوقف فی الثانی کذلک ، وتعیّن أبی بصیر بالضعف بروایة علی بن أبی حمزة عنه علی ما یستفاد من صحیح الأخبار فی هذا الکتاب فیما یأتی الدال علی ما یوجب القدح فی عقیدته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w:t>
      </w:r>
      <w:r>
        <w:rPr>
          <w:rStyle w:val="FootnoteAnchor"/>
          <w:rtl w:val="true"/>
        </w:rPr>
        <w:footnoteReference w:id="116"/>
      </w:r>
      <w:r>
        <w:rPr>
          <w:rFonts w:ascii="IRNazanin" w:hAnsi="IRNazanin" w:eastAsia="IRNazanin"/>
          <w:color w:val="111111"/>
          <w:sz w:val="28"/>
          <w:sz w:val="28"/>
          <w:szCs w:val="28"/>
          <w:rtl w:val="true"/>
          <w:lang w:bidi="fa-IR"/>
        </w:rPr>
        <w:t>، والحسن فیه أخو الحسین ، واحتمال الحسن بن علی بن فضّال لروایات الحسین عنه یبعّده ممارسة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العلاّمة فی المختلف عن الشیخین وجوب الأذان والإقامة فی الجماعة ، وکذا عن ابن البراج وابن حمزة ، وعن السیّد المرتضی فی الجمل الوجوب علی الرجال دون النساء فی کل صلاة جامعة فی سفر أو حضر ،</w:t>
      </w:r>
    </w:p>
    <w:p>
      <w:pPr>
        <w:pStyle w:val="Heading4"/>
        <w:numPr>
          <w:ilvl w:val="3"/>
          <w:numId w:val="1"/>
        </w:numPr>
        <w:rPr/>
      </w:pPr>
      <w:bookmarkStart w:id="80" w:name="__RefHeading___Toc347598_2142443653"/>
      <w:bookmarkStart w:id="81" w:name="_Toc30"/>
      <w:bookmarkEnd w:id="80"/>
      <w:r>
        <w:rPr>
          <w:rtl w:val="true"/>
        </w:rPr>
        <w:t>الصباح بن سیّابة مهمل</w:t>
      </w:r>
      <w:r>
        <w:rPr>
          <w:rtl w:val="true"/>
        </w:rPr>
        <w:t>.</w:t>
      </w:r>
      <w:bookmarkEnd w:id="81"/>
    </w:p>
    <w:p>
      <w:pPr>
        <w:pStyle w:val="Heading4"/>
        <w:numPr>
          <w:ilvl w:val="3"/>
          <w:numId w:val="1"/>
        </w:numPr>
        <w:rPr/>
      </w:pPr>
      <w:bookmarkStart w:id="82" w:name="__RefHeading___Toc347600_2142443653"/>
      <w:bookmarkStart w:id="83" w:name="_Toc31"/>
      <w:bookmarkEnd w:id="82"/>
      <w:r>
        <w:rPr>
          <w:rtl w:val="true"/>
        </w:rPr>
        <w:t>إشارة إلی حال القاسم بن محمد الجوهری وعلی بن أبی حمزة البطائنی وأبی بصیر</w:t>
      </w:r>
      <w:bookmarkEnd w:id="8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 w:name="__RefHeading___Toc347602_2142443653"/>
      <w:bookmarkStart w:id="85" w:name="_Toc32"/>
      <w:bookmarkEnd w:id="84"/>
      <w:r>
        <w:rPr>
          <w:rtl w:val="true"/>
        </w:rPr>
        <w:t>الأقوال فی وجوب الأذان والإقامة واستحبابهما</w:t>
      </w:r>
      <w:bookmarkStart w:id="86" w:name="pg15037_163619"/>
      <w:bookmarkEnd w:id="85"/>
    </w:p>
    <w:p>
      <w:pPr>
        <w:pStyle w:val="BookText"/>
        <w:rPr/>
      </w:pPr>
      <w:bookmarkEnd w:id="86"/>
      <w:r>
        <w:rPr>
          <w:rFonts w:ascii="IRNazanin" w:hAnsi="IRNazanin" w:eastAsia="IRNazanin"/>
          <w:color w:val="111111"/>
          <w:sz w:val="28"/>
          <w:sz w:val="28"/>
          <w:szCs w:val="28"/>
          <w:rtl w:val="true"/>
          <w:lang w:bidi="fa-IR"/>
        </w:rPr>
        <w:t>وأوجبهما علیهم فی سفر وحضر فی الفجر والمغرب وصلاة الجمعة ، وأوجب الإقامة خاصة علی الرجال فی کل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الجنید وجوب الأذان والإقامة علی الرجال للجمع والانفراد والسفر والحضر والفجر والمغرب والجمعة یوم الجمعة ، والإقامة فی باقی الصلوات المکتوبات التی تحتاج إلی التنبیه علی أوقاتها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الصلاح الشرطیة فی الجماعة ، وعن الشیخ فی الخلاف الاستحباب فی جمیع الصلوات ، وکذا عن السیّد المرتضی فی المسائل الناصریة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الأذان والإقامة متعمدا بطلت صلاته إلاّ الأذان فی الظهر والعصر والعشاء الآخرة ، فإنّ الإقامة مجزیة عنه ولا إعادة علیه فی ترکه ، فأمّا الإقامة فإنّها إن ترکها متعمدا بطلت صلاته وعلیه الإعادة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فاعلم أنّ الخبر الأوّل ینفی وجوب الأذان فی الجمیع لو صحّ ، وما تضمنه من النهی عن ترکه فی المغرب والفجر یدلّ فی الجملة علی قول ابن أبی عقیل لکن ستسمع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 عن الشیخ والمرتضی فی المختلف الاستدلال بهما للوجوب فی الجماعة ، وأجاب عنهما فی المختلف بالطعن فی السند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347604_2142443653"/>
      <w:bookmarkStart w:id="88" w:name="_Toc33"/>
      <w:bookmarkEnd w:id="87"/>
      <w:r>
        <w:rPr>
          <w:rtl w:val="true"/>
        </w:rPr>
        <w:t>بیان ما دلّ علی عدم وجوب الأذان والإقامة</w:t>
      </w:r>
      <w:bookmarkEnd w:id="88"/>
    </w:p>
    <w:p>
      <w:pPr>
        <w:pStyle w:val="BookText"/>
        <w:rPr/>
      </w:pPr>
      <w:r>
        <w:rPr>
          <w:rFonts w:ascii="IRNazanin" w:hAnsi="IRNazanin" w:eastAsia="IRNazanin"/>
          <w:color w:val="111111"/>
          <w:sz w:val="28"/>
          <w:sz w:val="28"/>
          <w:szCs w:val="28"/>
          <w:rtl w:val="true"/>
          <w:lang w:bidi="fa-IR"/>
        </w:rPr>
        <w:t>وأنت خبیر بأنّ الأوّل منهما له دلالة فی الجملة ، أمّا الثانی فلا وجه للاستدلال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تضمنه الخبر الأوّل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یدلّ علی أنّه محمول علی الکراهة الخبر الثانی ، للإتیان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به فی موضع الضرورة فلا یتم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الواجب لمجرّد العذر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یدعی 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منها إرادة غیر الواجب ، وعلی تقدیر التساوی فهی مشترکة حینئذ ، مضافا إلی ما ستسمعه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عدم وجوب الأذان فی غیر الغداة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ظهور فی الدلالة علی عدم إجزاء الإقامة وحدها فی الغداة والمغرب ، وهو یحتمل أن یراد فیه توقف الإجزاء علی الأذان مع الإقامة أو أنّ الأذان مجزئ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احتمال إرادة إجزاء إقامة واحدة لجمیع الصلوات إلاّ الغداة والمغرب فلا بد لکل واحدة من إقامة فبعید ، کما أنّ احتمال إرادة الواحدة من فصول الإقامة کذلک ، وسیأتی إن شاء الله فی خبر عمر بن یزید ما یدل علی إجزاء الإقامة فی المغرب </w:t>
      </w:r>
      <w:r>
        <w:rPr>
          <w:rStyle w:val="FootnoteAnchor"/>
          <w:rtl w:val="true"/>
        </w:rPr>
        <w:footnoteReference w:id="119"/>
      </w:r>
      <w:r>
        <w:rPr>
          <w:rFonts w:ascii="IRNazanin" w:hAnsi="IRNazanin" w:eastAsia="IRNazanin"/>
          <w:color w:val="111111"/>
          <w:sz w:val="28"/>
          <w:sz w:val="28"/>
          <w:szCs w:val="28"/>
          <w:rtl w:val="true"/>
          <w:lang w:bidi="fa-IR"/>
        </w:rPr>
        <w:t>، وحینئذ یحمل هذا الخبر علی الأکملیة ، وعلی هذا یراد بالإجزاء أقلّ الفضل ، فیدل الخبر علی عدم وجوب الأذان والإقامة علی الإطلاق</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العلاّمة علی عدم الوجوب بالأصل مع دلیل آخر ترکه أولی ، وبالأخبار الآتی بعضها ، وروی الشیخ فی التهذیب عن الحسین بن </w:t>
      </w:r>
    </w:p>
    <w:p>
      <w:pPr>
        <w:pStyle w:val="BookText"/>
        <w:rPr/>
      </w:pPr>
      <w:r>
        <w:rPr>
          <w:rFonts w:ascii="IRNazanin" w:hAnsi="IRNazanin" w:eastAsia="IRNazanin"/>
          <w:color w:val="111111"/>
          <w:sz w:val="28"/>
          <w:sz w:val="28"/>
          <w:szCs w:val="28"/>
          <w:rtl w:val="true"/>
          <w:lang w:bidi="fa-IR"/>
        </w:rPr>
        <w:t xml:space="preserve">سعید ، عن فضالة بن أیوب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یجزؤک إذا خلوت فی بیتک إقامة واحدة بغیر أذان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وقد ذکر هذه فی حجّة الاستحباب العلاّمة رحمه الله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تقتضی عدم وجوب الأذان مطلقا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إثبات الاستحباب مطلقا مشکلٌ ، لکنه ضمّ إلی هذه الروایة ما رواه الشیخ ، عن سعد بن عبد الله ، عن أحمد بن محمّد ، عن ابن أبی عمیر ، عن حمّاد ، عن عبید الله الحلبی ، عن أبی عبد الله علیه السلام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إذا صلّی وحده فی البیت أقام إقامة ولم یؤذّن </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وکذلک روایة عمر بن یزید الآتی </w:t>
      </w:r>
      <w:r>
        <w:rPr>
          <w:rStyle w:val="FootnoteAnchor"/>
          <w:rtl w:val="true"/>
        </w:rPr>
        <w:footnoteReference w:id="123"/>
      </w:r>
      <w:r>
        <w:rPr>
          <w:rFonts w:ascii="IRNazanin" w:hAnsi="IRNazanin" w:eastAsia="IRNazanin"/>
          <w:color w:val="111111"/>
          <w:sz w:val="28"/>
          <w:sz w:val="28"/>
          <w:szCs w:val="28"/>
          <w:rtl w:val="true"/>
          <w:lang w:bidi="fa-IR"/>
        </w:rPr>
        <w:t>، وبعض الأخبار المتضمّنة لأنّ الأذان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أنّ الاحتجاج غیر واف بالمطلوب ، کما یعلم من مراجعته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خبر الحلبی لا یخلو ظاهره من إشکال ذکرناه فی حاشیة التهذیب ، والحاصل أنّ ما ورد فی ثواب الأذان قد ینافیه فعله علیه السلام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فیه دلالة علی عدم تأکّد الأذان فی حقّه ؛ إذ الغرض الأهمّ من الأذان الإعلام ، وهو منفیّ هنا ، أمّا أصل الاستحباب فإنّه قائم ؛ لعموم شرعیّة الأذان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الدوام ، والإمام لا یواظب علی ترک المستحب ، فدلّ علی سقوط أصل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الدوام التکرار ولا محذور فی إخلال الإمام علیه السلام بالمستحب أحیانا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ذکر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أنّه علیه السلام کان یکتفی بأذان مؤذّن البلد إذا سمعه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أنّ سیاق الخبر یأبی هذا ؛ لأنّ السماع لا یشترط فیه الخلوة فی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دلّ علی أنّ من أذّن صلّی خلفه صفّ من الملائکة </w:t>
      </w:r>
      <w:r>
        <w:rPr>
          <w:rStyle w:val="FootnoteAnchor"/>
          <w:rtl w:val="true"/>
        </w:rPr>
        <w:footnoteReference w:id="126"/>
      </w:r>
      <w:r>
        <w:rPr>
          <w:rFonts w:ascii="IRNazanin" w:hAnsi="IRNazanin" w:eastAsia="IRNazanin"/>
          <w:color w:val="111111"/>
          <w:sz w:val="28"/>
          <w:sz w:val="28"/>
          <w:szCs w:val="28"/>
          <w:rtl w:val="true"/>
          <w:lang w:bidi="fa-IR"/>
        </w:rPr>
        <w:t xml:space="preserve">، یأبی تکرار الترک ، والخبر رواه الشیخ فی التهذیب ، عن الحسین بن سعید ، عن یحیی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أذّنت فی أرض فلاة وأقمت صلّی خلفک صفّان من الملائکة ، وإن أقمت ولم تؤذّن صلّی خلفک صفّ واحد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بطریقه عن الحسین بن سعید ، عن فضالة ، عن حسین بن عثمان ، عن ابن مسکان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إذا أذّنت وأقمت صلّی خلفک صفّان من الملائکة ، وإن أقمت إقامة بغیر أذان صلّی خلفک صفّ واحد </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اختصاص الحکم بغیر الإمام علیه السلام فی غایة البعد ، کما أنّ احتمال إرادة أذان الجماعة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سعد بن عبد الله ، عن محمّد بن الحسین ، عن جعفر بن بشیر ،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الإقامة بغیر أذان فی المغرب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به بأس وما أحبّ أن </w:t>
      </w:r>
    </w:p>
    <w:p>
      <w:pPr>
        <w:pStyle w:val="BookText"/>
        <w:rPr/>
      </w:pPr>
      <w:r>
        <w:rPr>
          <w:rFonts w:ascii="IRNazanin" w:hAnsi="IRNazanin" w:eastAsia="IRNazanin"/>
          <w:color w:val="111111"/>
          <w:sz w:val="28"/>
          <w:sz w:val="28"/>
          <w:szCs w:val="28"/>
          <w:rtl w:val="true"/>
          <w:lang w:bidi="fa-IR"/>
        </w:rPr>
        <w:t xml:space="preserve">تعتاد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ینافی ما قدّمناه ، لأنّه إنّما یجوز له الاقتصار علی الإقامة فی هذه الصلوات عند عارض أو مانع ، وقد نبّه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أحبّ أن تعتاد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الأولی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أحمد بن الحسن بن علیّ ، عن عمرو بن سعید ، عن مصدّق بن صدقة ، عن عمّار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للمریض أن یؤذّن ویقیم إذا أراد الصلاة ولو فی نفسه إن لم یقدر علی أن یتکلّم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شدید الوجع؟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من أن یؤذّن ویقیم ، لأنّه لا صلاة إلاّ بأذان وإقامة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تأکید الاستحباب والحثّ علی عظیم الثواب فیه دون أن یکون المراد به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بعد ما قدّمناه فی عمر بن یزید وغیره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فیه کلاما عن قریب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فیه من الحمل علی تأکّد الاستحباب متوجّه ، </w:t>
      </w:r>
      <w:bookmarkStart w:id="89" w:name="pg15037_163628"/>
    </w:p>
    <w:p>
      <w:pPr>
        <w:pStyle w:val="BookText"/>
        <w:rPr/>
      </w:pPr>
      <w:bookmarkEnd w:id="89"/>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بأذان وإقامة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أفاد بظاهره التعیّن إلاّ أنّ ما سبق من الأخبار یقتضی عدم التعیّن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 محقّقی الأصحاب رحمه الله بعد ما نقل الأخبار الدالة علی عدم وجوب الأذان ولو فی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انضمام عدم القول بوجوب الإقامة فقط یفید استحبابها أیضا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الأقوال السابقة ما یقتضی القول بالفصل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الخبر المبحوث عنه علی المنفرد </w:t>
      </w:r>
      <w:r>
        <w:rPr>
          <w:rStyle w:val="FootnoteAnchor"/>
          <w:rtl w:val="true"/>
        </w:rPr>
        <w:footnoteReference w:id="132"/>
      </w:r>
      <w:r>
        <w:rPr>
          <w:rFonts w:ascii="IRNazanin" w:hAnsi="IRNazanin" w:eastAsia="IRNazanin"/>
          <w:color w:val="111111"/>
          <w:sz w:val="28"/>
          <w:sz w:val="28"/>
          <w:szCs w:val="28"/>
          <w:rtl w:val="true"/>
          <w:lang w:bidi="fa-IR"/>
        </w:rPr>
        <w:t xml:space="preserve">، وهو بعید ، وذکر أیضا دلالة بعض الأخبار علی قول الشیخ بوجوبهما فی صلاة الجماعة ، وهو خبر عبد الله بن سنان الدال علی أنّه إذا خلا فی بیته تجزؤه الإقامة </w:t>
      </w:r>
      <w:r>
        <w:rPr>
          <w:rStyle w:val="FootnoteAnchor"/>
          <w:rtl w:val="true"/>
        </w:rPr>
        <w:footnoteReference w:id="13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بالخلوة الصلاة منفردا ، ولا یخفی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الآخر رواه عمّار الساباطی عن أبی عبد الله علیه السلام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الرجل یؤذّن ویقیم لیصلّی وحده فیجی‌ء رجل آخر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نصلّی جماعة هل یجوز أن یصلّیا بذلک الأذان والإقامة؟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یؤذّن ویقیم </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وأنت خبیر بما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استحباب الأذان للنساء یدلّ علیه معتبر بعض الأخبار ، حیث قال فیه علیه السلام بعد السؤال عن المرأة تؤذّن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حسن إن فَعَلَت ، وإن لم تفعل أجزأها أن تکبّر وأن تشهد أن لا إله إلاّ الله</w:t>
      </w:r>
    </w:p>
    <w:p>
      <w:pPr>
        <w:pStyle w:val="Heading4"/>
        <w:numPr>
          <w:ilvl w:val="3"/>
          <w:numId w:val="1"/>
        </w:numPr>
        <w:rPr/>
      </w:pPr>
      <w:bookmarkStart w:id="90" w:name="__RefHeading___Toc347606_2142443653"/>
      <w:bookmarkStart w:id="91" w:name="_Toc34"/>
      <w:bookmarkEnd w:id="90"/>
      <w:r>
        <w:rPr>
          <w:rtl w:val="true"/>
        </w:rPr>
        <w:t>توجیه ما دلّ بظاهره علی الوجوب</w:t>
      </w:r>
      <w:bookmarkEnd w:id="9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 w:name="__RefHeading___Toc347608_2142443653"/>
      <w:bookmarkStart w:id="93" w:name="_Toc35"/>
      <w:bookmarkEnd w:id="92"/>
      <w:r>
        <w:rPr>
          <w:rtl w:val="true"/>
        </w:rPr>
        <w:t>حکم الأذان والإقامة بالنسبة إلی النساء</w:t>
      </w:r>
      <w:bookmarkStart w:id="94" w:name="pg15037_163630"/>
      <w:bookmarkEnd w:id="93"/>
    </w:p>
    <w:p>
      <w:pPr>
        <w:pStyle w:val="BookText"/>
        <w:rPr/>
      </w:pPr>
      <w:bookmarkEnd w:id="94"/>
      <w:r>
        <w:rPr>
          <w:rFonts w:ascii="IRNazanin" w:hAnsi="IRNazanin" w:eastAsia="IRNazanin"/>
          <w:color w:val="111111"/>
          <w:sz w:val="28"/>
          <w:sz w:val="28"/>
          <w:szCs w:val="28"/>
          <w:rtl w:val="true"/>
          <w:lang w:bidi="fa-IR"/>
        </w:rPr>
        <w:t xml:space="preserve">وأنّ محمّدا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الإقامة فلم أقف علی ما یدلّ علی استحبابها ، وظاهر الصدوق نفی الأمرین عنها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تؤذّن المرأة للنساء ویقتدین بها ، ذهب إلیه علماؤنا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معتبر بعض الأخبار ما یدلّ علی أنّه لیس علی المرأة أذان وإقامة </w:t>
      </w:r>
      <w:r>
        <w:rPr>
          <w:rStyle w:val="FootnoteAnchor"/>
          <w:rtl w:val="true"/>
        </w:rPr>
        <w:footnoteReference w:id="138"/>
      </w:r>
      <w:r>
        <w:rPr>
          <w:rFonts w:ascii="IRNazanin" w:hAnsi="IRNazanin" w:eastAsia="IRNazanin"/>
          <w:color w:val="111111"/>
          <w:sz w:val="28"/>
          <w:sz w:val="28"/>
          <w:szCs w:val="28"/>
          <w:rtl w:val="true"/>
          <w:lang w:bidi="fa-IR"/>
        </w:rPr>
        <w:t>، ویمکن أن یحمل علی نفی الاستحباب المؤکّد ، أو یحمل علی نفی الأمرین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کلام بالنسبة إلی سماع صوتها ، لکونه عورة قد ذکرناه فی حواشی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الکلام فی حال الإقامة</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بن الحسن بن أبان ، عن الحسین بن سعید ، عن فضالة ، عن حسین بن عثمان ، عن عمرو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أیتکلّم الرجل فی الأذان؟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الإقامة؟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Heading3"/>
        <w:numPr>
          <w:ilvl w:val="2"/>
          <w:numId w:val="1"/>
        </w:numPr>
        <w:rPr/>
      </w:pPr>
      <w:bookmarkStart w:id="95" w:name="__RefHeading___Toc347610_2142443653"/>
      <w:bookmarkStart w:id="96" w:name="_Toc36"/>
      <w:bookmarkEnd w:id="95"/>
      <w:r>
        <w:rPr>
          <w:rtl w:val="true"/>
        </w:rPr>
        <w:t>الکلام فی حال الإقامة</w:t>
      </w:r>
      <w:bookmarkEnd w:id="9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347612_2142443653"/>
      <w:bookmarkStart w:id="98" w:name="_Toc37"/>
      <w:bookmarkEnd w:id="97"/>
      <w:r>
        <w:rPr>
          <w:rtl w:val="true"/>
        </w:rPr>
        <w:t>اشارة</w:t>
      </w:r>
      <w:bookmarkStart w:id="99" w:name="pg15037_163633"/>
      <w:bookmarkEnd w:id="98"/>
    </w:p>
    <w:p>
      <w:pPr>
        <w:pStyle w:val="BookText"/>
        <w:rPr/>
      </w:pPr>
      <w:bookmarkEnd w:id="99"/>
      <w:r>
        <w:rPr>
          <w:rFonts w:ascii="IRNazanin" w:hAnsi="IRNazanin" w:eastAsia="IRNazanin"/>
          <w:color w:val="111111"/>
          <w:sz w:val="28"/>
          <w:sz w:val="28"/>
          <w:szCs w:val="28"/>
          <w:rtl w:val="true"/>
          <w:lang w:bidi="fa-IR"/>
        </w:rPr>
        <w:t xml:space="preserve">محمّد بن یعقوب ، عن محمّد بن یحیی ، عن محمّد بن الحسین ، عن محمّد بن إسماعیل ، عن صالح بن عقبة ، عن أبی هارون المکفوف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هارون ، الإقامة من الصلاة فإذا أقمت فلا تتکلّم ولا تؤمّ بیدک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حماد بن عیسی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تتکلّم إذا أقمت للصلاة فإنّک إذا تکلّمت أعدت الإقامة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تکرّر القول </w:t>
      </w:r>
      <w:r>
        <w:rPr>
          <w:rStyle w:val="FootnoteAnchor"/>
          <w:rtl w:val="true"/>
        </w:rPr>
        <w:footnoteReference w:id="139"/>
      </w:r>
      <w:r>
        <w:rPr>
          <w:rFonts w:ascii="IRNazanin" w:hAnsi="IRNazanin" w:eastAsia="IRNazanin"/>
          <w:color w:val="111111"/>
          <w:sz w:val="28"/>
          <w:sz w:val="28"/>
          <w:szCs w:val="28"/>
          <w:rtl w:val="true"/>
          <w:lang w:bidi="fa-IR"/>
        </w:rPr>
        <w:t xml:space="preserve">فی رجاله ، وعمرو بن أبی نصر ثقة فی النجاشی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فیه هو ابن بزیع ، لأنّه یروی عن صالح بن عقبة فی النجاشی </w:t>
      </w:r>
      <w:r>
        <w:rPr>
          <w:rStyle w:val="FootnoteAnchor"/>
          <w:rtl w:val="true"/>
        </w:rPr>
        <w:footnoteReference w:id="141"/>
      </w:r>
      <w:r>
        <w:rPr>
          <w:rFonts w:ascii="IRNazanin" w:hAnsi="IRNazanin" w:eastAsia="IRNazanin"/>
          <w:color w:val="111111"/>
          <w:sz w:val="28"/>
          <w:sz w:val="28"/>
          <w:szCs w:val="28"/>
          <w:rtl w:val="true"/>
          <w:lang w:bidi="fa-IR"/>
        </w:rPr>
        <w:t xml:space="preserve">والفهرست </w:t>
      </w:r>
      <w:r>
        <w:rPr>
          <w:rStyle w:val="FootnoteAnchor"/>
          <w:rtl w:val="true"/>
        </w:rPr>
        <w:footnoteReference w:id="142"/>
      </w:r>
      <w:r>
        <w:rPr>
          <w:rFonts w:ascii="IRNazanin" w:hAnsi="IRNazanin" w:eastAsia="IRNazanin"/>
          <w:color w:val="111111"/>
          <w:sz w:val="28"/>
          <w:sz w:val="28"/>
          <w:szCs w:val="28"/>
          <w:rtl w:val="true"/>
          <w:lang w:bidi="fa-IR"/>
        </w:rPr>
        <w:t xml:space="preserve">، ومن هنا یتّضح ما قدّمناه </w:t>
      </w:r>
      <w:r>
        <w:rPr>
          <w:rStyle w:val="FootnoteAnchor"/>
          <w:rtl w:val="true"/>
        </w:rPr>
        <w:footnoteReference w:id="143"/>
      </w:r>
      <w:r>
        <w:rPr>
          <w:rFonts w:ascii="IRNazanin" w:hAnsi="IRNazanin" w:eastAsia="IRNazanin"/>
          <w:color w:val="111111"/>
          <w:sz w:val="28"/>
          <w:sz w:val="28"/>
          <w:szCs w:val="28"/>
          <w:rtl w:val="true"/>
          <w:lang w:bidi="fa-IR"/>
        </w:rPr>
        <w:t>من انتفاء محمّد بن إسماعیل بن بزیع الذی یروی عنه محمّد بن یعقوب بغیر واسطة ، فإنّ الروایة عنه هنا بواسطتین ، فمن المستبعد جدّا الروایة 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هذا أیضا أنّ الصدوق ذکر طریقه إلی ابن بزیع ، وطریقه إلی محمّد بن إسماعیل الذی یروی عن الفضل بن شاذان ، وذکر فی الثانی أنّ</w:t>
      </w:r>
    </w:p>
    <w:p>
      <w:pPr>
        <w:pStyle w:val="Heading4"/>
        <w:numPr>
          <w:ilvl w:val="3"/>
          <w:numId w:val="1"/>
        </w:numPr>
        <w:rPr/>
      </w:pPr>
      <w:bookmarkStart w:id="100" w:name="__RefHeading___Toc347614_2142443653"/>
      <w:bookmarkStart w:id="101" w:name="_Toc38"/>
      <w:bookmarkEnd w:id="100"/>
      <w:r>
        <w:rPr>
          <w:rtl w:val="true"/>
        </w:rPr>
        <w:t>عمرو بن أبی نصر ثقة</w:t>
      </w:r>
      <w:bookmarkEnd w:id="10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 w:name="__RefHeading___Toc347616_2142443653"/>
      <w:bookmarkStart w:id="103" w:name="_Toc39"/>
      <w:bookmarkEnd w:id="102"/>
      <w:r>
        <w:rPr>
          <w:rtl w:val="true"/>
        </w:rPr>
        <w:t>بحث حول محمد بن إسماعیل</w:t>
      </w:r>
      <w:bookmarkStart w:id="104" w:name="pg15037_163634"/>
      <w:bookmarkEnd w:id="103"/>
    </w:p>
    <w:p>
      <w:pPr>
        <w:pStyle w:val="BookText"/>
        <w:rPr/>
      </w:pPr>
      <w:bookmarkEnd w:id="104"/>
      <w:r>
        <w:rPr>
          <w:rFonts w:ascii="IRNazanin" w:hAnsi="IRNazanin" w:eastAsia="IRNazanin"/>
          <w:color w:val="111111"/>
          <w:sz w:val="28"/>
          <w:sz w:val="28"/>
          <w:szCs w:val="28"/>
          <w:rtl w:val="true"/>
          <w:lang w:bidi="fa-IR"/>
        </w:rPr>
        <w:t xml:space="preserve">الراوی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 وإن کان باب الاحتمال واسعا ، إلاّ أنّ الکلام فی التأیید للظهور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صالح بن عقبة فالعلاّمة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کذّاب غال لا یُلتفت إلیه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عن أبی عبد الله علیه السلام والله أعلم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عقبة له کتاب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هارون فی الفهرست مذکور بالکنیة والإهمال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الکشی نقل فیه بعض الذم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 صحّته بعد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المنع من الکلام فی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ظاهره المنع من الکلام بعد الإقامة کما یدلّ علیه بعض الأخبار المعتبرة بلفظ التحریم ، إلاّ أنّه یمکن حمله علی ما یوافق الأوّل ، وغیر خفیّ عدم الاحتیاج إلی الحمل ، أمّا المنع من الإیماء بالید فالأمر فیه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النهی ، إلاّ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فإنّک إذا تکلّمت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بعدم التحریم ، وله ظهور فی الکلام بعدها</w:t>
      </w:r>
      <w:r>
        <w:rPr>
          <w:rFonts w:eastAsia="IRNazanin" w:cs="IRNazanin"/>
          <w:color w:val="111111"/>
          <w:sz w:val="28"/>
          <w:szCs w:val="28"/>
          <w:rtl w:val="true"/>
          <w:lang w:bidi="fa-IR"/>
        </w:rPr>
        <w:t>.</w:t>
      </w:r>
    </w:p>
    <w:p>
      <w:pPr>
        <w:pStyle w:val="Heading4"/>
        <w:numPr>
          <w:ilvl w:val="3"/>
          <w:numId w:val="1"/>
        </w:numPr>
        <w:rPr/>
      </w:pPr>
      <w:bookmarkStart w:id="105" w:name="__RefHeading___Toc347618_2142443653"/>
      <w:bookmarkStart w:id="106" w:name="_Toc40"/>
      <w:bookmarkEnd w:id="105"/>
      <w:r>
        <w:rPr>
          <w:rtl w:val="true"/>
        </w:rPr>
        <w:t>بحث حول صالح بن عقبة</w:t>
      </w:r>
      <w:bookmarkEnd w:id="106"/>
    </w:p>
    <w:p>
      <w:pPr>
        <w:pStyle w:val="Heading4"/>
        <w:numPr>
          <w:ilvl w:val="3"/>
          <w:numId w:val="1"/>
        </w:numPr>
        <w:rPr/>
      </w:pPr>
      <w:bookmarkStart w:id="107" w:name="__RefHeading___Toc347620_2142443653"/>
      <w:bookmarkStart w:id="108" w:name="_Toc41"/>
      <w:bookmarkEnd w:id="107"/>
      <w:r>
        <w:rPr>
          <w:rtl w:val="true"/>
        </w:rPr>
        <w:t>أبو هارون المکفوف مذموم</w:t>
      </w:r>
      <w:bookmarkEnd w:id="10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347622_2142443653"/>
      <w:bookmarkStart w:id="110" w:name="_Toc42"/>
      <w:bookmarkEnd w:id="109"/>
      <w:r>
        <w:rPr>
          <w:rtl w:val="true"/>
        </w:rPr>
        <w:t>بیان ما دلّ علی المنع من الکلام فی الإقامة وبعدها</w:t>
      </w:r>
      <w:bookmarkEnd w:id="110"/>
    </w:p>
    <w:p>
      <w:pPr>
        <w:pStyle w:val="BookText"/>
        <w:rPr/>
      </w:pPr>
      <w:r>
        <w:rPr>
          <w:rFonts w:ascii="IRNazanin" w:hAnsi="IRNazanin" w:eastAsia="IRNazanin"/>
          <w:color w:val="111111"/>
          <w:sz w:val="28"/>
          <w:sz w:val="28"/>
          <w:szCs w:val="28"/>
          <w:rtl w:val="true"/>
          <w:lang w:bidi="fa-IR"/>
        </w:rPr>
        <w:t xml:space="preserve">وحکی العلاّمة فی المختلف عن المفید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یتکلّم فی الإقامة ، وبه قال المرتضی فی الجمل ، ونقل أنّ المفید احتجّ بالخبر الأوّل والثانی ، وأجاب العلاّمة بأنّ المراد المبالغة فی الکراهة ؛ لدلالة الأخبار علی الجواز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وعنی بالأخبار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الآتیة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عن محمّد بن سنان عن عبد الله بن مسکان عن محمّد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یتکلّم فی أذانه أو فی إقامته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محمّد بن یحیی ، عن محمّد بن الحسین ، عن جعفر بن بشیر ،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یتکلّم بعد ما یقیم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بشیر عن الحسن </w:t>
      </w:r>
      <w:r>
        <w:rPr>
          <w:rStyle w:val="FootnoteAnchor"/>
          <w:rtl w:val="true"/>
        </w:rPr>
        <w:footnoteReference w:id="150"/>
      </w:r>
      <w:r>
        <w:rPr>
          <w:rFonts w:ascii="IRNazanin" w:hAnsi="IRNazanin" w:eastAsia="IRNazanin"/>
          <w:color w:val="111111"/>
          <w:sz w:val="28"/>
          <w:sz w:val="28"/>
          <w:szCs w:val="28"/>
          <w:rtl w:val="true"/>
          <w:lang w:bidi="fa-IR"/>
        </w:rPr>
        <w:t xml:space="preserve">بن شهاب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یتکلّم الرجل وهو یقیم الصلاة وبعد ما یقیم إن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الأخبار أن نحملها علی أنّه یجوز أن یتکلم بشی‌ء یتعلق بأحکام الصلاة مثل تقدیم إمام أو تسویة صفّ ، أو یکون ذلک قبل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 فإذا قال ذلک حرم الکلام إلاّ بما استثناه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ذلک </w:t>
      </w:r>
      <w:r>
        <w:rPr>
          <w:rFonts w:eastAsia="IRNazanin" w:cs="IRNazanin"/>
          <w:color w:val="111111"/>
          <w:sz w:val="28"/>
          <w:szCs w:val="28"/>
          <w:rtl w:val="true"/>
          <w:lang w:bidi="fa-IR"/>
        </w:rPr>
        <w:t xml:space="preserve">: </w:t>
      </w:r>
      <w:bookmarkStart w:id="111" w:name="pg15037_163639"/>
    </w:p>
    <w:p>
      <w:pPr>
        <w:pStyle w:val="BookText"/>
        <w:rPr/>
      </w:pPr>
      <w:bookmarkEnd w:id="111"/>
      <w:r>
        <w:rPr>
          <w:rFonts w:ascii="IRNazanin" w:hAnsi="IRNazanin" w:eastAsia="IRNazanin"/>
          <w:color w:val="111111"/>
          <w:sz w:val="28"/>
          <w:sz w:val="28"/>
          <w:szCs w:val="28"/>
          <w:rtl w:val="true"/>
          <w:lang w:bidi="fa-IR"/>
        </w:rPr>
        <w:t xml:space="preserve">ما رواه الحسین بن سعید ، عن فضالة ، عن حسین بن عثمان ، عن ابن مسکان ، عن ابن أبی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یتکلّم فی الإقامة؟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فإذا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حرم الکلام علی أهل المسجد إلاّ أن یکونوا قد اجتمعوا من شتّی ولیس لهم إمام فلا بأس أن یقول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الحسن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أقام المؤذّن الصلاة فقد حرم الکلام إلاّ أن یکون القوم لیس یعرف لهم 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سنان وقد تکرّر القول فیه </w:t>
      </w:r>
      <w:r>
        <w:rPr>
          <w:rStyle w:val="FootnoteAnchor"/>
          <w:rtl w:val="true"/>
        </w:rPr>
        <w:footnoteReference w:id="151"/>
      </w:r>
      <w:r>
        <w:rPr>
          <w:rFonts w:ascii="IRNazanin" w:hAnsi="IRNazanin" w:eastAsia="IRNazanin"/>
          <w:color w:val="111111"/>
          <w:sz w:val="28"/>
          <w:sz w:val="28"/>
          <w:szCs w:val="28"/>
          <w:rtl w:val="true"/>
          <w:lang w:bidi="fa-IR"/>
        </w:rPr>
        <w:t xml:space="preserve">، وقد وصفه العلاّمة فی المختلف بالصحة </w:t>
      </w:r>
      <w:r>
        <w:rPr>
          <w:rStyle w:val="FootnoteAnchor"/>
          <w:rtl w:val="true"/>
        </w:rPr>
        <w:footnoteReference w:id="152"/>
      </w:r>
      <w:r>
        <w:rPr>
          <w:rFonts w:ascii="IRNazanin" w:hAnsi="IRNazanin" w:eastAsia="IRNazanin"/>
          <w:color w:val="111111"/>
          <w:sz w:val="28"/>
          <w:sz w:val="28"/>
          <w:szCs w:val="28"/>
          <w:rtl w:val="true"/>
          <w:lang w:bidi="fa-IR"/>
        </w:rPr>
        <w:t xml:space="preserve">، ولعلّه من غیر الکتابین ، فإنّ فی التهذیب رواه عن محمّد بن سنان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شهاب ، وهو مذکور مهملا فی رجال الصادق والباقر علیهماالسلام من کتاب الشیخ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الظاهر أنّ الطریق إلی جعفر بن بشیر هو المتقدم علیه إلی محمّد بن الحسین کما هی عادة الکلینی رحمه الله فی کتابه من البناء علی الإسناد السابق</w:t>
      </w:r>
      <w:r>
        <w:rPr>
          <w:rFonts w:eastAsia="IRNazanin" w:cs="IRNazanin"/>
          <w:color w:val="111111"/>
          <w:sz w:val="28"/>
          <w:szCs w:val="28"/>
          <w:rtl w:val="true"/>
          <w:lang w:bidi="fa-IR"/>
        </w:rPr>
        <w:t>.</w:t>
      </w:r>
    </w:p>
    <w:p>
      <w:pPr>
        <w:pStyle w:val="Heading4"/>
        <w:numPr>
          <w:ilvl w:val="3"/>
          <w:numId w:val="1"/>
        </w:numPr>
        <w:rPr/>
      </w:pPr>
      <w:bookmarkStart w:id="112" w:name="__RefHeading___Toc347624_2142443653"/>
      <w:bookmarkStart w:id="113" w:name="_Toc43"/>
      <w:bookmarkEnd w:id="112"/>
      <w:r>
        <w:rPr>
          <w:rtl w:val="true"/>
        </w:rPr>
        <w:t>إشارة إلی ضعف محمد بن سنان</w:t>
      </w:r>
      <w:bookmarkEnd w:id="113"/>
    </w:p>
    <w:p>
      <w:pPr>
        <w:pStyle w:val="Heading4"/>
        <w:numPr>
          <w:ilvl w:val="3"/>
          <w:numId w:val="1"/>
        </w:numPr>
        <w:rPr/>
      </w:pPr>
      <w:bookmarkStart w:id="114" w:name="__RefHeading___Toc347626_2142443653"/>
      <w:bookmarkStart w:id="115" w:name="_Toc44"/>
      <w:bookmarkEnd w:id="114"/>
      <w:r>
        <w:rPr>
          <w:rtl w:val="true"/>
        </w:rPr>
        <w:t>الحسن بن شهاب مهمل</w:t>
      </w:r>
      <w:bookmarkEnd w:id="11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 w:name="__RefHeading___Toc347628_2142443653"/>
      <w:bookmarkStart w:id="117" w:name="_Toc45"/>
      <w:bookmarkEnd w:id="116"/>
      <w:r>
        <w:rPr>
          <w:rtl w:val="true"/>
        </w:rPr>
        <w:t>بحث حول الطریق إلی جعفر بن بشیر ومن یروی عنه</w:t>
      </w:r>
      <w:bookmarkEnd w:id="117"/>
    </w:p>
    <w:p>
      <w:pPr>
        <w:pStyle w:val="BookText"/>
        <w:rPr/>
      </w:pPr>
      <w:r>
        <w:rPr>
          <w:rFonts w:ascii="IRNazanin" w:hAnsi="IRNazanin" w:eastAsia="IRNazanin"/>
          <w:color w:val="111111"/>
          <w:sz w:val="28"/>
          <w:sz w:val="28"/>
          <w:szCs w:val="28"/>
          <w:rtl w:val="true"/>
          <w:lang w:bidi="fa-IR"/>
        </w:rPr>
        <w:t xml:space="preserve">وفی التهذیب بعد ذکر خبر حمّاد بن عثمان راویا له عن سعد ، عن محمّد بن الحسین ، عن جعفر بن بشیر ، عن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جعفر بن بشیر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الحدیث ، وغیر خفی أنّ المتعارف من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سعد ، وروایته عن جعفر بن بشیر غیر معروفة ، بل الضمیر راجع إلی محمّد بن الحسین ، وهو خلاف اصطلاح الشیخ ، إلاّ أنّ الممارسة تقتضیه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لا بعد احتمال عدم اطلاع الشیخ علی عادة الکلینی لأمکن توهّم الشیخ فی السند بأن یرجع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یعقوب ، لأنّه فی التهذیب ذکر قبل روایة سعد روایة عن محمّد بن یعقوب ، عن محمّد بن یحیی ، عن محمّد بن الحسین ، عن محمّد بن إسماعیل</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کانت عادة الکلینی البناء فروی بالطریق التی فی هذا الکتاب عن محمّد بن الحسین ، عن جعفر بن بشیر ، ثم أتی بعده بلفظ جعفر بن بشیر اعتمادا علی السابق ، فظن الشیخ روایة محمّد بن یعقوب عن جعفر بن بشیر ، غایة الأمر أنّ الشیخ لا یضر الأمر بالحال عنده ؛ لعلمه بالطریق ، وإنّما الإشکال بالنسبة إلی زماننا ، وأنت إذا تأمّلت ما ذکرناه یظهر لک أنّ ما فعله الشیخ لا یخلو من غرابة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الصحة بعد ما قدّمناه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کذلک</w:t>
      </w:r>
      <w:r>
        <w:rPr>
          <w:rFonts w:eastAsia="IRNazanin" w:cs="IRNazanin"/>
          <w:color w:val="111111"/>
          <w:sz w:val="28"/>
          <w:szCs w:val="28"/>
          <w:rtl w:val="true"/>
          <w:lang w:bidi="fa-IR"/>
        </w:rPr>
        <w:t xml:space="preserve">. </w:t>
      </w:r>
      <w:bookmarkStart w:id="118" w:name="pg15037_163643"/>
    </w:p>
    <w:p>
      <w:pPr>
        <w:pStyle w:val="BookText"/>
        <w:rPr/>
      </w:pPr>
      <w:bookmarkEnd w:id="118"/>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أنّه لا بأس بالکلام فی الأذان وفی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الکلام بعد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لو صحّ ، وما ذکره الشیخ من الحمل لا یخلو من نظر ؛ لأنّ أوّل الکلام یدل علی أنّ المراد بالأخبار جواز الکلام بشی‌ء یتعلّق بالصلاة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 محتمل لأن یرید به جواز الکلام مطلقا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ذلک حرم إلاّ بما استثناه ، یدل علی أنّ ما یتعلّق بالصلاة یجوز قبلُ وبعدُ ، وغیر خفی أنّ فیه تشویشا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الأوّل المستدل به یدل علی الجواز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لمطلق الکلام ، 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إلاّ ما ذکر فی الروایة ، وحینئذ ربما یدل هذا علی أنّ مطلوب الشیخ الجواز علی الإطلاق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وبعدها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ما تقدّم من الأخبار الأوّلة یدل الأوّل منها علی أنّ الکلام فی الإقامة منهیّ عنه ، والآخران علی النهی إذا أقام ، وقد قدّمنا </w:t>
      </w:r>
      <w:r>
        <w:rPr>
          <w:rStyle w:val="FootnoteAnchor"/>
          <w:rtl w:val="true"/>
        </w:rPr>
        <w:footnoteReference w:id="158"/>
      </w:r>
      <w:r>
        <w:rPr>
          <w:rFonts w:ascii="IRNazanin" w:hAnsi="IRNazanin" w:eastAsia="IRNazanin"/>
          <w:color w:val="111111"/>
          <w:sz w:val="28"/>
          <w:sz w:val="28"/>
          <w:szCs w:val="28"/>
          <w:rtl w:val="true"/>
          <w:lang w:bidi="fa-IR"/>
        </w:rPr>
        <w:t>بیان ذلک ، وحینئذ یمکن حمل ما تضمّن النهی عن الکلام فی الإقامة علی الکراهة ، وما بعدها یحمل علی التحریم علی تقدیر الاعتماد علی الصحیح ، وما تضمن جواز الکلام بعد الإقامة یخصّ بمدلول المفصّل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 w:name="__RefHeading___Toc347630_2142443653"/>
      <w:bookmarkStart w:id="120" w:name="_Toc46"/>
      <w:bookmarkEnd w:id="119"/>
      <w:r>
        <w:rPr>
          <w:rtl w:val="true"/>
        </w:rPr>
        <w:t>بیان مادلّ علی جواز التکلّم فی الأذان والإقامة وبعدها وما دلّ علی حرمته بعدها إلّا فیما یتعلّق بأحکام الصلاة</w:t>
      </w:r>
      <w:bookmarkEnd w:id="120"/>
    </w:p>
    <w:p>
      <w:pPr>
        <w:pStyle w:val="BookText"/>
        <w:rPr/>
      </w:pPr>
      <w:r>
        <w:rPr>
          <w:rFonts w:ascii="IRNazanin" w:hAnsi="IRNazanin" w:eastAsia="IRNazanin"/>
          <w:color w:val="111111"/>
          <w:sz w:val="28"/>
          <w:sz w:val="28"/>
          <w:szCs w:val="28"/>
          <w:rtl w:val="true"/>
          <w:lang w:bidi="fa-IR"/>
        </w:rPr>
        <w:t xml:space="preserve">أمّا ما دلّ علی إعادة الإقامة لو تکلّم فیمکن حمله علی غیر ما استثنی ، کما یمکن حمله علی 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فعله العلاّمة فی المختلف من عدم ذکر ما تضمن تحریم الکلام ، بل حمل الأخبار الثلاثة الأول علی المبالغة فی ترک الکلام </w:t>
      </w:r>
      <w:r>
        <w:rPr>
          <w:rStyle w:val="FootnoteAnchor"/>
          <w:rtl w:val="true"/>
        </w:rPr>
        <w:footnoteReference w:id="159"/>
      </w:r>
      <w:r>
        <w:rPr>
          <w:rFonts w:ascii="IRNazanin" w:hAnsi="IRNazanin" w:eastAsia="IRNazanin"/>
          <w:color w:val="111111"/>
          <w:sz w:val="28"/>
          <w:sz w:val="28"/>
          <w:szCs w:val="28"/>
          <w:rtl w:val="true"/>
          <w:lang w:bidi="fa-IR"/>
        </w:rPr>
        <w:t xml:space="preserve">کما قدّمنا نقل بعض کلامه </w:t>
      </w:r>
      <w:r>
        <w:rPr>
          <w:rStyle w:val="FootnoteAnchor"/>
          <w:rtl w:val="true"/>
        </w:rPr>
        <w:footnoteReference w:id="160"/>
      </w:r>
      <w:r>
        <w:rPr>
          <w:rFonts w:ascii="IRNazanin" w:hAnsi="IRNazanin" w:eastAsia="IRNazanin"/>
          <w:color w:val="111111"/>
          <w:sz w:val="28"/>
          <w:sz w:val="28"/>
          <w:szCs w:val="28"/>
          <w:rtl w:val="true"/>
          <w:lang w:bidi="fa-IR"/>
        </w:rPr>
        <w:t>، فیه نظر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ذکره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دلالة الأخبار المقتضیة للتحریم علی مذهب الشیخین والمرتضی وابن الجنید القائلین بتحریم الکلام بعد الإقامة إلاّ ما یتعلّق بالصلاة ، وباقی الأصحاب حملوا التحریم علی شدّة الکراهة جمعا بینها وبین خبر حمّاد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تأمّل ، لأنّ السکوت عن إمکان الجمع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المنقول عن المفید والمرتضی فی المختلف عدم الجواز فی الإقامة </w:t>
      </w:r>
      <w:r>
        <w:rPr>
          <w:rStyle w:val="FootnoteAnchor"/>
          <w:rtl w:val="true"/>
        </w:rPr>
        <w:footnoteReference w:id="162"/>
      </w:r>
      <w:r>
        <w:rPr>
          <w:rFonts w:ascii="IRNazanin" w:hAnsi="IRNazanin" w:eastAsia="IRNazanin"/>
          <w:color w:val="111111"/>
          <w:sz w:val="28"/>
          <w:sz w:val="28"/>
          <w:szCs w:val="28"/>
          <w:rtl w:val="true"/>
          <w:lang w:bidi="fa-IR"/>
        </w:rPr>
        <w:t>، وروایة ابن أبی عمیر دالة علی الجواز فی الإقامة وعدمه بعدها ، واحتمال إرادة الدلالة فی الجملة محلّ کلام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فی بعض الأخبار الدالة علی مذهب المذکورین ما تضمن إعادة الإقامة ، ودلالته علی التحریم غیر ظاهرة ، والاکتفاء بما ذکره من دلالة خبر عمرو بن أبی نصر علی قول المفید والمرتضی من المنع فی الأثناء </w:t>
      </w:r>
      <w:r>
        <w:rPr>
          <w:rStyle w:val="FootnoteAnchor"/>
          <w:rtl w:val="true"/>
        </w:rPr>
        <w:footnoteReference w:id="163"/>
      </w:r>
      <w:r>
        <w:rPr>
          <w:rFonts w:ascii="IRNazanin" w:hAnsi="IRNazanin" w:eastAsia="IRNazanin"/>
          <w:color w:val="111111"/>
          <w:sz w:val="28"/>
          <w:sz w:val="28"/>
          <w:szCs w:val="28"/>
          <w:rtl w:val="true"/>
          <w:lang w:bidi="fa-IR"/>
        </w:rPr>
        <w:t>لا یصلح عذرا کما لا یخفی ، وبالجملة فالاقتصار علی الإجمال غیر لائق</w:t>
      </w:r>
      <w:r>
        <w:rPr>
          <w:rFonts w:eastAsia="IRNazanin" w:cs="IRNazanin"/>
          <w:color w:val="111111"/>
          <w:sz w:val="28"/>
          <w:szCs w:val="28"/>
          <w:rtl w:val="true"/>
          <w:lang w:bidi="fa-IR"/>
        </w:rPr>
        <w:t xml:space="preserve">. </w:t>
      </w:r>
      <w:bookmarkStart w:id="121" w:name="pg15037_163647"/>
    </w:p>
    <w:p>
      <w:pPr>
        <w:pStyle w:val="BookText"/>
        <w:rPr/>
      </w:pPr>
      <w:bookmarkEnd w:id="121"/>
      <w:r>
        <w:rPr>
          <w:rFonts w:ascii="IRNazanin" w:hAnsi="IRNazanin" w:eastAsia="IRNazanin"/>
          <w:color w:val="111111"/>
          <w:sz w:val="28"/>
          <w:sz w:val="28"/>
          <w:szCs w:val="28"/>
          <w:rtl w:val="true"/>
          <w:lang w:bidi="fa-IR"/>
        </w:rPr>
        <w:t xml:space="preserve">إذا عرفت هذا فاعلم أنّ ما تضمنه خبر سماعة الأخیر من استثناء کون القوم لیس یعرف لهم إمام ، ظاهر فی جواز الکلام بما یتوقف علی </w:t>
      </w:r>
      <w:r>
        <w:rPr>
          <w:rStyle w:val="FootnoteAnchor"/>
          <w:rtl w:val="true"/>
        </w:rPr>
        <w:footnoteReference w:id="164"/>
      </w:r>
      <w:r>
        <w:rPr>
          <w:rFonts w:ascii="IRNazanin" w:hAnsi="IRNazanin" w:eastAsia="IRNazanin"/>
          <w:color w:val="111111"/>
          <w:sz w:val="28"/>
          <w:sz w:val="28"/>
          <w:szCs w:val="28"/>
          <w:rtl w:val="true"/>
          <w:lang w:bidi="fa-IR"/>
        </w:rPr>
        <w:t>تعیین الإمام ، أمّا لو أمکن بالإشارة ففی جواز الکلام حینئذ احتمال ، لکن الروایة یتوقّف العمل بها علی قبول الموثّق ، وخبر ابن أبی عمیر یدل علی جواز القول ، ولا دلالة علی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 جواز الأذان والإقامة مع عدم تشخّص الإمام ، ویحتمل کون الأذان بقصد مطلق الجماعة ، کما أنّ ظاهره تحریم الکلام علی من فی المسجد وإن لم یکونوا مصلّین ، أمّا الدلالة علی تسویة الصف کما قاله الشیخ فغیر واضحة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الأذان جالسا أو راکبا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حمّاد ، عن ربعی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یؤذّن </w:t>
      </w:r>
      <w:r>
        <w:rPr>
          <w:rStyle w:val="FootnoteAnchor"/>
          <w:rtl w:val="true"/>
        </w:rPr>
        <w:footnoteReference w:id="165"/>
      </w:r>
      <w:r>
        <w:rPr>
          <w:rFonts w:ascii="IRNazanin" w:hAnsi="IRNazanin" w:eastAsia="IRNazanin"/>
          <w:color w:val="111111"/>
          <w:sz w:val="28"/>
          <w:sz w:val="28"/>
          <w:szCs w:val="28"/>
          <w:rtl w:val="true"/>
          <w:lang w:bidi="fa-IR"/>
        </w:rPr>
        <w:t xml:space="preserve">الرجل وهو قاعد؟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ولا یقیم إلاّ وهو 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محمّد ، عن عبد صالح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یؤذّن الرجل وهو جالس ولا یقیم إلاّ وهو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تؤذّن وأنت راکب ولا تقیم إلاّ وأنت علی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أحمد بن محمّد بن عیسی ، عن محمّد بن سنان ،</w:t>
      </w:r>
    </w:p>
    <w:p>
      <w:pPr>
        <w:pStyle w:val="Heading3"/>
        <w:numPr>
          <w:ilvl w:val="2"/>
          <w:numId w:val="1"/>
        </w:numPr>
        <w:rPr/>
      </w:pPr>
      <w:bookmarkStart w:id="122" w:name="__RefHeading___Toc347632_2142443653"/>
      <w:bookmarkStart w:id="123" w:name="_Toc47"/>
      <w:bookmarkEnd w:id="122"/>
      <w:r>
        <w:rPr>
          <w:rtl w:val="true"/>
        </w:rPr>
        <w:t>الأذان جالسا أو راکبا</w:t>
      </w:r>
      <w:bookmarkEnd w:id="12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 w:name="__RefHeading___Toc347634_2142443653"/>
      <w:bookmarkStart w:id="125" w:name="_Toc48"/>
      <w:bookmarkEnd w:id="124"/>
      <w:r>
        <w:rPr>
          <w:rtl w:val="true"/>
        </w:rPr>
        <w:t>اشارة</w:t>
      </w:r>
      <w:bookmarkStart w:id="126" w:name="pg15037_163649"/>
      <w:bookmarkEnd w:id="125"/>
    </w:p>
    <w:p>
      <w:pPr>
        <w:pStyle w:val="BookText"/>
        <w:rPr/>
      </w:pPr>
      <w:bookmarkEnd w:id="126"/>
      <w:r>
        <w:rPr>
          <w:rFonts w:ascii="IRNazanin" w:hAnsi="IRNazanin" w:eastAsia="IRNazanin"/>
          <w:color w:val="111111"/>
          <w:sz w:val="28"/>
          <w:sz w:val="28"/>
          <w:szCs w:val="28"/>
          <w:rtl w:val="true"/>
          <w:lang w:bidi="fa-IR"/>
        </w:rPr>
        <w:t xml:space="preserve">عن أبی خالد ، عن حمدان </w:t>
      </w:r>
      <w:r>
        <w:rPr>
          <w:rStyle w:val="FootnoteAnchor"/>
          <w:rtl w:val="true"/>
        </w:rPr>
        <w:footnoteReference w:id="16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الأذان جالسا؟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یؤذّن جالسا إلاّ راکب أو مریض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ضرب من الاستحباب دون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لأنّ أحمد بن محمد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نصر علی ما یعرف من الممارسة ، والعبد الصالح هو الإمام علیه السلام ، إمّا موسی علیه السلام أو الرضا علیه السلام ، والإطلاق علی الرضا علیه السلام قد مضی جوازه عن قریب </w:t>
      </w:r>
      <w:r>
        <w:rPr>
          <w:rStyle w:val="FootnoteAnchor"/>
          <w:rtl w:val="true"/>
        </w:rPr>
        <w:footnoteReference w:id="167"/>
      </w:r>
      <w:r>
        <w:rPr>
          <w:rFonts w:ascii="IRNazanin" w:hAnsi="IRNazanin" w:eastAsia="IRNazanin"/>
          <w:color w:val="111111"/>
          <w:sz w:val="28"/>
          <w:sz w:val="28"/>
          <w:szCs w:val="28"/>
          <w:rtl w:val="true"/>
          <w:lang w:bidi="fa-IR"/>
        </w:rPr>
        <w:t>، ولا یبعد الفرق بین التعریف والتنکیر ، فالأوّل لموسی علیه السلام ، والثانی للرضا علیه السلام ، والاتحاد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سنان ، ولا یبعد أن تکون روایة أحمد بن محمّد بن عیسی عنه فی حال کونه ثقة ؛ لما یظهر من أحوال أحمد بن محمّد بن عیسی ، وقد قدّمنا </w:t>
      </w:r>
      <w:r>
        <w:rPr>
          <w:rStyle w:val="FootnoteAnchor"/>
          <w:rtl w:val="true"/>
        </w:rPr>
        <w:footnoteReference w:id="168"/>
      </w:r>
      <w:r>
        <w:rPr>
          <w:rFonts w:ascii="IRNazanin" w:hAnsi="IRNazanin" w:eastAsia="IRNazanin"/>
          <w:color w:val="111111"/>
          <w:sz w:val="28"/>
          <w:sz w:val="28"/>
          <w:szCs w:val="28"/>
          <w:rtl w:val="true"/>
          <w:lang w:bidi="fa-IR"/>
        </w:rPr>
        <w:t>احتمال الجمع بین کون محمّد بن سنان ثقة ومطعونا فیه باختلاف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خالد هذا هو القمّاط ؛ لروایة محمّد بن سنان عنه کما فی الفهرست </w:t>
      </w:r>
      <w:r>
        <w:rPr>
          <w:rStyle w:val="FootnoteAnchor"/>
          <w:rtl w:val="true"/>
        </w:rPr>
        <w:footnoteReference w:id="169"/>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347636_2142443653"/>
      <w:bookmarkStart w:id="128" w:name="_Toc49"/>
      <w:bookmarkEnd w:id="127"/>
      <w:r>
        <w:rPr>
          <w:rtl w:val="true"/>
        </w:rPr>
        <w:t xml:space="preserve">کلمة حول إطلاق </w:t>
      </w:r>
      <w:r>
        <w:rPr>
          <w:rtl w:val="true"/>
        </w:rPr>
        <w:t xml:space="preserve">« </w:t>
      </w:r>
      <w:r>
        <w:rPr>
          <w:rtl w:val="true"/>
        </w:rPr>
        <w:t xml:space="preserve">العبد الصالح </w:t>
      </w:r>
      <w:r>
        <w:rPr>
          <w:rtl w:val="true"/>
        </w:rPr>
        <w:t>»</w:t>
      </w:r>
      <w:bookmarkEnd w:id="128"/>
    </w:p>
    <w:p>
      <w:pPr>
        <w:pStyle w:val="Heading4"/>
        <w:numPr>
          <w:ilvl w:val="3"/>
          <w:numId w:val="1"/>
        </w:numPr>
        <w:rPr/>
      </w:pPr>
      <w:bookmarkStart w:id="129" w:name="__RefHeading___Toc347638_2142443653"/>
      <w:bookmarkStart w:id="130" w:name="_Toc50"/>
      <w:bookmarkEnd w:id="129"/>
      <w:r>
        <w:rPr>
          <w:rtl w:val="true"/>
        </w:rPr>
        <w:t>بحث حول محمد بن سنان</w:t>
      </w:r>
      <w:bookmarkEnd w:id="13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347640_2142443653"/>
      <w:bookmarkStart w:id="132" w:name="_Toc51"/>
      <w:bookmarkEnd w:id="131"/>
      <w:r>
        <w:rPr>
          <w:rtl w:val="true"/>
        </w:rPr>
        <w:t>أبو خالد القماط ثقة</w:t>
      </w:r>
      <w:bookmarkStart w:id="133" w:name="pg15037_163651"/>
      <w:bookmarkEnd w:id="132"/>
    </w:p>
    <w:p>
      <w:pPr>
        <w:pStyle w:val="BookText"/>
        <w:rPr/>
      </w:pPr>
      <w:bookmarkEnd w:id="133"/>
      <w:r>
        <w:rPr>
          <w:rFonts w:ascii="IRNazanin" w:hAnsi="IRNazanin" w:eastAsia="IRNazanin"/>
          <w:color w:val="111111"/>
          <w:sz w:val="28"/>
          <w:sz w:val="28"/>
          <w:szCs w:val="28"/>
          <w:rtl w:val="true"/>
          <w:lang w:bidi="fa-IR"/>
        </w:rPr>
        <w:t>أمّا حمدان فأمره ملتبس بعد روایته عن أبی جعفر علیه السلام ، وفی الرجال یقال لجماعة إلاّ أنّهم لیسوا فی هذه المرتبة ، ومع هذا فالحال غیر مفیدة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تعیّن القیام فی الإقامة ، ونقل العلاّمة رحمه الله عن المفید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الإقامة إلاّ وهو قائم متوجه إلی القبلة مع الاختیار </w:t>
      </w:r>
      <w:r>
        <w:rPr>
          <w:rStyle w:val="FootnoteAnchor"/>
          <w:rtl w:val="true"/>
        </w:rPr>
        <w:footnoteReference w:id="170"/>
      </w:r>
      <w:r>
        <w:rPr>
          <w:rFonts w:ascii="IRNazanin" w:hAnsi="IRNazanin" w:eastAsia="IRNazanin"/>
          <w:color w:val="111111"/>
          <w:sz w:val="28"/>
          <w:sz w:val="28"/>
          <w:szCs w:val="28"/>
          <w:rtl w:val="true"/>
          <w:lang w:bidi="fa-IR"/>
        </w:rPr>
        <w:t xml:space="preserve">، واحتج علی ما نقل بروایة لأبی بصیر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تقم وأنت راکب أو جالس إلاّ من علّة أو تکون فی أرض ملصّة </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قاصرة السند ، والروایة المبحوث عنها أوضح دلالة ، واستثناء العذر ربما یدل علیه الاتفاق ، مضافا إلی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استدلال العلاّمة علی استحباب القیام فی الإقامة بأنّ استحباب ذی الکیفیة مع وجوب الکیفیة ممّا لا یجتمعان ، والأوّل ثابت لما تقدّم فیبقی الثانی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استحباب الإقامة لا ینافی عدم جواز فعلها من جلوس ، علی أن یکون القیام شرطا فیها کالوضوء للنافلة ، غایة الأمر أنّ عدم الجواز إذا أرید به التحریم یکون المراد تحریم فعلها جالسا ، لأنّه خلاف المشروع ، فإذا قصد بالفعل الشرعی خلاف ما أمر به یکون محرّما</w:t>
      </w:r>
      <w:r>
        <w:rPr>
          <w:rFonts w:eastAsia="IRNazanin" w:cs="IRNazanin"/>
          <w:color w:val="111111"/>
          <w:sz w:val="28"/>
          <w:szCs w:val="28"/>
          <w:rtl w:val="true"/>
          <w:lang w:bidi="fa-IR"/>
        </w:rPr>
        <w:t>.</w:t>
      </w:r>
    </w:p>
    <w:p>
      <w:pPr>
        <w:pStyle w:val="Heading4"/>
        <w:numPr>
          <w:ilvl w:val="3"/>
          <w:numId w:val="1"/>
        </w:numPr>
        <w:rPr/>
      </w:pPr>
      <w:bookmarkStart w:id="134" w:name="__RefHeading___Toc347642_2142443653"/>
      <w:bookmarkStart w:id="135" w:name="_Toc52"/>
      <w:bookmarkEnd w:id="134"/>
      <w:r>
        <w:rPr>
          <w:rtl w:val="true"/>
        </w:rPr>
        <w:t>حمدان أمره ملتبس</w:t>
      </w:r>
      <w:bookmarkEnd w:id="13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 w:name="__RefHeading___Toc347644_2142443653"/>
      <w:bookmarkStart w:id="137" w:name="_Toc53"/>
      <w:bookmarkEnd w:id="136"/>
      <w:r>
        <w:rPr>
          <w:rtl w:val="true"/>
        </w:rPr>
        <w:t>بیان ما دلّ علی عدم جواز الإقامة قاعداً أو راکباً</w:t>
      </w:r>
      <w:bookmarkStart w:id="138" w:name="pg15037_163653"/>
      <w:bookmarkEnd w:id="137"/>
    </w:p>
    <w:p>
      <w:pPr>
        <w:pStyle w:val="BookText"/>
        <w:rPr/>
      </w:pPr>
      <w:bookmarkEnd w:id="138"/>
      <w:r>
        <w:rPr>
          <w:rFonts w:ascii="IRNazanin" w:hAnsi="IRNazanin" w:eastAsia="IRNazanin"/>
          <w:color w:val="111111"/>
          <w:sz w:val="28"/>
          <w:sz w:val="28"/>
          <w:szCs w:val="28"/>
          <w:rtl w:val="true"/>
          <w:lang w:bidi="fa-IR"/>
        </w:rPr>
        <w:t xml:space="preserve">ومن هنا یعلم أنّ ما ذکره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دلالة الخبر المبحوث عنه علی تأکّد الاستحباب وأنّ ابن الجنید أوجبه </w:t>
      </w:r>
      <w:r>
        <w:rPr>
          <w:rStyle w:val="FootnoteAnchor"/>
          <w:rtl w:val="true"/>
        </w:rPr>
        <w:footnoteReference w:id="173"/>
      </w:r>
      <w:r>
        <w:rPr>
          <w:rFonts w:ascii="IRNazanin" w:hAnsi="IRNazanin" w:eastAsia="IRNazanin"/>
          <w:color w:val="111111"/>
          <w:sz w:val="28"/>
          <w:sz w:val="28"/>
          <w:szCs w:val="28"/>
          <w:rtl w:val="true"/>
          <w:lang w:bidi="fa-IR"/>
        </w:rPr>
        <w:t xml:space="preserve">، محل تأمّل ؛ لأنّ تأکّد الاستحباب موقوف علی المعارض ، فعدم القول فیه لا وجه له ، والاعتماد علی قول العلاّمة فی احتجاجه السابق </w:t>
      </w:r>
      <w:r>
        <w:rPr>
          <w:rStyle w:val="FootnoteAnchor"/>
          <w:rtl w:val="true"/>
        </w:rPr>
        <w:footnoteReference w:id="174"/>
      </w:r>
      <w:r>
        <w:rPr>
          <w:rFonts w:ascii="IRNazanin" w:hAnsi="IRNazanin" w:eastAsia="IRNazanin"/>
          <w:color w:val="111111"/>
          <w:sz w:val="28"/>
          <w:sz w:val="28"/>
          <w:szCs w:val="28"/>
          <w:rtl w:val="true"/>
          <w:lang w:bidi="fa-IR"/>
        </w:rPr>
        <w:t xml:space="preserve">کذلک ، کما أنّ الالتفات إلی الشهرة بل الإجماع حیث لم یخالف إلاّ ابن الجنید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المفید مصرّح به کما نقله فی المختلف </w:t>
      </w:r>
      <w:r>
        <w:rPr>
          <w:rStyle w:val="FootnoteAnchor"/>
          <w:rtl w:val="true"/>
        </w:rPr>
        <w:footnoteReference w:id="175"/>
      </w:r>
      <w:r>
        <w:rPr>
          <w:rFonts w:ascii="IRNazanin" w:hAnsi="IRNazanin" w:eastAsia="IRNazanin"/>
          <w:color w:val="111111"/>
          <w:sz w:val="28"/>
          <w:sz w:val="28"/>
          <w:szCs w:val="28"/>
          <w:rtl w:val="true"/>
          <w:lang w:bidi="fa-IR"/>
        </w:rPr>
        <w:t>، والشهرة بین المتأخّرین لا تصلح حجة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الشیخ فی توجیه الخبر الأخیر من الحمل علی الاستحباب فغیر خفیّ ما فیه ، إلاّ أن یقال باحتمال وجوب الأذان واستحباب القیام فیه ، ولو حمل الاستحباب فی کلامه علی الأکملیّة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نسی الأذان والإقامة حتی صلّی أو دخل فیها</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 عن أبیه ، عن محمّد بن علیّ بن محبوب ، عن سلمة بن الخطاب ، عن أبی جمیلة ، عن ابن بکیر ، عن زرارة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ینسی الأذان والإقامة حتی یکبر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علی صلاته ولا یعید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الحسین ، عن جعفر بن بشیر ، عن نعمان الرازی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وسأله أبو عبیدة الحذّاء ، عن</w:t>
      </w:r>
    </w:p>
    <w:p>
      <w:pPr>
        <w:pStyle w:val="Heading3"/>
        <w:numPr>
          <w:ilvl w:val="2"/>
          <w:numId w:val="1"/>
        </w:numPr>
        <w:rPr/>
      </w:pPr>
      <w:bookmarkStart w:id="139" w:name="__RefHeading___Toc347646_2142443653"/>
      <w:bookmarkStart w:id="140" w:name="_Toc54"/>
      <w:bookmarkEnd w:id="139"/>
      <w:r>
        <w:rPr>
          <w:rtl w:val="true"/>
        </w:rPr>
        <w:t>من نسی الأذان والإقامة حتی صلّی أو دخل فیها</w:t>
      </w:r>
      <w:bookmarkEnd w:id="14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 w:name="__RefHeading___Toc347648_2142443653"/>
      <w:bookmarkStart w:id="142" w:name="_Toc55"/>
      <w:bookmarkEnd w:id="141"/>
      <w:r>
        <w:rPr>
          <w:rtl w:val="true"/>
        </w:rPr>
        <w:t>اشارة</w:t>
      </w:r>
      <w:bookmarkStart w:id="143" w:name="pg15037_163655"/>
      <w:bookmarkEnd w:id="142"/>
    </w:p>
    <w:p>
      <w:pPr>
        <w:pStyle w:val="BookText"/>
        <w:rPr/>
      </w:pPr>
      <w:bookmarkEnd w:id="143"/>
      <w:r>
        <w:rPr>
          <w:rFonts w:ascii="IRNazanin" w:hAnsi="IRNazanin" w:eastAsia="IRNazanin"/>
          <w:color w:val="111111"/>
          <w:sz w:val="28"/>
          <w:sz w:val="28"/>
          <w:szCs w:val="28"/>
          <w:rtl w:val="true"/>
          <w:lang w:bidi="fa-IR"/>
        </w:rPr>
        <w:t xml:space="preserve">حدیث رجل نسی أن یؤذّن ویقیم حتی کبّر ودخل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دخل المسجد ومن نیّته أن یؤذّن ویقیم فلیمض فی صلاته ولا ینصرف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محمّد بن الفضیل ، عن أبی الصباح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نسی الأذان حتی صلّی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 بن محبوب ، عن علیّ بن السندی ، عن حماد بن عیسی ، عن شعیب بن یعقوب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نسی أن یقیم الصلاة حتی انصرف أیعید صلاته؟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یعیدها ولا یعود لمثلها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سلمة بن الخطاب ، وفی النجاشی أنّه کان ضعیفا فی حدیثه </w:t>
      </w:r>
      <w:r>
        <w:rPr>
          <w:rStyle w:val="FootnoteAnchor"/>
          <w:rtl w:val="true"/>
        </w:rPr>
        <w:footnoteReference w:id="176"/>
      </w:r>
      <w:r>
        <w:rPr>
          <w:rFonts w:ascii="IRNazanin" w:hAnsi="IRNazanin" w:eastAsia="IRNazanin"/>
          <w:color w:val="111111"/>
          <w:sz w:val="28"/>
          <w:sz w:val="28"/>
          <w:szCs w:val="28"/>
          <w:rtl w:val="true"/>
          <w:lang w:bidi="fa-IR"/>
        </w:rPr>
        <w:t xml:space="preserve">، وأبو جمیلة تکرر القول فیه من تضعیف العلاّمة </w:t>
      </w:r>
      <w:r>
        <w:rPr>
          <w:rStyle w:val="FootnoteAnchor"/>
          <w:rtl w:val="true"/>
        </w:rPr>
        <w:footnoteReference w:id="177"/>
      </w:r>
      <w:r>
        <w:rPr>
          <w:rFonts w:ascii="IRNazanin" w:hAnsi="IRNazanin" w:eastAsia="IRNazanin"/>
          <w:color w:val="111111"/>
          <w:sz w:val="28"/>
          <w:sz w:val="28"/>
          <w:szCs w:val="28"/>
          <w:rtl w:val="true"/>
          <w:lang w:bidi="fa-IR"/>
        </w:rPr>
        <w:t>له ، وعدم التعرض من غیره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بکیر مضی الکلام فیه </w:t>
      </w:r>
      <w:r>
        <w:rPr>
          <w:rStyle w:val="FootnoteAnchor"/>
          <w:rtl w:val="true"/>
        </w:rPr>
        <w:footnoteReference w:id="178"/>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نعمان الرازی ، وهو مذکور مهملا فی رجال الصادق علیه السلام من کتاب الشیخ </w:t>
      </w:r>
      <w:r>
        <w:rPr>
          <w:rStyle w:val="FootnoteAnchor"/>
          <w:rtl w:val="true"/>
        </w:rPr>
        <w:footnoteReference w:id="179"/>
      </w:r>
      <w:r>
        <w:rPr>
          <w:rFonts w:ascii="IRNazanin" w:hAnsi="IRNazanin" w:eastAsia="IRNazanin"/>
          <w:color w:val="111111"/>
          <w:sz w:val="28"/>
          <w:sz w:val="28"/>
          <w:szCs w:val="28"/>
          <w:rtl w:val="true"/>
          <w:lang w:bidi="fa-IR"/>
        </w:rPr>
        <w:t xml:space="preserve">، أمّا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فیحتمل رجوعه إلی محمّد بن علیّ بن محبوب ، لأنّ الراوی عن محمّد بن الحسین فی الرجال</w:t>
      </w:r>
    </w:p>
    <w:p>
      <w:pPr>
        <w:pStyle w:val="Heading4"/>
        <w:numPr>
          <w:ilvl w:val="3"/>
          <w:numId w:val="1"/>
        </w:numPr>
        <w:rPr/>
      </w:pPr>
      <w:bookmarkStart w:id="144" w:name="__RefHeading___Toc347650_2142443653"/>
      <w:bookmarkStart w:id="145" w:name="_Toc56"/>
      <w:bookmarkEnd w:id="144"/>
      <w:r>
        <w:rPr>
          <w:rtl w:val="true"/>
        </w:rPr>
        <w:t>سلمة بن الخطاب ضعیف فی حدیثه</w:t>
      </w:r>
      <w:bookmarkEnd w:id="145"/>
    </w:p>
    <w:p>
      <w:pPr>
        <w:pStyle w:val="Heading4"/>
        <w:numPr>
          <w:ilvl w:val="3"/>
          <w:numId w:val="1"/>
        </w:numPr>
        <w:rPr/>
      </w:pPr>
      <w:bookmarkStart w:id="146" w:name="__RefHeading___Toc347652_2142443653"/>
      <w:bookmarkStart w:id="147" w:name="_Toc57"/>
      <w:bookmarkEnd w:id="146"/>
      <w:r>
        <w:rPr>
          <w:rtl w:val="true"/>
        </w:rPr>
        <w:t>إشارة إلی حال أبی جمیلة</w:t>
      </w:r>
      <w:bookmarkEnd w:id="147"/>
    </w:p>
    <w:p>
      <w:pPr>
        <w:pStyle w:val="Heading4"/>
        <w:numPr>
          <w:ilvl w:val="3"/>
          <w:numId w:val="1"/>
        </w:numPr>
        <w:rPr/>
      </w:pPr>
      <w:bookmarkStart w:id="148" w:name="__RefHeading___Toc347654_2142443653"/>
      <w:bookmarkStart w:id="149" w:name="_Toc58"/>
      <w:bookmarkEnd w:id="148"/>
      <w:r>
        <w:rPr>
          <w:rtl w:val="true"/>
        </w:rPr>
        <w:t>نعمان الرازی مهمل</w:t>
      </w:r>
      <w:bookmarkEnd w:id="14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 w:name="__RefHeading___Toc347656_2142443653"/>
      <w:bookmarkStart w:id="151" w:name="_Toc59"/>
      <w:bookmarkEnd w:id="150"/>
      <w:r>
        <w:rPr>
          <w:rtl w:val="true"/>
        </w:rPr>
        <w:t>بحث حول الراوی عن محمّد بن الحسین</w:t>
      </w:r>
      <w:bookmarkStart w:id="152" w:name="pg15037_163657"/>
      <w:bookmarkEnd w:id="151"/>
    </w:p>
    <w:p>
      <w:pPr>
        <w:pStyle w:val="BookText"/>
        <w:rPr/>
      </w:pPr>
      <w:bookmarkEnd w:id="152"/>
      <w:r>
        <w:rPr>
          <w:rFonts w:ascii="IRNazanin" w:hAnsi="IRNazanin" w:eastAsia="IRNazanin"/>
          <w:color w:val="111111"/>
          <w:sz w:val="28"/>
          <w:sz w:val="28"/>
          <w:szCs w:val="28"/>
          <w:rtl w:val="true"/>
          <w:lang w:bidi="fa-IR"/>
        </w:rPr>
        <w:t xml:space="preserve">الصفار </w:t>
      </w:r>
      <w:r>
        <w:rPr>
          <w:rStyle w:val="FootnoteAnchor"/>
          <w:rtl w:val="true"/>
        </w:rPr>
        <w:footnoteReference w:id="180"/>
      </w:r>
      <w:r>
        <w:rPr>
          <w:rFonts w:ascii="IRNazanin" w:hAnsi="IRNazanin" w:eastAsia="IRNazanin"/>
          <w:color w:val="111111"/>
          <w:sz w:val="28"/>
          <w:sz w:val="28"/>
          <w:szCs w:val="28"/>
          <w:rtl w:val="true"/>
          <w:lang w:bidi="fa-IR"/>
        </w:rPr>
        <w:t xml:space="preserve">، والمرتبة قریبة ، ویحتمل أن یرجع إلی محمّد بن یحیی ، لکن الأوّل </w:t>
      </w:r>
      <w:r>
        <w:rPr>
          <w:rStyle w:val="FootnoteAnchor"/>
          <w:rtl w:val="true"/>
        </w:rPr>
        <w:footnoteReference w:id="181"/>
      </w:r>
      <w:r>
        <w:rPr>
          <w:rFonts w:ascii="IRNazanin" w:hAnsi="IRNazanin" w:eastAsia="IRNazanin"/>
          <w:color w:val="111111"/>
          <w:sz w:val="28"/>
          <w:sz w:val="28"/>
          <w:szCs w:val="28"/>
          <w:rtl w:val="true"/>
          <w:lang w:bidi="fa-IR"/>
        </w:rPr>
        <w:t xml:space="preserve">له نوع ظهور بل هو متعیّن ، من حیث إنّ الشیخ فی التهذیب روی الاولی عن محمّد بن علی بن محبوب ابتداء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محمّد بن الحسین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الفضیل ، وهو غیر معلوم بسبب الاشتراک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السندی وقد کرّرنا القول فیه </w:t>
      </w:r>
      <w:r>
        <w:rPr>
          <w:rStyle w:val="FootnoteAnchor"/>
          <w:rtl w:val="true"/>
        </w:rPr>
        <w:footnoteReference w:id="184"/>
      </w:r>
      <w:r>
        <w:rPr>
          <w:rFonts w:ascii="IRNazanin" w:hAnsi="IRNazanin" w:eastAsia="IRNazanin"/>
          <w:color w:val="111111"/>
          <w:sz w:val="28"/>
          <w:sz w:val="28"/>
          <w:szCs w:val="28"/>
          <w:rtl w:val="true"/>
          <w:lang w:bidi="fa-IR"/>
        </w:rPr>
        <w:t>بما یرجع إلی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بصیر تقدّم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أنّ من نسی الأذان والإقامة حتی یکبر یمضی علی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غیر أنّه یحتمل أن یراد بالنسیان فیه عدم تذکّر الأذان والإقامة لا یقین الترک ، وحینئذ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الظاهر الفعل من حیث النیّة ، فیقدّم الظاهر علی الأصل ، ویحتمل أن یراد أنّ النیّة کافیة فی الثواب وإن لم یفعل ، فیراد بالنسیان عدم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ناسی الأذان لا یعید إذا صلّی ، والظاهر منه الذکر بعد تمام الصلاة</w:t>
      </w:r>
      <w:r>
        <w:rPr>
          <w:rFonts w:eastAsia="IRNazanin" w:cs="IRNazanin"/>
          <w:color w:val="111111"/>
          <w:sz w:val="28"/>
          <w:szCs w:val="28"/>
          <w:rtl w:val="true"/>
          <w:lang w:bidi="fa-IR"/>
        </w:rPr>
        <w:t>.</w:t>
      </w:r>
    </w:p>
    <w:p>
      <w:pPr>
        <w:pStyle w:val="Heading4"/>
        <w:numPr>
          <w:ilvl w:val="3"/>
          <w:numId w:val="1"/>
        </w:numPr>
        <w:rPr/>
      </w:pPr>
      <w:bookmarkStart w:id="153" w:name="__RefHeading___Toc347658_2142443653"/>
      <w:bookmarkStart w:id="154" w:name="_Toc60"/>
      <w:bookmarkEnd w:id="153"/>
      <w:r>
        <w:rPr>
          <w:rtl w:val="true"/>
        </w:rPr>
        <w:t>محمّد بن الفضیل مشترک</w:t>
      </w:r>
      <w:bookmarkEnd w:id="154"/>
    </w:p>
    <w:p>
      <w:pPr>
        <w:pStyle w:val="Heading4"/>
        <w:numPr>
          <w:ilvl w:val="3"/>
          <w:numId w:val="1"/>
        </w:numPr>
        <w:rPr/>
      </w:pPr>
      <w:bookmarkStart w:id="155" w:name="__RefHeading___Toc347660_2142443653"/>
      <w:bookmarkStart w:id="156" w:name="_Toc61"/>
      <w:bookmarkEnd w:id="155"/>
      <w:r>
        <w:rPr>
          <w:rtl w:val="true"/>
        </w:rPr>
        <w:t>إشارة إلی جهالة علی بن السندی</w:t>
      </w:r>
      <w:bookmarkEnd w:id="15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7" w:name="__RefHeading___Toc347662_2142443653"/>
      <w:bookmarkStart w:id="158" w:name="_Toc62"/>
      <w:bookmarkEnd w:id="157"/>
      <w:r>
        <w:rPr>
          <w:rtl w:val="true"/>
        </w:rPr>
        <w:t>بیان ما دلّ علی أنّ من نسی الأذان والإقامة ثم ذکر فی أثناء الصلاة أو بعدها لا یعیدها</w:t>
      </w:r>
      <w:bookmarkStart w:id="159" w:name="pg15037_163659"/>
      <w:bookmarkEnd w:id="158"/>
    </w:p>
    <w:p>
      <w:pPr>
        <w:pStyle w:val="BookText"/>
        <w:rPr/>
      </w:pPr>
      <w:bookmarkEnd w:id="159"/>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ناسی الإقامة ثم یذکر ذلک بعد الانصراف ، لا یعیدها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یعود لمثلها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یدل علی ما ذکر فی أبی بصیر من التخلیط ، فإنّ عدم العود فی النسیان لا وجه له إلاّ أن یحمل علی إرادة التوجه إلی الفعل بحیث ینتفی النسیان غالبا ، ویحتمل أن لا یعود لعدم الإعادة ، بل ینبغی الإعادة علی تقدیر النسیان فی غیرها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الحسن بن علی بن یقطین ، عن أخیه الحسین ، عن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ینسی أن یقیم الصلاة وقد افتتح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فرغ من صلاته فقد تمّت صلاته ، وإن لم یکن قد فرغ من صلاته فلیعد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محمول علی ضرب من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محمّد بن یعقوب ، عن محمّد بن إسماعیل ، عن الفضل بن شاذان ، عن صفوان ، عن العلاء بن رزین ، عن محمّد بن مسلم ، عن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ینسی الأذان والإقامة حتی یدخل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ذکر قبل أن یقرأ فلیصلّ علی النبی صلی الله علیه و آله ولیقم </w:t>
      </w:r>
      <w:r>
        <w:rPr>
          <w:rStyle w:val="FootnoteAnchor"/>
          <w:rtl w:val="true"/>
        </w:rPr>
        <w:footnoteReference w:id="186"/>
      </w:r>
      <w:r>
        <w:rPr>
          <w:rFonts w:ascii="IRNazanin" w:hAnsi="IRNazanin" w:eastAsia="IRNazanin"/>
          <w:color w:val="111111"/>
          <w:sz w:val="28"/>
          <w:sz w:val="28"/>
          <w:szCs w:val="28"/>
          <w:rtl w:val="true"/>
          <w:lang w:bidi="fa-IR"/>
        </w:rPr>
        <w:t xml:space="preserve">، وإن کان قد قرأ فلیتمّ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علیّ بن النعمان ، عن سعید الأعرج وابن أبی عمیر ، عن حمّاد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افتتحت الصلاة ونسیت أن تؤذّن وتقیم ثم ذکرت قبل أن ترکع</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0" w:name="__RefHeading___Toc347664_2142443653"/>
      <w:bookmarkStart w:id="161" w:name="_Toc63"/>
      <w:bookmarkEnd w:id="160"/>
      <w:r>
        <w:rPr>
          <w:rtl w:val="true"/>
        </w:rPr>
        <w:t>دلالة الحدیث علی تخلیط أبی بصیر</w:t>
      </w:r>
      <w:bookmarkEnd w:id="161"/>
    </w:p>
    <w:p>
      <w:pPr>
        <w:pStyle w:val="BookText"/>
        <w:rPr/>
      </w:pPr>
      <w:r>
        <w:rPr>
          <w:rFonts w:ascii="IRNazanin" w:hAnsi="IRNazanin" w:eastAsia="IRNazanin"/>
          <w:color w:val="111111"/>
          <w:sz w:val="28"/>
          <w:sz w:val="28"/>
          <w:szCs w:val="28"/>
          <w:rtl w:val="true"/>
          <w:lang w:bidi="fa-IR"/>
        </w:rPr>
        <w:t xml:space="preserve">فانصرف فأذّن وأقم واستفتح الصلاة ، وإن کنت قد رکعت فأتمّ علی صلاتک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محمّد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الخطاب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عن إسحاق بن آدم ، عن أبی العباس الفضل بن حسان الدالانی ، عن زکریا بن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کنت فی صلاتی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فی الثانیة </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وأنا فی القراءة أنّی لم أقم فکیف أصنع؟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اسکت علی موضع قراءتک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قد قامت الصلاة ، ثم امض فی قراءتک وصلاتک وقد تمّت صلاتک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الحسین ، عن صفوان ، عن حسین بن أبی العلاء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یستفتح صلاته المکتوبة ثم یذکر أنّه لم یقم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ذکر أنّه لم یقم قبل أن یقرأ فلیسلّم علی النبی صلی الله علیه و آله ثم یقیم ویصلّی ، وإن ذکر بعد ما قرأ بعض السورة فلیتمّ علی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الأخبار أیضا أن نحملها علی ضرب من الاستحباب کما حملنا علیه الخبر الأوّل لئلاّ تتناقض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سعد بن عبد الله ، عن محمّد بن الحسین ، عن جعفر بن بشیر ، عن حمّاد بن عثمان ، عن عبید بن زرارة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w:t>
      </w:r>
      <w:r>
        <w:rPr>
          <w:rStyle w:val="FootnoteAnchor"/>
          <w:rtl w:val="true"/>
        </w:rPr>
        <w:footnoteReference w:id="189"/>
      </w:r>
      <w:r>
        <w:rPr>
          <w:rFonts w:ascii="IRNazanin" w:hAnsi="IRNazanin" w:eastAsia="IRNazanin"/>
          <w:color w:val="111111"/>
          <w:sz w:val="28"/>
          <w:sz w:val="28"/>
          <w:szCs w:val="28"/>
          <w:rtl w:val="true"/>
          <w:lang w:bidi="fa-IR"/>
        </w:rPr>
        <w:t xml:space="preserve">عن رجل نسی الأذان والإقامة حتی دخل فی الصلاة ، </w:t>
      </w:r>
      <w:bookmarkStart w:id="162" w:name="pg15037_163662"/>
    </w:p>
    <w:p>
      <w:pPr>
        <w:pStyle w:val="BookText"/>
        <w:rPr/>
      </w:pPr>
      <w:bookmarkEnd w:id="16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فلیمض علی صلاته </w:t>
      </w:r>
      <w:r>
        <w:rPr>
          <w:rStyle w:val="FootnoteAnchor"/>
          <w:rtl w:val="true"/>
        </w:rPr>
        <w:footnoteReference w:id="190"/>
      </w:r>
      <w:r>
        <w:rPr>
          <w:rFonts w:ascii="Amiri" w:hAnsi="Amiri" w:eastAsia="Amiri" w:cs="Amiri"/>
          <w:color w:val="111111"/>
          <w:sz w:val="28"/>
          <w:sz w:val="28"/>
          <w:szCs w:val="28"/>
          <w:rtl w:val="true"/>
          <w:lang w:bidi="ar-SA"/>
        </w:rPr>
        <w:t xml:space="preserve">فإنّما الأذان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 عن أحمد بن محمّد ، عن أحمد بن محمّد بن أبی نصر ، عن داود بن سرحان ، عن أبی عبد الله علیه السلام فی رجل نسی الأذان والإقامة حتی دخل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صحته ارتیاب بعد ما قدّمناه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إسماعیل ، وذکرنا حقیقة الحال فیه أیضا سابقا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بعد ما قدمناه فی سعید الأعرج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احتمال کونه ابن عبد الرحمن الثقة له ظهور ؛ لأنّ فی الطریق إلی ابن عبد الرحمن صفوان فی النجاشی </w:t>
      </w:r>
      <w:r>
        <w:rPr>
          <w:rStyle w:val="FootnoteAnchor"/>
          <w:rtl w:val="true"/>
        </w:rPr>
        <w:footnoteReference w:id="194"/>
      </w:r>
      <w:r>
        <w:rPr>
          <w:rFonts w:ascii="IRNazanin" w:hAnsi="IRNazanin" w:eastAsia="IRNazanin"/>
          <w:color w:val="111111"/>
          <w:sz w:val="28"/>
          <w:sz w:val="28"/>
          <w:szCs w:val="28"/>
          <w:rtl w:val="true"/>
          <w:lang w:bidi="fa-IR"/>
        </w:rPr>
        <w:t xml:space="preserve">، وفی الفهرست ذکر سعید الأعرج وفی الطریق إلیه صفوان </w:t>
      </w:r>
      <w:r>
        <w:rPr>
          <w:rStyle w:val="FootnoteAnchor"/>
          <w:rtl w:val="true"/>
        </w:rPr>
        <w:footnoteReference w:id="195"/>
      </w:r>
      <w:r>
        <w:rPr>
          <w:rFonts w:ascii="IRNazanin" w:hAnsi="IRNazanin" w:eastAsia="IRNazanin"/>
          <w:color w:val="111111"/>
          <w:sz w:val="28"/>
          <w:sz w:val="28"/>
          <w:szCs w:val="28"/>
          <w:rtl w:val="true"/>
          <w:lang w:bidi="fa-IR"/>
        </w:rPr>
        <w:t>، وقد ظن العلاّمة فی المختلف التعدد والأمر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ابن أبی عمیر فالظاهر عطفه علی سعید ، واحتمال العطف علی علیّ بن النعمان یبعّده المعروف من عادة الشیخ فی الکتاب ، کاحتمال کونه ابتداء سند آخر بطریقه إلی ابن أبی عمیر ، فتأمل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3" w:name="__RefHeading___Toc347666_2142443653"/>
      <w:bookmarkStart w:id="164" w:name="_Toc64"/>
      <w:bookmarkEnd w:id="163"/>
      <w:r>
        <w:rPr>
          <w:rtl w:val="true"/>
        </w:rPr>
        <w:t>بحث حول سعید الأعرج</w:t>
      </w:r>
      <w:bookmarkStart w:id="165" w:name="pg15037_163663"/>
      <w:bookmarkEnd w:id="164"/>
    </w:p>
    <w:p>
      <w:pPr>
        <w:pStyle w:val="BookText"/>
        <w:rPr/>
      </w:pPr>
      <w:bookmarkEnd w:id="165"/>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إسحاق بن آدم وهو فی الرجال </w:t>
      </w:r>
      <w:r>
        <w:rPr>
          <w:rStyle w:val="FootnoteAnchor"/>
          <w:rtl w:val="true"/>
        </w:rPr>
        <w:footnoteReference w:id="196"/>
      </w:r>
      <w:r>
        <w:rPr>
          <w:rFonts w:ascii="IRNazanin" w:hAnsi="IRNazanin" w:eastAsia="IRNazanin"/>
          <w:color w:val="111111"/>
          <w:sz w:val="28"/>
          <w:sz w:val="28"/>
          <w:szCs w:val="28"/>
          <w:rtl w:val="true"/>
          <w:lang w:bidi="fa-IR"/>
        </w:rPr>
        <w:t>لا یزید حاله عن 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الفضل بن حسان فلم أقف علیه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وزکریا بن آدم ثقة فی النجاشی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فی السند دلالة علی ما قدمناه </w:t>
      </w:r>
      <w:r>
        <w:rPr>
          <w:rStyle w:val="FootnoteAnchor"/>
          <w:rtl w:val="true"/>
        </w:rPr>
        <w:footnoteReference w:id="198"/>
      </w:r>
      <w:r>
        <w:rPr>
          <w:rFonts w:ascii="IRNazanin" w:hAnsi="IRNazanin" w:eastAsia="IRNazanin"/>
          <w:color w:val="111111"/>
          <w:sz w:val="28"/>
          <w:sz w:val="28"/>
          <w:szCs w:val="28"/>
          <w:rtl w:val="true"/>
          <w:lang w:bidi="fa-IR"/>
        </w:rPr>
        <w:t>عن قریب فی عود ضمیر عنه الی محمّد بن علیّ بن محبوب ، حیث روی عن محمّد بن الحسین بن أبی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الحسین بن أبی العلاء ، ولم أفهم من حاله ما یزید علی المدح کما مضی </w:t>
      </w:r>
      <w:r>
        <w:rPr>
          <w:rStyle w:val="FootnoteAnchor"/>
          <w:rtl w:val="true"/>
        </w:rPr>
        <w:footnoteReference w:id="199"/>
      </w:r>
      <w:r>
        <w:rPr>
          <w:rFonts w:ascii="IRNazanin" w:hAnsi="IRNazanin" w:eastAsia="IRNazanin"/>
          <w:color w:val="111111"/>
          <w:sz w:val="28"/>
          <w:sz w:val="28"/>
          <w:szCs w:val="28"/>
          <w:rtl w:val="true"/>
          <w:lang w:bidi="fa-IR"/>
        </w:rPr>
        <w:t>، بل المدح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داود بن سرحان وقد وثّقه النجاشی بهذه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روی عن أبی عبد الله وأبی الحسن علیهم السلام ، ذکره ابن نوح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أنّ من نسی الإقامة إن کان فرغ من الصلاة لا إعادة علیه وبدون ذلک فلیعد ، وظاهر الأمر الوجوب لکن القائل بالاستحباب یمکنه الحمل علی الاستحباب ، والقائل بالوجوب ربما کان کذلک ، کما ستعلمه </w:t>
      </w:r>
      <w:r>
        <w:rPr>
          <w:rStyle w:val="FootnoteAnchor"/>
          <w:rtl w:val="true"/>
        </w:rPr>
        <w:footnoteReference w:id="201"/>
      </w:r>
      <w:r>
        <w:rPr>
          <w:rFonts w:ascii="IRNazanin" w:hAnsi="IRNazanin" w:eastAsia="IRNazanin"/>
          <w:color w:val="111111"/>
          <w:sz w:val="28"/>
          <w:sz w:val="28"/>
          <w:szCs w:val="28"/>
          <w:rtl w:val="true"/>
          <w:lang w:bidi="fa-IR"/>
        </w:rPr>
        <w:t>من الأقوال</w:t>
      </w:r>
      <w:r>
        <w:rPr>
          <w:rFonts w:eastAsia="IRNazanin" w:cs="IRNazanin"/>
          <w:color w:val="111111"/>
          <w:sz w:val="28"/>
          <w:szCs w:val="28"/>
          <w:rtl w:val="true"/>
          <w:lang w:bidi="fa-IR"/>
        </w:rPr>
        <w:t>.</w:t>
      </w:r>
    </w:p>
    <w:p>
      <w:pPr>
        <w:pStyle w:val="Heading4"/>
        <w:numPr>
          <w:ilvl w:val="3"/>
          <w:numId w:val="1"/>
        </w:numPr>
        <w:rPr/>
      </w:pPr>
      <w:bookmarkStart w:id="166" w:name="__RefHeading___Toc347668_2142443653"/>
      <w:bookmarkStart w:id="167" w:name="_Toc65"/>
      <w:bookmarkEnd w:id="166"/>
      <w:r>
        <w:rPr>
          <w:rtl w:val="true"/>
        </w:rPr>
        <w:t>إسحاق بن آدم مهمل</w:t>
      </w:r>
      <w:bookmarkEnd w:id="167"/>
    </w:p>
    <w:p>
      <w:pPr>
        <w:pStyle w:val="Heading4"/>
        <w:numPr>
          <w:ilvl w:val="3"/>
          <w:numId w:val="1"/>
        </w:numPr>
        <w:rPr/>
      </w:pPr>
      <w:bookmarkStart w:id="168" w:name="__RefHeading___Toc347670_2142443653"/>
      <w:bookmarkStart w:id="169" w:name="_Toc66"/>
      <w:bookmarkEnd w:id="168"/>
      <w:r>
        <w:rPr>
          <w:rtl w:val="true"/>
        </w:rPr>
        <w:t>الفضل بن حسان غیر مذکور فی الرجال</w:t>
      </w:r>
      <w:bookmarkEnd w:id="169"/>
    </w:p>
    <w:p>
      <w:pPr>
        <w:pStyle w:val="Heading4"/>
        <w:numPr>
          <w:ilvl w:val="3"/>
          <w:numId w:val="1"/>
        </w:numPr>
        <w:rPr/>
      </w:pPr>
      <w:bookmarkStart w:id="170" w:name="__RefHeading___Toc347672_2142443653"/>
      <w:bookmarkStart w:id="171" w:name="_Toc67"/>
      <w:bookmarkEnd w:id="170"/>
      <w:r>
        <w:rPr>
          <w:rtl w:val="true"/>
        </w:rPr>
        <w:t>زکریا بن آدم ثقة</w:t>
      </w:r>
      <w:bookmarkEnd w:id="171"/>
    </w:p>
    <w:p>
      <w:pPr>
        <w:pStyle w:val="Heading4"/>
        <w:numPr>
          <w:ilvl w:val="3"/>
          <w:numId w:val="1"/>
        </w:numPr>
        <w:rPr/>
      </w:pPr>
      <w:bookmarkStart w:id="172" w:name="__RefHeading___Toc347674_2142443653"/>
      <w:bookmarkStart w:id="173" w:name="_Toc68"/>
      <w:bookmarkEnd w:id="172"/>
      <w:r>
        <w:rPr>
          <w:rtl w:val="true"/>
        </w:rPr>
        <w:t>إشارة إلی حال الحسین بن أبی العلاء</w:t>
      </w:r>
      <w:bookmarkEnd w:id="173"/>
    </w:p>
    <w:p>
      <w:pPr>
        <w:pStyle w:val="Heading4"/>
        <w:numPr>
          <w:ilvl w:val="3"/>
          <w:numId w:val="1"/>
        </w:numPr>
        <w:rPr/>
      </w:pPr>
      <w:bookmarkStart w:id="174" w:name="__RefHeading___Toc347676_2142443653"/>
      <w:bookmarkStart w:id="175" w:name="_Toc69"/>
      <w:bookmarkEnd w:id="174"/>
      <w:r>
        <w:rPr>
          <w:rtl w:val="true"/>
        </w:rPr>
        <w:t>داود بن سرحان ثقة</w:t>
      </w:r>
      <w:bookmarkEnd w:id="17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6" w:name="__RefHeading___Toc347678_2142443653"/>
      <w:bookmarkStart w:id="177" w:name="_Toc70"/>
      <w:bookmarkEnd w:id="176"/>
      <w:r>
        <w:rPr>
          <w:rtl w:val="true"/>
        </w:rPr>
        <w:t>توجیه ما دل علی أنّ من ذکر أنّه نسی الإقامة قبل فراغة من الصلاة یعیدها</w:t>
      </w:r>
      <w:bookmarkStart w:id="178" w:name="pg15037_163664"/>
      <w:bookmarkEnd w:id="177"/>
    </w:p>
    <w:p>
      <w:pPr>
        <w:pStyle w:val="BookText"/>
        <w:rPr/>
      </w:pPr>
      <w:bookmarkEnd w:id="178"/>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أنّ من نسی الأذان والإقامة إن ذکر قبل أن یقرأ فلیصل علی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الشهید فی الذکری أنّه جعل الصلاة علی النبی صلی الله علیه و آله قاطعة للصلاة فتکون من خصوصیات هذا الموضع </w:t>
      </w:r>
      <w:r>
        <w:rPr>
          <w:rStyle w:val="FootnoteAnchor"/>
          <w:rtl w:val="true"/>
        </w:rPr>
        <w:footnoteReference w:id="202"/>
      </w:r>
      <w:r>
        <w:rPr>
          <w:rFonts w:ascii="IRNazanin" w:hAnsi="IRNazanin" w:eastAsia="IRNazanin"/>
          <w:color w:val="111111"/>
          <w:sz w:val="28"/>
          <w:sz w:val="28"/>
          <w:szCs w:val="28"/>
          <w:rtl w:val="true"/>
          <w:lang w:bidi="fa-IR"/>
        </w:rPr>
        <w:t xml:space="preserve">، واحتمل بعض محقّقی الأصحاب إرادة السلام بالصلاة </w:t>
      </w:r>
      <w:r>
        <w:rPr>
          <w:rStyle w:val="FootnoteAnchor"/>
          <w:rtl w:val="true"/>
        </w:rPr>
        <w:footnoteReference w:id="203"/>
      </w:r>
      <w:r>
        <w:rPr>
          <w:rFonts w:ascii="IRNazanin" w:hAnsi="IRNazanin" w:eastAsia="IRNazanin"/>
          <w:color w:val="111111"/>
          <w:sz w:val="28"/>
          <w:sz w:val="28"/>
          <w:szCs w:val="28"/>
          <w:rtl w:val="true"/>
          <w:lang w:bidi="fa-IR"/>
        </w:rPr>
        <w:t xml:space="preserve">؛ لما یأتی فی الخامس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یحتمل أن یراد بالصلاة فعلها مقام الأذان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ولیقم </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ربّما یدل علیه ، والفرق بین ما قبل القراءة وبعدها محتمل وإن جاز فعل الصلاة علی النبی صلی الله علیه و آله فی أثناء الصلاة ؛ للإطلاقات ، بل ظاهر بعض الأخبار </w:t>
      </w:r>
      <w:r>
        <w:rPr>
          <w:rStyle w:val="FootnoteAnchor"/>
          <w:rtl w:val="true"/>
        </w:rPr>
        <w:footnoteReference w:id="206"/>
      </w:r>
      <w:r>
        <w:rPr>
          <w:rFonts w:ascii="IRNazanin" w:hAnsi="IRNazanin" w:eastAsia="IRNazanin"/>
          <w:color w:val="111111"/>
          <w:sz w:val="28"/>
          <w:sz w:val="28"/>
          <w:szCs w:val="28"/>
          <w:rtl w:val="true"/>
          <w:lang w:bidi="fa-IR"/>
        </w:rPr>
        <w:t xml:space="preserve">التنصیص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الإطلاق یقیّد بغیر زمن القراءة ، والنصّ لا یتناول حال القراءة کما یعلم من مراجعته ، والحق أنّ احتمال عدم القطع بعید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فلیتم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احتمال إرادة التسلیم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الذکر قبل الرکوع یقتضی الانصراف والأذان والإقامة ، وإن کان قد رکع فلیتمّ ، والجمع بینه وبین الثانی بالحمل علی تفاوت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ظهور احتمال عدم القطع ، بل السکوت عن القراءة والإتیان باللفظین ، واستشکال الشهید فی الذکری بأنّه کلام فی أثناء الصلاة</w:t>
      </w:r>
    </w:p>
    <w:p>
      <w:pPr>
        <w:pStyle w:val="Heading4"/>
        <w:numPr>
          <w:ilvl w:val="3"/>
          <w:numId w:val="1"/>
        </w:numPr>
        <w:rPr/>
      </w:pPr>
      <w:bookmarkStart w:id="179" w:name="__RefHeading___Toc347680_2142443653"/>
      <w:bookmarkStart w:id="180" w:name="_Toc71"/>
      <w:bookmarkEnd w:id="179"/>
      <w:r>
        <w:rPr>
          <w:rtl w:val="true"/>
        </w:rPr>
        <w:t>بیان ما دلّ علی أنّه إن ذکر قبل القراءة فلیصلّ علی النبی صلی الله علیه و آله</w:t>
      </w:r>
      <w:bookmarkEnd w:id="18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1" w:name="__RefHeading___Toc347682_2142443653"/>
      <w:bookmarkStart w:id="182" w:name="_Toc72"/>
      <w:bookmarkEnd w:id="181"/>
      <w:r>
        <w:rPr>
          <w:rtl w:val="true"/>
        </w:rPr>
        <w:t>بیان ما دلّ علی أنّه إن ذکر فی القراءة یسکت ویقول</w:t>
      </w:r>
      <w:r>
        <w:rPr>
          <w:rtl w:val="true"/>
        </w:rPr>
        <w:t xml:space="preserve">:« </w:t>
      </w:r>
      <w:r>
        <w:rPr>
          <w:rtl w:val="true"/>
        </w:rPr>
        <w:t>قد قامت الصلاة</w:t>
      </w:r>
      <w:r>
        <w:rPr>
          <w:rtl w:val="true"/>
        </w:rPr>
        <w:t xml:space="preserve">» </w:t>
      </w:r>
      <w:r>
        <w:rPr>
          <w:rtl w:val="true"/>
        </w:rPr>
        <w:t>مرّتین</w:t>
      </w:r>
      <w:bookmarkStart w:id="183" w:name="pg15037_163665"/>
      <w:bookmarkEnd w:id="182"/>
    </w:p>
    <w:p>
      <w:pPr>
        <w:pStyle w:val="BookText"/>
        <w:rPr/>
      </w:pPr>
      <w:bookmarkEnd w:id="183"/>
      <w:r>
        <w:rPr>
          <w:rFonts w:ascii="IRNazanin" w:hAnsi="IRNazanin" w:eastAsia="IRNazanin"/>
          <w:color w:val="111111"/>
          <w:sz w:val="28"/>
          <w:sz w:val="28"/>
          <w:szCs w:val="28"/>
          <w:rtl w:val="true"/>
          <w:lang w:bidi="fa-IR"/>
        </w:rPr>
        <w:t xml:space="preserve">لیس منها </w:t>
      </w:r>
      <w:r>
        <w:rPr>
          <w:rStyle w:val="FootnoteAnchor"/>
          <w:rtl w:val="true"/>
        </w:rPr>
        <w:footnoteReference w:id="207"/>
      </w:r>
      <w:r>
        <w:rPr>
          <w:rFonts w:ascii="IRNazanin" w:hAnsi="IRNazanin" w:eastAsia="IRNazanin"/>
          <w:color w:val="111111"/>
          <w:sz w:val="28"/>
          <w:sz w:val="28"/>
          <w:szCs w:val="28"/>
          <w:rtl w:val="true"/>
          <w:lang w:bidi="fa-IR"/>
        </w:rPr>
        <w:t>، واضح الدفع ؛ لأنّ الإذن من الشارع کافیة فی الصحّة إن صحّ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الحمل علی قول ذلک مع نفسه من غیر أن یتلفّظ ممکن ، فیندفع به إشکال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 کما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بالسکوت موضع القراءة ربما یؤذن بذلک ؛ إذ لو تلفّظ بالإقامة لم یکن ساکتا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أغرب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الحمل علی السکوت عن القراءة خلاف الظاهر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العمل بهذا الخبر ربما یتأیّد بعض الاحتمالات السابقة </w:t>
      </w:r>
      <w:r>
        <w:rPr>
          <w:rStyle w:val="FootnoteAnchor"/>
          <w:rtl w:val="true"/>
        </w:rPr>
        <w:footnoteReference w:id="209"/>
      </w:r>
      <w:r>
        <w:rPr>
          <w:rFonts w:ascii="IRNazanin" w:hAnsi="IRNazanin" w:eastAsia="IRNazanin"/>
          <w:color w:val="111111"/>
          <w:sz w:val="28"/>
          <w:sz w:val="28"/>
          <w:szCs w:val="28"/>
          <w:rtl w:val="true"/>
          <w:lang w:bidi="fa-IR"/>
        </w:rPr>
        <w:t>فی خبر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دلالة علی التسلیم وفعل الإقامة ، والظاهر من التسلیم قطع الصلاة فیدلّ علی أنّ التسلیم علی النبی صلی الله علیه و آله قاطعا ، ولعلّ خصوص المادة له مدخل ؛ لما یظهر من البعض دعوی الاتفاق علی عدم الخروج بعد التشهد بالتسلیم علی النّبی صلی الله علیه و آله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 بعض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لإرادة الفاتحة والسورة غیرها ، ویقرب الأول إطلاق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تضمّن التعلیل بأنّ الأذان سنّة ولم یذکر الإقامة ، إمّا لمشارکتها له فی الإطلاق أو فی کونها سنّة ، وقد استدل به العلاّمة فی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4" w:name="__RefHeading___Toc347684_2142443653"/>
      <w:bookmarkStart w:id="185" w:name="_Toc73"/>
      <w:bookmarkEnd w:id="184"/>
      <w:r>
        <w:rPr>
          <w:rtl w:val="true"/>
        </w:rPr>
        <w:t>بیان ما دلّ علی أنّه إن ذکر قبل القراءة فلیسلّم علی النبی صلی الله علیه و آله ثم یقیم</w:t>
      </w:r>
      <w:bookmarkStart w:id="186" w:name="pg15037_163666"/>
      <w:bookmarkEnd w:id="185"/>
    </w:p>
    <w:p>
      <w:pPr>
        <w:pStyle w:val="BookText"/>
        <w:rPr/>
      </w:pPr>
      <w:bookmarkEnd w:id="186"/>
      <w:r>
        <w:rPr>
          <w:rFonts w:ascii="IRNazanin" w:hAnsi="IRNazanin" w:eastAsia="IRNazanin"/>
          <w:color w:val="111111"/>
          <w:sz w:val="28"/>
          <w:sz w:val="28"/>
          <w:szCs w:val="28"/>
          <w:rtl w:val="true"/>
          <w:lang w:bidi="fa-IR"/>
        </w:rPr>
        <w:t xml:space="preserve">المختلف علی استحباب الأذان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السنّة تقال علی ما یقابل الفرض أعم من الواجب والمستحب ، ولا یخفی الاختصاص بالأذان ، فعلی تقدیر حمل السنّة علی المستحب یتوقف علی إثبات عدم القائل بالفرق ، وقد تکلم فی المختلف فی إثبات عدم القائل بالفصل </w:t>
      </w:r>
      <w:r>
        <w:rPr>
          <w:rStyle w:val="FootnoteAnchor"/>
          <w:rtl w:val="true"/>
        </w:rPr>
        <w:footnoteReference w:id="213"/>
      </w:r>
      <w:r>
        <w:rPr>
          <w:rFonts w:ascii="IRNazanin" w:hAnsi="IRNazanin" w:eastAsia="IRNazanin"/>
          <w:color w:val="111111"/>
          <w:sz w:val="28"/>
          <w:sz w:val="28"/>
          <w:szCs w:val="28"/>
          <w:rtl w:val="true"/>
          <w:lang w:bidi="fa-IR"/>
        </w:rPr>
        <w:t>، وفیه نوع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هذا فاعلم أنّ الأخبار المذکورة لیس فیها ما یقتضی الرجوع للأذان إذا ترک وحده نسیانا ، وأمّا الإقامة وحدها فالدلالة علیها واضحة مع النسیان ، ونقل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یقف علی خبر یدل علی جواز القطع لتدارک الأذان وحده ، ولا علی قائل بذلک من علمائنا القائلین باستحباب الأذان ، إلاّ المحقّق فی الشرائع وجدّی قدس سره فی الشرح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المختلف نقل عن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ترک الأذان والإقامة متعمّدا ودخل فی الصلاة فلینصرف ولیؤذّن ولیقم أو لیقم ما لم یرکع ثم یستأنف الصلاة ، وإن ترکهما ناسیا حتی دخل فی الصلاة ثم ذکر مضی فی صلاته ولا إعادة علیه ، وهو قول ابن إدریس ، قال فی النسیان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یجوز له الرجوع کما جاز فی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وأطلق فی المبسوط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دخل منفردا فی الصلاة من غیر أذان ولا إقامة استحب له الرجوع ما لم یرکع ویؤذّن ویقیم ویستقبل الصلاة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 w:name="__RefHeading___Toc347686_2142443653"/>
      <w:bookmarkStart w:id="188" w:name="_Toc74"/>
      <w:bookmarkEnd w:id="187"/>
      <w:r>
        <w:rPr>
          <w:rtl w:val="true"/>
        </w:rPr>
        <w:t>الأقوال فی مسألة ترک الأذان والإقامة تعمّداً أو نسیاناً</w:t>
      </w:r>
      <w:bookmarkEnd w:id="188"/>
    </w:p>
    <w:p>
      <w:pPr>
        <w:pStyle w:val="BookText"/>
        <w:rPr/>
      </w:pPr>
      <w:r>
        <w:rPr>
          <w:rFonts w:ascii="IRNazanin" w:hAnsi="IRNazanin" w:eastAsia="IRNazanin"/>
          <w:color w:val="111111"/>
          <w:sz w:val="28"/>
          <w:sz w:val="28"/>
          <w:szCs w:val="28"/>
          <w:rtl w:val="true"/>
          <w:lang w:bidi="fa-IR"/>
        </w:rPr>
        <w:t>فإن رکع مضی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یفرّق بین العمد والنسیان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نسی الأذان فی صلاة الصبح أو المغرب حتی أقام رجع فأذّن وأقام ثم افتتح الصلاة ، وإن ذکر بعد ما دخل فی الصلاة أنّه قد نسی الأذان قطع الصلاة وأذّن وأقام ما لم یرکع ، فإن کان قد رکع مضی فی صلاته ولا إعادة علیه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عن غیر المذکورین أقوالا أُخر ، وربما کان فی عبارة ابن أبی عقیل دلالة علی نسیان الأذان فقط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بعض محققی المتأخّرین رَحمَه الله أنّ القائل بوجوب القطع غیر معلوم </w:t>
      </w:r>
      <w:r>
        <w:rPr>
          <w:rStyle w:val="FootnoteAnchor"/>
          <w:rtl w:val="true"/>
        </w:rPr>
        <w:footnoteReference w:id="217"/>
      </w:r>
      <w:r>
        <w:rPr>
          <w:rFonts w:ascii="IRNazanin" w:hAnsi="IRNazanin" w:eastAsia="IRNazanin"/>
          <w:color w:val="111111"/>
          <w:sz w:val="28"/>
          <w:sz w:val="28"/>
          <w:szCs w:val="28"/>
          <w:rtl w:val="true"/>
          <w:lang w:bidi="fa-IR"/>
        </w:rPr>
        <w:t>، وحینئذ یندفع ما قدّمناه من ظاهر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فی المختلف علی استحباب استقبال الصلاة وتدارکهما ما لم یرکع بأنّهما من وکید السنن ، والمحافظة علیهما تقتضی تدارکهما مع النسیان باستئناف الصلاة ؛ لأنّ النسیان محل العذر ، ومع الرکوع یمضی فی صلاته لأنّه أتی بأعظم الأرکان فلا یبطل ، ومع تعمّد الترک یکون قد دخل فی الصلاة دخولا مشروعا غیر مرید للفضیلة فلا یجوز له الإبطال ؛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تُبْطِلُوا أَعْمالَکُمْ </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ثم ذکر الروایة الاولی واعترض علی نفسه بأنّها لا تدل علی المدّعی من قبلیّة الرکوع ، وأجاب بحمل المطلق علی المقیّد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الحال أوّلا وآخرا ، کما لا یخفی دلالة اختلاف </w:t>
      </w:r>
      <w:bookmarkStart w:id="189" w:name="pg15037_163668"/>
    </w:p>
    <w:p>
      <w:pPr>
        <w:pStyle w:val="BookText"/>
        <w:rPr/>
      </w:pPr>
      <w:bookmarkEnd w:id="189"/>
      <w:r>
        <w:rPr>
          <w:rFonts w:ascii="IRNazanin" w:hAnsi="IRNazanin" w:eastAsia="IRNazanin"/>
          <w:color w:val="111111"/>
          <w:sz w:val="28"/>
          <w:sz w:val="28"/>
          <w:szCs w:val="28"/>
          <w:rtl w:val="true"/>
          <w:lang w:bidi="fa-IR"/>
        </w:rPr>
        <w:t>الروایات علی الاستحباب لکن فی الناسی ، غایة الأمر أنّ فی الأخبار نوع إجمال مع الاختلاف ، فإطلاق الشیخ الحمل علی الاستحباب فیه ما فیه ، والله تعالی أعلم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عدد الفصول فی الأذان والإقامة</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بن یعقوب ، عن علیّ بن إبراهیم ، عن محمّد بن عیسی بن عبید ، عن أبان بن عثمان ، عن إسماعیل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والإقامة خمسة وثلاثون حرفا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 ذلک بیده واحدا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ثمانیة عشر حرفا ، والإقامة سبعة عشر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النضر </w:t>
      </w:r>
      <w:r>
        <w:rPr>
          <w:rStyle w:val="FootnoteAnchor"/>
          <w:rtl w:val="true"/>
        </w:rPr>
        <w:footnoteReference w:id="220"/>
      </w:r>
      <w:r>
        <w:rPr>
          <w:rFonts w:ascii="IRNazanin" w:hAnsi="IRNazanin" w:eastAsia="IRNazanin"/>
          <w:color w:val="111111"/>
          <w:sz w:val="28"/>
          <w:sz w:val="28"/>
          <w:szCs w:val="28"/>
          <w:rtl w:val="true"/>
          <w:lang w:bidi="fa-IR"/>
        </w:rPr>
        <w:t xml:space="preserve">،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الأذان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 الله أکبر ، أشهد أنّ لا إله إلاّ الله ، أشهد أنّ لا إله إلاّ الله ، أشهد أنّ محمّدا رسول الله ، أشهد أنّ محمّدا رسول الله ، حیّ علی الصلاة ، حیّ علی الصلاة ، حیّ علی الفلاح ، حیّ علی الفلاح ، حیّ علی خیر العمل ، حیّ علی خیر العمل ، الله أکبر ، الله أکبر ، لا إله إلاّ الله ، 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علیّ بن السندی ، عن ابن أبی عمیر ، عن ابن أُذینة </w:t>
      </w:r>
      <w:r>
        <w:rPr>
          <w:rStyle w:val="FootnoteAnchor"/>
          <w:rtl w:val="true"/>
        </w:rPr>
        <w:footnoteReference w:id="221"/>
      </w:r>
      <w:r>
        <w:rPr>
          <w:rFonts w:ascii="IRNazanin" w:hAnsi="IRNazanin" w:eastAsia="IRNazanin"/>
          <w:color w:val="111111"/>
          <w:sz w:val="28"/>
          <w:sz w:val="28"/>
          <w:szCs w:val="28"/>
          <w:rtl w:val="true"/>
          <w:lang w:bidi="fa-IR"/>
        </w:rPr>
        <w:t>، عن زرارة والفضیل بن یسار ، عن</w:t>
      </w:r>
    </w:p>
    <w:p>
      <w:pPr>
        <w:pStyle w:val="Heading3"/>
        <w:numPr>
          <w:ilvl w:val="2"/>
          <w:numId w:val="1"/>
        </w:numPr>
        <w:rPr/>
      </w:pPr>
      <w:bookmarkStart w:id="190" w:name="__RefHeading___Toc347688_2142443653"/>
      <w:bookmarkStart w:id="191" w:name="_Toc75"/>
      <w:bookmarkEnd w:id="190"/>
      <w:r>
        <w:rPr>
          <w:rtl w:val="true"/>
        </w:rPr>
        <w:t>عدد الفصول فی الأذان والإقامة</w:t>
      </w:r>
      <w:bookmarkEnd w:id="19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2" w:name="__RefHeading___Toc347690_2142443653"/>
      <w:bookmarkStart w:id="193" w:name="_Toc76"/>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 xml:space="preserve">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اسری برسول الله صلی الله علیه و آله فبلغ البیت المعمور حضرت الصلاة فأذّن جبرائیل علیه السلام وأقام ، فتقدّم رسول الله صلی الله علیه و آله وصفّ الملائکة والنبیون خلف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أذّن؟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 الله أکبر ، أشهد أن لا إله إلاّ الله ، أشهد أن لا إله إلاّ الله ، أشهد أنّ محمّدا رسول الله </w:t>
      </w:r>
      <w:r>
        <w:rPr>
          <w:rStyle w:val="FootnoteAnchor"/>
          <w:rtl w:val="true"/>
        </w:rPr>
        <w:footnoteReference w:id="222"/>
      </w:r>
      <w:r>
        <w:rPr>
          <w:rFonts w:ascii="IRNazanin" w:hAnsi="IRNazanin" w:eastAsia="IRNazanin"/>
          <w:color w:val="111111"/>
          <w:sz w:val="28"/>
          <w:sz w:val="28"/>
          <w:szCs w:val="28"/>
          <w:rtl w:val="true"/>
          <w:lang w:bidi="fa-IR"/>
        </w:rPr>
        <w:t xml:space="preserve">، أشهد أنّ محمّدا رسول الله </w:t>
      </w:r>
      <w:r>
        <w:rPr>
          <w:rStyle w:val="FootnoteAnchor"/>
          <w:rtl w:val="true"/>
        </w:rPr>
        <w:footnoteReference w:id="223"/>
      </w:r>
      <w:r>
        <w:rPr>
          <w:rFonts w:ascii="Amiri" w:hAnsi="Amiri" w:eastAsia="Amiri" w:cs="Amiri"/>
          <w:color w:val="111111"/>
          <w:sz w:val="28"/>
          <w:sz w:val="28"/>
          <w:szCs w:val="28"/>
          <w:rtl w:val="true"/>
          <w:lang w:bidi="ar-SA"/>
        </w:rPr>
        <w:t xml:space="preserve">حیّ علی الصلاة ، حیّ علی </w:t>
      </w:r>
      <w:r>
        <w:rPr>
          <w:rStyle w:val="FootnoteAnchor"/>
          <w:rtl w:val="true"/>
        </w:rPr>
        <w:footnoteReference w:id="224"/>
      </w:r>
      <w:r>
        <w:rPr>
          <w:rFonts w:ascii="IRNazanin" w:hAnsi="IRNazanin" w:eastAsia="IRNazanin"/>
          <w:color w:val="111111"/>
          <w:sz w:val="28"/>
          <w:sz w:val="28"/>
          <w:szCs w:val="28"/>
          <w:rtl w:val="true"/>
          <w:lang w:bidi="fa-IR"/>
        </w:rPr>
        <w:t xml:space="preserve">الصلاة ، حیّ علی الفلاح ، حیّ علی الفلاح ، حیّ علی خیر العمل ، حیّ علی خیر العمل ، الله أکبر ، الله أکبر ، لا إله إلاّ الله ، لا إله إلاّ الله ، والإقامة مثلها إلاّ أنّ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 قد قامت الصّلاة بین حیّ علی خیر العمل حیّ علی خیر العمل ، وبین الله أکبر </w:t>
      </w:r>
      <w:r>
        <w:rPr>
          <w:rStyle w:val="FootnoteAnchor"/>
          <w:rtl w:val="true"/>
        </w:rPr>
        <w:footnoteReference w:id="225"/>
      </w:r>
      <w:r>
        <w:rPr>
          <w:rFonts w:ascii="IRNazanin" w:hAnsi="IRNazanin" w:eastAsia="IRNazanin"/>
          <w:color w:val="111111"/>
          <w:sz w:val="28"/>
          <w:sz w:val="28"/>
          <w:szCs w:val="28"/>
          <w:rtl w:val="true"/>
          <w:lang w:bidi="fa-IR"/>
        </w:rPr>
        <w:t xml:space="preserve">، فأمر بها رسول الله صلی الله علیه و آله بلالا فلم یزل یؤذّن بها حتی قبض الله رسوله صلی الله علیه و آله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 عن أحمد </w:t>
      </w:r>
      <w:r>
        <w:rPr>
          <w:rStyle w:val="FootnoteAnchor"/>
          <w:rtl w:val="true"/>
        </w:rPr>
        <w:footnoteReference w:id="226"/>
      </w:r>
      <w:r>
        <w:rPr>
          <w:rFonts w:ascii="IRNazanin" w:hAnsi="IRNazanin" w:eastAsia="IRNazanin"/>
          <w:color w:val="111111"/>
          <w:sz w:val="28"/>
          <w:sz w:val="28"/>
          <w:szCs w:val="28"/>
          <w:rtl w:val="true"/>
          <w:lang w:bidi="fa-IR"/>
        </w:rPr>
        <w:t xml:space="preserve">، عن الحسین ، عن فضالة ، عن سیف بن عمیرة ، عن أبی بکر الحضرمی ، عن أبی عبد الله علیه السلام ، وکلیب الأسدی ، عن أبی عبد الله علیه السلام أنّه حکی لهما الأذان </w:t>
      </w:r>
      <w:r>
        <w:rPr>
          <w:rStyle w:val="FootnoteAnchor"/>
          <w:rtl w:val="true"/>
        </w:rPr>
        <w:footnoteReference w:id="227"/>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 الله أکبر ، الله أکبر ، الله أکبر ، أشهد أن لا إله إلاّ الله ، أشهد أن لا إله إلاّ الله ، أشهد أنّ محمّدا رسول الله </w:t>
      </w:r>
      <w:r>
        <w:rPr>
          <w:rStyle w:val="FootnoteAnchor"/>
          <w:rtl w:val="true"/>
        </w:rPr>
        <w:footnoteReference w:id="228"/>
      </w:r>
      <w:r>
        <w:rPr>
          <w:rFonts w:ascii="Amiri" w:hAnsi="Amiri" w:eastAsia="Amiri" w:cs="Amiri"/>
          <w:color w:val="111111"/>
          <w:sz w:val="28"/>
          <w:sz w:val="28"/>
          <w:szCs w:val="28"/>
          <w:rtl w:val="true"/>
          <w:lang w:bidi="ar-SA"/>
        </w:rPr>
        <w:t xml:space="preserve">، أشهد أنّ محمّدا </w:t>
      </w:r>
    </w:p>
    <w:p>
      <w:pPr>
        <w:pStyle w:val="BookText"/>
        <w:rPr/>
      </w:pPr>
      <w:r>
        <w:rPr>
          <w:rFonts w:ascii="IRNazanin" w:hAnsi="IRNazanin" w:eastAsia="IRNazanin"/>
          <w:color w:val="111111"/>
          <w:sz w:val="28"/>
          <w:sz w:val="28"/>
          <w:szCs w:val="28"/>
          <w:rtl w:val="true"/>
          <w:lang w:bidi="fa-IR"/>
        </w:rPr>
        <w:t xml:space="preserve">رسول الله </w:t>
      </w:r>
      <w:r>
        <w:rPr>
          <w:rStyle w:val="FootnoteAnchor"/>
          <w:rtl w:val="true"/>
        </w:rPr>
        <w:footnoteReference w:id="229"/>
      </w:r>
      <w:r>
        <w:rPr>
          <w:rFonts w:ascii="IRNazanin" w:hAnsi="IRNazanin" w:eastAsia="IRNazanin"/>
          <w:color w:val="111111"/>
          <w:sz w:val="28"/>
          <w:sz w:val="28"/>
          <w:szCs w:val="28"/>
          <w:rtl w:val="true"/>
          <w:lang w:bidi="fa-IR"/>
        </w:rPr>
        <w:t>، حیّ علی الصّلاة ، حیّ علی الصّلاة ، حیّ علی الفلاح ، حیّ علی الفلاح ، حیّ علی خیر العمل ، حیّ علی خیر العمل ، الله أکبر ، الله أکبر ، لا إله إلاّ الله ، لا إله إلاّ الله ، والإقامة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فضالة ، عن حمّاد بن عثمان ، عن إسحاق بن عمّار ، عن المعلّی بن خنیس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یؤذّن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 الله أکبر ، الله أکبر ، الله أکبر ، أشهد أن لا إله إلاّ الله ، أشهد أن لا إله إلاّ الله ، أشهد أنّ محمّدا رسول الله </w:t>
      </w:r>
      <w:r>
        <w:rPr>
          <w:rStyle w:val="FootnoteAnchor"/>
          <w:rtl w:val="true"/>
        </w:rPr>
        <w:footnoteReference w:id="230"/>
      </w:r>
      <w:r>
        <w:rPr>
          <w:rFonts w:ascii="IRNazanin" w:hAnsi="IRNazanin" w:eastAsia="IRNazanin"/>
          <w:color w:val="111111"/>
          <w:sz w:val="28"/>
          <w:sz w:val="28"/>
          <w:szCs w:val="28"/>
          <w:rtl w:val="true"/>
          <w:lang w:bidi="fa-IR"/>
        </w:rPr>
        <w:t xml:space="preserve">، أشهد أنّ محمّد رسول الله </w:t>
      </w:r>
      <w:r>
        <w:rPr>
          <w:rStyle w:val="FootnoteAnchor"/>
          <w:rtl w:val="true"/>
        </w:rPr>
        <w:footnoteReference w:id="231"/>
      </w:r>
      <w:r>
        <w:rPr>
          <w:rFonts w:ascii="IRNazanin" w:hAnsi="IRNazanin" w:eastAsia="IRNazanin"/>
          <w:color w:val="111111"/>
          <w:sz w:val="28"/>
          <w:sz w:val="28"/>
          <w:szCs w:val="28"/>
          <w:rtl w:val="true"/>
          <w:lang w:bidi="fa-IR"/>
        </w:rPr>
        <w:t xml:space="preserve">، حیّ علی الصّلاة ، حیّ علی الصّلاة ، حیّ علی الفلاح ، حیّ علی الفلاح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حیّ علی خیر العمل </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 الله أکبر ، الله أکبر ، 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الحدیثان الأوّلان وإن تضمّنا 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فی أوّل الأذان ، فیجوز أن یکون إنّما اقتصر علی ذلک لأنّه إنّما قصد إفهام السائل کیفیّة التلفظ به ، وکان المعلوم له أنّ ذلک لا یجوز الاقتصار علیه دون الأربع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یکشف عمّا ذکرناه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محمّد بن یعقوب ، عن محمّد بن إسماعیل ، عن الفضل بن شاذان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عیسی عن ، حریز </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عن زرارة ، عن </w:t>
      </w:r>
      <w:bookmarkStart w:id="194" w:name="pg15037_163671"/>
    </w:p>
    <w:p>
      <w:pPr>
        <w:pStyle w:val="BookText"/>
        <w:rPr/>
      </w:pPr>
      <w:bookmarkEnd w:id="194"/>
      <w:r>
        <w:rPr>
          <w:rFonts w:ascii="IRNazanin" w:hAnsi="IRNazanin" w:eastAsia="IRNazanin"/>
          <w:color w:val="111111"/>
          <w:sz w:val="28"/>
          <w:sz w:val="28"/>
          <w:szCs w:val="28"/>
          <w:rtl w:val="true"/>
          <w:lang w:bidi="fa-IR"/>
        </w:rPr>
        <w:t xml:space="preserve">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تفتتح الأذان بأربع تکبیرات وتختمه بتکبیرتین وتهلیلتین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 وقد قدّمنا </w:t>
      </w:r>
      <w:r>
        <w:rPr>
          <w:rStyle w:val="FootnoteAnchor"/>
          <w:rtl w:val="true"/>
        </w:rPr>
        <w:footnoteReference w:id="234"/>
      </w:r>
      <w:r>
        <w:rPr>
          <w:rFonts w:ascii="IRNazanin" w:hAnsi="IRNazanin" w:eastAsia="IRNazanin"/>
          <w:color w:val="111111"/>
          <w:sz w:val="28"/>
          <w:sz w:val="28"/>
          <w:szCs w:val="28"/>
          <w:rtl w:val="true"/>
          <w:lang w:bidi="fa-IR"/>
        </w:rPr>
        <w:t xml:space="preserve">احتمال قبول روایته فی مثل هذا الموضع ، وهو ما إذا لم یرو عن یونس ، لکن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عن یونس </w:t>
      </w:r>
      <w:r>
        <w:rPr>
          <w:rStyle w:val="FootnoteAnchor"/>
          <w:rtl w:val="true"/>
        </w:rPr>
        <w:footnoteReference w:id="235"/>
      </w:r>
      <w:r>
        <w:rPr>
          <w:rFonts w:ascii="IRNazanin" w:hAnsi="IRNazanin" w:eastAsia="IRNazanin"/>
          <w:color w:val="111111"/>
          <w:sz w:val="28"/>
          <w:sz w:val="28"/>
          <w:szCs w:val="28"/>
          <w:rtl w:val="true"/>
          <w:lang w:bidi="fa-IR"/>
        </w:rPr>
        <w:t xml:space="preserve">، والحال غیر معلوم بدون مراجعة الکافی ولم یحضرنی الآن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قدّمنا فی أبان ما حاصله أنّ من یعمل بالموثّق یلزمه قبول قول علیّ بن الحسن بن فضّال فیه إنّه ناووسی </w:t>
      </w:r>
      <w:r>
        <w:rPr>
          <w:rStyle w:val="FootnoteAnchor"/>
          <w:rtl w:val="true"/>
        </w:rPr>
        <w:footnoteReference w:id="237"/>
      </w:r>
      <w:r>
        <w:rPr>
          <w:rFonts w:ascii="IRNazanin" w:hAnsi="IRNazanin" w:eastAsia="IRNazanin"/>
          <w:color w:val="111111"/>
          <w:sz w:val="28"/>
          <w:sz w:val="28"/>
          <w:szCs w:val="28"/>
          <w:rtl w:val="true"/>
          <w:lang w:bidi="fa-IR"/>
        </w:rPr>
        <w:t xml:space="preserve">، والإجماع علی تصحیح ما یصح عن أبان فی الکشی </w:t>
      </w:r>
      <w:r>
        <w:rPr>
          <w:rStyle w:val="FootnoteAnchor"/>
          <w:rtl w:val="true"/>
        </w:rPr>
        <w:footnoteReference w:id="238"/>
      </w:r>
      <w:r>
        <w:rPr>
          <w:rFonts w:ascii="IRNazanin" w:hAnsi="IRNazanin" w:eastAsia="IRNazanin"/>
          <w:color w:val="111111"/>
          <w:sz w:val="28"/>
          <w:sz w:val="28"/>
          <w:szCs w:val="28"/>
          <w:rtl w:val="true"/>
          <w:lang w:bidi="fa-IR"/>
        </w:rPr>
        <w:t>لا ینافی الوصف بالموثّق ، غایة الأمر أنّه موثّق معمول علیه ، ومن لم یعمل بالموثّق فهو عامل بالخبر المشتمل علی أبان إذا خلا من الموانع غیر أبان ، فإطلاق الصحة علی خبره من العامل بالموثّق خلط للاصطلاح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إسماعیل الجعفی فهو یقال لابن عبد الرحمن الجعفی ، ولا بن جابر الجعفی ، والأوّل لا یزید علی الإهمال ، والثانی فیه کلام قدّمناه </w:t>
      </w:r>
      <w:r>
        <w:rPr>
          <w:rStyle w:val="FootnoteAnchor"/>
          <w:rtl w:val="true"/>
        </w:rPr>
        <w:footnoteReference w:id="239"/>
      </w:r>
      <w:r>
        <w:rPr>
          <w:rFonts w:ascii="IRNazanin" w:hAnsi="IRNazanin" w:eastAsia="IRNazanin"/>
          <w:color w:val="111111"/>
          <w:sz w:val="28"/>
          <w:sz w:val="28"/>
          <w:szCs w:val="28"/>
          <w:rtl w:val="true"/>
          <w:lang w:bidi="fa-IR"/>
        </w:rPr>
        <w:t>، والظاهر هنا الثانی ، لأنّ النجاشی ذکر فی إسماعیل بن جابر الجعفی أنّه</w:t>
      </w:r>
    </w:p>
    <w:p>
      <w:pPr>
        <w:pStyle w:val="Heading4"/>
        <w:numPr>
          <w:ilvl w:val="3"/>
          <w:numId w:val="1"/>
        </w:numPr>
        <w:rPr/>
      </w:pPr>
      <w:bookmarkStart w:id="195" w:name="__RefHeading___Toc347692_2142443653"/>
      <w:bookmarkStart w:id="196" w:name="_Toc77"/>
      <w:bookmarkEnd w:id="195"/>
      <w:r>
        <w:rPr>
          <w:rtl w:val="true"/>
        </w:rPr>
        <w:t>احتمال قبول روایة محمد بن عیسی إذا روی عن غیر یونس</w:t>
      </w:r>
      <w:bookmarkEnd w:id="196"/>
    </w:p>
    <w:p>
      <w:pPr>
        <w:pStyle w:val="Heading4"/>
        <w:numPr>
          <w:ilvl w:val="3"/>
          <w:numId w:val="1"/>
        </w:numPr>
        <w:rPr/>
      </w:pPr>
      <w:bookmarkStart w:id="197" w:name="__RefHeading___Toc347694_2142443653"/>
      <w:bookmarkStart w:id="198" w:name="_Toc78"/>
      <w:bookmarkEnd w:id="197"/>
      <w:r>
        <w:rPr>
          <w:rtl w:val="true"/>
        </w:rPr>
        <w:t>بحث حول أبان بن عثمان</w:t>
      </w:r>
      <w:bookmarkEnd w:id="19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9" w:name="__RefHeading___Toc347696_2142443653"/>
      <w:bookmarkStart w:id="200" w:name="_Toc79"/>
      <w:bookmarkEnd w:id="199"/>
      <w:r>
        <w:rPr>
          <w:rtl w:val="true"/>
        </w:rPr>
        <w:t>بحث حول إسماعیل الجعفی</w:t>
      </w:r>
      <w:bookmarkStart w:id="201" w:name="pg15037_163672"/>
      <w:bookmarkEnd w:id="200"/>
    </w:p>
    <w:p>
      <w:pPr>
        <w:pStyle w:val="BookText"/>
        <w:rPr/>
      </w:pPr>
      <w:bookmarkEnd w:id="201"/>
      <w:r>
        <w:rPr>
          <w:rFonts w:ascii="IRNazanin" w:hAnsi="IRNazanin" w:eastAsia="IRNazanin"/>
          <w:color w:val="111111"/>
          <w:sz w:val="28"/>
          <w:sz w:val="28"/>
          <w:szCs w:val="28"/>
          <w:rtl w:val="true"/>
          <w:lang w:bidi="fa-IR"/>
        </w:rPr>
        <w:t xml:space="preserve">روی حدیث الأذان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 والنضر هو ابن سوید فی الظاهر من تکرّر الأسانید بعنوان ابن سوید والتصریح فی الرجال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السندی ، وحاله لا یزید علی الجهالة ، کما یستفاد من کتاب شیخنا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الرجال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لمحمّد بن علیّ بن محبوب ، وأحمد هو ابن محمّد بن عیسی ؛ والحسین هو ابن سعید ؛ وأبو بکر الحضرمی لا یزید حاله عن الجهالة فیما أظن ؛ وکلیب الأسدی فیه کلام بالنسبة إلی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المعلّی بن خنیس ، وقد قدّمنا الکلام فیه مع إسحاق بن عمّار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بما تکرّر من القول فی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الجمیع واضح ، وما ذکره الشیخ فی الخبرین المتضمّنین للتکبیر مرّتین فی الأذان وإن بعد إلاّ أنّه وجه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یتوجّه علی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تعلیم الکیفیّة یکفی فیه المرّة ، 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تعلیم کیفیّة الأذان علی هیئة مجموع اللفظین لبیان الهمزة وکونها للقطع ونحو ذلک ، ومن هنا یعلم أنّ تکرّر</w:t>
      </w:r>
    </w:p>
    <w:p>
      <w:pPr>
        <w:pStyle w:val="Heading4"/>
        <w:numPr>
          <w:ilvl w:val="3"/>
          <w:numId w:val="1"/>
        </w:numPr>
        <w:rPr/>
      </w:pPr>
      <w:bookmarkStart w:id="202" w:name="__RefHeading___Toc347698_2142443653"/>
      <w:bookmarkStart w:id="203" w:name="_Toc80"/>
      <w:bookmarkEnd w:id="202"/>
      <w:r>
        <w:rPr>
          <w:rtl w:val="true"/>
        </w:rPr>
        <w:t>علی بن السندی مجهول</w:t>
      </w:r>
      <w:bookmarkEnd w:id="203"/>
    </w:p>
    <w:p>
      <w:pPr>
        <w:pStyle w:val="Heading4"/>
        <w:numPr>
          <w:ilvl w:val="3"/>
          <w:numId w:val="1"/>
        </w:numPr>
        <w:rPr/>
      </w:pPr>
      <w:bookmarkStart w:id="204" w:name="__RefHeading___Toc347700_2142443653"/>
      <w:bookmarkStart w:id="205" w:name="_Toc81"/>
      <w:bookmarkEnd w:id="204"/>
      <w:r>
        <w:rPr>
          <w:rtl w:val="true"/>
        </w:rPr>
        <w:t>أبوبکر الحضرمی مجهول</w:t>
      </w:r>
      <w:bookmarkEnd w:id="205"/>
    </w:p>
    <w:p>
      <w:pPr>
        <w:pStyle w:val="Heading4"/>
        <w:numPr>
          <w:ilvl w:val="3"/>
          <w:numId w:val="1"/>
        </w:numPr>
        <w:rPr/>
      </w:pPr>
      <w:bookmarkStart w:id="206" w:name="__RefHeading___Toc347702_2142443653"/>
      <w:bookmarkStart w:id="207" w:name="_Toc82"/>
      <w:bookmarkEnd w:id="206"/>
      <w:r>
        <w:rPr>
          <w:rtl w:val="true"/>
        </w:rPr>
        <w:t>کلیب الأسدی فی مدحه کلام</w:t>
      </w:r>
      <w:bookmarkEnd w:id="20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347704_2142443653"/>
      <w:bookmarkStart w:id="209" w:name="_Toc83"/>
      <w:bookmarkEnd w:id="208"/>
      <w:r>
        <w:rPr>
          <w:rtl w:val="true"/>
        </w:rPr>
        <w:t>توجیه ما دلّ علی تثنیة التکبیر فی أوّل الأذان</w:t>
      </w:r>
      <w:bookmarkEnd w:id="209"/>
    </w:p>
    <w:p>
      <w:pPr>
        <w:pStyle w:val="BookText"/>
        <w:rPr/>
      </w:pPr>
      <w:r>
        <w:rPr>
          <w:rFonts w:ascii="IRNazanin" w:hAnsi="IRNazanin" w:eastAsia="IRNazanin"/>
          <w:color w:val="111111"/>
          <w:sz w:val="28"/>
          <w:sz w:val="28"/>
          <w:szCs w:val="28"/>
          <w:rtl w:val="true"/>
          <w:lang w:bidi="fa-IR"/>
        </w:rPr>
        <w:t>ما عدا التکبیر علی مقتضی الأخبار لبیان ما أشرنا إلیه وإلاّ لاکتفی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یتوجه أنّ قوله علیه السلام فی خبر زرارة والفضیل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والإقامة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التکبیر مرّتان لا غیر ، ویمکن الجواب بأنّ المراد کون الإقامة مثل ما تلفّظ به لا مثل الأذان ، ولا یبعد أن یکون عدم تعداد التکبیر زیادة علی المرّتین لبیان الإقامة ، إلاّ أنّ الحال لا یخلو من إشکال بالنسبة إلی التهلیل فی آخر الإقامة فإنّه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بجواز التخییر فی آخر الإقامة بین المرّة والمرّتین ، واحتمال التخییر فی الأذان بالنسبة إلی التکبیر بین المرّتین والأربع ممکن ، لو لا دعوی الإجماع علی تربیع التکبیر فی أوّل الأذان ، وسیأتی </w:t>
      </w:r>
      <w:r>
        <w:rPr>
          <w:rStyle w:val="FootnoteAnchor"/>
          <w:rtl w:val="true"/>
        </w:rPr>
        <w:footnoteReference w:id="244"/>
      </w:r>
      <w:r>
        <w:rPr>
          <w:rFonts w:ascii="IRNazanin" w:hAnsi="IRNazanin" w:eastAsia="IRNazanin"/>
          <w:color w:val="111111"/>
          <w:sz w:val="28"/>
          <w:sz w:val="28"/>
          <w:szCs w:val="28"/>
          <w:rtl w:val="true"/>
          <w:lang w:bidi="fa-IR"/>
        </w:rPr>
        <w:t>فی بعض الأخبار أنّ الأذان مثنی مثنی ، والإقامة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فی المختلف عن الشیخ فی المبسوط والخلاف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أصحابنا من جعل فصول الإقامة مثل فصول الأذان ، وزاد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مرّتین ، ومنهم من جعل فی آخرها التکبیر أربع مرّات ، 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التهلیل فی آخر الإقامة مرّة واحدة إذا کان قد أتی بها بعد أذان ، وإن کان قد أتی بها بغیر أذان ثنّی لا إله إلاّ الله فی آخرها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خبر المعراج نوع کلام بالنظر إلی وجود ما قد یخالفه ، وقد ذکرنا الجمیع فی کتاب معاهد التنبیه علی نکت الفقیه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تخفی دلالة ظاهر خبر أبی بکر الحضرمی علی تربیع التکبیر فی الإقامة وتثنیة التهلیل فی آخرها ، وحینئذ یصلح دلیلا للقول المنقول عن الشیخ عن بعض الأصحاب ، لکن حال الخبر غیر خفیّ ، وعدم تعرّض </w:t>
      </w:r>
    </w:p>
    <w:p>
      <w:pPr>
        <w:pStyle w:val="BookText"/>
        <w:rPr/>
      </w:pPr>
      <w:r>
        <w:rPr>
          <w:rFonts w:ascii="IRNazanin" w:hAnsi="IRNazanin" w:eastAsia="IRNazanin"/>
          <w:color w:val="111111"/>
          <w:sz w:val="28"/>
          <w:sz w:val="28"/>
          <w:szCs w:val="28"/>
          <w:rtl w:val="true"/>
          <w:lang w:bidi="fa-IR"/>
        </w:rPr>
        <w:t>الشیخ هنا لذلک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فضالة ، عن معاویة بن وهب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مثنی مثنی والإقامة واحدة </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سعد بن عبد الله ، عن أحمد بن محمّد ، عن الحسین بن سعید ، عن فضالة بن أیّوب ، عن سیف بن عمیرة وصفوان بن یحیی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الإقامة مرّة مرّة إلاّ قول الله أکبر فإنّه مرّتان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هذین الخبرین ضرب من التقیة ؛ لأنّهما موافقان لمذهب بعض العامة ، ویجوز أن یکون الوجه فیهما حال الضرورة والاستعجال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یکشف عمّا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سعد بن عبد الله ، عن أحمد بن محمّد ، عن الحسین بن سعید ، عن فضالة ، عن أبی عبیدة الحذّاء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جعفر علیه السلام یکبّر واحدة واحدة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تکبّر واحدة واحدة؟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إذا کنت مستعجلا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 عن ابن أبی نجران ، عن صفوان بن مهران الجمّال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مثنی مثنی والإقامة </w:t>
      </w:r>
      <w:bookmarkStart w:id="210" w:name="pg15037_163675"/>
    </w:p>
    <w:p>
      <w:pPr>
        <w:pStyle w:val="BookText"/>
        <w:rPr/>
      </w:pPr>
      <w:bookmarkEnd w:id="210"/>
      <w:r>
        <w:rPr>
          <w:rFonts w:ascii="IRNazanin" w:hAnsi="IRNazanin" w:eastAsia="IRNazanin"/>
          <w:color w:val="111111"/>
          <w:sz w:val="28"/>
          <w:sz w:val="28"/>
          <w:szCs w:val="28"/>
          <w:rtl w:val="true"/>
          <w:lang w:bidi="fa-IR"/>
        </w:rPr>
        <w:t xml:space="preserve">مثنی مثنی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فضالة ، عن حسین بن عثمان ، عن ابن مسکان ، عن یزید مولی الحکم ، عمّن حدّثه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أقیم مثنی مثنی أحبّ إلیّ من أن أؤذّن وأقیم واحدا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 عن القاسم بن عروة ، عن برید بن معاویة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یقصّر فی السفر کما تقصّر الصلاة ، الأذان </w:t>
      </w:r>
      <w:r>
        <w:rPr>
          <w:rStyle w:val="FootnoteAnchor"/>
          <w:rtl w:val="true"/>
        </w:rPr>
        <w:footnoteReference w:id="248"/>
      </w:r>
      <w:r>
        <w:rPr>
          <w:rFonts w:ascii="Amiri" w:hAnsi="Amiri" w:eastAsia="Amiri" w:cs="Amiri"/>
          <w:color w:val="111111"/>
          <w:sz w:val="28"/>
          <w:sz w:val="28"/>
          <w:szCs w:val="28"/>
          <w:rtl w:val="true"/>
          <w:lang w:bidi="ar-SA"/>
        </w:rPr>
        <w:t xml:space="preserve">واحدا واحدا والإقامة واحدة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بن عبد الله ، عن محمّد بن الحسین ، عن جعفر بن بشیر ، عن نعمان الرازی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یجزؤک من الإقامة طاق طاق فی السفر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 صحّته بعد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والظاهر أنّ صفوان معطوف علی سیف ، فیکون فضالة راویا عن صفوان ، ولا یخفی وجود روایة فضالة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صفوان ، کما توجد روایة الحسین بن سعید عن صفوان ، فالروایة عن صفوان بواسطة ممکنة ؛ ویحتمل أن یکون العطف علی فضالة ، إلاّ أنّ المتعارف حینئذ بغیر هذا النحو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 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سعد ، عن محمّد </w:t>
      </w:r>
      <w:r>
        <w:rPr>
          <w:rStyle w:val="FootnoteAnchor"/>
          <w:rtl w:val="true"/>
        </w:rPr>
        <w:footnoteReference w:id="250"/>
      </w:r>
      <w:r>
        <w:rPr>
          <w:rFonts w:ascii="IRNazanin" w:hAnsi="IRNazanin" w:eastAsia="IRNazanin"/>
          <w:color w:val="111111"/>
          <w:sz w:val="28"/>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1" w:name="__RefHeading___Toc347706_2142443653"/>
      <w:bookmarkStart w:id="212" w:name="_Toc84"/>
      <w:bookmarkEnd w:id="211"/>
      <w:r>
        <w:rPr>
          <w:rtl w:val="true"/>
        </w:rPr>
        <w:t xml:space="preserve">تعیین المعطوف علیه فی قول الشیخ </w:t>
      </w:r>
      <w:r>
        <w:rPr>
          <w:rtl w:val="true"/>
        </w:rPr>
        <w:t xml:space="preserve">: </w:t>
      </w:r>
      <w:r>
        <w:rPr>
          <w:rtl w:val="true"/>
        </w:rPr>
        <w:t>فضالة عن سیف وصفوان</w:t>
      </w:r>
      <w:bookmarkStart w:id="213" w:name="pg15037_163676"/>
      <w:bookmarkEnd w:id="212"/>
    </w:p>
    <w:p>
      <w:pPr>
        <w:pStyle w:val="BookText"/>
        <w:rPr/>
      </w:pPr>
      <w:bookmarkEnd w:id="213"/>
      <w:r>
        <w:rPr>
          <w:rFonts w:ascii="IRNazanin" w:hAnsi="IRNazanin" w:eastAsia="IRNazanin"/>
          <w:color w:val="111111"/>
          <w:sz w:val="28"/>
          <w:sz w:val="28"/>
          <w:szCs w:val="28"/>
          <w:rtl w:val="true"/>
          <w:lang w:bidi="fa-IR"/>
        </w:rPr>
        <w:t xml:space="preserve">عن الحسین بن سعید ، عن صفوان بن یحیی ، عن عبد الله بن سنان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الرجال ، وأبو عبیدة اسمه زیاد ثقة بلا ارتیاب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Style w:val="FootnoteAnchor"/>
          <w:rtl w:val="true"/>
        </w:rPr>
        <w:footnoteReference w:id="253"/>
      </w:r>
      <w:r>
        <w:rPr>
          <w:rFonts w:ascii="IRNazanin" w:hAnsi="IRNazanin" w:eastAsia="IRNazanin"/>
          <w:color w:val="111111"/>
          <w:sz w:val="28"/>
          <w:sz w:val="28"/>
          <w:szCs w:val="28"/>
          <w:rtl w:val="true"/>
          <w:lang w:bidi="fa-IR"/>
        </w:rPr>
        <w:t>مولی الحکم ، فإنّه 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بن عروة ، وقد کرّرنا القول فیه </w:t>
      </w:r>
      <w:r>
        <w:rPr>
          <w:rStyle w:val="FootnoteAnchor"/>
          <w:rtl w:val="true"/>
        </w:rPr>
        <w:footnoteReference w:id="254"/>
      </w:r>
      <w:r>
        <w:rPr>
          <w:rFonts w:ascii="IRNazanin" w:hAnsi="IRNazanin" w:eastAsia="IRNazanin"/>
          <w:color w:val="111111"/>
          <w:sz w:val="28"/>
          <w:sz w:val="28"/>
          <w:szCs w:val="28"/>
          <w:rtl w:val="true"/>
          <w:lang w:bidi="fa-IR"/>
        </w:rPr>
        <w:t>من أنّ حاله لا یزید علی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نعمان الرازی ، وقد تقدّم عن قریب أنّه مهمل فی رجال الصادق علیه السلام من کتاب الشیخ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فیه من التقیة لا یخلو من وجه ، والشیخ أعلم بمذهب أهل الخلاف ، فما تراه الآن من عدم التکبیر مثنی مثنی من بعضهم لا یضرّ بالحال بالنسبة إلی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الحمل علی حال الضرورة والاستعجال ، فالخبر الثالث المستدل به یدل علی الأذان ، والخبران الأوّلان تضمّنا الوحدة فی الإقامة</w:t>
      </w:r>
      <w:r>
        <w:rPr>
          <w:rFonts w:eastAsia="IRNazanin" w:cs="IRNazanin"/>
          <w:color w:val="111111"/>
          <w:sz w:val="28"/>
          <w:szCs w:val="28"/>
          <w:rtl w:val="true"/>
          <w:lang w:bidi="fa-IR"/>
        </w:rPr>
        <w:t>.</w:t>
      </w:r>
    </w:p>
    <w:p>
      <w:pPr>
        <w:pStyle w:val="Heading4"/>
        <w:numPr>
          <w:ilvl w:val="3"/>
          <w:numId w:val="1"/>
        </w:numPr>
        <w:rPr/>
      </w:pPr>
      <w:bookmarkStart w:id="214" w:name="__RefHeading___Toc347708_2142443653"/>
      <w:bookmarkStart w:id="215" w:name="_Toc85"/>
      <w:bookmarkEnd w:id="214"/>
      <w:r>
        <w:rPr>
          <w:rtl w:val="true"/>
        </w:rPr>
        <w:t>أبو عبیدة الحذّاء ثقة</w:t>
      </w:r>
      <w:bookmarkEnd w:id="215"/>
    </w:p>
    <w:p>
      <w:pPr>
        <w:pStyle w:val="Heading4"/>
        <w:numPr>
          <w:ilvl w:val="3"/>
          <w:numId w:val="1"/>
        </w:numPr>
        <w:rPr/>
      </w:pPr>
      <w:bookmarkStart w:id="216" w:name="__RefHeading___Toc347710_2142443653"/>
      <w:bookmarkStart w:id="217" w:name="_Toc86"/>
      <w:bookmarkEnd w:id="216"/>
      <w:r>
        <w:rPr>
          <w:rtl w:val="true"/>
        </w:rPr>
        <w:t>یزید مولی الحکم مجهول الحال</w:t>
      </w:r>
      <w:bookmarkEnd w:id="217"/>
    </w:p>
    <w:p>
      <w:pPr>
        <w:pStyle w:val="Heading4"/>
        <w:numPr>
          <w:ilvl w:val="3"/>
          <w:numId w:val="1"/>
        </w:numPr>
        <w:rPr/>
      </w:pPr>
      <w:bookmarkStart w:id="218" w:name="__RefHeading___Toc347712_2142443653"/>
      <w:bookmarkStart w:id="219" w:name="_Toc87"/>
      <w:bookmarkEnd w:id="218"/>
      <w:r>
        <w:rPr>
          <w:rtl w:val="true"/>
        </w:rPr>
        <w:t>القاسم بن عروة مهمل</w:t>
      </w:r>
      <w:bookmarkEnd w:id="219"/>
    </w:p>
    <w:p>
      <w:pPr>
        <w:pStyle w:val="Heading4"/>
        <w:numPr>
          <w:ilvl w:val="3"/>
          <w:numId w:val="1"/>
        </w:numPr>
        <w:rPr/>
      </w:pPr>
      <w:bookmarkStart w:id="220" w:name="__RefHeading___Toc347714_2142443653"/>
      <w:bookmarkStart w:id="221" w:name="_Toc88"/>
      <w:bookmarkEnd w:id="220"/>
      <w:r>
        <w:rPr>
          <w:rtl w:val="true"/>
        </w:rPr>
        <w:t>نعمان الرازی مهمل</w:t>
      </w:r>
      <w:bookmarkEnd w:id="22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2" w:name="__RefHeading___Toc347716_2142443653"/>
      <w:bookmarkStart w:id="223" w:name="_Toc89"/>
      <w:bookmarkEnd w:id="222"/>
      <w:r>
        <w:rPr>
          <w:rtl w:val="true"/>
        </w:rPr>
        <w:t>توجیه ما دل علی الأذان مثنی مثنی والإقامة واحدة واحدة</w:t>
      </w:r>
      <w:r>
        <w:rPr>
          <w:rtl w:val="true"/>
        </w:rPr>
        <w:t>.</w:t>
      </w:r>
      <w:bookmarkStart w:id="224" w:name="pg15037_163677"/>
      <w:bookmarkEnd w:id="223"/>
    </w:p>
    <w:p>
      <w:pPr>
        <w:pStyle w:val="BookText"/>
        <w:rPr/>
      </w:pPr>
      <w:bookmarkEnd w:id="224"/>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الشیخ أتی به للاستشهاد کما هو الظاهر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حینئذ یتضمّن کون العجلة تقتضی تثنیة الأذان والإقامة ، والخبران الأوّلان یفیدان تثنیة الأذان فقط ؛ ولو أراد الشیخ أنّ الاضطرار والاستعجال یفیدان التخفیف علی قدر الإمکان ، فکان علیه البیان وما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لا یدل علی الاضطرار والاستعجال ، إلاّ بتقدیر متکلّف ، والظاهر منه أنّ الإقامة مثنی مثنی أولی من الأذان والإقامة مرّة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یحمل علی حال الضرورة والاستعجال ، نظرا إلی أنّ الأذان واحدا واحدا والإقامة کذلک یکون مع الضرورة ، ویصیر حاصل الأولویّة أنّ الإتیان بالإقامة وحدها مثنی مثنی أولی من الأذان والإقامة معا مرّة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أنّ الأذان یقصّر فی السفر ، ولا یبعد أن یخصّ بأذان المقصورة ، ویحتمل الإطلاق ، والظاهر أنّ مراد الشیخ بذکر هذا الخبر لبیان أنّ السفر من قسم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یقصّر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ما یتناول الإقامة لذکرها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أنّ الإقامة فی السفر مرّة مرّة ، أمّا تخصیص السفر بالموجب للقصر وإقامة المقصورة فممکن ممّا سبق ، مع احتمال التعمیم ، فیؤیّد احتمال إرادة التقصیر فی السابق لغیر المقصورة ، وقد تقدّم فی خبر الصباح بن سیّابة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تدع الأذان فی الصلوات کلّها ، وإن ترکته فلا تترکه فی المغرب والفجر ، فإنّه لیس فیهما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5" w:name="__RefHeading___Toc347718_2142443653"/>
      <w:bookmarkStart w:id="226" w:name="_Toc90"/>
      <w:bookmarkEnd w:id="225"/>
      <w:r>
        <w:rPr>
          <w:rtl w:val="true"/>
        </w:rPr>
        <w:t>بیان ما دل علی أنّ الأذان والإقامة یقصّران فی السفر</w:t>
      </w:r>
      <w:bookmarkEnd w:id="226"/>
    </w:p>
    <w:p>
      <w:pPr>
        <w:pStyle w:val="BookText"/>
        <w:rPr/>
      </w:pPr>
      <w:r>
        <w:rPr>
          <w:rFonts w:ascii="IRNazanin" w:hAnsi="IRNazanin" w:eastAsia="IRNazanin"/>
          <w:color w:val="111111"/>
          <w:sz w:val="28"/>
          <w:sz w:val="28"/>
          <w:szCs w:val="28"/>
          <w:rtl w:val="true"/>
          <w:lang w:bidi="fa-IR"/>
        </w:rPr>
        <w:t xml:space="preserve">تقصیر </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فإنّه یدل علی الاختصاص بالمقصورات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أنّه لو لا المشهور بین الأصحاب من تربیع التکبیر فی الأذان ، کما أنّ المشهور فی الإقامة أنّها مثنی مثنی إلاّ التهلیل فی آخرها فإنّه مرّة </w:t>
      </w:r>
      <w:r>
        <w:rPr>
          <w:rStyle w:val="FootnoteAnchor"/>
          <w:rtl w:val="true"/>
        </w:rPr>
        <w:footnoteReference w:id="257"/>
      </w:r>
      <w:r>
        <w:rPr>
          <w:rFonts w:ascii="IRNazanin" w:hAnsi="IRNazanin" w:eastAsia="IRNazanin"/>
          <w:color w:val="111111"/>
          <w:sz w:val="28"/>
          <w:sz w:val="28"/>
          <w:szCs w:val="28"/>
          <w:rtl w:val="true"/>
          <w:lang w:bidi="fa-IR"/>
        </w:rPr>
        <w:t>، لأمکن العمل بظاهر معتبر الأخبار فی التخییر ، والاحتیاط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أحمد بن الحسن ، عن الحسین ، عن حمّاد بن عیسی ، عن شعیب بن یعقوب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النداء والتثویب فی الإقامة </w:t>
      </w:r>
      <w:r>
        <w:rPr>
          <w:rStyle w:val="FootnoteAnchor"/>
          <w:rtl w:val="true"/>
        </w:rPr>
        <w:footnoteReference w:id="258"/>
      </w:r>
      <w:r>
        <w:rPr>
          <w:rFonts w:ascii="Amiri" w:hAnsi="Amiri" w:eastAsia="Amiri" w:cs="Amiri"/>
          <w:color w:val="111111"/>
          <w:sz w:val="28"/>
          <w:sz w:val="28"/>
          <w:szCs w:val="28"/>
          <w:rtl w:val="true"/>
          <w:lang w:bidi="ar-SA"/>
        </w:rPr>
        <w:t xml:space="preserve">من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الحسین بن سعید ، عن فضالة ، عن 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ینادی فی بیته بالصلاة خیر من النوم ، ولو ردّدت ذلک لم یکن به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أشبه هذین الخبرین ممّا تضمّن ذکر هذه الألفاظ فإنّها محمولة علی التقیة لإجماع الطائفة علی ترک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أیضاً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الحسین بن سعید ، عن فضالة ، وحمّاد بن عیسی </w:t>
      </w:r>
      <w:r>
        <w:rPr>
          <w:rStyle w:val="FootnoteAnchor"/>
          <w:rtl w:val="true"/>
        </w:rPr>
        <w:footnoteReference w:id="259"/>
      </w:r>
      <w:r>
        <w:rPr>
          <w:rFonts w:ascii="IRNazanin" w:hAnsi="IRNazanin" w:eastAsia="IRNazanin"/>
          <w:color w:val="111111"/>
          <w:sz w:val="28"/>
          <w:sz w:val="28"/>
          <w:szCs w:val="28"/>
          <w:rtl w:val="true"/>
          <w:lang w:bidi="fa-IR"/>
        </w:rPr>
        <w:t xml:space="preserve">،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التثویب الذی یکون بین الأذان والإقامة؟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نعرفه </w:t>
      </w:r>
      <w:r>
        <w:rPr>
          <w:rFonts w:eastAsia="IRNazanin" w:cs="IRNazanin"/>
          <w:color w:val="111111"/>
          <w:sz w:val="28"/>
          <w:szCs w:val="28"/>
          <w:rtl w:val="true"/>
          <w:lang w:bidi="fa-IR"/>
        </w:rPr>
        <w:t xml:space="preserve">». </w:t>
      </w:r>
      <w:bookmarkStart w:id="227" w:name="pg15037_163679"/>
    </w:p>
    <w:p>
      <w:pPr>
        <w:pStyle w:val="BookText"/>
        <w:rPr/>
      </w:pPr>
      <w:bookmarkEnd w:id="227"/>
      <w:r>
        <w:rPr>
          <w:rFonts w:ascii="IRNazanin" w:hAnsi="IRNazanin" w:eastAsia="IRNazanin"/>
          <w:color w:val="111111"/>
          <w:sz w:val="28"/>
          <w:sz w:val="28"/>
          <w:szCs w:val="28"/>
          <w:rtl w:val="true"/>
          <w:lang w:bidi="fa-IR"/>
        </w:rPr>
        <w:t xml:space="preserve">وروی محمّد بن علیّ بن محبوب ، عن أحمد بن محمّد ، عن عبد الرحمن بن أبی نجران ، عن حمّاد بن عیسی ، عن حریز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زرارة تفتتح الأذان بأربع تکبیرات وتختمه بتکبیرتین وتهلیلتین ، وإن شئت زدت علی التثویب حیّ علی الفلاح ،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کانت هذه اللفظة مسنونة لما سوّغ له تکریر بعض الألفاظ والعدول عنها ، علی أنّ تکرار اللفظ أیضا إنّما یجوز إذا أراد به تنبیه غیره علی الصلاة أو انتظار آخر ، وما أشبه ذلک ، یبیّن </w:t>
      </w:r>
      <w:r>
        <w:rPr>
          <w:rStyle w:val="FootnoteAnchor"/>
          <w:rtl w:val="true"/>
        </w:rPr>
        <w:footnoteReference w:id="260"/>
      </w:r>
      <w:r>
        <w:rPr>
          <w:rFonts w:ascii="IRNazanin" w:hAnsi="IRNazanin" w:eastAsia="IRNazanin"/>
          <w:color w:val="111111"/>
          <w:sz w:val="28"/>
          <w:sz w:val="28"/>
          <w:szCs w:val="28"/>
          <w:rtl w:val="true"/>
          <w:lang w:bidi="fa-IR"/>
        </w:rPr>
        <w:t xml:space="preserve">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یعقوب ، عن محمّد بن یحیی ، عن أحمد بن محمّد ، عن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أحمد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عن علیّ بن أبی حمزة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مؤذّنا أعاد فی الشهادتین وفی حیّ علی الصلاة أو حیّ علی الفلاح المرّتین والثلاث وأکثر من ذلک إذا کان إنّما یرید </w:t>
      </w:r>
      <w:r>
        <w:rPr>
          <w:rStyle w:val="FootnoteAnchor"/>
          <w:rtl w:val="true"/>
        </w:rPr>
        <w:footnoteReference w:id="262"/>
      </w:r>
      <w:r>
        <w:rPr>
          <w:rFonts w:ascii="IRNazanin" w:hAnsi="IRNazanin" w:eastAsia="IRNazanin"/>
          <w:color w:val="111111"/>
          <w:sz w:val="28"/>
          <w:sz w:val="28"/>
          <w:szCs w:val="28"/>
          <w:rtl w:val="true"/>
          <w:lang w:bidi="fa-IR"/>
        </w:rPr>
        <w:t xml:space="preserve">جماعة القوم لیجمعهم لم یکن به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أحمد بن الحسن ، وفیه اشتراک </w:t>
      </w:r>
      <w:r>
        <w:rPr>
          <w:rStyle w:val="FootnoteAnchor"/>
          <w:rtl w:val="true"/>
        </w:rPr>
        <w:footnoteReference w:id="263"/>
      </w:r>
      <w:r>
        <w:rPr>
          <w:rFonts w:ascii="IRNazanin" w:hAnsi="IRNazanin" w:eastAsia="IRNazanin"/>
          <w:color w:val="111111"/>
          <w:sz w:val="28"/>
          <w:sz w:val="28"/>
          <w:szCs w:val="28"/>
          <w:rtl w:val="true"/>
          <w:lang w:bidi="fa-IR"/>
        </w:rPr>
        <w:t xml:space="preserve">، والظهور غیر واضح من الرجال ؛ والحسین هو ابن سعید علی الظاهر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8" w:name="__RefHeading___Toc347720_2142443653"/>
      <w:bookmarkStart w:id="229" w:name="_Toc91"/>
      <w:bookmarkEnd w:id="228"/>
      <w:r>
        <w:rPr>
          <w:rtl w:val="true"/>
        </w:rPr>
        <w:t>أحمد بن الحسن مشترک</w:t>
      </w:r>
      <w:bookmarkStart w:id="230" w:name="pg15037_163680"/>
      <w:bookmarkEnd w:id="229"/>
    </w:p>
    <w:p>
      <w:pPr>
        <w:pStyle w:val="BookText"/>
        <w:rPr/>
      </w:pPr>
      <w:bookmarkEnd w:id="230"/>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الثالث والرابع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علیّ بن أحمد ، ویحتمل ابن أشیم المجهول ، وغیره فی حیّز الإمکان ، وابن محبوب فیه الحسن ، وعلیّ بن أبی حمزة البطائنی ، وأبو بصیر معلوم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یظهر من الشیخ أنّه فهم منه کون التثویب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 وفسّره بعض بالإتیان بالحیعلتین بین الأذان والإقامة </w:t>
      </w:r>
      <w:r>
        <w:rPr>
          <w:rStyle w:val="FootnoteAnchor"/>
          <w:rtl w:val="true"/>
        </w:rPr>
        <w:footnoteReference w:id="264"/>
      </w:r>
      <w:r>
        <w:rPr>
          <w:rFonts w:ascii="IRNazanin" w:hAnsi="IRNazanin" w:eastAsia="IRNazanin"/>
          <w:color w:val="111111"/>
          <w:sz w:val="28"/>
          <w:sz w:val="28"/>
          <w:szCs w:val="28"/>
          <w:rtl w:val="true"/>
          <w:lang w:bidi="fa-IR"/>
        </w:rPr>
        <w:t xml:space="preserve">، وإرادة هذا فی المقام لا وجه لها ، لکنّ الصلاة خیر من النوم ، فی الإقامة مستغرب ، والشیخ أعلم بالحال ، ولعلّ المراد بالنداء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الصوت ، وبالتثویب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العلاّمة نقل فی المختلف عن الشیخ فی المبسوط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الترجیع غیر مسنون فی الأذان ، وهو تکرار التکبیر والشهادتین فی أوّل الأذان ، فإن أراد تنبیه غیره جاز تکریر الشهادتین ، والتثویب مکروه ، وهو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 فی صلاة الغداة والعشاء ، وما عداهما لا خلاف أنّه لا تثویب فیهما ، ومثله قال فی الخلاف ،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الترجیع تکریر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العلاّمة عن المرتضی أنّ معنی التثویب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 وعن ابن إدریس أنّ التثویب تکریر الشهادتین دفعة ، لأنّه مأخوذ من ثاب إذا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العلاّمة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التثویب أو الترجیع محرّمان أو مکروهان؟</w:t>
      </w:r>
    </w:p>
    <w:p>
      <w:pPr>
        <w:pStyle w:val="Heading4"/>
        <w:numPr>
          <w:ilvl w:val="3"/>
          <w:numId w:val="1"/>
        </w:numPr>
        <w:rPr/>
      </w:pPr>
      <w:bookmarkStart w:id="231" w:name="__RefHeading___Toc347722_2142443653"/>
      <w:bookmarkStart w:id="232" w:name="_Toc92"/>
      <w:bookmarkEnd w:id="231"/>
      <w:r>
        <w:rPr>
          <w:rtl w:val="true"/>
        </w:rPr>
        <w:t>کلمة حول علی بن محمد</w:t>
      </w:r>
      <w:bookmarkEnd w:id="23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3" w:name="__RefHeading___Toc347724_2142443653"/>
      <w:bookmarkStart w:id="234" w:name="_Toc93"/>
      <w:bookmarkEnd w:id="233"/>
      <w:r>
        <w:rPr>
          <w:rtl w:val="true"/>
        </w:rPr>
        <w:t>معنی التثویب</w:t>
      </w:r>
      <w:bookmarkStart w:id="235" w:name="pg15037_163681"/>
      <w:bookmarkEnd w:id="234"/>
    </w:p>
    <w:p>
      <w:pPr>
        <w:pStyle w:val="BookText"/>
        <w:rPr/>
      </w:pPr>
      <w:bookmarkEnd w:id="235"/>
      <w:r>
        <w:rPr>
          <w:rFonts w:ascii="IRNazanin" w:hAnsi="IRNazanin" w:eastAsia="IRNazanin"/>
          <w:color w:val="111111"/>
          <w:sz w:val="28"/>
          <w:sz w:val="28"/>
          <w:szCs w:val="28"/>
          <w:rtl w:val="true"/>
          <w:lang w:bidi="fa-IR"/>
        </w:rPr>
        <w:t xml:space="preserve">اختلف علماؤنا علی قولین بعد اتفاقهم علی إباحة التثویب والترجیع للتقیّة ، والترجیع لمن أراد الإشعار </w:t>
      </w:r>
      <w:r>
        <w:rPr>
          <w:rStyle w:val="FootnoteAnchor"/>
          <w:rtl w:val="true"/>
        </w:rPr>
        <w:footnoteReference w:id="26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النص المبحوث عنه لا یأبی ما قدّمناه ، والحمل علی التقیة بتقدیر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 فی الإقامة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ظهوره فی أنّ الإمام علیه السلام کان ینادی فی بیته لا فی الأذان ، ویجوز أن یکون النداء لأجل تنبیه أهله وأولاده ، والوجه فی الأخبار حصول المطلوب من التقیّة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التثویب بین الأذان والإقامة لا یعرفه ، وقد قدّمناه من معناه أنّه الإتیان بالحیعلتین بین الأذان الإقامة ، وقد ذکره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وسمعت ما نقله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ذکره الشیخ من الاستدلال بالخبر علی التقیة لا یخلو من إجمال ؛ لأنّ التثویب إن کان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 فهو غیر معروف بین الأذان والإقامة ، فلعلّ الإمام علیه السلام قال ذلک ، لأنّه غیر المعروف بین أهل الخلاف ، ولو حمل علی إعادة الحیّعلات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 فیه دلالة علی أنّ التثویب تکرار الحیعلة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 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مسنونة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کلامه الأوّل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 کما فیه دلالة علی جواز التکریر للإشعار ، ولا یخفی أنّ حمل جمیع ما تقدّم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 مشکل فی الأخبار السابقة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6" w:name="__RefHeading___Toc347726_2142443653"/>
      <w:bookmarkStart w:id="237" w:name="_Toc94"/>
      <w:bookmarkEnd w:id="236"/>
      <w:r>
        <w:rPr>
          <w:rtl w:val="true"/>
        </w:rPr>
        <w:t>توجیه ما دلّ علی استحباب التثویب</w:t>
      </w:r>
      <w:bookmarkStart w:id="238" w:name="pg15037_163682"/>
      <w:bookmarkEnd w:id="237"/>
    </w:p>
    <w:p>
      <w:pPr>
        <w:pStyle w:val="BookText"/>
        <w:rPr/>
      </w:pPr>
      <w:bookmarkEnd w:id="238"/>
      <w:r>
        <w:rPr>
          <w:rFonts w:ascii="IRNazanin" w:hAnsi="IRNazanin" w:eastAsia="IRNazanin"/>
          <w:color w:val="111111"/>
          <w:sz w:val="28"/>
          <w:sz w:val="28"/>
          <w:szCs w:val="28"/>
          <w:rtl w:val="true"/>
          <w:lang w:bidi="fa-IR"/>
        </w:rPr>
        <w:t>کما یعرف بأدنی تأمّل ، والخبر الأخیر ظاهر فی أنّ التکرار من المؤذّن لاجتماع القوم فهو خاص فی خاص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القعود بین الأذان والإقامة فی المغرب</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 عن أبیه ، عن محمّد بن علیّ بن محبوب ، عن محمّد بن الحسین ، عن الحسن بن علیّ بن یوسف ، عن سیف بن عمیرة ، عن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فرقد </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کلّ أذانین قعدة إلاّ المغرب فإنّ بینهما نفسا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محمّد بن الحسین ، عن محمّد بن عیسی بن عبید ، عن سعدان بن مسلم ، عن إسحاق الجریری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جلس فیما بین أذان المغرب والإقامة کان کالمتشحّط بدمه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الجمع بین هذه الأخبار أنّه إذا کان أوّل الوقت جاز له أن یفصل بینهما بجلسة ، وإذا تضیّق الوقت یکتفی فی ذلک بنَفَس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علیّ بن یوسف ، وهو ابن بقاح الثقة ، وفیه الإرسال ، وابن فرقد داود وقد مضی فیه القول غیر بعید مفصّلا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سعدان بن مسلم ، وهو لا یزید علی الإهمال فی کتب</w:t>
      </w:r>
    </w:p>
    <w:p>
      <w:pPr>
        <w:pStyle w:val="Heading3"/>
        <w:numPr>
          <w:ilvl w:val="2"/>
          <w:numId w:val="1"/>
        </w:numPr>
        <w:rPr/>
      </w:pPr>
      <w:bookmarkStart w:id="239" w:name="__RefHeading___Toc347728_2142443653"/>
      <w:bookmarkStart w:id="240" w:name="_Toc95"/>
      <w:bookmarkEnd w:id="239"/>
      <w:r>
        <w:rPr>
          <w:rtl w:val="true"/>
        </w:rPr>
        <w:t>القعود بین الأذان والإقامة فی المغرب</w:t>
      </w:r>
      <w:bookmarkEnd w:id="240"/>
    </w:p>
    <w:p>
      <w:pPr>
        <w:pStyle w:val="Heading4"/>
        <w:numPr>
          <w:ilvl w:val="3"/>
          <w:numId w:val="1"/>
        </w:numPr>
        <w:rPr/>
      </w:pPr>
      <w:bookmarkStart w:id="241" w:name="__RefHeading___Toc347730_2142443653"/>
      <w:bookmarkStart w:id="242" w:name="_Toc96"/>
      <w:bookmarkEnd w:id="241"/>
      <w:r>
        <w:rPr>
          <w:rtl w:val="true"/>
        </w:rPr>
        <w:t>الحسن بن علی بن یوسف ثقة</w:t>
      </w:r>
      <w:bookmarkEnd w:id="24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3" w:name="__RefHeading___Toc347732_2142443653"/>
      <w:bookmarkStart w:id="244" w:name="_Toc97"/>
      <w:bookmarkEnd w:id="243"/>
      <w:r>
        <w:rPr>
          <w:rtl w:val="true"/>
        </w:rPr>
        <w:t>سعدان بن مسلم مهمل</w:t>
      </w:r>
      <w:bookmarkStart w:id="245" w:name="pg15037_163683"/>
      <w:bookmarkEnd w:id="244"/>
    </w:p>
    <w:p>
      <w:pPr>
        <w:pStyle w:val="BookText"/>
        <w:rPr/>
      </w:pPr>
      <w:bookmarkEnd w:id="245"/>
      <w:r>
        <w:rPr>
          <w:rFonts w:ascii="IRNazanin" w:hAnsi="IRNazanin" w:eastAsia="IRNazanin"/>
          <w:color w:val="111111"/>
          <w:sz w:val="28"/>
          <w:sz w:val="28"/>
          <w:szCs w:val="28"/>
          <w:rtl w:val="true"/>
          <w:lang w:bidi="fa-IR"/>
        </w:rPr>
        <w:t xml:space="preserve">الرجال </w:t>
      </w:r>
      <w:r>
        <w:rPr>
          <w:rStyle w:val="FootnoteAnchor"/>
          <w:rtl w:val="true"/>
        </w:rPr>
        <w:footnoteReference w:id="269"/>
      </w:r>
      <w:r>
        <w:rPr>
          <w:rFonts w:ascii="IRNazanin" w:hAnsi="IRNazanin" w:eastAsia="IRNazanin"/>
          <w:color w:val="111111"/>
          <w:sz w:val="28"/>
          <w:sz w:val="28"/>
          <w:szCs w:val="28"/>
          <w:rtl w:val="true"/>
          <w:lang w:bidi="fa-IR"/>
        </w:rPr>
        <w:t xml:space="preserve">، وإسحاق الجریری لا یبعد أن یکون هو إسحاق بن جریر المذکور بالوقف فی رجال الکاظم علیه السلام من کتاب الشیخ </w:t>
      </w:r>
      <w:r>
        <w:rPr>
          <w:rStyle w:val="FootnoteAnchor"/>
          <w:rtl w:val="true"/>
        </w:rPr>
        <w:footnoteReference w:id="270"/>
      </w:r>
      <w:r>
        <w:rPr>
          <w:rFonts w:ascii="IRNazanin" w:hAnsi="IRNazanin" w:eastAsia="IRNazanin"/>
          <w:color w:val="111111"/>
          <w:sz w:val="28"/>
          <w:sz w:val="28"/>
          <w:szCs w:val="28"/>
          <w:rtl w:val="true"/>
          <w:lang w:bidi="fa-IR"/>
        </w:rPr>
        <w:t xml:space="preserve">، والنجاشی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من غیر ذکر الوقف </w:t>
      </w:r>
      <w:r>
        <w:rPr>
          <w:rStyle w:val="FootnoteAnchor"/>
          <w:rtl w:val="true"/>
        </w:rPr>
        <w:footnoteReference w:id="271"/>
      </w:r>
      <w:r>
        <w:rPr>
          <w:rFonts w:ascii="IRNazanin" w:hAnsi="IRNazanin" w:eastAsia="IRNazanin"/>
          <w:color w:val="111111"/>
          <w:sz w:val="28"/>
          <w:sz w:val="28"/>
          <w:szCs w:val="28"/>
          <w:rtl w:val="true"/>
          <w:lang w:bidi="fa-IR"/>
        </w:rPr>
        <w:t xml:space="preserve">وقد مضی القول فی مثل هذا مرارا ، ولفظ الجریری غیر مصرّح به فی الرجال ، الاّ أنّ الظاهر من المرتبة ما قلناه ، والراوی عنه فی النجاشی ابن أبی عمیر ، أمّا روایة سعدان فقد یتخیّل فیها نوع شی‌ء ، والتسدید ممکن ، الاّ أنّ الأمر غیر ضروریّ ، 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الجوهری </w:t>
      </w:r>
      <w:r>
        <w:rPr>
          <w:rStyle w:val="FootnoteAnchor"/>
          <w:rtl w:val="true"/>
        </w:rPr>
        <w:footnoteReference w:id="272"/>
      </w:r>
      <w:r>
        <w:rPr>
          <w:rFonts w:ascii="IRNazanin" w:hAnsi="IRNazanin" w:eastAsia="IRNazanin"/>
          <w:color w:val="111111"/>
          <w:sz w:val="28"/>
          <w:sz w:val="28"/>
          <w:szCs w:val="28"/>
          <w:rtl w:val="true"/>
          <w:lang w:bidi="fa-IR"/>
        </w:rPr>
        <w:t>، وأظنّه تصحیفا ، وعلی تقدیر الصحة فهو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الخبرین واضح ، وتأویل الشیخ بعید عن الظاهر جدّا ، والتعبیر فی عبارة بعض الأصحاب بالسکتة بین أذان المغرب والإقامة هو المراد بالنَفَس </w:t>
      </w:r>
      <w:r>
        <w:rPr>
          <w:rStyle w:val="FootnoteAnchor"/>
          <w:rtl w:val="true"/>
        </w:rPr>
        <w:footnoteReference w:id="273"/>
      </w:r>
      <w:r>
        <w:rPr>
          <w:rFonts w:ascii="IRNazanin" w:hAnsi="IRNazanin" w:eastAsia="IRNazanin"/>
          <w:color w:val="111111"/>
          <w:sz w:val="28"/>
          <w:sz w:val="28"/>
          <w:szCs w:val="28"/>
          <w:rtl w:val="true"/>
          <w:lang w:bidi="fa-IR"/>
        </w:rPr>
        <w:t>، وربما یحمل الخبر الأوّل علی أنّ المغرب تزید علی غیرها بالنَفَس ، وإن کان الظاهر من الروایة اختصاصها به ، أو یفرق بین القعود والجلوس بأن یحمل الجلوس علی مسمّاه ، والعقود علی زیادة استقرار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الشیخ فی زیادات التهذیب من کتاب الصلاة ، عن سعد ، عن الحسین بن عمر بن یزید ، عن یونس بن عبد الرحمن ، عن عبد الله بن</w:t>
      </w:r>
    </w:p>
    <w:p>
      <w:pPr>
        <w:pStyle w:val="Heading4"/>
        <w:numPr>
          <w:ilvl w:val="3"/>
          <w:numId w:val="1"/>
        </w:numPr>
        <w:rPr/>
      </w:pPr>
      <w:bookmarkStart w:id="246" w:name="__RefHeading___Toc347734_2142443653"/>
      <w:bookmarkStart w:id="247" w:name="_Toc98"/>
      <w:bookmarkEnd w:id="246"/>
      <w:r>
        <w:rPr>
          <w:rtl w:val="true"/>
        </w:rPr>
        <w:t>بحث حول إسحاق الجریری</w:t>
      </w:r>
      <w:bookmarkEnd w:id="24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8" w:name="__RefHeading___Toc347736_2142443653"/>
      <w:bookmarkStart w:id="249" w:name="_Toc99"/>
      <w:bookmarkEnd w:id="248"/>
      <w:r>
        <w:rPr>
          <w:rtl w:val="true"/>
        </w:rPr>
        <w:t>بیان ما دلّ علی الفصل بین الأذان والإقامة بقعود إلّا فی المغرب فإنّ بینهما فیها نَفَساً</w:t>
      </w:r>
      <w:bookmarkEnd w:id="249"/>
    </w:p>
    <w:p>
      <w:pPr>
        <w:pStyle w:val="BookText"/>
        <w:rPr/>
      </w:pPr>
      <w:r>
        <w:rPr>
          <w:rFonts w:ascii="IRNazanin" w:hAnsi="IRNazanin" w:eastAsia="IRNazanin"/>
          <w:color w:val="111111"/>
          <w:sz w:val="28"/>
          <w:sz w:val="28"/>
          <w:szCs w:val="28"/>
          <w:rtl w:val="true"/>
          <w:lang w:bidi="fa-IR"/>
        </w:rPr>
        <w:t xml:space="preserve">مسکان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أذّن وأقام من غیر أن یفصل بینهما بجلوس </w:t>
      </w:r>
      <w:r>
        <w:rPr>
          <w:rStyle w:val="FootnoteAnchor"/>
          <w:rtl w:val="true"/>
        </w:rPr>
        <w:footnoteReference w:id="274"/>
      </w:r>
      <w:r>
        <w:rPr>
          <w:rFonts w:ascii="IRNazanin" w:hAnsi="IRNazanin" w:eastAsia="IRNazanin"/>
          <w:color w:val="111111"/>
          <w:sz w:val="28"/>
          <w:sz w:val="28"/>
          <w:szCs w:val="28"/>
          <w:rtl w:val="true"/>
          <w:lang w:bidi="fa-IR"/>
        </w:rPr>
        <w:t>، والحدیث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غیر الزیادات بطریق فیه الحسن بن شهاب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من قعود بین الأذان والإقامة </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الحسین بن سعید ، عن سلیمان بن جعفر الجعفری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افرق بین الأذان والإقامة بجلوس أو برکعتین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الحسین بن سعید ، 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القعود بین الأذان والإقامة فی الصلاة کُلّها إذا لم یکن قبل الإقامة صلاة یصلّیها </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وهذا الخبر مع صحته یدل علی أنّ الفصل یتحقّق بأیّ صلاة صلاّها الإنسان قلیلة أو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مضی </w:t>
      </w:r>
      <w:r>
        <w:rPr>
          <w:rStyle w:val="FootnoteAnchor"/>
          <w:rtl w:val="true"/>
        </w:rPr>
        <w:footnoteReference w:id="278"/>
      </w:r>
      <w:r>
        <w:rPr>
          <w:rFonts w:ascii="IRNazanin" w:hAnsi="IRNazanin" w:eastAsia="IRNazanin"/>
          <w:color w:val="111111"/>
          <w:sz w:val="28"/>
          <w:sz w:val="28"/>
          <w:szCs w:val="28"/>
          <w:rtl w:val="true"/>
          <w:lang w:bidi="fa-IR"/>
        </w:rPr>
        <w:t>فی بحث المواقیت نقل حدیث فی رکعتی الفجر ، رواه الشیخ بسند معتبر ، علی أنّه لا یکون بین الأذان والإقامة إلاّ الرکعتان ، وذکرنا احتمال إرادة رکعتی الفجر واحتمال غیرهما ، وهذا الخبر ظاهر فی مطلق الصلاة ، فالظاهر من ذاک الخبر إرادة رکعتی الفجر ، فیدلّ علی اختصاص أذان الصبح برکعتی الفجر للفصل علی سبیل الفضل بتقدیر العموم فی الفصل بغیرهما ، کما فی روایة سلیمان ، ویجوز تخصیص العموم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تضمّنه خبر ابن مسکان من عدم جلوسه علیه السلام فیحتمل أن </w:t>
      </w:r>
    </w:p>
    <w:p>
      <w:pPr>
        <w:pStyle w:val="BookText"/>
        <w:rPr/>
      </w:pPr>
      <w:r>
        <w:rPr>
          <w:rFonts w:ascii="IRNazanin" w:hAnsi="IRNazanin" w:eastAsia="IRNazanin"/>
          <w:color w:val="111111"/>
          <w:sz w:val="28"/>
          <w:sz w:val="28"/>
          <w:szCs w:val="28"/>
          <w:rtl w:val="true"/>
          <w:lang w:bidi="fa-IR"/>
        </w:rPr>
        <w:t xml:space="preserve">یکون علیه السلام فصّل بغیره ، أو لبیان الجواز کما قیل </w:t>
      </w:r>
      <w:r>
        <w:rPr>
          <w:rStyle w:val="FootnoteAnchor"/>
          <w:rtl w:val="true"/>
        </w:rPr>
        <w:footnoteReference w:id="279"/>
      </w:r>
      <w:r>
        <w:rPr>
          <w:rFonts w:ascii="IRNazanin" w:hAnsi="IRNazanin" w:eastAsia="IRNazanin"/>
          <w:color w:val="111111"/>
          <w:sz w:val="28"/>
          <w:sz w:val="28"/>
          <w:szCs w:val="28"/>
          <w:rtl w:val="true"/>
          <w:lang w:bidi="fa-IR"/>
        </w:rPr>
        <w:t>، وفیه نوع تأمّل ؛ لأنّ بیان الجواز فی المستحب غیر ظاهر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الأخبار المعدود فی الموثّق أنّه سئل علیه السلام ما الذی یجزئ من التسبیح بین الأذان والإقامة؟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فی التهذیب بسند فیه الحسین بن راشد وجعفر بن محمّد بن یقطین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 فی الرجال </w:t>
      </w:r>
      <w:r>
        <w:rPr>
          <w:rStyle w:val="FootnoteAnchor"/>
          <w:rtl w:val="true"/>
        </w:rPr>
        <w:footnoteReference w:id="282"/>
      </w:r>
      <w:r>
        <w:rPr>
          <w:rFonts w:ascii="IRNazanin" w:hAnsi="IRNazanin" w:eastAsia="IRNazanin"/>
          <w:color w:val="111111"/>
          <w:sz w:val="28"/>
          <w:sz w:val="28"/>
          <w:szCs w:val="28"/>
          <w:rtl w:val="true"/>
          <w:lang w:bidi="fa-IR"/>
        </w:rPr>
        <w:t xml:space="preserve">،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علیه فیها ، ومع ذلک فهو مرفوع مضمر ، إلاّ أنّ التساهل فی السنن لو تمّ دلیله کفی فی العمل به ، وقد قدّمنا فیه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الرجل إذا فرغ من الأذان وجلس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قلبی 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وعیشی قارّا </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ورزقی دارّا واجعل لی عند قبر رسول الله صلی الله علیه و آله قرارا ومستقرّا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هذا آخر الجزء الثانی من کتاب استقصاء الاعتبار فی شرح الاستبصار </w:t>
      </w:r>
      <w:r>
        <w:rPr>
          <w:rStyle w:val="FootnoteAnchor"/>
          <w:rtl w:val="true"/>
        </w:rPr>
        <w:footnoteReference w:id="284"/>
      </w:r>
      <w:r>
        <w:rPr>
          <w:rFonts w:ascii="IRNazanin" w:hAnsi="IRNazanin" w:eastAsia="IRNazanin"/>
          <w:color w:val="111111"/>
          <w:sz w:val="28"/>
          <w:sz w:val="28"/>
          <w:szCs w:val="28"/>
          <w:rtl w:val="true"/>
          <w:lang w:bidi="fa-IR"/>
        </w:rPr>
        <w:t>والله المسؤول أن یوفّق لإکماله بجاه محمّد المصطفی وآله ، وأن یجعل سعینا مصروفا فیما یرضیه عنّا من الأعمال ، ویدفع عنّا بمنّه عظائم الأخطار والأهوال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اتّفق بتوفیق الله الابتداء والانتهاء فی مشهد سیّد الشهداء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وخامس أصحاب العباء علیه وعلی جدّه وأبیه وأخیه والتسعة من ذراریه أفضل الصلاة والسلام ، وکان الختام یوم الثلاثاء الثامن والعشرین من شهر صفر ختم بالخیر والظفر من شهور السنة السادسة والعشرین بعد الألف الهجریة علی من شرّفت به أکمل التحیّة ، وکتب مؤلّفه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زین الدین العاملی عاملهم الله بلطفه وکرمه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وبه الاستعانة وعلیه التکلان</w:t>
      </w:r>
    </w:p>
    <w:p>
      <w:pPr>
        <w:pStyle w:val="BookText"/>
        <w:rPr/>
      </w:pPr>
      <w:r>
        <w:rPr>
          <w:rFonts w:ascii="IRNazanin" w:hAnsi="IRNazanin" w:eastAsia="IRNazanin"/>
          <w:color w:val="111111"/>
          <w:sz w:val="28"/>
          <w:sz w:val="28"/>
          <w:szCs w:val="28"/>
          <w:rtl w:val="true"/>
          <w:lang w:bidi="fa-IR"/>
        </w:rPr>
        <w:t>الحمد لله علی آلائه والصلاة علی أشرف أنبیائه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أکرم أحبّائه </w:t>
      </w:r>
      <w:r>
        <w:rPr>
          <w:rStyle w:val="FootnoteAnchor"/>
          <w:rtl w:val="true"/>
        </w:rPr>
        <w:footnoteReference w:id="28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5037_163689"/>
      <w:bookmarkStart w:id="251" w:name="pg15037_163689"/>
      <w:bookmarkEnd w:id="251"/>
    </w:p>
    <w:p>
      <w:pPr>
        <w:pStyle w:val="BookText"/>
        <w:rPr/>
      </w:pPr>
      <w:bookmarkStart w:id="252" w:name="pg15037_163689"/>
      <w:bookmarkEnd w:id="25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کیفیّة الصلاة من فاتحتها إلی خاتمتها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وجوب قراءة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الحسین بن سعید </w:t>
      </w:r>
      <w:r>
        <w:rPr>
          <w:rStyle w:val="FootnoteAnchor"/>
          <w:rtl w:val="true"/>
        </w:rPr>
        <w:footnoteReference w:id="286"/>
      </w:r>
      <w:r>
        <w:rPr>
          <w:rFonts w:ascii="IRNazanin" w:hAnsi="IRNazanin" w:eastAsia="IRNazanin"/>
          <w:color w:val="111111"/>
          <w:sz w:val="28"/>
          <w:sz w:val="28"/>
          <w:szCs w:val="28"/>
          <w:rtl w:val="true"/>
          <w:lang w:bidi="fa-IR"/>
        </w:rPr>
        <w:t xml:space="preserve">، عن فضالة ، عن العلاء ، عن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الذی لا یقرأ فاتحة </w:t>
      </w:r>
      <w:r>
        <w:rPr>
          <w:rStyle w:val="FootnoteAnchor"/>
          <w:rtl w:val="true"/>
        </w:rPr>
        <w:footnoteReference w:id="287"/>
      </w:r>
      <w:r>
        <w:rPr>
          <w:rFonts w:ascii="IRNazanin" w:hAnsi="IRNazanin" w:eastAsia="IRNazanin"/>
          <w:color w:val="111111"/>
          <w:sz w:val="28"/>
          <w:sz w:val="28"/>
          <w:szCs w:val="28"/>
          <w:rtl w:val="true"/>
          <w:lang w:bidi="fa-IR"/>
        </w:rPr>
        <w:t xml:space="preserve">الکتاب فی صلاته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w:t>
      </w:r>
      <w:r>
        <w:rPr>
          <w:rStyle w:val="FootnoteAnchor"/>
          <w:rtl w:val="true"/>
        </w:rPr>
        <w:footnoteReference w:id="288"/>
      </w:r>
      <w:r>
        <w:rPr>
          <w:rFonts w:ascii="IRNazanin" w:hAnsi="IRNazanin" w:eastAsia="IRNazanin"/>
          <w:color w:val="111111"/>
          <w:sz w:val="28"/>
          <w:sz w:val="28"/>
          <w:szCs w:val="28"/>
          <w:rtl w:val="true"/>
          <w:lang w:bidi="fa-IR"/>
        </w:rPr>
        <w:t xml:space="preserve">إلاّ بقراءتها فی جهر أو إخفات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أحبّ إلیک إذا کان خائفا أو مستعجلا یقرأ سورة أو فاتحة الکتاب؟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فاتحة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النضر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فرض من الصلاة الرکوع والسجود ألا تری لو أنّ رجلا دخل فی الإسلام لا یحسن </w:t>
      </w:r>
      <w:r>
        <w:rPr>
          <w:rStyle w:val="FootnoteAnchor"/>
          <w:rtl w:val="true"/>
        </w:rPr>
        <w:footnoteReference w:id="289"/>
      </w:r>
      <w:r>
        <w:rPr>
          <w:rFonts w:ascii="IRNazanin" w:hAnsi="IRNazanin" w:eastAsia="IRNazanin"/>
          <w:color w:val="111111"/>
          <w:sz w:val="28"/>
          <w:sz w:val="28"/>
          <w:szCs w:val="28"/>
          <w:rtl w:val="true"/>
          <w:lang w:bidi="fa-IR"/>
        </w:rPr>
        <w:t xml:space="preserve">یقرأ القرآن أجزأه أن یکبّر ویسبّح ویصلّی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 نحمله علی من لم یحسن فاتحة الکتاب حسب ما تضمّنه ، ویکون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فرض من الصلاة الرکوع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فرضا إذا ترکه عامدا أو ساهیا کان علیه إعادة الصلاة ؛ لأنّهما رکنان ، ولیس کذلک القراءة ، لأنّه لیس علی من</w:t>
      </w:r>
    </w:p>
    <w:p>
      <w:pPr>
        <w:pStyle w:val="Heading2"/>
        <w:numPr>
          <w:ilvl w:val="1"/>
          <w:numId w:val="1"/>
        </w:numPr>
        <w:rPr/>
      </w:pPr>
      <w:bookmarkStart w:id="253" w:name="__RefHeading___Toc347738_2142443653"/>
      <w:bookmarkStart w:id="254" w:name="_Toc100"/>
      <w:bookmarkEnd w:id="253"/>
      <w:r>
        <w:rPr>
          <w:rtl w:val="true"/>
        </w:rPr>
        <w:t>أبواب کیفیّة الصلاة من فاتحتها إلی خاتمتها</w:t>
      </w:r>
      <w:bookmarkEnd w:id="254"/>
    </w:p>
    <w:p>
      <w:pPr>
        <w:pStyle w:val="Heading3"/>
        <w:numPr>
          <w:ilvl w:val="2"/>
          <w:numId w:val="1"/>
        </w:numPr>
        <w:rPr/>
      </w:pPr>
      <w:bookmarkStart w:id="255" w:name="__RefHeading___Toc347740_2142443653"/>
      <w:bookmarkStart w:id="256" w:name="_Toc101"/>
      <w:bookmarkEnd w:id="255"/>
      <w:r>
        <w:rPr>
          <w:rtl w:val="true"/>
        </w:rPr>
        <w:t>وجوب قراءة الحمد</w:t>
      </w:r>
      <w:bookmarkEnd w:id="25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7" w:name="__RefHeading___Toc347742_2142443653"/>
      <w:bookmarkStart w:id="258" w:name="_Toc102"/>
      <w:bookmarkEnd w:id="257"/>
      <w:r>
        <w:rPr>
          <w:rtl w:val="true"/>
        </w:rPr>
        <w:t>اشارة</w:t>
      </w:r>
      <w:bookmarkStart w:id="259" w:name="pg15037_163690"/>
      <w:bookmarkEnd w:id="258"/>
    </w:p>
    <w:p>
      <w:pPr>
        <w:pStyle w:val="BookText"/>
        <w:rPr/>
      </w:pPr>
      <w:bookmarkEnd w:id="259"/>
      <w:r>
        <w:rPr>
          <w:rFonts w:ascii="IRNazanin" w:hAnsi="IRNazanin" w:eastAsia="IRNazanin"/>
          <w:color w:val="111111"/>
          <w:sz w:val="28"/>
          <w:sz w:val="28"/>
          <w:szCs w:val="28"/>
          <w:rtl w:val="true"/>
          <w:lang w:bidi="fa-IR"/>
        </w:rPr>
        <w:t>نسی القراءة حتی دخل الرکوع إعادة الصلاة ، وکان الفرق بینهما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الخبرین واضح الحال ، لمعلومیّة جلالة رجالهما ممّا تقدّم </w:t>
      </w:r>
      <w:r>
        <w:rPr>
          <w:rStyle w:val="FootnoteAnchor"/>
          <w:rtl w:val="true"/>
        </w:rPr>
        <w:footnoteReference w:id="290"/>
      </w:r>
      <w:r>
        <w:rPr>
          <w:rFonts w:ascii="IRNazanin" w:hAnsi="IRNazanin" w:eastAsia="IRNazanin"/>
          <w:color w:val="111111"/>
          <w:sz w:val="28"/>
          <w:sz w:val="28"/>
          <w:szCs w:val="28"/>
          <w:rtl w:val="true"/>
          <w:lang w:bidi="fa-IR"/>
        </w:rPr>
        <w:t xml:space="preserve">من المقال ، والنضر فی الثانی هو ابن سوید علی الظاهر من الممارسة ، والتصریح فی الرجال </w:t>
      </w:r>
      <w:r>
        <w:rPr>
          <w:rStyle w:val="FootnoteAnchor"/>
          <w:rtl w:val="true"/>
        </w:rPr>
        <w:footnoteReference w:id="291"/>
      </w:r>
      <w:r>
        <w:rPr>
          <w:rFonts w:ascii="IRNazanin" w:hAnsi="IRNazanin" w:eastAsia="IRNazanin"/>
          <w:color w:val="111111"/>
          <w:sz w:val="28"/>
          <w:sz w:val="28"/>
          <w:szCs w:val="28"/>
          <w:rtl w:val="true"/>
          <w:lang w:bidi="fa-IR"/>
        </w:rPr>
        <w:t>بروایة الحسین بن سعید عن النضر بن سوید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روایة الحسین بن سعید عن فضالة فی الأوّل فقد قدّمنا </w:t>
      </w:r>
      <w:r>
        <w:rPr>
          <w:rStyle w:val="FootnoteAnchor"/>
          <w:rtl w:val="true"/>
        </w:rPr>
        <w:footnoteReference w:id="292"/>
      </w:r>
      <w:r>
        <w:rPr>
          <w:rFonts w:ascii="IRNazanin" w:hAnsi="IRNazanin" w:eastAsia="IRNazanin"/>
          <w:color w:val="111111"/>
          <w:sz w:val="28"/>
          <w:sz w:val="28"/>
          <w:szCs w:val="28"/>
          <w:rtl w:val="true"/>
          <w:lang w:bidi="fa-IR"/>
        </w:rPr>
        <w:t xml:space="preserve">فیه القول ، حیث إنّ النجاشی نقل روایة </w:t>
      </w:r>
      <w:r>
        <w:rPr>
          <w:rStyle w:val="FootnoteAnchor"/>
          <w:rtl w:val="true"/>
        </w:rPr>
        <w:footnoteReference w:id="293"/>
      </w:r>
      <w:r>
        <w:rPr>
          <w:rFonts w:ascii="IRNazanin" w:hAnsi="IRNazanin" w:eastAsia="IRNazanin"/>
          <w:color w:val="111111"/>
          <w:sz w:val="28"/>
          <w:sz w:val="28"/>
          <w:szCs w:val="28"/>
          <w:rtl w:val="true"/>
          <w:lang w:bidi="fa-IR"/>
        </w:rPr>
        <w:t xml:space="preserve">أنّ ما یرویه الحسین بن سعید عن فضالة فهو غلط ، إنّما هو الحسن عن فضالة ؛ لأنّ الحسین لم یلقَ فضالة ، وأن أخاه الحسن تفرّد بفضالة دون الحسین ، ورأیت الجماعة تروی بأسانید مختلفة الطرق عن الحسین بن سعید عن فضالة ، والله أعلم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 من کلام النجاشی ، ویحتمل أن یکون من تتمّة کلام الراوی وهو الحسین بن محمّد </w:t>
      </w:r>
      <w:r>
        <w:rPr>
          <w:rStyle w:val="FootnoteAnchor"/>
          <w:rtl w:val="true"/>
        </w:rPr>
        <w:footnoteReference w:id="295"/>
      </w:r>
      <w:r>
        <w:rPr>
          <w:rFonts w:ascii="IRNazanin" w:hAnsi="IRNazanin" w:eastAsia="IRNazanin"/>
          <w:color w:val="111111"/>
          <w:sz w:val="28"/>
          <w:sz w:val="28"/>
          <w:szCs w:val="28"/>
          <w:rtl w:val="true"/>
          <w:lang w:bidi="fa-IR"/>
        </w:rPr>
        <w:t>بن یزید السورائی ، والراوی عن هذا الحسین أبو الحسن البغدادی السورائی ، والرجلان غیر معلومی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ترجمة الحسن بن سعید قال النجاشی ما ذکره الحسین بن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0" w:name="__RefHeading___Toc347744_2142443653"/>
      <w:bookmarkStart w:id="261" w:name="_Toc103"/>
      <w:bookmarkEnd w:id="260"/>
      <w:r>
        <w:rPr>
          <w:rtl w:val="true"/>
        </w:rPr>
        <w:t>بحث حول روایة الحسین بن سعید عن فضالة</w:t>
      </w:r>
      <w:bookmarkStart w:id="262" w:name="pg15037_163691"/>
      <w:bookmarkEnd w:id="261"/>
    </w:p>
    <w:p>
      <w:pPr>
        <w:pStyle w:val="BookText"/>
        <w:rPr/>
      </w:pPr>
      <w:bookmarkEnd w:id="262"/>
      <w:r>
        <w:rPr>
          <w:rFonts w:ascii="IRNazanin" w:hAnsi="IRNazanin" w:eastAsia="IRNazanin"/>
          <w:color w:val="111111"/>
          <w:sz w:val="28"/>
          <w:sz w:val="28"/>
          <w:szCs w:val="28"/>
          <w:rtl w:val="true"/>
          <w:lang w:bidi="fa-IR"/>
        </w:rPr>
        <w:t xml:space="preserve">محمّد السورائی علی سبیل الجزم </w:t>
      </w:r>
      <w:r>
        <w:rPr>
          <w:rStyle w:val="FootnoteAnchor"/>
          <w:rtl w:val="true"/>
        </w:rPr>
        <w:footnoteReference w:id="296"/>
      </w:r>
      <w:r>
        <w:rPr>
          <w:rFonts w:ascii="IRNazanin" w:hAnsi="IRNazanin" w:eastAsia="IRNazanin"/>
          <w:color w:val="111111"/>
          <w:sz w:val="28"/>
          <w:sz w:val="28"/>
          <w:szCs w:val="28"/>
          <w:rtl w:val="true"/>
          <w:lang w:bidi="fa-IR"/>
        </w:rPr>
        <w:t xml:space="preserve">، وفی فضالة بن أیّوب ذکرها روایة عمّن </w:t>
      </w:r>
      <w:r>
        <w:rPr>
          <w:rStyle w:val="FootnoteAnchor"/>
          <w:rtl w:val="true"/>
        </w:rPr>
        <w:footnoteReference w:id="297"/>
      </w:r>
      <w:r>
        <w:rPr>
          <w:rFonts w:ascii="IRNazanin" w:hAnsi="IRNazanin" w:eastAsia="IRNazanin"/>
          <w:color w:val="111111"/>
          <w:sz w:val="28"/>
          <w:sz w:val="28"/>
          <w:szCs w:val="28"/>
          <w:rtl w:val="true"/>
          <w:lang w:bidi="fa-IR"/>
        </w:rPr>
        <w:t xml:space="preserve">ذکرناه ، ولعلّ توسّط الحسن لا یضرّ بالحال ، لکونه یصیر معلوما ، ویظهر من الشیخ فی الفهرست عدم الالتفات إلی هذا ؛ لأنّه إنّما ذکر اختصاص الحسن بزرعة وسماعة فقط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أنّه لا صلاة إلاّ بقراءة فاتحة الکتاب ، وقد تقرّر فی الأُصول أنّ المنفیّ فی مثل هذا الصلاة الصحیحة لا الکاملة </w:t>
      </w:r>
      <w:r>
        <w:rPr>
          <w:rStyle w:val="FootnoteAnchor"/>
          <w:rtl w:val="true"/>
        </w:rPr>
        <w:footnoteReference w:id="299"/>
      </w:r>
      <w:r>
        <w:rPr>
          <w:rFonts w:ascii="IRNazanin" w:hAnsi="IRNazanin" w:eastAsia="IRNazanin"/>
          <w:color w:val="111111"/>
          <w:sz w:val="28"/>
          <w:sz w:val="28"/>
          <w:szCs w:val="28"/>
          <w:rtl w:val="true"/>
          <w:lang w:bidi="fa-IR"/>
        </w:rPr>
        <w:t>، علی وجه یغنی عن الذکر هنا ، غیر أنّه یمکن ادعاء ظهور مثل هذا المتن فی البطلان من حیث السؤال ، وإن کان باب الاحتمال واسعا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جهر أو إخفات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فی الصلاة الجهریّة والإخفاتیّة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القراءة جهرا أو إخفاتا فی کل من الصلاتین ، والفائدة تظهر عند القائلین بالتخییر فی الصلوات بین الجهر والإخفات </w:t>
      </w:r>
      <w:r>
        <w:rPr>
          <w:rStyle w:val="FootnoteAnchor"/>
          <w:rtl w:val="true"/>
        </w:rPr>
        <w:footnoteReference w:id="300"/>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تضمّنه الخبر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أیّهما أحبّ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اقتضی بظاهره عدم وجوب الفاتحة للمستعجل والخائف نظرا إلی أنّ الأحبّ یستعمل فی الأفضل ، إلاّ أنّ إرادة الوجوب من الأحبّ لا مانع منها ، وأظنّ</w:t>
      </w:r>
    </w:p>
    <w:p>
      <w:pPr>
        <w:pStyle w:val="Heading4"/>
        <w:numPr>
          <w:ilvl w:val="3"/>
          <w:numId w:val="1"/>
        </w:numPr>
        <w:rPr/>
      </w:pPr>
      <w:bookmarkStart w:id="263" w:name="__RefHeading___Toc347746_2142443653"/>
      <w:bookmarkStart w:id="264" w:name="_Toc104"/>
      <w:bookmarkEnd w:id="263"/>
      <w:r>
        <w:rPr>
          <w:rtl w:val="true"/>
        </w:rPr>
        <w:t>بیان ما دلّ علی أنه لا صلاة إلّا بفاتحة الکتاب فی جهر أو إخفات</w:t>
      </w:r>
      <w:bookmarkEnd w:id="26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5" w:name="__RefHeading___Toc347748_2142443653"/>
      <w:bookmarkStart w:id="266" w:name="_Toc105"/>
      <w:bookmarkEnd w:id="265"/>
      <w:r>
        <w:rPr>
          <w:rtl w:val="true"/>
        </w:rPr>
        <w:t>توجیه ما دل علی عدم وجوب الفاتحة علی الخائف والمستعجل</w:t>
      </w:r>
      <w:bookmarkEnd w:id="266"/>
    </w:p>
    <w:p>
      <w:pPr>
        <w:pStyle w:val="BookText"/>
        <w:rPr/>
      </w:pPr>
      <w:r>
        <w:rPr>
          <w:rFonts w:ascii="IRNazanin" w:hAnsi="IRNazanin" w:eastAsia="IRNazanin"/>
          <w:color w:val="111111"/>
          <w:sz w:val="28"/>
          <w:sz w:val="28"/>
          <w:szCs w:val="28"/>
          <w:rtl w:val="true"/>
          <w:lang w:bidi="fa-IR"/>
        </w:rPr>
        <w:t xml:space="preserve">الاستعمال موجودا فی الأخبار ، لکن لا یحضرنی الآن خصوص محلّه ، وعلی کل حال فالإجماع علی وجوب الفاتحة کما نقله فی المنتهی </w:t>
      </w:r>
      <w:r>
        <w:rPr>
          <w:rStyle w:val="FootnoteAnchor"/>
          <w:rtl w:val="true"/>
        </w:rPr>
        <w:footnoteReference w:id="301"/>
      </w:r>
      <w:r>
        <w:rPr>
          <w:rFonts w:ascii="Amiri" w:hAnsi="Amiri" w:eastAsia="Amiri" w:cs="Amiri"/>
          <w:color w:val="111111"/>
          <w:sz w:val="28"/>
          <w:sz w:val="28"/>
          <w:szCs w:val="28"/>
          <w:rtl w:val="true"/>
          <w:lang w:bidi="ar-SA"/>
        </w:rPr>
        <w:t>یسهّل الخطب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المدّعی لا یخلو من إجمال ، ولا مانع من تخصیصه بتقدیر العموم بغیر المستعجل والخائف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القائل بهذا غیر معلوم ، بل الظاهر انتفاؤه ، والعبارة المنقولة عن المنتهی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ویتعیّن الحمد فی کلّ ثنائیّة وفی الأولیین من الثلاثیّة والرباعیّة ، ذهب إلیه علمائنا أجمع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خفی الظهور فی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من أنّ الخبر المبحوث عنه کما یحتمل ما ذکر یحتمل أن یراد أنّه هل الأولی للخائف والمستعجل الفاتحة فقط ، أو هی مع السورة؟ وحینئذ یبقی دلالة الأحبّ علی الأفضل ؛ إذ المراد أنّ الأفضل الاقتصار علی الحمد ، لا أنّ الحمد مستحبة ، والفرق بین الأمرین أنّ المراد هنا بالأحبّ کون الحمد وحدها أفضل الفردین الواجبین علی تقدیر وجوب السورة ، وعلی تقدیر استحبابها تکون الحمد أفضل وحدها ، بمعنی تحقّق الکمال بها علی الأکملیّة علی الحمد والسورة ، علی أنّه یجوز أن یراد بالأحبّ مجرّد الکمال بوجه </w:t>
      </w:r>
      <w:r>
        <w:rPr>
          <w:rStyle w:val="FootnoteAnchor"/>
          <w:rtl w:val="true"/>
        </w:rPr>
        <w:footnoteReference w:id="303"/>
      </w:r>
      <w:r>
        <w:rPr>
          <w:rFonts w:ascii="IRNazanin" w:hAnsi="IRNazanin" w:eastAsia="IRNazanin"/>
          <w:color w:val="111111"/>
          <w:sz w:val="28"/>
          <w:sz w:val="28"/>
          <w:szCs w:val="28"/>
          <w:rtl w:val="true"/>
          <w:lang w:bidi="fa-IR"/>
        </w:rPr>
        <w:t>یساوی قراءة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الظاهر خلاف ما ذکر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أفضلیّة الحمد وحدها للمذکورین إن أرید به مع </w:t>
      </w:r>
      <w:bookmarkStart w:id="267" w:name="pg15037_163693"/>
    </w:p>
    <w:p>
      <w:pPr>
        <w:pStyle w:val="BookText"/>
        <w:rPr/>
      </w:pPr>
      <w:bookmarkEnd w:id="267"/>
      <w:r>
        <w:rPr>
          <w:rFonts w:ascii="IRNazanin" w:hAnsi="IRNazanin" w:eastAsia="IRNazanin"/>
          <w:color w:val="111111"/>
          <w:sz w:val="28"/>
          <w:sz w:val="28"/>
          <w:szCs w:val="28"/>
          <w:rtl w:val="true"/>
          <w:lang w:bidi="fa-IR"/>
        </w:rPr>
        <w:t xml:space="preserve">إمکان الإتیان بالسورة فلا وجه لکون الترک أفضل ، وإن أُرید مع عدم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لافضلیّته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یراد مع عدم الإمکان </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ویکون الأحبّ إخبارا عن أنّ مثل هذه الضرورة تصیّر الفاتحة أفضل ، والنسبة إلی عدم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الفرد ممکنا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فی مثل أفضلیّة البقاع فی الصلاة ، فإنّها شاملة لمن لم یتمکّن من الفعل فیها ، کما قدّمناه فی الجزء الثانی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بُعد التوجیه بل عدم استقامته ، وقد قدّمنا ما یقتضی الجواب عن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تحقّق الکمال بالفاتحة علی تقدیر استحباب السورة لا یلیق بحکمة الشارع ، وبالجملة فالاحتمالات البعیدة ترکها أولی من ذکرها ، وإنّما تعرّضنا لذلک لدفع احتمال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فی بعض الأخبار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الاکتفاء بالفاتحة عن السورة فی الجملة ، فتکون مستحبة ، وهذا الخبر کما تری یدل علی أنّ الخائف والمستعجل ، الفاتحة له أفضل من السورة ، أمّا إجزاء الفاتحة وحدها فالظاهر من الخبر استفادته ، وإن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یدلّ علیه ترجیح الفاتحة علی قراءة السورة عوضا عن الفاتحة ، أمّا کون قراءة الفاتحة تکفی عن السورة أم لا فأمر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التهذیب روی عن سعد بن عبد الله ، عن أحمد بن محمّد ، عن الحسن بن محبوب ، عن علی بن رئاب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8" w:name="__RefHeading___Toc347750_2142443653"/>
      <w:bookmarkStart w:id="269" w:name="_Toc106"/>
      <w:bookmarkEnd w:id="268"/>
      <w:r>
        <w:rPr>
          <w:rtl w:val="true"/>
        </w:rPr>
        <w:t>هل یکتفی بفاتحة الکتاب عن السورة؟</w:t>
      </w:r>
      <w:bookmarkStart w:id="270" w:name="pg15037_163694"/>
      <w:bookmarkEnd w:id="269"/>
    </w:p>
    <w:p>
      <w:pPr>
        <w:pStyle w:val="BookText"/>
        <w:rPr/>
      </w:pPr>
      <w:bookmarkEnd w:id="270"/>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فاتحة الکتاب تجوز وحدها فی الفریضة </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الحسن بن محبوب ، عن علیّ بن رئاب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فاتحة الکتاب تجزئ وحدها فی الفریضة </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حمل الخبرین علی الضرورة لمعارضة بعض الأخبار ، وقد ذکرنا فی حواشی التهذیب ما لا بدّ منه ، وسیأتی فی آخر الباب الآتی فی أنه لا یقرأ بأقلّ من سورة ، ذکر المهمّ فی هذا الکتاب إن شاء الله تعالی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الخبر المبحوث عنه یلوح منه کون الصلاة یراد بها الفریضة ؛ إذ الجهر والإخفات وإن تحقّقا فی نوافل اللیل والنهار علی ما فی بعض الأخبار ، إلاّ أنّ الانصراف إلی الفریضة ربّما یدّعی له نوع تبادر ، ولو شک فی ذلک ربّما یدل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أحبّ إلیک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الفرائض ، ولو أرید النوافل بهذا لزم کون مورد الخبر جمیعه النوافل ، فلا یتمّ الاستدلال به ، ومن هنا یعلم أنّ الاستدلال به علی شرطیّة الفاتحة فی النوافل لا وجه له ، وقد وقع الخلاف فی الشرطیّة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العلاّمة فی التذکرة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وجوب الفاتحة فی النافلة محتجّا بالأصل </w:t>
      </w:r>
      <w:r>
        <w:rPr>
          <w:rStyle w:val="FootnoteAnchor"/>
          <w:rtl w:val="true"/>
        </w:rPr>
        <w:footnoteReference w:id="308"/>
      </w:r>
      <w:r>
        <w:rPr>
          <w:rFonts w:ascii="IRNazanin" w:hAnsi="IRNazanin" w:eastAsia="IRNazanin"/>
          <w:color w:val="111111"/>
          <w:sz w:val="28"/>
          <w:sz w:val="28"/>
          <w:szCs w:val="28"/>
          <w:rtl w:val="true"/>
          <w:lang w:bidi="fa-IR"/>
        </w:rPr>
        <w:t xml:space="preserve">، وعن الشهید فی الذکری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بالمعنی المصطلح فهو حق ، لأنّ الأصل إذا لم یکن واجبا لا یجب أجزاؤه ، وإن أراد الوجوب المطلق لیدخل فیه الوجوب بمعنی الشرط بحیث ینعقد النافلة من دون الحمد فممنوع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1" w:name="__RefHeading___Toc347752_2142443653"/>
      <w:bookmarkStart w:id="272" w:name="_Toc107"/>
      <w:bookmarkEnd w:id="271"/>
      <w:r>
        <w:rPr>
          <w:rtl w:val="true"/>
        </w:rPr>
        <w:t>هل الحمد شرط فی النوافل؟</w:t>
      </w:r>
      <w:bookmarkEnd w:id="272"/>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الشرطیّة متوقفة علی الدلیل ، والأصل یقتضی عدمها ، فالاستدلال من العلاّمة بالأصل لا وجه لمنعه ، غایة الأمر أنّ انعقاد النافلة بدون الفاتحة یتوقّف علی الدلیل ، وعموم فعل النافلة یتناول ما یقع بالفاتحة وعدمها ، والمنع حینئذ یندفع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مراد الشهید هو الثانی ، لما هو معلوم من أنّ حقیقة المنع طلب الدلیل ، وما ذکر من العمومات محل تأمّل ؛ لأنّ العبادة متلقّاة من الشارع ، فما لم یقم دلیل علی الاکتفاء بغیر الفاتحة لم یحکم بانعقاد النافلة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فی الآیة الشریفة </w:t>
      </w:r>
      <w:r>
        <w:rPr>
          <w:rStyle w:val="FootnoteAnchor"/>
          <w:rtl w:val="true"/>
        </w:rPr>
        <w:footnoteReference w:id="310"/>
      </w:r>
      <w:r>
        <w:rPr>
          <w:rFonts w:ascii="IRNazanin" w:hAnsi="IRNazanin" w:eastAsia="IRNazanin"/>
          <w:color w:val="111111"/>
          <w:sz w:val="28"/>
          <w:sz w:val="28"/>
          <w:szCs w:val="28"/>
          <w:rtl w:val="true"/>
          <w:lang w:bidi="fa-IR"/>
        </w:rPr>
        <w:t xml:space="preserve">بقراءة ما تیسّر یتناول النافلة ، بل الظاهر من مساق الآیة الاختصاص بنافلة اللیل ، کما ذکره جماعة من المفسّرین ومنهم الإمام الطبرسی رحمه الله </w:t>
      </w:r>
      <w:r>
        <w:rPr>
          <w:rStyle w:val="FootnoteAnchor"/>
          <w:rtl w:val="true"/>
        </w:rPr>
        <w:footnoteReference w:id="311"/>
      </w:r>
      <w:r>
        <w:rPr>
          <w:rFonts w:ascii="IRNazanin" w:hAnsi="IRNazanin" w:eastAsia="IRNazanin"/>
          <w:color w:val="111111"/>
          <w:sz w:val="28"/>
          <w:sz w:val="28"/>
          <w:szCs w:val="28"/>
          <w:rtl w:val="true"/>
          <w:lang w:bidi="fa-IR"/>
        </w:rPr>
        <w:t>وإذا ثبت فی صلاة اللیل ثبت فی غیرها ؛ إذ لا قائل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تدل علیه الآیة الأمر بقراءة ما تیسّر فی النافلة ، لکن ثبوت الشرطیّة لا یستفاد من الآیة إلاّ بتکلّف أنّ الأمر للوجوب ولو علی وجه یرجع إلی الشرطیّة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للوجوب فأیّ مانع من وجوب القراءة فی النافلة من دون اعتبار الشرطیّة؟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هو لزوم وجوب النافلة بالشروع ، ولا أعلم القائل به ، وکلام الشهید رحمه الله یوضح الحال ، وأمّا اعتبار الشرطیّة فما فیه واضح </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273" w:name="pg15037_163696"/>
    </w:p>
    <w:p>
      <w:pPr>
        <w:pStyle w:val="BookText"/>
        <w:rPr/>
      </w:pPr>
      <w:bookmarkEnd w:id="273"/>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الصحّة بالدخول فی النافلة یتوقف البطلان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الدخول لا یقتضی الصحة ما لم یثبت موافقة أمر الشارع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منه حصر المفروض فی الرکوع والسجود وأنّ القراءة لیست بمفروضة ، وسیجی‌ء فی بحث القنوت نقل حدیث دال علی أنّ القراءة سنّة </w:t>
      </w:r>
      <w:r>
        <w:rPr>
          <w:rStyle w:val="FootnoteAnchor"/>
          <w:rtl w:val="true"/>
        </w:rPr>
        <w:footnoteReference w:id="313"/>
      </w:r>
      <w:r>
        <w:rPr>
          <w:rFonts w:ascii="IRNazanin" w:hAnsi="IRNazanin" w:eastAsia="IRNazanin"/>
          <w:color w:val="111111"/>
          <w:sz w:val="28"/>
          <w:sz w:val="28"/>
          <w:szCs w:val="28"/>
          <w:rtl w:val="true"/>
          <w:lang w:bidi="fa-IR"/>
        </w:rPr>
        <w:t xml:space="preserve">، والعجب من عدم تفطّن جماعة من المتأخّرین لردّ الاستدلال بآیة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فَاقْرَؤُا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بالحدیث الذی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 الرکوع بالنصوصیّة وکذلک السجود بخلاف القراءة ، واضح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یخلو من إجمال ، وقد ذکر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یدل علی أنّ العاجز عن القراءة یتعوّض بالتکبیر والتسبیح ، وإطلاقه یقتضی عدم وجوب مساواة ذلک لمقدار القراءة ، وعدم وجوب ما زاد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وسبحان الله ، بل لو قیل بالاکتفاء بالتسبیح وحده لم یکن بذلک البعید ، بأن یحمل التکبیر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أجزأه أن یکبّر ویسبّح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تکبیرة الإحرام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الکلام المستدل فیه بالإطلاق یقتضی أن یکون التکبیر المذکور غیر تکبیرة الإحرام ، والثانی یفید احتمال کونه تکبیرة الإحرام ، ومع الاحتمالین کیف یصلح الاستدلال به إطلاقا وغیره</w:t>
      </w:r>
      <w:r>
        <w:rPr>
          <w:rFonts w:eastAsia="IRNazanin" w:cs="IRNazanin"/>
          <w:color w:val="111111"/>
          <w:sz w:val="28"/>
          <w:szCs w:val="28"/>
          <w:rtl w:val="true"/>
          <w:lang w:bidi="fa-IR"/>
        </w:rPr>
        <w:t>.</w:t>
      </w:r>
    </w:p>
    <w:p>
      <w:pPr>
        <w:pStyle w:val="Heading4"/>
        <w:numPr>
          <w:ilvl w:val="3"/>
          <w:numId w:val="1"/>
        </w:numPr>
        <w:rPr/>
      </w:pPr>
      <w:bookmarkStart w:id="274" w:name="__RefHeading___Toc347754_2142443653"/>
      <w:bookmarkStart w:id="275" w:name="_Toc108"/>
      <w:bookmarkEnd w:id="274"/>
      <w:r>
        <w:rPr>
          <w:rtl w:val="true"/>
        </w:rPr>
        <w:t>بیان ما دل علی حصر المفروض فی الرکوع والسجود</w:t>
      </w:r>
      <w:bookmarkEnd w:id="27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6" w:name="__RefHeading___Toc347756_2142443653"/>
      <w:bookmarkStart w:id="277" w:name="_Toc109"/>
      <w:bookmarkEnd w:id="276"/>
      <w:r>
        <w:rPr>
          <w:rtl w:val="true"/>
        </w:rPr>
        <w:t>بیان ما دل علی أنّ العاجز عن القراءة یکفیه التکبیر والتسبیح</w:t>
      </w:r>
      <w:bookmarkEnd w:id="277"/>
    </w:p>
    <w:p>
      <w:pPr>
        <w:pStyle w:val="BookText"/>
        <w:rPr/>
      </w:pPr>
      <w:r>
        <w:rPr>
          <w:rFonts w:ascii="IRNazanin" w:hAnsi="IRNazanin" w:eastAsia="IRNazanin"/>
          <w:color w:val="111111"/>
          <w:sz w:val="28"/>
          <w:sz w:val="28"/>
          <w:szCs w:val="28"/>
          <w:rtl w:val="true"/>
          <w:lang w:bidi="fa-IR"/>
        </w:rPr>
        <w:t xml:space="preserve">علی أنّ الذی یخطر فی البال أنّ المقصود من الخبر نفی فرضیّة القراءة ، وذکر التسبیح والتکبیر لمجرّد التنبیه علی الفرق بین الرکوع والسجود والقراءة ، لا لبیان ما یجزئ عن القراءة أیّ شی‌ء هو تفصیلا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إطلاقه یقتضی عدم وجوب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إن کان هذا الخبر هو الدلیل علی أنّ العاجز عن القراءة یأتی بالتسبیح والتکبیر ، ففیه نظر واضح من حیث احتمال التکبیر لتکبیرة الإحرام وغیرها ، وإن کان غیره موجودا فالکلام فی هذا قلیل الثمرة ، إلاّ أنّی لم أقف الآن علی دلیل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قیل بتعیّن ما یجزئ فی الأخیرتین من التسبیح کان وجها ، لأنّه قد ثبت بدلیّته عن الحمد فی الأخیرتین ، فلا یقصر بدل الحمد فی الأوّلتین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بأس به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أنّه محلّ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صریح بعض الأخبار أنّ الحمد عوض عن التسبیح من حیث اشتمالها علی التحمید والدعاء ، لا أنّ التسبیح بدل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الخبر المبحوث عنه علی تقدیر دلالته لا یدلّ علی أکثر من التسبیح والتکبیر ، فالتهلیل بغیر دلیل نوع من التشریع ، واحتمال الاکتفاء به لکونه من الذکر السائغ خلاف المطلوب من التعویض</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ظاهر الخبر أنّ من دخل فی الإسلام </w:t>
      </w:r>
    </w:p>
    <w:p>
      <w:pPr>
        <w:pStyle w:val="BookText"/>
        <w:rPr/>
      </w:pPr>
      <w:r>
        <w:rPr>
          <w:rFonts w:ascii="IRNazanin" w:hAnsi="IRNazanin" w:eastAsia="IRNazanin"/>
          <w:color w:val="111111"/>
          <w:sz w:val="28"/>
          <w:sz w:val="28"/>
          <w:szCs w:val="28"/>
          <w:rtl w:val="true"/>
          <w:lang w:bidi="fa-IR"/>
        </w:rPr>
        <w:t xml:space="preserve">لا یحسن القرآن </w:t>
      </w:r>
      <w:r>
        <w:rPr>
          <w:rStyle w:val="FootnoteAnchor"/>
          <w:rtl w:val="true"/>
        </w:rPr>
        <w:footnoteReference w:id="317"/>
      </w:r>
      <w:r>
        <w:rPr>
          <w:rFonts w:ascii="IRNazanin" w:hAnsi="IRNazanin" w:eastAsia="IRNazanin"/>
          <w:color w:val="111111"/>
          <w:sz w:val="28"/>
          <w:sz w:val="28"/>
          <w:szCs w:val="28"/>
          <w:rtl w:val="true"/>
          <w:lang w:bidi="fa-IR"/>
        </w:rPr>
        <w:t xml:space="preserve">أجزأه ما ذکر ، والقرآن </w:t>
      </w:r>
      <w:r>
        <w:rPr>
          <w:rStyle w:val="FootnoteAnchor"/>
          <w:rtl w:val="true"/>
        </w:rPr>
        <w:footnoteReference w:id="318"/>
      </w:r>
      <w:r>
        <w:rPr>
          <w:rFonts w:ascii="IRNazanin" w:hAnsi="IRNazanin" w:eastAsia="IRNazanin"/>
          <w:color w:val="111111"/>
          <w:sz w:val="28"/>
          <w:sz w:val="28"/>
          <w:szCs w:val="28"/>
          <w:rtl w:val="true"/>
          <w:lang w:bidi="fa-IR"/>
        </w:rPr>
        <w:t>یتناول الفاتحة والسورة ، فعلی تقدیر إحسان السورة أو بعضها یحتمل أن یتقدم علی الذکر ؛ لظاهر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بعض محققی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اللام فی القرآن محتملة للعهد یعنی الفاتحة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تأمّل ، لأنّ الظاهر من اللفظ خلافه ، والاحتمال البعید لا یقدح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القراءة تنصرف إلی قراءة الصلاة ، ولمّا ثبت قراءة الحمد ترجّح احتمالها ،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بعض محقّقی المتأخّرین رحمه الله فی شرح الإرشاد عن بعض الشروح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فیه حکایة عن حدیث الأعرابی الذی لا یحسن القرآن یعوض بالتسبیح ، ثم ذکر أنّ ظاهره التسبیحات الأربع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لم أقف علیه الآن </w:t>
      </w:r>
      <w:r>
        <w:rPr>
          <w:rStyle w:val="FootnoteAnchor"/>
          <w:rtl w:val="true"/>
        </w:rPr>
        <w:footnoteReference w:id="321"/>
      </w:r>
      <w:r>
        <w:rPr>
          <w:rFonts w:ascii="IRNazanin" w:hAnsi="IRNazanin" w:eastAsia="IRNazanin"/>
          <w:color w:val="111111"/>
          <w:sz w:val="28"/>
          <w:sz w:val="28"/>
          <w:szCs w:val="28"/>
          <w:rtl w:val="true"/>
          <w:lang w:bidi="fa-IR"/>
        </w:rPr>
        <w:t>، وللأصحاب تفریعات فی المقام یطول بذکرها لسان الکلام ، والدلیل فیها محلّ تأمّل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ذکره الشیخ رحمه الله فی الخبر من الحمل علی من لم یحسن فاتحة الکتاب ، فالظاهر منه أنّه فهم ما نقلناه عن بعض المعاصرین </w:t>
      </w:r>
      <w:r>
        <w:rPr>
          <w:rStyle w:val="FootnoteAnchor"/>
          <w:rtl w:val="true"/>
        </w:rPr>
        <w:footnoteReference w:id="322"/>
      </w:r>
      <w:r>
        <w:rPr>
          <w:rFonts w:ascii="IRNazanin" w:hAnsi="IRNazanin" w:eastAsia="IRNazanin"/>
          <w:color w:val="111111"/>
          <w:sz w:val="28"/>
          <w:sz w:val="28"/>
          <w:szCs w:val="28"/>
          <w:rtl w:val="true"/>
          <w:lang w:bidi="fa-IR"/>
        </w:rPr>
        <w:t xml:space="preserve">، لکن قول الشیخ فی تعیین الفرض لا وجه له ، فإنّ إرادة هذا المعنی من الفرض لم یعرف من الأخبار وغیرها ، والاحتیاج إلیه من حیث إنّه لو أرید بالفرض لم یعرف من الأخبار وغیرها ، والاحتیاج إلیه من حیث إنّه لو أرید بالفرض ما ثبت من القرآن لزم الإبطال عمدا وسهوا بکل ما ثبت به ، وهو محلّ تأمّل ، لاحتمال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ثبت بالقرآن علی قسمین بتقدیر ثبوت عدم بطلان الصلاة حال الإخلال سهوا بما ثبت بالقرآن</w:t>
      </w:r>
      <w:r>
        <w:rPr>
          <w:rFonts w:eastAsia="IRNazanin" w:cs="IRNazanin"/>
          <w:color w:val="111111"/>
          <w:sz w:val="28"/>
          <w:szCs w:val="28"/>
          <w:rtl w:val="true"/>
          <w:lang w:bidi="fa-IR"/>
        </w:rPr>
        <w:t xml:space="preserve">. </w:t>
      </w:r>
      <w:bookmarkStart w:id="278" w:name="pg15037_163699"/>
    </w:p>
    <w:p>
      <w:pPr>
        <w:pStyle w:val="BookText"/>
        <w:rPr/>
      </w:pPr>
      <w:bookmarkEnd w:id="278"/>
      <w:r>
        <w:rPr>
          <w:rFonts w:ascii="IRNazanin" w:hAnsi="IRNazanin" w:eastAsia="IRNazanin"/>
          <w:color w:val="111111"/>
          <w:sz w:val="28"/>
          <w:sz w:val="28"/>
          <w:szCs w:val="28"/>
          <w:rtl w:val="true"/>
          <w:lang w:bidi="fa-IR"/>
        </w:rPr>
        <w:t xml:space="preserve">بقی فی المقام شی‌ء ، وهو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تقریر الشیخ یفید نوع منافرة ؛ لأنّه إذا حمل أوّل الخبر علی أنّ من نسی القراءة حتی دخل فی الرکوع لیس علیه إعادة بخلاف غیره ، فاللازم منه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موافق لأنّ لزوم التعویض عن القراءة وعدم التعویض عن غیرها أمر آخر ، ألا تری أنّ التکبیر یعوض عنه مع کونه رکنا ، ولو کان المراد بذکر التعویض بیان عدم الالتفات کما ذکره الشیخ لما وافق فی الظاهر ، وغیر بعید أن یکون المراد ما ذکره الشیخ والتعویض إشارة إلی عدم التعیین ، وقد ذکرت فی حاشیة التهذیب وجها آخر بل وجهین ، من أراده 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السجود فی الخبر لا یبعد أن یراد به مجموع السجدتین ؛ إذ الواحدة لا تبطل الصلاة بالإخلال بها سهوا ، کما سیأتی </w:t>
      </w:r>
      <w:r>
        <w:rPr>
          <w:rStyle w:val="FootnoteAnchor"/>
          <w:rtl w:val="true"/>
        </w:rPr>
        <w:footnoteReference w:id="323"/>
      </w:r>
      <w:r>
        <w:rPr>
          <w:rFonts w:ascii="IRNazanin" w:hAnsi="IRNazanin" w:eastAsia="IRNazanin"/>
          <w:color w:val="111111"/>
          <w:sz w:val="28"/>
          <w:sz w:val="28"/>
          <w:szCs w:val="28"/>
          <w:rtl w:val="true"/>
          <w:lang w:bidi="fa-IR"/>
        </w:rPr>
        <w:t>إن شاء الله تعالی ، وقد کان علی الشیخ التنبیه علیه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الجهر ببسم الله الرحمن الرّحیم</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بن الحسن بن أبان ، عن الحسین بن سعید ، عن عبد الرحمن ابن أبی نجران ، عن صفوان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أبی عبد الله علیه السلام أیّاما وکان </w:t>
      </w:r>
      <w:r>
        <w:rPr>
          <w:rStyle w:val="FootnoteAnchor"/>
          <w:rtl w:val="true"/>
        </w:rPr>
        <w:footnoteReference w:id="324"/>
      </w:r>
      <w:r>
        <w:rPr>
          <w:rFonts w:ascii="IRNazanin" w:hAnsi="IRNazanin" w:eastAsia="IRNazanin"/>
          <w:color w:val="111111"/>
          <w:sz w:val="28"/>
          <w:sz w:val="28"/>
          <w:szCs w:val="28"/>
          <w:rtl w:val="true"/>
          <w:lang w:bidi="fa-IR"/>
        </w:rPr>
        <w:t xml:space="preserve">یقرأ فی فاتحة الکتاب بسم </w:t>
      </w:r>
      <w:r>
        <w:rPr>
          <w:rStyle w:val="FootnoteAnchor"/>
          <w:rtl w:val="true"/>
        </w:rPr>
        <w:footnoteReference w:id="325"/>
      </w:r>
      <w:r>
        <w:rPr>
          <w:rFonts w:ascii="IRNazanin" w:hAnsi="IRNazanin" w:eastAsia="IRNazanin"/>
          <w:color w:val="111111"/>
          <w:sz w:val="28"/>
          <w:sz w:val="28"/>
          <w:szCs w:val="28"/>
          <w:rtl w:val="true"/>
          <w:lang w:bidi="fa-IR"/>
        </w:rPr>
        <w:t>الله الرحمن الرحیم ، فإذا کانت</w:t>
      </w:r>
    </w:p>
    <w:p>
      <w:pPr>
        <w:pStyle w:val="Heading3"/>
        <w:numPr>
          <w:ilvl w:val="2"/>
          <w:numId w:val="1"/>
        </w:numPr>
        <w:rPr/>
      </w:pPr>
      <w:bookmarkStart w:id="279" w:name="__RefHeading___Toc347758_2142443653"/>
      <w:bookmarkStart w:id="280" w:name="_Toc110"/>
      <w:bookmarkEnd w:id="279"/>
      <w:r>
        <w:rPr>
          <w:rtl w:val="true"/>
        </w:rPr>
        <w:t>الجهر ببسم اللّه الرحمن الرّحیم</w:t>
      </w:r>
      <w:bookmarkEnd w:id="28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1" w:name="__RefHeading___Toc347760_2142443653"/>
      <w:bookmarkStart w:id="282" w:name="_Toc111"/>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صلاة لا یجهر فیها بالقراءة جهر ببسم الله الرّحمن الرّحیم وأخفی 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علی بن إبراهیم ، عن محمّد بن عیسی ، عن یونس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للصلاة أقرأ بسم الله الرحمن الرّحیم فی فاتحة الکتاب؟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قرأت فاتحة الکتاب أقرأ بسم الله الرّحمن الرّحیم مع السورة؟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محمّد بن یحیی ، عن أحمد بن محمّد ، عن علیّ ابن مهزیار ، عن یحیی بن </w:t>
      </w:r>
      <w:r>
        <w:rPr>
          <w:rStyle w:val="FootnoteAnchor"/>
          <w:rtl w:val="true"/>
        </w:rPr>
        <w:footnoteReference w:id="326"/>
      </w:r>
      <w:r>
        <w:rPr>
          <w:rFonts w:ascii="IRNazanin" w:hAnsi="IRNazanin" w:eastAsia="IRNazanin"/>
          <w:color w:val="111111"/>
          <w:sz w:val="28"/>
          <w:sz w:val="28"/>
          <w:szCs w:val="28"/>
          <w:rtl w:val="true"/>
          <w:lang w:bidi="fa-IR"/>
        </w:rPr>
        <w:t xml:space="preserve">عمران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تقول فی رجل ابتدأ ببسم الله الرحمن الرحیم فی صلاته وحده فی أُمّ الکتاب فلمّا صار إلی غیر أُمّ الکتاب من السورة ترکها؟ فقال العباسی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بذلک بأس ، فکتب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 علی رغم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العباسی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محبوب ، عن محمّد بن الحسین ، عن محمّد بن حمّاد بن زید ، عن عبد الله بن یحیی الکاهلی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أبو عبد الله علیه السلام فی مسجد بنی کاهل فجهر مرّتین ببسم الله الرّحمن الرّحیم وقنت فی الفجر وسلّم واحدة ممّا یلی القبلة</w:t>
      </w:r>
      <w:r>
        <w:rPr>
          <w:rFonts w:eastAsia="IRNazanin" w:cs="IRNazanin"/>
          <w:color w:val="111111"/>
          <w:sz w:val="28"/>
          <w:szCs w:val="28"/>
          <w:rtl w:val="true"/>
          <w:lang w:bidi="fa-IR"/>
        </w:rPr>
        <w:t xml:space="preserve">. </w:t>
      </w:r>
      <w:bookmarkStart w:id="283" w:name="pg15037_163701"/>
    </w:p>
    <w:p>
      <w:pPr>
        <w:pStyle w:val="BookText"/>
        <w:rPr/>
      </w:pPr>
      <w:bookmarkEnd w:id="283"/>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بعد ما کرّرنا القول فیه فیما مضی </w:t>
      </w:r>
      <w:r>
        <w:rPr>
          <w:rStyle w:val="FootnoteAnchor"/>
          <w:rtl w:val="true"/>
        </w:rPr>
        <w:footnoteReference w:id="329"/>
      </w:r>
      <w:r>
        <w:rPr>
          <w:rFonts w:ascii="IRNazanin" w:hAnsi="IRNazanin" w:eastAsia="IRNazanin"/>
          <w:color w:val="111111"/>
          <w:sz w:val="28"/>
          <w:sz w:val="28"/>
          <w:szCs w:val="28"/>
          <w:rtl w:val="true"/>
          <w:lang w:bidi="fa-IR"/>
        </w:rPr>
        <w:t>من جهة أحمد ابن محمّد بن الحسن بن الولید ، والحسین بن الحسن بن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عن یونس ، وقد مضی القول فی استثنائه من نوادر الحکمة لمحمّد بن أحمد بن یحیی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یحیی بن عمران وهو مجهول الحال ؛ لأنّ العلاّمة فی الخلاصة ذکر فی القسم الأوّل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عمران الهمدانی یونسیّ </w:t>
      </w:r>
      <w:r>
        <w:rPr>
          <w:rStyle w:val="FootnoteAnchor"/>
          <w:rtl w:val="true"/>
        </w:rPr>
        <w:footnoteReference w:id="331"/>
      </w:r>
      <w:r>
        <w:rPr>
          <w:rFonts w:ascii="IRNazanin" w:hAnsi="IRNazanin" w:eastAsia="IRNazanin"/>
          <w:color w:val="111111"/>
          <w:sz w:val="28"/>
          <w:sz w:val="28"/>
          <w:szCs w:val="28"/>
          <w:rtl w:val="true"/>
          <w:lang w:bidi="fa-IR"/>
        </w:rPr>
        <w:t>، ولم أقف علیه فی غیر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حمّاد فیه ثقة فی النجاشی </w:t>
      </w:r>
      <w:r>
        <w:rPr>
          <w:rStyle w:val="FootnoteAnchor"/>
          <w:rtl w:val="true"/>
        </w:rPr>
        <w:footnoteReference w:id="332"/>
      </w:r>
      <w:r>
        <w:rPr>
          <w:rFonts w:ascii="IRNazanin" w:hAnsi="IRNazanin" w:eastAsia="IRNazanin"/>
          <w:color w:val="111111"/>
          <w:sz w:val="28"/>
          <w:sz w:val="28"/>
          <w:szCs w:val="28"/>
          <w:rtl w:val="true"/>
          <w:lang w:bidi="fa-IR"/>
        </w:rPr>
        <w:t xml:space="preserve">، وأمّا الکاهلی فقد تقدّم </w:t>
      </w:r>
      <w:r>
        <w:rPr>
          <w:rStyle w:val="FootnoteAnchor"/>
          <w:rtl w:val="true"/>
        </w:rPr>
        <w:footnoteReference w:id="333"/>
      </w:r>
      <w:r>
        <w:rPr>
          <w:rFonts w:ascii="IRNazanin" w:hAnsi="IRNazanin" w:eastAsia="IRNazanin"/>
          <w:color w:val="111111"/>
          <w:sz w:val="28"/>
          <w:sz w:val="28"/>
          <w:szCs w:val="28"/>
          <w:rtl w:val="true"/>
          <w:lang w:bidi="fa-IR"/>
        </w:rPr>
        <w:t>أنّه ممدوح مع نوع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علی قراءة بسم الله الرّحمن الرّحیم فی الفاتحة ، وفی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بسم الله آیة من أوّل الحمد ومن کلّ سورة هی فی أوّلها إلاّ براءة ، وهی بعض سورة فی أثناء النمل ، فیجب فی الصلاة قراءتها مبتدأ بها فی أوّل الفاتحة ، وهو مذهب فقهاء أهل البیت علیهم السلام </w:t>
      </w:r>
      <w:r>
        <w:rPr>
          <w:rFonts w:eastAsia="IRNazanin" w:cs="IRNazanin"/>
          <w:color w:val="111111"/>
          <w:sz w:val="28"/>
          <w:szCs w:val="28"/>
          <w:rtl w:val="true"/>
          <w:lang w:bidi="fa-IR"/>
        </w:rPr>
        <w:t>.</w:t>
      </w:r>
    </w:p>
    <w:p>
      <w:pPr>
        <w:pStyle w:val="Heading4"/>
        <w:numPr>
          <w:ilvl w:val="3"/>
          <w:numId w:val="1"/>
        </w:numPr>
        <w:rPr/>
      </w:pPr>
      <w:bookmarkStart w:id="284" w:name="__RefHeading___Toc347762_2142443653"/>
      <w:bookmarkStart w:id="285" w:name="_Toc112"/>
      <w:bookmarkEnd w:id="284"/>
      <w:r>
        <w:rPr>
          <w:rtl w:val="true"/>
        </w:rPr>
        <w:t>بحث حول یحیی بن عمران الهمدانی</w:t>
      </w:r>
      <w:bookmarkEnd w:id="285"/>
    </w:p>
    <w:p>
      <w:pPr>
        <w:pStyle w:val="Heading4"/>
        <w:numPr>
          <w:ilvl w:val="3"/>
          <w:numId w:val="1"/>
        </w:numPr>
        <w:rPr/>
      </w:pPr>
      <w:bookmarkStart w:id="286" w:name="__RefHeading___Toc347764_2142443653"/>
      <w:bookmarkStart w:id="287" w:name="_Toc113"/>
      <w:bookmarkEnd w:id="286"/>
      <w:r>
        <w:rPr>
          <w:rtl w:val="true"/>
        </w:rPr>
        <w:t>محمد بن حمّاد بن زید ثقة</w:t>
      </w:r>
      <w:bookmarkEnd w:id="28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8" w:name="__RefHeading___Toc347766_2142443653"/>
      <w:bookmarkStart w:id="289" w:name="_Toc114"/>
      <w:bookmarkEnd w:id="288"/>
      <w:r>
        <w:rPr>
          <w:rtl w:val="true"/>
        </w:rPr>
        <w:t>عبدالله بن یحیی الکاهلی ممدوح</w:t>
      </w:r>
      <w:bookmarkStart w:id="290" w:name="pg15037_163702"/>
      <w:bookmarkEnd w:id="289"/>
    </w:p>
    <w:p>
      <w:pPr>
        <w:pStyle w:val="BookText"/>
        <w:rPr/>
      </w:pPr>
      <w:bookmarkEnd w:id="290"/>
      <w:r>
        <w:rPr>
          <w:rFonts w:ascii="IRNazanin" w:hAnsi="IRNazanin" w:eastAsia="IRNazanin"/>
          <w:color w:val="111111"/>
          <w:sz w:val="28"/>
          <w:sz w:val="28"/>
          <w:szCs w:val="28"/>
          <w:rtl w:val="true"/>
          <w:lang w:bidi="fa-IR"/>
        </w:rPr>
        <w:t xml:space="preserve">انتهی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بالخبر علی الجهر بالبسملة فی الأخیرتین أو الأخیرة علی تقدیر قراءة الفاتحة ، وفی نظری القاصر أنّه محلّ تأمّل ذکرته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یبعد ادعاء تبادر کون الصلاة لا یجهر فیها أو یجهر إنّما هو باعتبار الألیین ، والخبر کما تری تضمّن صلاة لا یجهر فیها ، ومع تبادر ما ذکرناه لا یتناول غیر الأوّلتین من الإخفاتیّة ، ولو أرید بالصلاة الرکعات کان خلاف المتبادر ، وعلی هذا فالتنصیص من الخبر علی الجهر بالبسملة فی الأخیرتین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منها بتقدیر التناول الاختصاص بالإمام کما هو صریح الروایة ، والقائلون بالجهر فی البسملة فی الأخیرتین لا یخصّون الإمام </w:t>
      </w:r>
      <w:r>
        <w:rPr>
          <w:rStyle w:val="FootnoteAnchor"/>
          <w:rtl w:val="true"/>
        </w:rPr>
        <w:footnoteReference w:id="335"/>
      </w:r>
      <w:r>
        <w:rPr>
          <w:rFonts w:ascii="IRNazanin" w:hAnsi="IRNazanin" w:eastAsia="IRNazanin"/>
          <w:color w:val="111111"/>
          <w:sz w:val="28"/>
          <w:sz w:val="28"/>
          <w:szCs w:val="28"/>
          <w:rtl w:val="true"/>
          <w:lang w:bidi="fa-IR"/>
        </w:rPr>
        <w:t>وحینئذ لا یتمّ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فیمکن الجواب عنه بعدم القائل بالفصل ؛ إذ المنقول عن ابن إدریس عدم جواز الجهر مطلقا </w:t>
      </w:r>
      <w:r>
        <w:rPr>
          <w:rStyle w:val="FootnoteAnchor"/>
          <w:rtl w:val="true"/>
        </w:rPr>
        <w:footnoteReference w:id="336"/>
      </w:r>
      <w:r>
        <w:rPr>
          <w:rFonts w:ascii="IRNazanin" w:hAnsi="IRNazanin" w:eastAsia="IRNazanin"/>
          <w:color w:val="111111"/>
          <w:sz w:val="28"/>
          <w:sz w:val="28"/>
          <w:szCs w:val="28"/>
          <w:rtl w:val="true"/>
          <w:lang w:bidi="fa-IR"/>
        </w:rPr>
        <w:t xml:space="preserve">، وعن غیره وجوب الجهر </w:t>
      </w:r>
      <w:r>
        <w:rPr>
          <w:rStyle w:val="FootnoteAnchor"/>
          <w:rtl w:val="true"/>
        </w:rPr>
        <w:footnoteReference w:id="337"/>
      </w:r>
      <w:r>
        <w:rPr>
          <w:rFonts w:ascii="IRNazanin" w:hAnsi="IRNazanin" w:eastAsia="IRNazanin"/>
          <w:color w:val="111111"/>
          <w:sz w:val="28"/>
          <w:sz w:val="28"/>
          <w:szCs w:val="28"/>
          <w:rtl w:val="true"/>
          <w:lang w:bidi="fa-IR"/>
        </w:rPr>
        <w:t xml:space="preserve">کذلک ، والاستحباب مثله ، وفیه نظر یعرف ممّا یأتی عن ابن الجنید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الوالد قدس سره فی </w:t>
      </w:r>
      <w:r>
        <w:rPr>
          <w:rStyle w:val="FootnoteAnchor"/>
          <w:rtl w:val="true"/>
        </w:rPr>
        <w:footnoteReference w:id="339"/>
      </w:r>
      <w:r>
        <w:rPr>
          <w:rFonts w:ascii="IRNazanin" w:hAnsi="IRNazanin" w:eastAsia="IRNazanin"/>
          <w:color w:val="111111"/>
          <w:sz w:val="28"/>
          <w:sz w:val="28"/>
          <w:szCs w:val="28"/>
          <w:rtl w:val="true"/>
          <w:lang w:bidi="fa-IR"/>
        </w:rPr>
        <w:t>عدم تناول الروایة للأخیرتین ، لعدم معلومیّة کونه علیه السلام کان یقرأ فیهما ، بل الظاهر أنّه کان یسبّح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محلّ کلام بالنسبة إلی غیره ممّن یعتقد رجحان القراءة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1" w:name="__RefHeading___Toc347768_2142443653"/>
      <w:bookmarkStart w:id="292" w:name="_Toc115"/>
      <w:bookmarkEnd w:id="291"/>
      <w:r>
        <w:rPr>
          <w:rtl w:val="true"/>
        </w:rPr>
        <w:t>حکم الجهر بالبسملة فی ما یخافت فیه وبیان ما دلّ علیه ونقل الأقوال فیه</w:t>
      </w:r>
      <w:bookmarkEnd w:id="292"/>
    </w:p>
    <w:p>
      <w:pPr>
        <w:pStyle w:val="BookText"/>
        <w:rPr/>
      </w:pP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الحدیث علی تقدیر ما ذکرناه یختص </w:t>
      </w:r>
      <w:r>
        <w:rPr>
          <w:rStyle w:val="FootnoteAnchor"/>
          <w:rtl w:val="true"/>
        </w:rPr>
        <w:footnoteReference w:id="340"/>
      </w:r>
      <w:r>
        <w:rPr>
          <w:rFonts w:ascii="IRNazanin" w:hAnsi="IRNazanin" w:eastAsia="IRNazanin"/>
          <w:color w:val="111111"/>
          <w:sz w:val="28"/>
          <w:sz w:val="28"/>
          <w:szCs w:val="28"/>
          <w:rtl w:val="true"/>
          <w:lang w:bidi="fa-IR"/>
        </w:rPr>
        <w:t xml:space="preserve">الجهر للإمام بالبسملة فی الألیین ، أمّا الأخیرتان فقد علمت عدم القول بالفصل ، لکن الأولیین علی ما یظهر من العلاّمة فی المختلف لا یخلو الحکم فیهما من إشکال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الموجبون للجهر فی القراءة علی وجوبه فی البسملة فیما یجهر فیه ، وإنّما الخلاف وقع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ابن البرّاج الجهر بها فیما یخافت فیه وأطلق ، وأوجب أبو الصلاح الجهر بها فی أوّلتی الظهر والعصر فی ابتداء الحمد والسورة التی تلیها ، والمشهور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براءة الذمّة من الوجوب ، ولأنّها جزء من السورة التی یجب الإخفات فیها </w:t>
      </w:r>
      <w:r>
        <w:rPr>
          <w:rStyle w:val="FootnoteAnchor"/>
          <w:rtl w:val="true"/>
        </w:rPr>
        <w:footnoteReference w:id="341"/>
      </w:r>
      <w:r>
        <w:rPr>
          <w:rFonts w:ascii="IRNazanin" w:hAnsi="IRNazanin" w:eastAsia="IRNazanin"/>
          <w:color w:val="111111"/>
          <w:sz w:val="28"/>
          <w:sz w:val="28"/>
          <w:szCs w:val="28"/>
          <w:rtl w:val="true"/>
          <w:lang w:bidi="fa-IR"/>
        </w:rPr>
        <w:t xml:space="preserve">، لکن صرنا إلی الاستحباب عملا بقول الأصحاب ، احتجّوا بما رواه صفوان ، ونقل الروایة ، ثم 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الإمام علیه السلام کما یداوم علی الواجب یداوم علی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المشهور استحباب الجهر بالبسملة فیما یخافت فیه للمنفرد والإمام ، ونقل ابن إدریس عن بعض أصحابنا أنّ الجهر بها فی کلّ صلاة إنّما هو للإمام ، وأمّا المنفرد فیجهر بها فی الجهریّة ویخافت فیما عداها ، وأظنّ أنّ المراد بذلک البعض هو ابن الجنید ، لأنّه هو أفتی بذلک فی کتاب الأحمدی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استدل العلاّمة بالشهرة ، ونقل الاحتجاج بأنّ الأصل وجوب المخافتة فیما یخافت فیه ، لأنّها جزء الفاتحة خرج منه الإمام لروایة </w:t>
      </w:r>
    </w:p>
    <w:p>
      <w:pPr>
        <w:pStyle w:val="BookText"/>
        <w:rPr/>
      </w:pPr>
      <w:r>
        <w:rPr>
          <w:rFonts w:ascii="IRNazanin" w:hAnsi="IRNazanin" w:eastAsia="IRNazanin"/>
          <w:color w:val="111111"/>
          <w:sz w:val="28"/>
          <w:sz w:val="28"/>
          <w:szCs w:val="28"/>
          <w:rtl w:val="true"/>
          <w:lang w:bidi="fa-IR"/>
        </w:rPr>
        <w:t>صفوان ، وأجاب بمنع عموم وجوب المخافتة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علیک بعد وجود القائل ودلالة الروایة ، لا وجه لما ذکره العلاّمة ، والشهرة محلّ کلام فی إثبات الحکم الشرعی إذا کانت 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الجهر والإخفات علی تقدیر استحبابهما یمکن العمل بالشهرة فی البسملة ، أمّا علی تقدیر الوجوب فالخروج عن السورة مشکل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دلیل الوجوب لا یتناول البسملة ، إذ الأخبار مجملة ، والقائلون بالوجوب </w:t>
      </w:r>
      <w:r>
        <w:rPr>
          <w:rStyle w:val="FootnoteAnchor"/>
          <w:rtl w:val="true"/>
        </w:rPr>
        <w:footnoteReference w:id="343"/>
      </w:r>
      <w:r>
        <w:rPr>
          <w:rFonts w:ascii="IRNazanin" w:hAnsi="IRNazanin" w:eastAsia="IRNazanin"/>
          <w:color w:val="111111"/>
          <w:sz w:val="28"/>
          <w:sz w:val="28"/>
          <w:szCs w:val="28"/>
          <w:rtl w:val="true"/>
          <w:lang w:bidi="fa-IR"/>
        </w:rPr>
        <w:t>لا إجماع بینهم علی 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العمل بالخبر الدال علی أنّ من جهر فیما لا ینبغی الجهر فیه یتناول البسملة کما سیأتی </w:t>
      </w:r>
      <w:r>
        <w:rPr>
          <w:rStyle w:val="FootnoteAnchor"/>
          <w:rtl w:val="true"/>
        </w:rPr>
        <w:footnoteReference w:id="344"/>
      </w:r>
      <w:r>
        <w:rPr>
          <w:rFonts w:ascii="IRNazanin" w:hAnsi="IRNazanin" w:eastAsia="IRNazanin"/>
          <w:color w:val="111111"/>
          <w:sz w:val="28"/>
          <w:sz w:val="28"/>
          <w:szCs w:val="28"/>
          <w:rtl w:val="true"/>
          <w:lang w:bidi="fa-IR"/>
        </w:rPr>
        <w:t xml:space="preserve">،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الجهر فی الجمیع والإخفات فی الجمیع ، وفیه ما لا یخفی ، وعلی کلّ حال المقام واسع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 العلاّمة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عموم وجوب المخافتة ، إن أراد به أنّ الشهرة تخصّص العموم ، ففیه ما قدّمناه ، وإن أراد أنّ غیرها یخصّص فکان علیه أن یذکره ، ولو وجد لما کان للاقتصار علی الشهرة وجه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المخافتة لمّا کان مرجعه إلی الشهرة لما تقدّم من العلاّمة أنّ المشهور وجوب المخافتة ، والجهر مع الروایة الآتیة فیمن أخفی فیما لا ینبغی الإخفاء فیه أو أجهر فیما لا ینبغی الجهر ، إلی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والروایة مجملة کما مضی ، والشهرة لا تفید فی البسملة لوقوع الاختلاف فیها ، فیترجّح الاستحباب بالإطلاقات ، وصحیح </w:t>
      </w:r>
      <w:r>
        <w:rPr>
          <w:rStyle w:val="FootnoteAnchor"/>
          <w:rtl w:val="true"/>
        </w:rPr>
        <w:footnoteReference w:id="345"/>
      </w:r>
      <w:r>
        <w:rPr>
          <w:rFonts w:ascii="IRNazanin" w:hAnsi="IRNazanin" w:eastAsia="IRNazanin"/>
          <w:color w:val="111111"/>
          <w:sz w:val="28"/>
          <w:sz w:val="28"/>
          <w:szCs w:val="28"/>
          <w:rtl w:val="true"/>
          <w:lang w:bidi="fa-IR"/>
        </w:rPr>
        <w:t xml:space="preserve">علی بن جعفر الدال علی جواز الجهر والإخفات </w:t>
      </w:r>
      <w:r>
        <w:rPr>
          <w:rStyle w:val="FootnoteAnchor"/>
          <w:rtl w:val="true"/>
        </w:rPr>
        <w:footnoteReference w:id="346"/>
      </w:r>
      <w:r>
        <w:rPr>
          <w:rFonts w:ascii="IRNazanin" w:hAnsi="IRNazanin" w:eastAsia="IRNazanin"/>
          <w:color w:val="111111"/>
          <w:sz w:val="28"/>
          <w:sz w:val="28"/>
          <w:szCs w:val="28"/>
          <w:rtl w:val="true"/>
          <w:lang w:bidi="fa-IR"/>
        </w:rPr>
        <w:t xml:space="preserve">علی تقدیر عدم حمله علی التقیة کما سیأتی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علی تقدیر العمل به لا یخصّ 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مقام التأیید به أمر آخر وإن کان لا یخلو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ما قدّمناه من الاستدلال بالخبر المبحوث عنه للأخیرتین ، قد اعتمد علیه جماعة ، والعلاّمة فی المختلف لم یستدل به ، بل نقل عن ابن بابویه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واجهر ببسم الله الرّحمن الرّحیم فی جمیع الصلوات ، والشیخ فی المبسوط والخلاف والنهایة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الجهر بها فیما لا یجهر فیه ، وقال السیّد المرتضی فی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وتفتتح القراءة ببسم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وتجهر بها </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فی کلّ صلاة جهر أو إخفات ، وقال الشیخ فی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والجهر ببسم الله الرّحمن الرّحیم فیما لا یجهر بالقراءة فیه فی الموضعین ، 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المستحب إنّما هو الجهر فی الأوّلتین فی الصلاة الإخفاتیّة دون الأخیرتین ، فإنّه لا یجوز الجهر فیهما بالبسملة ،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المتقدمین یقتضی عموم استحباب الجهر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ابن إدریس بأنّ الصلاة إمّا جهریّة أو إخفاتیة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فالاخفاتیّة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والعصر ، والجهر بالبسملة فی الرکعتین الأوّلتین </w:t>
      </w:r>
    </w:p>
    <w:p>
      <w:pPr>
        <w:pStyle w:val="BookText"/>
        <w:rPr/>
      </w:pPr>
      <w:r>
        <w:rPr>
          <w:rFonts w:ascii="IRNazanin" w:hAnsi="IRNazanin" w:eastAsia="IRNazanin"/>
          <w:color w:val="111111"/>
          <w:sz w:val="28"/>
          <w:sz w:val="28"/>
          <w:szCs w:val="28"/>
          <w:rtl w:val="true"/>
          <w:lang w:bidi="fa-IR"/>
        </w:rPr>
        <w:t xml:space="preserve">مستحب ؛ لأنّ فیهما تتعیّن القراءة فأمّا الأخیرتان فلا تتعیّن فیهما القراءة </w:t>
      </w:r>
      <w:r>
        <w:rPr>
          <w:rFonts w:eastAsia="IRNazanin" w:cs="IRNazanin"/>
          <w:color w:val="111111"/>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فی أنّ الصلاة الإخفاتیّة لا یجوز الجهر فیها بالقراءة ، والبسملة من جملة القراءة ، وإنّما ورد فی الصلاة الإخفاتیّة التی تتعیّن فیها القراءة ولا تتعیّن إلاّ فی الأوّلتین فحسب ، وأطال الکلام ، ثم أجاب عنه العلاّمة بأنّه لا یلزم من عدم التعیّن عدم استحباب الجهر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بأنّه لا یبعد أن یکون مرجع قول ابن إدریس إلی أنّ الخبر وارد فی الأوّلتین ، وإن کان فی کلامه نوع تشویش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العلاّمة ذکر فی قول الشیخ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إدریس فسّر الموضعین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بالظهر والعصر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العلاّمة أن یکون المراد بالموضعین قبل الحمد وبعدها ولکلّ وجه ، إلاّ أنّ ما فی خبر الکاهلی الآتی </w:t>
      </w:r>
      <w:r>
        <w:rPr>
          <w:rStyle w:val="FootnoteAnchor"/>
          <w:rtl w:val="true"/>
        </w:rPr>
        <w:footnoteReference w:id="351"/>
      </w:r>
      <w:r>
        <w:rPr>
          <w:rFonts w:ascii="IRNazanin" w:hAnsi="IRNazanin" w:eastAsia="IRNazanin"/>
          <w:color w:val="111111"/>
          <w:sz w:val="28"/>
          <w:sz w:val="28"/>
          <w:szCs w:val="28"/>
          <w:rtl w:val="true"/>
          <w:lang w:bidi="fa-IR"/>
        </w:rPr>
        <w:t xml:space="preserve">بیانه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مرّتین ، ربّما یؤیّد قول العلاّمة فی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المبحوث عنه إذا اقتضی جهرة علیه السلام فیما ذکر فالتأسی یفید الاستحباب ، فیندفع به قول ابن إدریس ، وکذلک ما روی أنّ من علامات المؤمن الجهر ببسم الله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لا یتناول الأخیرتین ، 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الجهر ببسم الله </w:t>
      </w:r>
    </w:p>
    <w:p>
      <w:pPr>
        <w:pStyle w:val="BookText"/>
        <w:rPr/>
      </w:pPr>
      <w:r>
        <w:rPr>
          <w:rFonts w:ascii="IRNazanin" w:hAnsi="IRNazanin" w:eastAsia="IRNazanin"/>
          <w:color w:val="111111"/>
          <w:sz w:val="28"/>
          <w:sz w:val="28"/>
          <w:szCs w:val="28"/>
          <w:rtl w:val="true"/>
          <w:lang w:bidi="fa-IR"/>
        </w:rPr>
        <w:t>یتحقّق بالأولیین لحصول علامة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أجاب عن حجّة ابن إدریس بعد نقلها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خلاف فی وجوب إخفات القراءة فیهما ، فعلی مدّعی استحباب الجهر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جواز التبعیض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الدلیل موضع النزاع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أن یعلم أنّ اختصاص الروایة بالإمام ظاهر لکن التأسّی لا یخلو من إجمال ؛ لأنّ فعله علیه السلام إنّما کان فی الجماعة فالتأسّی به إن کان فی خصوص الجماعة لزم تقیید إطلاق الأصحاب فی استحباب التأسّی ، والحال أنّ المستدل بالروایة علی استحباب الجهر فی موضع الإخفات علی الإطلاق ، فاستدلاله لا بدّ فیه من ضمیمة عدم القائل بالفرق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التأسّی یقتضی الاستحباب مطلقا ، فإشکاله واضح ؛ فإنّ فعله علیه السلام خاص بالإمامة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الاعتبار بالتأسّی فی الفعل لا فی خصوص الإمامة ؛ إذ لو اقتضی التأسی التخصیص لزم التخصیص بالصلاة الخاصة لو جهر فی الظهر مثلا ، مع أنّ الظاهر عدم الفرق بینها وبین العصر ، فعلم أنّ التأسی فی مطلق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إمکان الفرق بین الجماعة وصلاة الظهر ، ولم أرَ من کشف قناع هذا الإجمال فی حقیقة التأسّی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العلاّمة فی المختلف حیث لم یتعرض فی الجواب عن الاستدلال بالروایة الاعتراف بشمول الحکم للمنفرد ، وإلاّ کان الأولی </w:t>
      </w:r>
    </w:p>
    <w:p>
      <w:pPr>
        <w:pStyle w:val="BookText"/>
        <w:rPr/>
      </w:pPr>
      <w:r>
        <w:rPr>
          <w:rFonts w:ascii="IRNazanin" w:hAnsi="IRNazanin" w:eastAsia="IRNazanin"/>
          <w:color w:val="111111"/>
          <w:sz w:val="28"/>
          <w:sz w:val="28"/>
          <w:szCs w:val="28"/>
          <w:rtl w:val="true"/>
          <w:lang w:bidi="fa-IR"/>
        </w:rPr>
        <w:t xml:space="preserve">الجواب بما یقتضی بیان هذا ، وکلام بعض المتأخّرین الذی أشرنا إلیه </w:t>
      </w:r>
      <w:r>
        <w:rPr>
          <w:rStyle w:val="FootnoteAnchor"/>
          <w:rtl w:val="true"/>
        </w:rPr>
        <w:footnoteReference w:id="354"/>
      </w:r>
      <w:r>
        <w:rPr>
          <w:rFonts w:ascii="IRNazanin" w:hAnsi="IRNazanin" w:eastAsia="IRNazanin"/>
          <w:color w:val="111111"/>
          <w:sz w:val="28"/>
          <w:sz w:val="28"/>
          <w:szCs w:val="28"/>
          <w:rtl w:val="true"/>
          <w:lang w:bidi="fa-IR"/>
        </w:rPr>
        <w:t xml:space="preserve">من إطلاق التأسّی یقتضی صریحا إرادة التأسّی فی الفعل مطلقا ، والنظر فیه واضح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التأمّل فی هذا کله فإنّه حریّ بالتأمّل التام </w:t>
      </w:r>
      <w:r>
        <w:rPr>
          <w:rFonts w:eastAsia="IRNazanin" w:cs="IRNazanin"/>
          <w:color w:val="111111"/>
          <w:sz w:val="28"/>
          <w:szCs w:val="28"/>
          <w:rtl w:val="true"/>
          <w:lang w:bidi="fa-IR"/>
        </w:rPr>
        <w:t xml:space="preserve">) </w:t>
      </w:r>
      <w:r>
        <w:rPr>
          <w:rStyle w:val="FootnoteAnchor"/>
          <w:rtl w:val="true"/>
        </w:rPr>
        <w:footnoteReference w:id="355"/>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الکلینی فی کتاب الروضة حدیثا عن علیّ بن إبراهیم ، عن أبیه ، عن حمّاد بن عیسی ، عن إبراهیم بن عثمان ، عن سلیم ابن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علیه السلام ، وذکر الخطبة وقد تضمّنت 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عملت الولاة قبلی أعمالا خالفوا فیها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حملت الناس علی ترکها وحوّلتها إلی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لتفرّق عنّی جندی حتی أبقی وحدی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وعدّدها علیه السلام إلی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وألزمت الناس الجهر ببسم الله الرّحمن الرّحیم </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یدلّ علی أنّ الجهر ببسم الله الرّحمن الرّحیم مطلوب علی سبیل الوجوب ، لذکره علیه السلام أشیاء واجبة متروکة منها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وأمرت بالتکبیر علی الجنائز خمس تکبیرات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ما نقلناه من الجهر ببسم الله الرحمن الرحیم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الخبر من دلالة ، إلاّ أنّه فی التعمیم للأخیرتین والإمام والمنفرد ، أو التخصیص بالإمام والمنفرد مجمل ، علی انّ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أمرت بمقام إبراهیم علیه السلام فرددته إلی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واضح الإشکال ، والسند </w:t>
      </w:r>
      <w:bookmarkStart w:id="293" w:name="pg15037_163709"/>
    </w:p>
    <w:p>
      <w:pPr>
        <w:pStyle w:val="BookText"/>
        <w:rPr/>
      </w:pPr>
      <w:bookmarkEnd w:id="293"/>
      <w:r>
        <w:rPr>
          <w:rFonts w:ascii="IRNazanin" w:hAnsi="IRNazanin" w:eastAsia="IRNazanin"/>
          <w:color w:val="111111"/>
          <w:sz w:val="28"/>
          <w:sz w:val="28"/>
          <w:szCs w:val="28"/>
          <w:rtl w:val="true"/>
          <w:lang w:bidi="fa-IR"/>
        </w:rPr>
        <w:t>لا یخلو من شی‌ء بالنسبة إلی سلیم بن قیس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مشتمل علی حمّاد بن عیسی ، وقد نقل الکشّی الإجماع علی تصحیح ما یصح عنه </w:t>
      </w:r>
      <w:r>
        <w:rPr>
          <w:rStyle w:val="FootnoteAnchor"/>
          <w:rtl w:val="true"/>
        </w:rPr>
        <w:footnoteReference w:id="358"/>
      </w:r>
      <w:r>
        <w:rPr>
          <w:rFonts w:ascii="IRNazanin" w:hAnsi="IRNazanin" w:eastAsia="IRNazanin"/>
          <w:color w:val="111111"/>
          <w:sz w:val="28"/>
          <w:sz w:val="28"/>
          <w:szCs w:val="28"/>
          <w:rtl w:val="true"/>
          <w:lang w:bidi="fa-IR"/>
        </w:rPr>
        <w:t>، فلا یضرّ الکلام فی سلیم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القول </w:t>
      </w:r>
      <w:r>
        <w:rPr>
          <w:rStyle w:val="FootnoteAnchor"/>
          <w:rtl w:val="true"/>
        </w:rPr>
        <w:footnoteReference w:id="359"/>
      </w:r>
      <w:r>
        <w:rPr>
          <w:rFonts w:ascii="IRNazanin" w:hAnsi="IRNazanin" w:eastAsia="IRNazanin"/>
          <w:color w:val="111111"/>
          <w:sz w:val="28"/>
          <w:sz w:val="28"/>
          <w:szCs w:val="28"/>
          <w:rtl w:val="true"/>
          <w:lang w:bidi="fa-IR"/>
        </w:rPr>
        <w:t>فی مثل هذا بما یغنی عن الإعادة ، لکن القائل بأنّ معنی الإجماع ما سبق لا وجه لعدم عمله بالخبر ، وربّما یدّعی انتفاء الإجمال فیه نظرا إلی أنّ الظاهر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التوقف فی سلیم بن قیس مع أنّ العلاّمة قال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الوجه عندی الحکم بتعدیل المشار إلیه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التوقف ما کرّرناه فی أحوال العلاّمة ، مضافا إلی عدم توثیقه من الشیخ </w:t>
      </w:r>
      <w:r>
        <w:rPr>
          <w:rStyle w:val="FootnoteAnchor"/>
          <w:rtl w:val="true"/>
        </w:rPr>
        <w:footnoteReference w:id="361"/>
      </w:r>
      <w:r>
        <w:rPr>
          <w:rFonts w:ascii="IRNazanin" w:hAnsi="IRNazanin" w:eastAsia="IRNazanin"/>
          <w:color w:val="111111"/>
          <w:sz w:val="28"/>
          <w:sz w:val="28"/>
          <w:szCs w:val="28"/>
          <w:rtl w:val="true"/>
          <w:lang w:bidi="fa-IR"/>
        </w:rPr>
        <w:t xml:space="preserve">والنجاشی </w:t>
      </w:r>
      <w:r>
        <w:rPr>
          <w:rStyle w:val="FootnoteAnchor"/>
          <w:rtl w:val="true"/>
        </w:rPr>
        <w:footnoteReference w:id="362"/>
      </w:r>
      <w:r>
        <w:rPr>
          <w:rFonts w:ascii="IRNazanin" w:hAnsi="IRNazanin" w:eastAsia="IRNazanin"/>
          <w:color w:val="111111"/>
          <w:sz w:val="28"/>
          <w:sz w:val="28"/>
          <w:szCs w:val="28"/>
          <w:rtl w:val="true"/>
          <w:lang w:bidi="fa-IR"/>
        </w:rPr>
        <w:t>، علی أنّ العلاّمة حکم بتعدیله والتوثیق أمر زائد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التعدیل فی الرجال یراد به التوثیق کما سبق نقله عن جدّی قدس سره فی الدرایة </w:t>
      </w:r>
      <w:r>
        <w:rPr>
          <w:rStyle w:val="FootnoteAnchor"/>
          <w:rtl w:val="true"/>
        </w:rPr>
        <w:footnoteReference w:id="363"/>
      </w:r>
      <w:r>
        <w:rPr>
          <w:rFonts w:ascii="IRNazanin" w:hAnsi="IRNazanin" w:eastAsia="IRNazanin"/>
          <w:color w:val="111111"/>
          <w:sz w:val="28"/>
          <w:sz w:val="28"/>
          <w:szCs w:val="28"/>
          <w:rtl w:val="true"/>
          <w:lang w:bidi="fa-IR"/>
        </w:rPr>
        <w:t>،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فی الفهرست </w:t>
      </w:r>
      <w:r>
        <w:rPr>
          <w:rStyle w:val="FootnoteAnchor"/>
          <w:rtl w:val="true"/>
        </w:rPr>
        <w:footnoteReference w:id="364"/>
      </w:r>
      <w:r>
        <w:rPr>
          <w:rFonts w:ascii="IRNazanin" w:hAnsi="IRNazanin" w:eastAsia="IRNazanin"/>
          <w:color w:val="111111"/>
          <w:sz w:val="28"/>
          <w:sz w:val="28"/>
          <w:szCs w:val="28"/>
          <w:rtl w:val="true"/>
          <w:lang w:bidi="fa-IR"/>
        </w:rPr>
        <w:t xml:space="preserve">والنجاشی ، الراوی عن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عمر الیمانی وأبان بن أبی عیّاش </w:t>
      </w:r>
      <w:r>
        <w:rPr>
          <w:rStyle w:val="FootnoteAnchor"/>
          <w:rtl w:val="true"/>
        </w:rPr>
        <w:footnoteReference w:id="365"/>
      </w:r>
      <w:r>
        <w:rPr>
          <w:rFonts w:ascii="IRNazanin" w:hAnsi="IRNazanin" w:eastAsia="IRNazanin"/>
          <w:color w:val="111111"/>
          <w:sz w:val="28"/>
          <w:sz w:val="28"/>
          <w:szCs w:val="28"/>
          <w:rtl w:val="true"/>
          <w:lang w:bidi="fa-IR"/>
        </w:rPr>
        <w:t>، وفی الروایة إبراهیم بن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4" w:name="__RefHeading___Toc347770_2142443653"/>
      <w:bookmarkStart w:id="295" w:name="_Toc116"/>
      <w:bookmarkEnd w:id="294"/>
      <w:r>
        <w:rPr>
          <w:rtl w:val="true"/>
        </w:rPr>
        <w:t>بحث حول سُلیم بن قیس والراوی عنه</w:t>
      </w:r>
      <w:bookmarkStart w:id="296" w:name="pg15037_163710"/>
      <w:bookmarkEnd w:id="295"/>
    </w:p>
    <w:p>
      <w:pPr>
        <w:pStyle w:val="BookText"/>
        <w:rPr/>
      </w:pPr>
      <w:bookmarkEnd w:id="296"/>
      <w:r>
        <w:rPr>
          <w:rFonts w:ascii="IRNazanin" w:hAnsi="IRNazanin" w:eastAsia="IRNazanin"/>
          <w:color w:val="111111"/>
          <w:sz w:val="28"/>
          <w:sz w:val="28"/>
          <w:szCs w:val="28"/>
          <w:rtl w:val="true"/>
          <w:lang w:bidi="fa-IR"/>
        </w:rPr>
        <w:t>عثمان ، واحتمال الوهم بسبب تصحیف عمر بعثمان قریب من اللفظ ، وإن کان احتمال عدم التصحیف له نوع قرب ، نظرا إلی أنّ الراوی عن إبراهیم ابن عثمان حمّاد بن عیسی ، وعلی کلّ حال روایة إبراهیم بن عثمان عن سلیم لا یخلو من غرابة ؛ لأنّ إبراهیم بن عثمان من أصحاب أبی الحسن موسی علیه السلام والصادق علیه السلام ، وسلیم من أصحاب الحسن والحسین وعلی بن الحسین علیهم السلام وهذا یقتضی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تقدیر روایة إبراهیم بن عمر الیمانی فیمکن رفع الإرسال ؛ لأنّ إبراهیم من أصحاب الباقر علیه السلام ، وسلیم مذکور فی أصحابه علیه السلام ، وحینئذ ربّما یتعیّن کون الراوی فی الروایة المبحوث عنها ابن عمر لا ابن عثمان ، وفی ابن عمر کلام تقدّم </w:t>
      </w:r>
      <w:r>
        <w:rPr>
          <w:rStyle w:val="FootnoteAnchor"/>
          <w:rtl w:val="true"/>
        </w:rPr>
        <w:footnoteReference w:id="366"/>
      </w:r>
      <w:r>
        <w:rPr>
          <w:rFonts w:ascii="IRNazanin" w:hAnsi="IRNazanin" w:eastAsia="IRNazanin"/>
          <w:color w:val="111111"/>
          <w:sz w:val="28"/>
          <w:sz w:val="28"/>
          <w:szCs w:val="28"/>
          <w:rtl w:val="true"/>
          <w:lang w:bidi="fa-IR"/>
        </w:rPr>
        <w:t xml:space="preserve">، وفی الخلاصة ذکر اختلاف أسانید الکتاب بغیر ما ذکرناه ، واعتماده علی الکشی وهو مضطرب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کما تری یدل علی أنّ التسمیة فی الفاتحة والسورة لا بدّ منها ، وقد سبق الإجماع المنقول ، غیر أنّ معاویة بن عمّار قد یستبعد سؤاله عن مثل هذا ، فإنّه کالمعلوم من أهل البیت علیهم السلام فی الفاتحة ، أمّا مع السورة فیحتمل أن یکون السؤال من جهة جواز التبعیض فی السورة علی ظاهر بعض الأخبار ، وإن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الخبر خلاف ذلک وأن المتبادر منه لزوم قراءة البسملة کالفاتحة ، غایة الأمر أنّ وجود المعارض الدال علی التبعیض ربّما یقتضی حمل هذا الخبر علی خلاف ظاهره ، وسیأتی </w:t>
      </w:r>
      <w:r>
        <w:rPr>
          <w:rStyle w:val="FootnoteAnchor"/>
          <w:rtl w:val="true"/>
        </w:rPr>
        <w:footnoteReference w:id="368"/>
      </w:r>
      <w:r>
        <w:rPr>
          <w:rFonts w:ascii="IRNazanin" w:hAnsi="IRNazanin" w:eastAsia="IRNazanin"/>
          <w:color w:val="111111"/>
          <w:sz w:val="28"/>
          <w:sz w:val="28"/>
          <w:szCs w:val="28"/>
          <w:rtl w:val="true"/>
          <w:lang w:bidi="fa-IR"/>
        </w:rPr>
        <w:t>فی خبر أنّه لا یقرأ بأقلّ من سورة ولا بأکثر ، ونذکر إن شاء الله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7" w:name="__RefHeading___Toc347772_2142443653"/>
      <w:bookmarkStart w:id="298" w:name="_Toc117"/>
      <w:bookmarkEnd w:id="297"/>
      <w:r>
        <w:rPr>
          <w:rtl w:val="true"/>
        </w:rPr>
        <w:t>دلالة روایة معاویة بن عمار علی أنّ التسمیة فی الفاتحة والسورة لابدّ منها وعدم دلالتها علی وجوب السورة</w:t>
      </w:r>
      <w:bookmarkStart w:id="299" w:name="pg15037_163711"/>
      <w:bookmarkEnd w:id="298"/>
    </w:p>
    <w:p>
      <w:pPr>
        <w:pStyle w:val="BookText"/>
        <w:rPr/>
      </w:pPr>
      <w:bookmarkEnd w:id="299"/>
      <w:r>
        <w:rPr>
          <w:rFonts w:ascii="IRNazanin" w:hAnsi="IRNazanin" w:eastAsia="IRNazanin"/>
          <w:color w:val="111111"/>
          <w:sz w:val="28"/>
          <w:sz w:val="28"/>
          <w:szCs w:val="28"/>
          <w:rtl w:val="true"/>
          <w:lang w:bidi="fa-IR"/>
        </w:rPr>
        <w:t>تعالی ما لا بدّ منه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الخبر یدلّ علی وجوب السورة بعد الحمد ؛ إذ وجوب البسملة إذا اقتضاه الخبر نظرا إلی المشارکة للحمد فی الحکم ظاهرا أفاد المطلوب ، لکن بضمیمة عدم جواز التبعیض ، أو جوازه وتعیّن أحد الأمرین إمّا السورة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ما یدل علیه الخبر قراءة البسملة مع السورة ، أمّا الوجوب فلا ، وکون البسملة فی الفاتحة واجبة لا یلزم مثلها فی السورة ؛ لجواز اختصاص الخبر بالتنبیه علی أنّ البسملة جزء من کلّ سورة ، وحینئذ تشترک الفاتحة والسورة من هذه الجهة ، ویبقی حکم الوجوب مستفادا من غیره ، فإن تمّ الدلیل علی الوجوب فی السورة أمکن حمل الخبر علی الوجوب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الخبر تساوی الفاتحة والسورة فی لزوم قراءة البسملة ، أمّا احتمال ما ذکرت فبعید ، وعلی تقدیر قربه فهو مساو لغیره ، ولا مانع من استفادة الأمرین من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لوحظ الخبر بعین العنایة یظهر رجحان ما ذکرناه ، وعلی تقدیر عدمه فالخبر لا یفید المطلوب من وجوب السورة مع الاحتمال ووجود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یدل بتقدیر صحّته علی وجوب السورة ؛ لأنّ الظاهر من الإعادة یفید ذلک إن رجع إلی الصلاة ، وإن رجع إلی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معنی أنّ نفی البأس فی ترکها لا وجه له ، بل تعاد البسملة ، وتکون الفائدة فی المبالغة دفع احتمال رجحان الترک علی الإتیان بالبسملة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أن یقال بعدم الدلالة علی وجوب السورة ، إلاّ أنّ الظاهر من الخبر خلافه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0" w:name="__RefHeading___Toc347774_2142443653"/>
      <w:bookmarkStart w:id="301" w:name="_Toc118"/>
      <w:bookmarkEnd w:id="300"/>
      <w:r>
        <w:rPr>
          <w:rtl w:val="true"/>
        </w:rPr>
        <w:t>بیان ما دلّ علی أنّ من ترک البسملة فی السورة یعید</w:t>
      </w:r>
      <w:bookmarkEnd w:id="301"/>
    </w:p>
    <w:p>
      <w:pPr>
        <w:pStyle w:val="BookText"/>
        <w:rPr/>
      </w:pPr>
      <w:r>
        <w:rPr>
          <w:rFonts w:ascii="IRNazanin" w:hAnsi="IRNazanin" w:eastAsia="IRNazanin"/>
          <w:color w:val="111111"/>
          <w:sz w:val="28"/>
          <w:sz w:val="28"/>
          <w:szCs w:val="28"/>
          <w:rtl w:val="true"/>
          <w:lang w:bidi="fa-IR"/>
        </w:rPr>
        <w:t>بل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التقدیر الأوّل لا مانع من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الإعادة بسبب فعل خلاف المشروع فی الصلاة وإن کانت السورة مستحبة ، کما ذکرناه فی الحدیث الذی ورد بأنّه لا یقرأ بأقلّ من سورة فی حواشی التهذیب لدفع من استدل به علی وجوب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استبعاد الوجه فی الخبر بأنّ إعادة الصلاة بترک المستحب غیر واضحة الوجه ، یدفعه أنّ الصلاة کیفیّة متلقّاة من الشارع ، فلا مانع من البطلان بفعل المستحب علی هیئة مخالفة للمنقول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یتوجه أنّ فی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التبعیض ، وحینئذ لا بدّ من حمل الخبر علی وجه لا ینافی ذلک ، ولو حمل علی إعادة البسملة بنحو ما ذکر فی الوجه الثانی أمکن ، بخلاف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لإمکان الجواب بالحمل علی أنّ ترک البسملة لم یکن علی وجه الإتیان ببعض السورة ، بل یجوز أن یکون الترک بقصد کون السورة غیرها وإن کان ظاهر الخبر خلافه ، إلاّ أنّ فی الجواب نوع إشعار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تکون الإعادة لوقوع الفعل بغیر موافقة الشرع مع إمکان الاطّلاع علیه ، وفی هذا نوع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الأولی الحمل علی الاستحباب فی الإعادة ، والمبالغة لدفع قول العیّاشی ، وتوهّم الوجوب لعلّه اندفع بوجه من الوجوه ، هذا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والعیّاشی المذکور لا أعلم حاله ، وضبطه فی التهذیب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العبّاسی ، فی نسخة معتبرة بالباء المفردة والسین المهملة</w:t>
      </w:r>
      <w:r>
        <w:rPr>
          <w:rFonts w:eastAsia="IRNazanin" w:cs="IRNazanin"/>
          <w:color w:val="111111"/>
          <w:sz w:val="28"/>
          <w:szCs w:val="28"/>
          <w:rtl w:val="true"/>
          <w:lang w:bidi="fa-IR"/>
        </w:rPr>
        <w:t xml:space="preserve">. </w:t>
      </w:r>
      <w:bookmarkStart w:id="302" w:name="pg15037_163713"/>
    </w:p>
    <w:p>
      <w:pPr>
        <w:pStyle w:val="BookText"/>
        <w:rPr/>
      </w:pPr>
      <w:bookmarkEnd w:id="302"/>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تضمّن جهرة علیه السلام مرّتین ، وهو مجمل ؛ إذ المرّتان محتملة للفاتحة وللسورة ، فیراد بالمرّتین فی کل رکعة من الأوّلتین ، ویحتمل أن یراد بالمرّتین فی الفاتحة الواقعة فی الرکعتین ، فتکون السورة لا یستحب فیها الجهر بالبسملة ، ولا یبعد ادّعاء ظهور الأوّل ، بل عدم القائل بالثانی فیما أعلم یؤیّد نفیه ، وقد تقدّم فی الأقوال ما یغنی عن الإعادة لمناسبة هذا الخبر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وقنت فی الفجر ، ربّما یدل علی الاختصاص بالفجر ، والأخبار فی ذلک ستأتی مفصّلة إن شاء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فی التسلیم للإمام ، فلیکن هذا الخبر علی ذکر لما یأتی بسبب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ربّما یستفاد من الخبر عدم الجهر فی البسملة فی الأخیرتین علی الاحتمال الأوّل إلاّ أن تکون الصلاة مقصورة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محتمل لأن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یعیدها یعیدها ، کما یحتمل أن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یعیدها مکرّرة فی الصلاة بتضمین یعیدها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یقرأها ، ولا یخفی وضوح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محمّد بن الحسین ، عن صفوان ، عن عبد الله بن بکیر ، عن مسمع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مع أبی عبد الله علیه السلام فقرأ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ربّ العالمین ، ثم قرأ السورة التی بعد الحمد ولم یقرأ بسم الله الرّحمن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3" w:name="__RefHeading___Toc347776_2142443653"/>
      <w:bookmarkStart w:id="304" w:name="_Toc119"/>
      <w:bookmarkEnd w:id="303"/>
      <w:r>
        <w:rPr>
          <w:rtl w:val="true"/>
        </w:rPr>
        <w:t xml:space="preserve">ما المراد بالمرّتین فی قوله </w:t>
      </w:r>
      <w:r>
        <w:rPr>
          <w:rtl w:val="true"/>
        </w:rPr>
        <w:t xml:space="preserve">: </w:t>
      </w:r>
      <w:r>
        <w:rPr>
          <w:rtl w:val="true"/>
        </w:rPr>
        <w:t xml:space="preserve">صلّی بنا أبو عبدالله علیه السلام فجهر مرّتین </w:t>
      </w:r>
      <w:r>
        <w:rPr>
          <w:rtl w:val="true"/>
        </w:rPr>
        <w:t>...</w:t>
      </w:r>
      <w:r>
        <w:rPr>
          <w:rtl w:val="true"/>
        </w:rPr>
        <w:t>؟</w:t>
      </w:r>
      <w:bookmarkEnd w:id="304"/>
    </w:p>
    <w:p>
      <w:pPr>
        <w:pStyle w:val="BookText"/>
        <w:rPr/>
      </w:pPr>
      <w:r>
        <w:rPr>
          <w:rFonts w:ascii="IRNazanin" w:hAnsi="IRNazanin" w:eastAsia="IRNazanin"/>
          <w:color w:val="111111"/>
          <w:sz w:val="28"/>
          <w:sz w:val="28"/>
          <w:szCs w:val="28"/>
          <w:rtl w:val="true"/>
          <w:lang w:bidi="fa-IR"/>
        </w:rPr>
        <w:t>الرّحیم ، ثم قام فی الثانیة فقرأ الحمد ولم یقرأ بسم الله الرّحمن الرّحیم ، ثمّ قرأ سورة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ینافی هذا الخبر الأخبار التی قدّمناها ؛ لأنّه تضمّن حکایة فعل ، ویجوز أن یکون مسمع لم یسمع أبا عبد الله علیه السلام یقرأ بسم الله الرّحمن الرّحیم لبعد کان بینه وبینه ، ویحتمل أن یکون إنّما ترک لضرب من التقیّة والاضطرار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علیّ بن السندی ، عن حمّاد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یکون إماما یستفتح بالحمد ولا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یضرّه ولا بأس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فیه أن نحمله علی حال التقیّة دون حال الاختیار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سعد بن عبد الله ، عن أحمد ومحمّد ، عن العباس بن معروف ، عن صفوان بن یحیی ، عن أبی جریر </w:t>
      </w:r>
      <w:r>
        <w:rPr>
          <w:rStyle w:val="FootnoteAnchor"/>
          <w:rtl w:val="true"/>
        </w:rPr>
        <w:footnoteReference w:id="372"/>
      </w:r>
      <w:r>
        <w:rPr>
          <w:rFonts w:ascii="IRNazanin" w:hAnsi="IRNazanin" w:eastAsia="IRNazanin"/>
          <w:color w:val="111111"/>
          <w:sz w:val="28"/>
          <w:sz w:val="28"/>
          <w:szCs w:val="28"/>
          <w:rtl w:val="true"/>
          <w:lang w:bidi="fa-IR"/>
        </w:rPr>
        <w:t xml:space="preserve">زکریا بن إدریس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یصلّی بقوم یجوز </w:t>
      </w:r>
      <w:r>
        <w:rPr>
          <w:rStyle w:val="FootnoteAnchor"/>
          <w:rtl w:val="true"/>
        </w:rPr>
        <w:footnoteReference w:id="373"/>
      </w:r>
      <w:r>
        <w:rPr>
          <w:rFonts w:ascii="IRNazanin" w:hAnsi="IRNazanin" w:eastAsia="IRNazanin"/>
          <w:color w:val="111111"/>
          <w:sz w:val="28"/>
          <w:sz w:val="28"/>
          <w:szCs w:val="28"/>
          <w:rtl w:val="true"/>
          <w:lang w:bidi="fa-IR"/>
        </w:rPr>
        <w:t xml:space="preserve">أن یجهر ببسم الله الرّحمن الرّحیم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الله بن بکیر ، وقد مضی القول </w:t>
      </w:r>
      <w:r>
        <w:rPr>
          <w:rStyle w:val="FootnoteAnchor"/>
          <w:rtl w:val="true"/>
        </w:rPr>
        <w:footnoteReference w:id="374"/>
      </w:r>
      <w:r>
        <w:rPr>
          <w:rFonts w:ascii="Amiri" w:hAnsi="Amiri" w:eastAsia="Amiri" w:cs="Amiri"/>
          <w:color w:val="111111"/>
          <w:sz w:val="28"/>
          <w:sz w:val="28"/>
          <w:szCs w:val="28"/>
          <w:rtl w:val="true"/>
          <w:lang w:bidi="ar-SA"/>
        </w:rPr>
        <w:t xml:space="preserve">مکرّرا فی </w:t>
      </w:r>
      <w:bookmarkStart w:id="305" w:name="pg15037_163715"/>
    </w:p>
    <w:p>
      <w:pPr>
        <w:pStyle w:val="BookText"/>
        <w:rPr/>
      </w:pPr>
      <w:bookmarkEnd w:id="305"/>
      <w:r>
        <w:rPr>
          <w:rFonts w:ascii="IRNazanin" w:hAnsi="IRNazanin" w:eastAsia="IRNazanin"/>
          <w:color w:val="111111"/>
          <w:sz w:val="28"/>
          <w:sz w:val="28"/>
          <w:szCs w:val="28"/>
          <w:rtl w:val="true"/>
          <w:lang w:bidi="fa-IR"/>
        </w:rPr>
        <w:t>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ومسمع البصری وهو ابن عبد الملک بن مسمع بن مالک الذی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کردین ، وقد ذکر العلاّمة فی الخلاصة إنّه شیخ بکر بن وائل بالبصرة ووجهها وسیّد المسامعة </w:t>
      </w:r>
      <w:r>
        <w:rPr>
          <w:rStyle w:val="FootnoteAnchor"/>
          <w:rtl w:val="true"/>
        </w:rPr>
        <w:footnoteReference w:id="375"/>
      </w:r>
      <w:r>
        <w:rPr>
          <w:rFonts w:ascii="IRNazanin" w:hAnsi="IRNazanin" w:eastAsia="IRNazanin"/>
          <w:color w:val="111111"/>
          <w:sz w:val="28"/>
          <w:sz w:val="28"/>
          <w:szCs w:val="28"/>
          <w:rtl w:val="true"/>
          <w:lang w:bidi="fa-IR"/>
        </w:rPr>
        <w:t xml:space="preserve">، والنجاشی سبقه إلی هذا الکلام ، وزاد أنّه کان أوجه من أخیه عامر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یتعجب من العلاّمة أنّه قال فی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 بن مالک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الملک أبو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ذکر ما قدّمناه من أنّه مسمع بن عبد الملک بن مسمع بن مالک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عبارة النجاشی مع نقل الخلاف ، وهو الموجب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لا یزید الرجل علی المدح إن ثبت من الوجاهة ذلک ، أمّا کونه سیّد المسامعة فلا یبعد أن یکون إشارة إلی ما ذکره النجاشی فی نسبه بعد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ابن مالک بن مسمع بن سیّار ، فهو سیّد المسامعة حیث صاروا ثلاثة ، والسیادة باعتبار علوّ الشأن علی جدّه وجدّ جدّه ، والعلوّ غیر معلوم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الکشی 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 بن الحسن بن فضّال عن مسمع کُردِین أبی سیّار؟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مالک من أهل البصرة وکان ثقة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الحال ، غیر أنّ الظاهر توهّم العلاّمة من هنا أنّ الأب مختلف فیه ؛ لأنّ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الملک ، وابن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6" w:name="__RefHeading___Toc347778_2142443653"/>
      <w:bookmarkStart w:id="307" w:name="_Toc120"/>
      <w:bookmarkEnd w:id="306"/>
      <w:r>
        <w:rPr>
          <w:rtl w:val="true"/>
        </w:rPr>
        <w:t>بحث حول مسمع بن عبدالملک البصری</w:t>
      </w:r>
      <w:bookmarkStart w:id="308" w:name="pg15037_163716"/>
      <w:bookmarkEnd w:id="307"/>
    </w:p>
    <w:p>
      <w:pPr>
        <w:pStyle w:val="BookText"/>
        <w:rPr/>
      </w:pPr>
      <w:bookmarkEnd w:id="308"/>
      <w:r>
        <w:rPr>
          <w:rFonts w:ascii="IRNazanin" w:hAnsi="IRNazanin" w:eastAsia="IRNazanin"/>
          <w:color w:val="111111"/>
          <w:sz w:val="28"/>
          <w:sz w:val="28"/>
          <w:szCs w:val="28"/>
          <w:rtl w:val="true"/>
          <w:lang w:bidi="fa-IR"/>
        </w:rPr>
        <w:t xml:space="preserve">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 وأنت خبیر بأنّ النسبة إلی الجدّ غیر عزیزة الوجود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السندی ، وقد کرّرنا القول </w:t>
      </w:r>
      <w:r>
        <w:rPr>
          <w:rStyle w:val="FootnoteAnchor"/>
          <w:rtl w:val="true"/>
        </w:rPr>
        <w:footnoteReference w:id="379"/>
      </w:r>
      <w:r>
        <w:rPr>
          <w:rFonts w:ascii="IRNazanin" w:hAnsi="IRNazanin" w:eastAsia="IRNazanin"/>
          <w:color w:val="111111"/>
          <w:sz w:val="28"/>
          <w:sz w:val="28"/>
          <w:szCs w:val="28"/>
          <w:rtl w:val="true"/>
          <w:lang w:bidi="fa-IR"/>
        </w:rPr>
        <w:t>فی أن حاله لا تزید علی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فیه أحمد ومحمّد ، علی ما وجدت من النسخة الآن ، وأحمد هو ابن محمّد بن عیسی علی الظاهر ، ولا یبعد أن یکون محمّد هو ابن محمّد بن عیسی أخو أحمد ، وفی التهذیب أحمد بن محمّد </w:t>
      </w:r>
      <w:r>
        <w:rPr>
          <w:rStyle w:val="FootnoteAnchor"/>
          <w:rtl w:val="true"/>
        </w:rPr>
        <w:footnoteReference w:id="380"/>
      </w:r>
      <w:r>
        <w:rPr>
          <w:rFonts w:ascii="IRNazanin" w:hAnsi="IRNazanin" w:eastAsia="IRNazanin"/>
          <w:color w:val="111111"/>
          <w:sz w:val="28"/>
          <w:sz w:val="28"/>
          <w:szCs w:val="28"/>
          <w:rtl w:val="true"/>
          <w:lang w:bidi="fa-IR"/>
        </w:rPr>
        <w:t>، ولعلّه الصواب ، واحتمال کون ما هنا کذلک فی حیّز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جریر زکریا بن إدریس فغیر ثقة ، وذکر شیخنا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الرجال ما یدل علی أنّه معتمد </w:t>
      </w:r>
      <w:r>
        <w:rPr>
          <w:rStyle w:val="FootnoteAnchor"/>
          <w:rtl w:val="true"/>
        </w:rPr>
        <w:footnoteReference w:id="381"/>
      </w:r>
      <w:r>
        <w:rPr>
          <w:rFonts w:ascii="IRNazanin" w:hAnsi="IRNazanin" w:eastAsia="IRNazanin"/>
          <w:color w:val="111111"/>
          <w:sz w:val="28"/>
          <w:sz w:val="28"/>
          <w:szCs w:val="28"/>
          <w:rtl w:val="true"/>
          <w:lang w:bidi="fa-IR"/>
        </w:rPr>
        <w:t>، ولم یظهر لی الآن وجهه ، وقد تقدّم منّا کلام 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زکریّا بن إدریس کان وجها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یزید علی المدح ، وفی غیر الخلاصة لم یذکر ذلک علی ما وجدته من کتاب الشیخ وفهرسته والنجاشی ، وظاهر الروایة روایته عن أبی الحسن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ذکره فی رجال الصادق علیه السلام والرضا علیه السلام </w:t>
      </w:r>
      <w:r>
        <w:rPr>
          <w:rStyle w:val="FootnoteAnchor"/>
          <w:rtl w:val="true"/>
        </w:rPr>
        <w:footnoteReference w:id="383"/>
      </w:r>
      <w:r>
        <w:rPr>
          <w:rFonts w:ascii="IRNazanin" w:hAnsi="IRNazanin" w:eastAsia="IRNazanin"/>
          <w:color w:val="111111"/>
          <w:sz w:val="28"/>
          <w:sz w:val="28"/>
          <w:szCs w:val="28"/>
          <w:rtl w:val="true"/>
          <w:lang w:bidi="fa-IR"/>
        </w:rPr>
        <w:t>أیضا ، ولم یذکره فی رجال موسی علیه السلام ، إلاّ أنّ المعلوم وجوده فی زمنه علیه السلام ، وعدم روایته عنه لظنّ الشیخ محتمل لو لا الروایة المذکورة ، فالعذر للشیخ فی ترک ذکره فی رجال موسی علیه السلام غیر واضح</w:t>
      </w:r>
      <w:r>
        <w:rPr>
          <w:rFonts w:eastAsia="IRNazanin" w:cs="IRNazanin"/>
          <w:color w:val="111111"/>
          <w:sz w:val="28"/>
          <w:szCs w:val="28"/>
          <w:rtl w:val="true"/>
          <w:lang w:bidi="fa-IR"/>
        </w:rPr>
        <w:t>.</w:t>
      </w:r>
    </w:p>
    <w:p>
      <w:pPr>
        <w:pStyle w:val="Heading4"/>
        <w:numPr>
          <w:ilvl w:val="3"/>
          <w:numId w:val="1"/>
        </w:numPr>
        <w:rPr/>
      </w:pPr>
      <w:bookmarkStart w:id="309" w:name="__RefHeading___Toc347780_2142443653"/>
      <w:bookmarkStart w:id="310" w:name="_Toc121"/>
      <w:bookmarkEnd w:id="309"/>
      <w:r>
        <w:rPr>
          <w:rtl w:val="true"/>
        </w:rPr>
        <w:t>علی بن السندی مجهول</w:t>
      </w:r>
      <w:bookmarkEnd w:id="310"/>
    </w:p>
    <w:p>
      <w:pPr>
        <w:pStyle w:val="Heading4"/>
        <w:numPr>
          <w:ilvl w:val="3"/>
          <w:numId w:val="1"/>
        </w:numPr>
        <w:rPr/>
      </w:pPr>
      <w:bookmarkStart w:id="311" w:name="__RefHeading___Toc347782_2142443653"/>
      <w:bookmarkStart w:id="312" w:name="_Toc122"/>
      <w:bookmarkEnd w:id="311"/>
      <w:r>
        <w:rPr>
          <w:rtl w:val="true"/>
        </w:rPr>
        <w:t xml:space="preserve">تمییز أحمد ومحمد فی قوله </w:t>
      </w:r>
      <w:r>
        <w:rPr>
          <w:rtl w:val="true"/>
        </w:rPr>
        <w:t xml:space="preserve">: </w:t>
      </w:r>
      <w:r>
        <w:rPr>
          <w:rtl w:val="true"/>
        </w:rPr>
        <w:t>سعد بن عبدالله عن أحمد ومحمد</w:t>
      </w:r>
      <w:bookmarkEnd w:id="31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3" w:name="__RefHeading___Toc347784_2142443653"/>
      <w:bookmarkStart w:id="314" w:name="_Toc123"/>
      <w:bookmarkEnd w:id="313"/>
      <w:r>
        <w:rPr>
          <w:rtl w:val="true"/>
        </w:rPr>
        <w:t>بحث حول أبی جریر زکریا بن إدریس القمی</w:t>
      </w:r>
      <w:bookmarkStart w:id="315" w:name="pg15037_163717"/>
      <w:bookmarkEnd w:id="314"/>
    </w:p>
    <w:p>
      <w:pPr>
        <w:pStyle w:val="BookText"/>
        <w:rPr/>
      </w:pPr>
      <w:bookmarkEnd w:id="315"/>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من جواز عدم سماع مسمع فی غایة البُعد ؛ لأنّ البُعد بینه وبین الإمام یقتضی عدم السماع فی السورتین ، والخبر تضمّن الفرق ، ولعلّه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لجهره علیه السلام جهرا متفاوتا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تارة ولا یسمع أُخری </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أمکن ، إلاّ أنّ الجزم من الراوی بعدم القراءة لا وجه له ، بل اللازم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والحمل علی التقیّة قد ینافیه قراءتها مرّة وترکها أخری ، ویمکن أن توجّه التقیّة بأنّ القراءة فی الأوّل کانت لعدم من یتّقی ثم تجدّد فی الأثناء کما ینبّه علیه أنّه علیه السلام قرأها فی أوّل الفاتحة من أوّل الصلاة وترکها فی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ترک البسملة فی الاولی من السورة لجواز التبعیض فیها ، علی ما یدل علیه بعض الأخبار ، ولا ینافیه ما تقدّم لإمکان التوجیه السابق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فی الثانیة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أنّه قرأ الحمد مع البسملة ولم یقرأ البسملة مع السورة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الحمد ولم یقرأ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صراحة فیه بکون البسملة للفاتحة ، ولا مانع من إرادة الفاتحة جمیعها لتدخل البسملة ، والترتیب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سورة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من حیث المغایرة للسورة الاولی ، لا لترتیب ینافی ما قلناه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أخری وإن تناول البسملة إلاّ أنّ التخصیص بالمقام والجمع لا مانع منه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6" w:name="__RefHeading___Toc347786_2142443653"/>
      <w:bookmarkStart w:id="317" w:name="_Toc124"/>
      <w:bookmarkEnd w:id="316"/>
      <w:r>
        <w:rPr>
          <w:rtl w:val="true"/>
        </w:rPr>
        <w:t>توجیه ما دلّ علی جواز ترک البسملة فی الفاتحة والسورة</w:t>
      </w:r>
      <w:bookmarkEnd w:id="317"/>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ما قاله الشیخ من التقیة یحتمل السؤال عن ترکها ناسیا ، فإنّه لا یضرّ بحال الصلاة ، وربّما أیّد هذا ظاهر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یقول ،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أمکن موافقته للتقیة أیضا بنوع من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التقیّة ، یحتمل أن یراد نفی الجهر علی سبیل التعیّن ، وربّما یقرّب التقیة کون الإمام مظنّة حضور أهل الخلاف ، ولا یخفی أنّ إطلاق الروایة وإن تناول الجهریّة لا یضرّ بحال التقیّة لما هو المعروف من مذهب الحنفیّة </w:t>
      </w:r>
      <w:r>
        <w:rPr>
          <w:rStyle w:val="FootnoteAnchor"/>
          <w:rtl w:val="true"/>
        </w:rPr>
        <w:footnoteReference w:id="385"/>
      </w:r>
      <w:r>
        <w:rPr>
          <w:rFonts w:ascii="IRNazanin" w:hAnsi="IRNazanin" w:eastAsia="IRNazanin"/>
          <w:color w:val="111111"/>
          <w:sz w:val="28"/>
          <w:sz w:val="28"/>
          <w:szCs w:val="28"/>
          <w:rtl w:val="true"/>
          <w:lang w:bidi="fa-IR"/>
        </w:rPr>
        <w:t>، وعلی التوجیه الثانی تختص بالإخفاتیّة ، فکان حمل الشیخ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سعد بن عبد الله ، عن أحمد بن محمّد ، عن محمّد ابن أبی عمیر ، عن حمّاد بن عثمان ، عن عبید الله بن علیّ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بن سعید ، عن علیّ بن النعمان ومحمّد بن سنان وعبد الله بن مسکان ، عن محمّد بن علیّ الحلبی ، عن أبی عبد الله علیه السلام أنّهما سألاه عمّن یقرأ بسم الله الرّحمن الرّحیم حین یرید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الکتاب قال </w:t>
      </w:r>
      <w:r>
        <w:rPr>
          <w:rFonts w:eastAsia="IRNazanin" w:cs="IRNazanin"/>
          <w:color w:val="111111"/>
          <w:sz w:val="28"/>
          <w:szCs w:val="28"/>
          <w:rtl w:val="true"/>
          <w:lang w:bidi="fa-IR"/>
        </w:rPr>
        <w:t xml:space="preserve">: )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387"/>
      </w:r>
      <w:r>
        <w:rPr>
          <w:rFonts w:ascii="IRNazanin" w:hAnsi="IRNazanin" w:eastAsia="IRNazanin"/>
          <w:color w:val="111111"/>
          <w:sz w:val="28"/>
          <w:sz w:val="28"/>
          <w:szCs w:val="28"/>
          <w:rtl w:val="true"/>
          <w:lang w:bidi="fa-IR"/>
        </w:rPr>
        <w:t xml:space="preserve">إن شاء سرّا ، وإن شاء 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أفیقرأها مع السورة الأُخری؟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هذا الخبر ما قلناه فی الخبر الأوّل من حمله علی التقیّة ، ویجوز أن یکون المراد به من کان فی صلاة نافلة وأراد أن یقرأ من </w:t>
      </w:r>
      <w:bookmarkStart w:id="318" w:name="pg15037_163719"/>
    </w:p>
    <w:p>
      <w:pPr>
        <w:pStyle w:val="BookText"/>
        <w:rPr/>
      </w:pPr>
      <w:bookmarkEnd w:id="318"/>
      <w:r>
        <w:rPr>
          <w:rFonts w:ascii="IRNazanin" w:hAnsi="IRNazanin" w:eastAsia="IRNazanin"/>
          <w:color w:val="111111"/>
          <w:sz w:val="28"/>
          <w:sz w:val="28"/>
          <w:szCs w:val="28"/>
          <w:rtl w:val="true"/>
          <w:lang w:bidi="fa-IR"/>
        </w:rPr>
        <w:t>بعض سورة جاز له أن لا یقرأ 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یبین 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سعد بن عبد الله ، عن أحمد بن محمّد ، عن الحسین بن سعید ، عن فضالة بن أیّوب ، عن أبان بن عثمان ، عن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یفتتح القراءة فی الصلاة أیقرأ بسم الله الرّحمن الرّحیم؟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إذا افتتح الصلاة فلیقلها فی أوّل ما یفتتح ثمّ یکفیه ممّا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طریقین إن جُعل الحسین بن سعید فیه معطوفا علی سعد بن عبد الله فیکون الشیخ روی بطریقیه عن سعد والحسین ، وإن جعل الحسین معطوفا علی محمّد بن أبی عمیر لیکون أحمد بن محمّد بن عیسی راویا عن عبید الله الحلبی بطریق وعن محمّد بن الحلبی بآخر کان الشیخ راویا بطریق واحد عن سعد ، غایة الأمر أنّه یتشعّب من الطریق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الحال أنّ علی الأوّل یروی الشیخ عن سعد بن عبد الله ، عن أحمد بن محمّد ، عن ابن أبی عمیر عن حمّاد ، عن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عن الحسین بن سعید ، عن علیّ بن النعمان وابن سنان وابن مسکان ، عن محمّد الحلبی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محمّدا وعبید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یرویان عن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یروی الشیخ ، عن سعد بن عبد الله ، عن أحمد بن محمّد ، وأحمد یروی تارة عن ابن أبی عمیر ، عن حمّاد ، عن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عن الحسین ، عن علی بن النعمان ومن معه ، عن محمّد الحلبی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9" w:name="__RefHeading___Toc347788_2142443653"/>
      <w:bookmarkStart w:id="320" w:name="_Toc125"/>
      <w:bookmarkEnd w:id="319"/>
      <w:r>
        <w:rPr>
          <w:rtl w:val="true"/>
        </w:rPr>
        <w:t>بحث حول طریق الشیخ إلی عبیدالله الحلبی ومحمد الحلبی</w:t>
      </w:r>
      <w:bookmarkStart w:id="321" w:name="pg15037_163720"/>
      <w:bookmarkEnd w:id="320"/>
    </w:p>
    <w:p>
      <w:pPr>
        <w:pStyle w:val="BookText"/>
        <w:rPr/>
      </w:pPr>
      <w:bookmarkEnd w:id="321"/>
      <w:r>
        <w:rPr>
          <w:rFonts w:ascii="IRNazanin" w:hAnsi="IRNazanin" w:eastAsia="IRNazanin"/>
          <w:color w:val="111111"/>
          <w:sz w:val="28"/>
          <w:sz w:val="28"/>
          <w:szCs w:val="28"/>
          <w:rtl w:val="true"/>
          <w:lang w:bidi="fa-IR"/>
        </w:rPr>
        <w:t xml:space="preserve">وهما یرویان عن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سنان وعبد الله بن مسکان ، روایة الحسین بن سعید عن عبد الله بن مسکان ، والظاهر من الروایات عدم روایة الحسین بن سعید عن عبد الله بن مسکان ، بل محمّد بن سنان فی الرجال یروی عن عبد الله بن مسکان </w:t>
      </w:r>
      <w:r>
        <w:rPr>
          <w:rStyle w:val="FootnoteAnchor"/>
          <w:rtl w:val="true"/>
        </w:rPr>
        <w:footnoteReference w:id="388"/>
      </w:r>
      <w:r>
        <w:rPr>
          <w:rFonts w:ascii="IRNazanin" w:hAnsi="IRNazanin" w:eastAsia="IRNazanin"/>
          <w:color w:val="111111"/>
          <w:sz w:val="28"/>
          <w:sz w:val="28"/>
          <w:szCs w:val="28"/>
          <w:rtl w:val="true"/>
          <w:lang w:bidi="fa-IR"/>
        </w:rPr>
        <w:t>، وکذا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بُعد فی روایة الحسین بن سعید عن عبد الله ، وأظنّ فی الروایات وجوده </w:t>
      </w:r>
      <w:r>
        <w:rPr>
          <w:rStyle w:val="FootnoteAnchor"/>
          <w:rtl w:val="true"/>
        </w:rPr>
        <w:footnoteReference w:id="389"/>
      </w:r>
      <w:r>
        <w:rPr>
          <w:rFonts w:ascii="IRNazanin" w:hAnsi="IRNazanin" w:eastAsia="IRNazanin"/>
          <w:color w:val="111111"/>
          <w:sz w:val="28"/>
          <w:sz w:val="28"/>
          <w:szCs w:val="28"/>
          <w:rtl w:val="true"/>
          <w:lang w:bidi="fa-IR"/>
        </w:rPr>
        <w:t xml:space="preserve">إلاّ أنّه لم یحضرنی الآن محلّه ، وروایة محمّد بن سنان عنه لا تفید الانحصار ، نعم یستفاد من الرجال روایة أحمد بن محمّد بن عیسی عن محمّد بن سنان عنه کما فی النجاشی </w:t>
      </w:r>
      <w:r>
        <w:rPr>
          <w:rStyle w:val="FootnoteAnchor"/>
          <w:rtl w:val="true"/>
        </w:rPr>
        <w:footnoteReference w:id="390"/>
      </w:r>
      <w:r>
        <w:rPr>
          <w:rFonts w:ascii="IRNazanin" w:hAnsi="IRNazanin" w:eastAsia="IRNazanin"/>
          <w:color w:val="111111"/>
          <w:sz w:val="28"/>
          <w:sz w:val="28"/>
          <w:szCs w:val="28"/>
          <w:rtl w:val="true"/>
          <w:lang w:bidi="fa-IR"/>
        </w:rPr>
        <w:t xml:space="preserve">، بل فیه ما یدل علی أنّ روایة عبد الله بن مسکان عن محمّد الحلبی بواسطة أحمد بن محمّد بن عیسی عن محمّد بن سنان ، فلا یبعد أن یکون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مسکان ، وإن أمکن توجیه ما هنا ، وعلی کل حال السند لا ارتیاب فیه بعد ما قدّمناه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لما ذکرناه فی أبان مکرّرا </w:t>
      </w:r>
      <w:r>
        <w:rPr>
          <w:rStyle w:val="FootnoteAnchor"/>
          <w:rtl w:val="true"/>
        </w:rPr>
        <w:footnoteReference w:id="39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الجزأین </w:t>
      </w:r>
      <w:r>
        <w:rPr>
          <w:rFonts w:eastAsia="IRNazanin" w:cs="IRNazanin"/>
          <w:color w:val="111111"/>
          <w:sz w:val="28"/>
          <w:szCs w:val="28"/>
          <w:rtl w:val="true"/>
          <w:lang w:bidi="fa-IR"/>
        </w:rPr>
        <w:t xml:space="preserve">] </w:t>
      </w:r>
      <w:r>
        <w:rPr>
          <w:rStyle w:val="FootnoteAnchor"/>
          <w:rtl w:val="true"/>
        </w:rPr>
        <w:footnoteReference w:id="393"/>
      </w:r>
      <w:r>
        <w:rPr>
          <w:rFonts w:ascii="Amiri" w:hAnsi="Amiri" w:eastAsia="Amiri" w:cs="Amiri"/>
          <w:color w:val="111111"/>
          <w:sz w:val="28"/>
          <w:sz w:val="28"/>
          <w:szCs w:val="28"/>
          <w:rtl w:val="true"/>
          <w:lang w:bidi="ar-SA"/>
        </w:rPr>
        <w:t>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فیه من التقیّة هو أعلم بوجهه بالنسبة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سرّا وإن شاء 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فی جواب قراءتها مع السورة</w:t>
      </w:r>
    </w:p>
    <w:p>
      <w:pPr>
        <w:pStyle w:val="Heading4"/>
        <w:numPr>
          <w:ilvl w:val="3"/>
          <w:numId w:val="1"/>
        </w:numPr>
        <w:rPr/>
      </w:pPr>
      <w:bookmarkStart w:id="322" w:name="__RefHeading___Toc347790_2142443653"/>
      <w:bookmarkStart w:id="323" w:name="_Toc126"/>
      <w:bookmarkEnd w:id="322"/>
      <w:r>
        <w:rPr>
          <w:rtl w:val="true"/>
        </w:rPr>
        <w:t>بحث حول روایة محمد بن سنان عن عبدالله بن مسکان وعدم روایة الحسین بن سعید عنه</w:t>
      </w:r>
      <w:bookmarkEnd w:id="32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4" w:name="__RefHeading___Toc347792_2142443653"/>
      <w:bookmarkStart w:id="325" w:name="_Toc127"/>
      <w:bookmarkEnd w:id="324"/>
      <w:r>
        <w:rPr>
          <w:rtl w:val="true"/>
        </w:rPr>
        <w:t>توجیه ما دلّ علی التخییر بین الجهر والاخفات فی بسملة الفاتحة والنهی عن قراءتها مع السورة</w:t>
      </w:r>
      <w:bookmarkEnd w:id="325"/>
    </w:p>
    <w:p>
      <w:pPr>
        <w:pStyle w:val="BookText"/>
        <w:rPr/>
      </w:pPr>
      <w:r>
        <w:rPr>
          <w:rFonts w:ascii="IRNazanin" w:hAnsi="IRNazanin" w:eastAsia="IRNazanin"/>
          <w:color w:val="111111"/>
          <w:sz w:val="28"/>
          <w:sz w:val="28"/>
          <w:szCs w:val="28"/>
          <w:rtl w:val="true"/>
          <w:lang w:bidi="fa-IR"/>
        </w:rPr>
        <w:t xml:space="preserve">الأُخری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المعروف من مذهب أهل الخلاف </w:t>
      </w:r>
      <w:r>
        <w:rPr>
          <w:rStyle w:val="FootnoteAnchor"/>
          <w:rtl w:val="true"/>
        </w:rPr>
        <w:footnoteReference w:id="394"/>
      </w:r>
      <w:r>
        <w:rPr>
          <w:rFonts w:ascii="IRNazanin" w:hAnsi="IRNazanin" w:eastAsia="IRNazanin"/>
          <w:color w:val="111111"/>
          <w:sz w:val="28"/>
          <w:sz w:val="28"/>
          <w:szCs w:val="28"/>
          <w:rtl w:val="true"/>
          <w:lang w:bidi="fa-IR"/>
        </w:rPr>
        <w:t xml:space="preserve">غیر هذا ، ولو حمل علی أنّ الجهر ببسم الله فی الإخفاتیة وترکه جائزان أمکن ، کما أنّ حمل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تعیّن البسملة فی السورة بجواز التبعیض ممکن أیضا ، کما أنّه یمکن حمل قوله فی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سرّا وإن شاء 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قراءة الفاتحة لا بدّ فیها من البسملة إن شاء فی الجهر وإن شاء فی السرّ ، بناء علی التخییر فی الصلاة بین السرّ والجهر کما یفهم من بعض الأخبار الآتیة </w:t>
      </w:r>
      <w:r>
        <w:rPr>
          <w:rStyle w:val="FootnoteAnchor"/>
          <w:rtl w:val="true"/>
        </w:rPr>
        <w:footnoteReference w:id="395"/>
      </w:r>
      <w:r>
        <w:rPr>
          <w:rFonts w:ascii="IRNazanin" w:hAnsi="IRNazanin" w:eastAsia="IRNazanin"/>
          <w:color w:val="111111"/>
          <w:sz w:val="28"/>
          <w:sz w:val="28"/>
          <w:szCs w:val="28"/>
          <w:rtl w:val="true"/>
          <w:lang w:bidi="fa-IR"/>
        </w:rPr>
        <w:t xml:space="preserve">فی وجه الجمع من بعض الأصحاب ، وحینئذ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أفیقرأها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تعیّنها فی السورة کتعیّن البسملة فی الفاتحة ، والجواب تضمّن نفیه ، فیدل علی جواز الترک والتبعیض کما ستسمع القول </w:t>
      </w:r>
      <w:r>
        <w:rPr>
          <w:rStyle w:val="FootnoteAnchor"/>
          <w:rtl w:val="true"/>
        </w:rPr>
        <w:footnoteReference w:id="396"/>
      </w:r>
      <w:r>
        <w:rPr>
          <w:rFonts w:ascii="IRNazanin" w:hAnsi="IRNazanin" w:eastAsia="IRNazanin"/>
          <w:color w:val="111111"/>
          <w:sz w:val="28"/>
          <w:sz w:val="28"/>
          <w:szCs w:val="28"/>
          <w:rtl w:val="true"/>
          <w:lang w:bidi="fa-IR"/>
        </w:rPr>
        <w:t>فی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ذکره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ما تضمّنه هذا الخبر من کفایة تلاوة البسملة فی الفاتحة عن تلاوتها مع السورة ، لا إشکال فیه علی القول بعدم وجوب قراءة السورة ؛ لأنّه إذا جاز ترکها جاز تبعیضها ، ویمکن حمله علی التقیّة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الخبر تضمن النهی عن البسملة وأین هو عن جواز ترک البسملة ، فلا بُدّ من توجیه النهی علی ما قرّرناه ، فلیتأمّل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حمل الشیخ علی صلاة النافلة فمن البعد بمکان</w:t>
      </w:r>
      <w:r>
        <w:rPr>
          <w:rFonts w:eastAsia="IRNazanin" w:cs="IRNazanin"/>
          <w:color w:val="111111"/>
          <w:sz w:val="28"/>
          <w:szCs w:val="28"/>
          <w:rtl w:val="true"/>
          <w:lang w:bidi="fa-IR"/>
        </w:rPr>
        <w:t xml:space="preserve">. </w:t>
      </w:r>
      <w:bookmarkStart w:id="326" w:name="pg15037_163722"/>
    </w:p>
    <w:p>
      <w:pPr>
        <w:pStyle w:val="BookText"/>
        <w:rPr/>
      </w:pPr>
      <w:bookmarkEnd w:id="326"/>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إن أراد الشیخ به بیان حکم النافلة کما هو الظاهر فالخبر لا یدلّ علیه بخصوصه ، والإطلاق فیه یتناول الفرض علی تقدیر جواز التبعیض ، لکن الشیخ لما کان مانعا من التبعیض تعیّن عنده الحمل علی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الجهر فی القراءة</w:t>
      </w:r>
    </w:p>
    <w:p>
      <w:pPr>
        <w:pStyle w:val="BookText"/>
        <w:rPr/>
      </w:pPr>
      <w:r>
        <w:rPr>
          <w:rFonts w:ascii="IRNazanin" w:hAnsi="IRNazanin" w:eastAsia="IRNazanin"/>
          <w:color w:val="111111"/>
          <w:sz w:val="28"/>
          <w:sz w:val="28"/>
          <w:szCs w:val="28"/>
          <w:rtl w:val="true"/>
          <w:lang w:bidi="fa-IR"/>
        </w:rPr>
        <w:t xml:space="preserve">روی حریز ، عن زرارة ، عن أبی جعفر علیه السلام فی رجل جهر فیما لا ینبغی الإجهار فیه أو أخفی فیما لا ینبغی الإخفاء فیه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ذلک فعل متعمّدا فقد نقض صلاته وعلیه الإعادة ، وإن فعل ذلک ناسیا أو ساهیا أو لا یدری فلا شی‌ء علیه وقد تمّت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موسی بن القاسم ، عن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الفریضة ما یجهر فیه بالقراءة هل یجوز </w:t>
      </w:r>
      <w:r>
        <w:rPr>
          <w:rStyle w:val="FootnoteAnchor"/>
          <w:rtl w:val="true"/>
        </w:rPr>
        <w:footnoteReference w:id="398"/>
      </w:r>
      <w:r>
        <w:rPr>
          <w:rFonts w:ascii="IRNazanin" w:hAnsi="IRNazanin" w:eastAsia="IRNazanin"/>
          <w:color w:val="111111"/>
          <w:sz w:val="28"/>
          <w:sz w:val="28"/>
          <w:szCs w:val="28"/>
          <w:rtl w:val="true"/>
          <w:lang w:bidi="fa-IR"/>
        </w:rPr>
        <w:t xml:space="preserve">علیه أن لا یجهر؟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جهر وإن شاء لم یفعل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موافق للعامّة ولسنا نعمل به ، والعمل علی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الطریق إلی حریز غیر مذکور فی المشیخة هنا</w:t>
      </w:r>
    </w:p>
    <w:p>
      <w:pPr>
        <w:pStyle w:val="Heading3"/>
        <w:numPr>
          <w:ilvl w:val="2"/>
          <w:numId w:val="1"/>
        </w:numPr>
        <w:rPr/>
      </w:pPr>
      <w:bookmarkStart w:id="327" w:name="__RefHeading___Toc347794_2142443653"/>
      <w:bookmarkStart w:id="328" w:name="_Toc128"/>
      <w:bookmarkEnd w:id="327"/>
      <w:r>
        <w:rPr>
          <w:rtl w:val="true"/>
        </w:rPr>
        <w:t>وجوب الجهر فی القراءة</w:t>
      </w:r>
      <w:bookmarkEnd w:id="32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9" w:name="__RefHeading___Toc347796_2142443653"/>
      <w:bookmarkStart w:id="330" w:name="_Toc129"/>
      <w:bookmarkEnd w:id="329"/>
      <w:r>
        <w:rPr>
          <w:rtl w:val="true"/>
        </w:rPr>
        <w:t>بحث حول طرق الشیخ إلی حریز</w:t>
      </w:r>
      <w:bookmarkEnd w:id="330"/>
    </w:p>
    <w:p>
      <w:pPr>
        <w:pStyle w:val="BookText"/>
        <w:rPr/>
      </w:pPr>
      <w:r>
        <w:rPr>
          <w:rFonts w:ascii="IRNazanin" w:hAnsi="IRNazanin" w:eastAsia="IRNazanin"/>
          <w:color w:val="111111"/>
          <w:sz w:val="28"/>
          <w:sz w:val="28"/>
          <w:szCs w:val="28"/>
          <w:rtl w:val="true"/>
          <w:lang w:bidi="fa-IR"/>
        </w:rPr>
        <w:t xml:space="preserve">وفی التهذیب ، إلاّ أنّه یمکن استفادته من الفهرست ، لأنّه قال فی ترجمة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بجمیع کتبه وبروایاته ، وذکر طرقا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 عن محمّد بن علیّ بن الحسین ، عن أبیه ، عن سعد بن عبد الله وعبد الله بن جعفر ومحمّد بن یحیی وأحمد بن إدریس ، کلّهم عن أحمد بن محمّد ، عن الحسین بن سعید وعلیّ بن حدید وعبد الرحمن بن أبی نجران ، عن حمّاد بن عیسی ، عن حریز </w:t>
      </w:r>
      <w:r>
        <w:rPr>
          <w:rStyle w:val="FootnoteAnchor"/>
          <w:rtl w:val="true"/>
        </w:rPr>
        <w:footnoteReference w:id="399"/>
      </w:r>
      <w:r>
        <w:rPr>
          <w:rFonts w:ascii="IRNazanin" w:hAnsi="IRNazanin" w:eastAsia="IRNazanin"/>
          <w:color w:val="111111"/>
          <w:sz w:val="28"/>
          <w:sz w:val="28"/>
          <w:szCs w:val="28"/>
          <w:rtl w:val="true"/>
          <w:lang w:bidi="fa-IR"/>
        </w:rPr>
        <w:t>، وهذا الطریق لیس فیه ارتیاب إلاّ من جهة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من الشیخ فی ترجمة محمّد بن علیّ بن الحسین أنّ فی العدّة إلیه الشیخ المفید </w:t>
      </w:r>
      <w:r>
        <w:rPr>
          <w:rStyle w:val="FootnoteAnchor"/>
          <w:rtl w:val="true"/>
        </w:rPr>
        <w:footnoteReference w:id="400"/>
      </w:r>
      <w:r>
        <w:rPr>
          <w:rFonts w:ascii="IRNazanin" w:hAnsi="IRNazanin" w:eastAsia="IRNazanin"/>
          <w:color w:val="111111"/>
          <w:sz w:val="28"/>
          <w:sz w:val="28"/>
          <w:szCs w:val="28"/>
          <w:rtl w:val="true"/>
          <w:lang w:bidi="fa-IR"/>
        </w:rPr>
        <w:t xml:space="preserve">، وقد قدّمنا أنّه لا یبعد استفادة الطریق من الفهرست فی مثل هذا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کتبه وبروایاته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الفرق بین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کتبه وبروایاته ، وبین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وروایاته ، فإنّ الثانی یدل علی جمیع روایاته ، والأوّل علی أنّه أخبرنا بروایاته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الجمع المضاف فی مثله یفید العموم ، والعدول إلی العبارة المذکورة ربّما یکون لغرض آخر لا 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ذکر فی الفهرست طرقا لجمیع کتبه والروایات ، أحدها ما ذکر ، والبواقی محل کلام فی الصّحة ، والعلم بأنّ کلّ واحد من الطرق لجمیع الکتب والروایات غیر معلوم ، لجواز أن یکون البعض المذکور لبعض الروایات ، ولم یعلم أنّ هذه الروایة منها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مثل هذه العبارة إرادة أنّ الطرق </w:t>
      </w:r>
      <w:bookmarkStart w:id="331" w:name="pg15037_163724"/>
    </w:p>
    <w:p>
      <w:pPr>
        <w:pStyle w:val="BookText"/>
        <w:rPr/>
      </w:pPr>
      <w:bookmarkEnd w:id="331"/>
      <w:r>
        <w:rPr>
          <w:rFonts w:ascii="IRNazanin" w:hAnsi="IRNazanin" w:eastAsia="IRNazanin"/>
          <w:color w:val="111111"/>
          <w:sz w:val="28"/>
          <w:sz w:val="28"/>
          <w:szCs w:val="28"/>
          <w:rtl w:val="true"/>
          <w:lang w:bidi="fa-IR"/>
        </w:rPr>
        <w:t>لجمیع الکتب والروایات متحدة ، لکن مجال القول واسع ولم أر الآن من کشف حقیقة الحال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بعض محقّقی المتأخّرین رحمه الله فی ردّ الروایة بأنّ الشیخ لم یذکر طریقه فی المشیخة إلی حریز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الاقتصار علی ذلک محلّ تأمّل ، بل ینبغی التنبیه علی ما ذکرناه لأنّه مهمّ ، أمّا توقّفه فی حریز فقد مضی منّا </w:t>
      </w:r>
      <w:r>
        <w:rPr>
          <w:rStyle w:val="FootnoteAnchor"/>
          <w:rtl w:val="true"/>
        </w:rPr>
        <w:footnoteReference w:id="402"/>
      </w:r>
      <w:r>
        <w:rPr>
          <w:rFonts w:ascii="IRNazanin" w:hAnsi="IRNazanin" w:eastAsia="IRNazanin"/>
          <w:color w:val="111111"/>
          <w:sz w:val="28"/>
          <w:sz w:val="28"/>
          <w:szCs w:val="28"/>
          <w:rtl w:val="true"/>
          <w:lang w:bidi="fa-IR"/>
        </w:rPr>
        <w:t xml:space="preserve">فیه الکلام ، وفی الفقیه طریقه صحیح إلی حریز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أنّ من جهر فیما لا ینبغی الإجهار فیه أو أخفی فیما لا ینبغی الإخفاء فیه متعمّدا نقض صلاته وعلیه الإعادة ،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 من کلام السائل وإن کان لا یفید شیئا علی الإطلاق لکن التقریر هنا ربّما یدّعی إفادته ، لولا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وجوب الجهر والإخفات ؛ ولو لا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الإعادة علی الاستحباب لا مانع منها للمعارض ، لأمکن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فیما لا ینبغی یؤیّد الاستحباب ، والحق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صراحة فیها فی الاستحباب علی ما یظهر من کثیر من الأخبار ، وعلی کلّ حال فالخبر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محتاج إلی بیان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بالصاد المهملة أو المعجمة کما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2" w:name="__RefHeading___Toc347798_2142443653"/>
      <w:bookmarkStart w:id="333" w:name="_Toc130"/>
      <w:bookmarkEnd w:id="332"/>
      <w:r>
        <w:rPr>
          <w:rtl w:val="true"/>
        </w:rPr>
        <w:t>بیان ما دل علی أنّ من ترک الجهر والاخفات فی موضعهما متعمّداً علیه الاعادة</w:t>
      </w:r>
      <w:bookmarkEnd w:id="333"/>
    </w:p>
    <w:p>
      <w:pPr>
        <w:pStyle w:val="BookText"/>
        <w:rPr/>
      </w:pPr>
      <w:r>
        <w:rPr>
          <w:rFonts w:ascii="IRNazanin" w:hAnsi="IRNazanin" w:eastAsia="IRNazanin"/>
          <w:color w:val="111111"/>
          <w:sz w:val="28"/>
          <w:sz w:val="28"/>
          <w:szCs w:val="28"/>
          <w:rtl w:val="true"/>
          <w:lang w:bidi="fa-IR"/>
        </w:rPr>
        <w:t xml:space="preserve">وقع لبعض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یقتضیه من الإجمال فیما یجهر فیه وما یخفی فظاهر ، والفائدة تظهر فی ظهر الجمعة ؛ إذ لم یعلم أنّها ممّا یجهر فیه أو یخفی ، فالاستدلال من العلاّمة </w:t>
      </w:r>
      <w:r>
        <w:rPr>
          <w:rStyle w:val="FootnoteAnchor"/>
          <w:rtl w:val="true"/>
        </w:rPr>
        <w:footnoteReference w:id="405"/>
      </w:r>
      <w:r>
        <w:rPr>
          <w:rFonts w:ascii="IRNazanin" w:hAnsi="IRNazanin" w:eastAsia="IRNazanin"/>
          <w:color w:val="111111"/>
          <w:sz w:val="28"/>
          <w:sz w:val="28"/>
          <w:szCs w:val="28"/>
          <w:rtl w:val="true"/>
          <w:lang w:bidi="fa-IR"/>
        </w:rPr>
        <w:t xml:space="preserve">وغیره </w:t>
      </w:r>
      <w:r>
        <w:rPr>
          <w:rStyle w:val="FootnoteAnchor"/>
          <w:rtl w:val="true"/>
        </w:rPr>
        <w:footnoteReference w:id="406"/>
      </w:r>
      <w:r>
        <w:rPr>
          <w:rFonts w:ascii="IRNazanin" w:hAnsi="IRNazanin" w:eastAsia="IRNazanin"/>
          <w:color w:val="111111"/>
          <w:sz w:val="28"/>
          <w:sz w:val="28"/>
          <w:szCs w:val="28"/>
          <w:rtl w:val="true"/>
          <w:lang w:bidi="fa-IR"/>
        </w:rPr>
        <w:t>علی عدم الجهر فیها بالخبر محل تأمّل ذکرناه فی کتاب معاهد التنبیه ، وسیأتی إن شاء الله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حکم الساهی والناسی والجاهل واضح ، لکن الموجود فی کلام المتأخّرین عذر الجاهل ، ولا أدری الوجه فی تخصیصه ، کما أنّ فی کلام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جاهل الحکم کذلک </w:t>
      </w:r>
      <w:r>
        <w:rPr>
          <w:rStyle w:val="FootnoteAnchor"/>
          <w:rtl w:val="true"/>
        </w:rPr>
        <w:footnoteReference w:id="407"/>
      </w:r>
      <w:r>
        <w:rPr>
          <w:rFonts w:ascii="IRNazanin" w:hAnsi="IRNazanin" w:eastAsia="IRNazanin"/>
          <w:color w:val="111111"/>
          <w:sz w:val="28"/>
          <w:sz w:val="28"/>
          <w:szCs w:val="28"/>
          <w:rtl w:val="true"/>
          <w:lang w:bidi="fa-IR"/>
        </w:rPr>
        <w:t>، ولا یخفی تناوله للناسی ومن معه ، سواء ذکر قبل الرکوع أو بعده وسواء کان فی أثناء القراءة أو فی آخرها إلاّ علی احتمال ذکرناه فی حواشی الروضة ، وهو أنّ ظاهر السؤال عمّن وقع منه ذلک فیفید فوات المحل ، وفیه ما لا یخفی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الشیخ فی التهذیب ، عن سعد بن عبد الله ، عن أحمد بن محمّد ، عن علیّ بن حدید وعبد الرحمن بن أبی نجران ، عن حمّاد بن عیسی ، عن حریز ،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جهر بالقراءة فیما لا ینبغی الجهر فیه وأخفی فیما لا ینبغی الإخفات فیه ، وترک القراءة فیما ینبغی القراءة فیه ، أو قرأ فیما لا ینبغی القراءة فیه فقال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ذلک فعل ناسیا أو ساهیا فلا شی‌ء علیه </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الحدیث یدل بظاهره أنّه لا شی‌ء علی من فعل ما ذکر مع النسیان والسهو ، ومفهومه أنّ علیه شیئا لو </w:t>
      </w:r>
      <w:r>
        <w:rPr>
          <w:rStyle w:val="FootnoteAnchor"/>
          <w:rtl w:val="true"/>
        </w:rPr>
        <w:footnoteReference w:id="409"/>
      </w:r>
      <w:r>
        <w:rPr>
          <w:rFonts w:ascii="IRNazanin" w:hAnsi="IRNazanin" w:eastAsia="IRNazanin"/>
          <w:color w:val="111111"/>
          <w:sz w:val="28"/>
          <w:sz w:val="28"/>
          <w:szCs w:val="28"/>
          <w:rtl w:val="true"/>
          <w:lang w:bidi="fa-IR"/>
        </w:rPr>
        <w:t>انتفی السهو والنسیان ، والشی‌ء مجمل ، إلاّ أنّه یمکن استفادة بیانه من الخبر المبحوث عنه وهو الإعادة ، غیر أنّ فی الخبر المبحوث عنه زیادة الجهل ، والخبر الأخیر ترک فیه ، والظاهر منه الدخول فی جملة من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استفادة حکمه من الخبر المبحوث عنه وان بیّن الخبر الآخر من جهة الإجمال إلاّ أنّه یبقی من جهة ما تضمنه الخبر الآخر من ترک القراءة وفعلها لا یخلو من إشکال ؛ لأنّ الإعادة للصلاة لو علمت من الخبر المبحوث عنه فی الجهر والإخفات فی حقّ الجاهل یلزم منه أنّ الإعادة فی تارک القراءة وفاعلها فیما ذکر فی الروایة مسکوت عنها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نظرنا إلی المفهوم ، ثبوت </w:t>
      </w:r>
      <w:r>
        <w:rPr>
          <w:rStyle w:val="FootnoteAnchor"/>
          <w:rtl w:val="true"/>
        </w:rPr>
        <w:footnoteReference w:id="410"/>
      </w:r>
      <w:r>
        <w:rPr>
          <w:rFonts w:ascii="IRNazanin" w:hAnsi="IRNazanin" w:eastAsia="IRNazanin"/>
          <w:color w:val="111111"/>
          <w:sz w:val="28"/>
          <w:sz w:val="28"/>
          <w:szCs w:val="28"/>
          <w:rtl w:val="true"/>
          <w:lang w:bidi="fa-IR"/>
        </w:rPr>
        <w:t xml:space="preserve">شی‌ء علی الإطلاق ، فإذا حمل فی حق الجاهل فی الجهر والإخفات علی أنّه لا شی‌ء علیه ، یبقی إطلاق الشی‌ء علی تارک القراءة وفاعلها مجملا ، فیمکن أن یحمل علی سجود السهو إذا قیل به لکلّ زیادة ونقیصة ، لکن دلیل هذا غیر سلیم کما ستعلمه </w:t>
      </w:r>
      <w:r>
        <w:rPr>
          <w:rStyle w:val="FootnoteAnchor"/>
          <w:rtl w:val="true"/>
        </w:rPr>
        <w:footnoteReference w:id="411"/>
      </w:r>
      <w:r>
        <w:rPr>
          <w:rFonts w:ascii="IRNazanin" w:hAnsi="IRNazanin" w:eastAsia="IRNazanin"/>
          <w:color w:val="111111"/>
          <w:sz w:val="28"/>
          <w:sz w:val="28"/>
          <w:szCs w:val="28"/>
          <w:rtl w:val="true"/>
          <w:lang w:bidi="fa-IR"/>
        </w:rPr>
        <w:t>، فیمکن أن یخصّ هذا ، وفیه ما فیه من عدم القائل فیما أعلم بوجوب سجود السهو فی الفرض المذکور ، فلیتأمّل</w:t>
      </w:r>
      <w:r>
        <w:rPr>
          <w:rFonts w:eastAsia="IRNazanin" w:cs="IRNazanin"/>
          <w:color w:val="111111"/>
          <w:sz w:val="28"/>
          <w:szCs w:val="28"/>
          <w:rtl w:val="true"/>
          <w:lang w:bidi="fa-IR"/>
        </w:rPr>
        <w:t xml:space="preserve">. </w:t>
      </w:r>
      <w:bookmarkStart w:id="334" w:name="pg15037_163727"/>
    </w:p>
    <w:p>
      <w:pPr>
        <w:pStyle w:val="BookText"/>
        <w:rPr/>
      </w:pPr>
      <w:bookmarkEnd w:id="334"/>
      <w:r>
        <w:rPr>
          <w:rFonts w:ascii="IRNazanin" w:hAnsi="IRNazanin" w:eastAsia="IRNazanin"/>
          <w:color w:val="111111"/>
          <w:sz w:val="28"/>
          <w:sz w:val="28"/>
          <w:szCs w:val="28"/>
          <w:rtl w:val="true"/>
          <w:lang w:bidi="fa-IR"/>
        </w:rPr>
        <w:t xml:space="preserve">وقد عرفت من ذکر السند أنّ الخبر المبحوث عنه صحیح فی الفقیه ، لأنّه رواه عن حریز عن زرارة ، وطریقه إلی حریز صحیح ، وفی المتن زیادة عما هنا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صلاته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نسی القراءة فی الأوّلتین فذکرها فی الأخیرتین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القراءة والتسبیح والتکبیر الذی فاته فی الأوّلتین ولا شی‌ء علیه </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وهذه الزیادة فی المعروف من الأصحاب المتأخّرین عدم القول بها ، وظاهر الصدوق العمل بالمضمون ، غیر أنه لا یخلو من إجمال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الأوّلتین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تعلّق فی الأوّلتین ، بیقضی ویحتمل التعلّق بفاته ، وعلی التقدیر الأوّل محل القضاء غیر معلوم ، وکذا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أن یراد القضاء بعد الصلاة لما فاته فی الأوّلتین ممّا ذکر ممکن ، واحتمال الاستحباب فی القضاء فی حیّز الإمکان ، لظاهر عدم القول بین المتأخّرین بالوجوب ، فیمکن الاستعانة به علی أنّ باقی الأحکام من الإعادة علی الاستحباب ؛ والأمر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المنقول عن الشیخ دعوی الإجماع فی الخلاف علی وجوب الجهر فی الصبح وأوّلتی المغرب والعشاء ، والإخفات فیما عداها </w:t>
      </w:r>
      <w:r>
        <w:rPr>
          <w:rStyle w:val="FootnoteAnchor"/>
          <w:rtl w:val="true"/>
        </w:rPr>
        <w:footnoteReference w:id="413"/>
      </w:r>
      <w:r>
        <w:rPr>
          <w:rFonts w:ascii="IRNazanin" w:hAnsi="IRNazanin" w:eastAsia="IRNazanin"/>
          <w:color w:val="111111"/>
          <w:sz w:val="28"/>
          <w:sz w:val="28"/>
          <w:szCs w:val="28"/>
          <w:rtl w:val="true"/>
          <w:lang w:bidi="fa-IR"/>
        </w:rPr>
        <w:t xml:space="preserve">؛ والعلاّمة فی المختلف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المشهور بین علمائنا ، ونقل عن ابن الجنید القول بجواز العکس ویستحب أن لا یفعله ، وهو قول السید المرتضی فی المصباح ؛ ثم استدل العلاّمة بخبر زرارة واصفا له بالصحة ، وبالاحتیاط ، ونقل احتجاج ابن الجنید بالأصل والخبر الثانی ، وأجاب أنّ الأصل متروک مع الدلیل الذی ذکره ، والروایة محمولة علی الجهر العالی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5" w:name="__RefHeading___Toc347800_2142443653"/>
      <w:bookmarkStart w:id="336" w:name="_Toc131"/>
      <w:bookmarkEnd w:id="335"/>
      <w:r>
        <w:rPr>
          <w:rtl w:val="true"/>
        </w:rPr>
        <w:t xml:space="preserve">نقل الاقوال فی المسألة ومعنی قولع تعالی </w:t>
      </w:r>
      <w:r>
        <w:rPr>
          <w:rtl w:val="true"/>
        </w:rPr>
        <w:t xml:space="preserve">: ( </w:t>
      </w:r>
      <w:r>
        <w:rPr>
          <w:rtl w:val="true"/>
        </w:rPr>
        <w:t xml:space="preserve">ولا تجهر بصلاتک ولا تخافت بها </w:t>
      </w:r>
      <w:r>
        <w:rPr>
          <w:rtl w:val="true"/>
        </w:rPr>
        <w:t>)</w:t>
      </w:r>
      <w:bookmarkEnd w:id="336"/>
    </w:p>
    <w:p>
      <w:pPr>
        <w:pStyle w:val="BookText"/>
        <w:rPr/>
      </w:pPr>
      <w:r>
        <w:rPr>
          <w:rFonts w:ascii="IRNazanin" w:hAnsi="IRNazanin" w:eastAsia="IRNazanin"/>
          <w:color w:val="111111"/>
          <w:sz w:val="28"/>
          <w:sz w:val="28"/>
          <w:szCs w:val="28"/>
          <w:rtl w:val="true"/>
          <w:lang w:bidi="fa-IR"/>
        </w:rPr>
        <w:t xml:space="preserve">ثم نقل حمل الشیخ المذکور هنا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المعتبر اعترض المحقّق علی الحمل المذکور للشیخ بأنّه تحکّم فإنّ بعض الأصحاب لا یری وجوب الجهر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 کلام العلاّمة والمحقّق محل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الروایة الاولی مع وجود المعارض لا یبقی دلالتها علی الوجوب صریحة ؛ لاحتمال حمل الإعادة علی الاستحباب ، والحمل علی التقیّة یحتاج إلی المرجّح ، مع احتمال غیره وموافقة الخبر للأصل المؤیّد کما سبق عن الشیخ فی أوّل الکتاب ، فقول العلاّمة بأنّ الأصل متروک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الترک مع تعارض الأخبار لا وجه له ، وحمل الروایة الثانیة علی الجهر العالی لا وجه یقتضیه مرجّحا ، واحتمال الاستحباب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القول بعدم وجوب الجهر لا یضرّ بحال الاستدلال ، ولا یقوّی التحکم ؛ إذ الحکم وإن لم یکن إجماعیّا لا بدّ للجمع بین الأخبار من وجه ، ولمّا کان ظاهر الخبر الأوّل الإعادة ظنّ الشیخ عدم موافقة غیر الحمل علی التقیّة فی الثانی ، وإن کان الحق إمکان الحمل علی الاستحباب فی الإعادة ، فإن کان غرض المحقّق بالتحکّم الإشارة إلی أنّ ترجیح التقیّة لا بدّ له من مرجّح ، أمکن توجیهه ، إلاّ أنّ ذکر القائل لا وجه له إلاّ بتکلّف مستغنی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العجیب فی المقام دعوی الشیخ الإجماع مع خلاف السید ، وله نظائر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بعض محقّقی المتأخّرین رحمه الله عن الکافی روایة رواها سماعة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بِصَلاتِکَ وَلا تُخافِتْ بِها </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المخافتة ما دون سمعک ، والجهر أن ترفع صوتک شدیدا </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مجمع البیان نقل الطبرسی وجوها فی تفسیر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إشاعة الصلاة عند من یؤذیک ، ولا تخافت عند من یلتمسها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تجهر جهرا یشتغل به من یصلّی قربک ، ولا تخافت حتی لا تسمع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منه ما رواه أصحابنا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الجهر رفع الصوت شدیدا ، والمخافتة ما لم تسمع إذنک ، واقرأ قراءة 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وَابْتَغِ بَیْنَ ذلِکَ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الجهر والمخافتة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الآن علی الروایة التی ذکرها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واجهر بجمیع القراءة فی المغرب وعشاء الآخرة والغداة من غیر أن تجهد نفسک أو ترفع صوتک شدیدا ، ولیکن ذلک وسطا ؛ لأنّ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بِصَلاتِکَ وَلا تُخافِتْ بِها وَابْتَغِ بَیْنَ ذلِکَ سَبِیلاً </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وظاهر کلامه الجزم بتفسیر الآیة فیما ذکره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یعلم أنّ ما ذکره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ربّما یستدل علی عدم وجوب شی‌ء من الجهر والإخفات بعینه فی شی‌ء </w:t>
      </w:r>
      <w:bookmarkStart w:id="337" w:name="pg15037_163730"/>
    </w:p>
    <w:p>
      <w:pPr>
        <w:pStyle w:val="BookText"/>
        <w:rPr/>
      </w:pPr>
      <w:bookmarkEnd w:id="337"/>
      <w:r>
        <w:rPr>
          <w:rFonts w:ascii="Amiri" w:hAnsi="Amiri" w:eastAsia="Amiri" w:cs="Amiri"/>
          <w:color w:val="111111"/>
          <w:sz w:val="28"/>
          <w:sz w:val="28"/>
          <w:szCs w:val="28"/>
          <w:rtl w:val="true"/>
          <w:lang w:bidi="ar-SA"/>
        </w:rPr>
        <w:t xml:space="preserve">من الصلاة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بِصَلاتِکَ وَلا تُخافِتْ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ویجاب بجواز أن 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جهرا أو إخفاتا زائدین علی ما هو المعتاد ، ولعلّ المراد عدم الجهر فی الکل والإخفات فی الکلّ ، والله أعلم بمراده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 لأنّ کلام الصدوق یعطی الجزم بالتفسیر ، ومن المستبعد کونه منه مجرّد الاحتمال ، ولو نظرنا إلی ظاهر الآیة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مدلولها ما ذکره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نوع منافرة للقول بوجوب الجهر والإخفات ؛ لأنّ القائلین بالوجوب غیر مانعین من الزائد عن المعتاد مع تحقّق الجهر والإخفات فیما نقل عن الأصحاب ، إلاّ أن یقال بأنّ مراد الأصحاب الجهر والإخفات المعتادان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تمهّد هذا فالثانی کما تری یحتمل أن یراد بما یجهر فیه ما جعله الشارع جهریّا ، والسؤال حینئذ عن جواز ترک أصل الجهر وعدمه ، ویحتمل أن یکون السؤال عن زیادة الجهر ، فکأنّ العلاّمة فی المختلف فهم الاحتمال الثانی فأجاب بما تقدم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تنفی جواز الجهر العالی ، ولعلّ المراد بالعالی ما لم یخرج عن المعتاد ، وعلی تقدیر ما احتملناه أوّلا لا یبقی لجوابه وجه من دون بیان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الحمل علی التقیّة فی کلام الشیخ غیر خفی أنّ المراد به التقیّة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جهر وإن شاء لم یجهر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الجهر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8" w:name="__RefHeading___Toc347802_2142443653"/>
      <w:bookmarkStart w:id="339" w:name="_Toc132"/>
      <w:bookmarkEnd w:id="338"/>
      <w:r>
        <w:rPr>
          <w:rtl w:val="true"/>
        </w:rPr>
        <w:t>توجیه ما دل علی التخییر بین الجهر وعدمه فی ما یجهر فیه</w:t>
      </w:r>
      <w:bookmarkStart w:id="340" w:name="pg15037_163731"/>
      <w:bookmarkEnd w:id="339"/>
    </w:p>
    <w:p>
      <w:pPr>
        <w:pStyle w:val="BookText"/>
        <w:rPr/>
      </w:pPr>
      <w:bookmarkEnd w:id="340"/>
      <w:r>
        <w:rPr>
          <w:rFonts w:ascii="IRNazanin" w:hAnsi="IRNazanin" w:eastAsia="IRNazanin"/>
          <w:color w:val="111111"/>
          <w:sz w:val="28"/>
          <w:sz w:val="28"/>
          <w:szCs w:val="28"/>
          <w:rtl w:val="true"/>
          <w:lang w:bidi="fa-IR"/>
        </w:rPr>
        <w:t xml:space="preserve">إذا جاز عندهم تخییرا ، جاز الأمر به منه علیه السلام لأنّه أحد الفردین ؛ لإمکان أن یظنّ تعیّنه فیحصل </w:t>
      </w:r>
      <w:r>
        <w:rPr>
          <w:rStyle w:val="FootnoteAnchor"/>
          <w:rtl w:val="true"/>
        </w:rPr>
        <w:footnoteReference w:id="423"/>
      </w:r>
      <w:r>
        <w:rPr>
          <w:rFonts w:ascii="IRNazanin" w:hAnsi="IRNazanin" w:eastAsia="IRNazanin"/>
          <w:color w:val="111111"/>
          <w:sz w:val="28"/>
          <w:sz w:val="28"/>
          <w:szCs w:val="28"/>
          <w:rtl w:val="true"/>
          <w:lang w:bidi="fa-IR"/>
        </w:rPr>
        <w:t>خوف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شی‌ء ، وهو أنّ العلاّمة فی المنتهی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الجهر الواجب أنّ یسمع غیره القریب أو یکون بحیث یسمع لو کان سامعا بلا خلاف بین علمائنا ، والإخفات أن یسمع نفسه أو بحیث یسمع لو کان سامعا ، وهو وفاق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کلام بعض الأصحاب أنّه لا بُدّ من انضمام العرف بأن یسمّی فیه الجهر والإخفات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ظهور جوهر الحروف وعدمه لتحقّق التباین الکلی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الأخبار المعتبرة ما یقتضی الاکتفاء بسماع الهمهمة کما ذکرناه فی حواشی التهذیب ، وسیأتی إن شاء الله بعض الأخبار فی الباب الآتی </w:t>
      </w:r>
      <w:r>
        <w:rPr>
          <w:rStyle w:val="FootnoteAnchor"/>
          <w:rtl w:val="true"/>
        </w:rPr>
        <w:footnoteReference w:id="426"/>
      </w:r>
      <w:r>
        <w:rPr>
          <w:rFonts w:ascii="IRNazanin" w:hAnsi="IRNazanin" w:eastAsia="IRNazanin"/>
          <w:color w:val="111111"/>
          <w:sz w:val="28"/>
          <w:sz w:val="28"/>
          <w:szCs w:val="28"/>
          <w:rtl w:val="true"/>
          <w:lang w:bidi="fa-IR"/>
        </w:rPr>
        <w:t>فی إسماع الرجل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جدّی قدس سره فی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الحق أنّ الجهر والإخفات کیفیّتان متضادّتان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 الجهر أن یسمعه من قرب منه صحیحا مع اشتمالها علی الصوت الموجب لتسمیته جهرا عرفا ، وأکثره أن لا یبلغ العلوّ المفرط ، وأقلّ السرّ أنّ یسمع نفسه خاصة صحیحا أو تقدیرا ، وأکثره أن لا یبلغ أقلّ الجهر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تأمّل ؛ لأنّ اعتبار الجهر عرفا یقتضی أنّ السرّ وإن بلغ أقلّ الجهر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1" w:name="__RefHeading___Toc347804_2142443653"/>
      <w:bookmarkStart w:id="342" w:name="_Toc133"/>
      <w:bookmarkEnd w:id="341"/>
      <w:r>
        <w:rPr>
          <w:rtl w:val="true"/>
        </w:rPr>
        <w:t>أقل الجهر والإخفات وأکثرهما</w:t>
      </w:r>
      <w:bookmarkStart w:id="343" w:name="pg15037_163732"/>
      <w:bookmarkEnd w:id="342"/>
    </w:p>
    <w:p>
      <w:pPr>
        <w:pStyle w:val="BookText"/>
        <w:rPr/>
      </w:pPr>
      <w:bookmarkEnd w:id="343"/>
      <w:r>
        <w:rPr>
          <w:rFonts w:ascii="IRNazanin" w:hAnsi="IRNazanin" w:eastAsia="IRNazanin"/>
          <w:color w:val="111111"/>
          <w:sz w:val="28"/>
          <w:sz w:val="28"/>
          <w:szCs w:val="28"/>
          <w:rtl w:val="true"/>
          <w:lang w:bidi="fa-IR"/>
        </w:rPr>
        <w:t>لا یضرّ بالحال إذا لم یحصل وصف الجهر ، نعم لو لم یعتبر ما ذکر أمکن ما قاله ، ولعلّ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الجهر فی النوافل بالنهار</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بن یحیی ، عن أبیه ، عن محمّد بن علیّ بن محبوب ، عن محمّد بن الحسین ، عن الحسن بن علیّ بن فضّال ، عن بعض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فی صلاة النهار بالإخفات </w:t>
      </w:r>
      <w:r>
        <w:rPr>
          <w:rStyle w:val="FootnoteAnchor"/>
          <w:rtl w:val="true"/>
        </w:rPr>
        <w:footnoteReference w:id="428"/>
      </w:r>
      <w:r>
        <w:rPr>
          <w:rFonts w:ascii="IRNazanin" w:hAnsi="IRNazanin" w:eastAsia="IRNazanin"/>
          <w:color w:val="111111"/>
          <w:sz w:val="28"/>
          <w:sz w:val="28"/>
          <w:szCs w:val="28"/>
          <w:rtl w:val="true"/>
          <w:lang w:bidi="fa-IR"/>
        </w:rPr>
        <w:t xml:space="preserve">والسنّة فی صلاة اللیل بالإجهار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علیّ بن السندی ، عن عثمان بن عیسی ، عن سماعة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هل یجهر بقراءته من التطوع بالنهار؟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الجمع بینهما أن نحمل الروایة الأُولی علی الفضل والندب دون الفرض والوجوب ، والروایة الأُخری علی الجواز ورفع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فضّال ، وقد قدّمنا القول فیه بأنّه فطحیّ ثقة</w:t>
      </w:r>
      <w:r>
        <w:rPr>
          <w:rFonts w:eastAsia="IRNazanin" w:cs="IRNazanin"/>
          <w:color w:val="111111"/>
          <w:sz w:val="28"/>
          <w:szCs w:val="28"/>
          <w:rtl w:val="true"/>
          <w:lang w:bidi="fa-IR"/>
        </w:rPr>
        <w:t>.</w:t>
      </w:r>
    </w:p>
    <w:p>
      <w:pPr>
        <w:pStyle w:val="Heading3"/>
        <w:numPr>
          <w:ilvl w:val="2"/>
          <w:numId w:val="1"/>
        </w:numPr>
        <w:rPr/>
      </w:pPr>
      <w:bookmarkStart w:id="344" w:name="__RefHeading___Toc347806_2142443653"/>
      <w:bookmarkStart w:id="345" w:name="_Toc134"/>
      <w:bookmarkEnd w:id="344"/>
      <w:r>
        <w:rPr>
          <w:rtl w:val="true"/>
        </w:rPr>
        <w:t>الجهر فی النوافل بالنهار</w:t>
      </w:r>
      <w:bookmarkEnd w:id="34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6" w:name="__RefHeading___Toc347808_2142443653"/>
      <w:bookmarkStart w:id="347" w:name="_Toc135"/>
      <w:bookmarkEnd w:id="346"/>
      <w:r>
        <w:rPr>
          <w:rtl w:val="true"/>
        </w:rPr>
        <w:t>الحسن بن علی بن فضّال فطحی ثقة</w:t>
      </w:r>
      <w:bookmarkStart w:id="348" w:name="pg15037_163733"/>
      <w:bookmarkEnd w:id="347"/>
    </w:p>
    <w:p>
      <w:pPr>
        <w:pStyle w:val="BookText"/>
        <w:rPr/>
      </w:pPr>
      <w:bookmarkEnd w:id="348"/>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السندی ، وقد مضی عن قریب </w:t>
      </w:r>
      <w:r>
        <w:rPr>
          <w:rStyle w:val="FootnoteAnchor"/>
          <w:rtl w:val="true"/>
        </w:rPr>
        <w:footnoteReference w:id="429"/>
      </w:r>
      <w:r>
        <w:rPr>
          <w:rFonts w:ascii="IRNazanin" w:hAnsi="IRNazanin" w:eastAsia="IRNazanin"/>
          <w:color w:val="111111"/>
          <w:sz w:val="28"/>
          <w:sz w:val="28"/>
          <w:szCs w:val="28"/>
          <w:rtl w:val="true"/>
          <w:lang w:bidi="fa-IR"/>
        </w:rPr>
        <w:t xml:space="preserve">، وعثمان بن عیسی کرّرنا القول فیه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ظاهر فی إطلاق صلاة النهار واللیل المتناول للنوافل والفرائض ، إلاّ أنّ الصبح یحتاج إلی تخصیص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 ؛ لکن الشیخ علی ما یقتضیه العنوان حمله علی النوافل ، ولعلّ الوجه فیه ما قلناه ، أو لأنّ ما یقتضیه لفظ السنّة فیه یفید الاستحباب ، ولمّا کان الجهر والإخفات واجبین عنده فی الفرائض تعیّن الحمل علی النوافل ، ولو حمل لفظ السنّة علی ما ثبت بالسنّة أعم من الوجوب والندب أمکن ، إلاّ أنّ احتمال الثبوت من القرآن ینفی ذلک ، وإن کان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نوافل النهار علی تقدیر الحمل یحتمل التناول للأداء والقضاء مع التخالف ، إلاّ أن یدّعی تبادر الأداء ، وعلی کل حال ربّما یخرج غیر الرواتب ، إلاّ أن یدّعی إرادة ما یصلّی بالنهار ، وفیه بُعد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الشیخ فیه لا وجه له ؛ لأنّ المفروض کون الجهر والإخفات مندوبین ، فالحمل علی الفضل دون الفرض غیر واضح الوجه ، إلاّ أن یراد بالفرض علی سبیل الشرطیّة أو دفع التوهم ، لکن علی تقدیر الجهر فی نوافل النهار إمّا أن یکون مندوبا أو مباحا ، والثانی بعید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9" w:name="__RefHeading___Toc347810_2142443653"/>
      <w:bookmarkStart w:id="350" w:name="_Toc136"/>
      <w:bookmarkEnd w:id="349"/>
      <w:r>
        <w:rPr>
          <w:rtl w:val="true"/>
        </w:rPr>
        <w:t>حکم نوافل اللیل والنهار من حیث الجهر والاخفات</w:t>
      </w:r>
      <w:bookmarkStart w:id="351" w:name="pg15037_163734"/>
      <w:bookmarkEnd w:id="350"/>
    </w:p>
    <w:p>
      <w:pPr>
        <w:pStyle w:val="BookText"/>
        <w:rPr/>
      </w:pPr>
      <w:bookmarkEnd w:id="351"/>
      <w:r>
        <w:rPr>
          <w:rFonts w:ascii="IRNazanin" w:hAnsi="IRNazanin" w:eastAsia="IRNazanin"/>
          <w:color w:val="111111"/>
          <w:sz w:val="28"/>
          <w:sz w:val="28"/>
          <w:szCs w:val="28"/>
          <w:rtl w:val="true"/>
          <w:lang w:bidi="fa-IR"/>
        </w:rPr>
        <w:t xml:space="preserve">والأوّل یحتمل کونه أقلّ ثوابا من الإخفات ، إلاّ أن یعارض بأنّ خیر الأعمال أحمزها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فی غیر الموظّف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الشیخ فی زیادات التهذیب الخبرین </w:t>
      </w:r>
      <w:r>
        <w:rPr>
          <w:rStyle w:val="FootnoteAnchor"/>
          <w:rtl w:val="true"/>
        </w:rPr>
        <w:footnoteReference w:id="432"/>
      </w:r>
      <w:r>
        <w:rPr>
          <w:rFonts w:ascii="IRNazanin" w:hAnsi="IRNazanin" w:eastAsia="IRNazanin"/>
          <w:color w:val="111111"/>
          <w:sz w:val="28"/>
          <w:sz w:val="28"/>
          <w:szCs w:val="28"/>
          <w:rtl w:val="true"/>
          <w:lang w:bidi="fa-IR"/>
        </w:rPr>
        <w:t>وحمل الثانی علی الرخصة ، وله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المستحب فی نوافل اللیل الجهر ، وفی نوافل النهار الإخفات ، وهو مذهب علمائنا أجمع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أنّه لا یقرأ فی الفریضة</w:t>
      </w:r>
    </w:p>
    <w:p>
      <w:pPr>
        <w:pStyle w:val="BookText"/>
        <w:rPr/>
      </w:pPr>
      <w:r>
        <w:rPr>
          <w:rFonts w:ascii="IRNazanin" w:hAnsi="IRNazanin" w:eastAsia="IRNazanin"/>
          <w:color w:val="111111"/>
          <w:sz w:val="28"/>
          <w:sz w:val="28"/>
          <w:szCs w:val="28"/>
          <w:rtl w:val="true"/>
          <w:lang w:bidi="fa-IR"/>
        </w:rPr>
        <w:t>بأقلّ من سورة ولا بأکثر منها</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بن یعقوب ، عن أحمد بن إدریس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 عن محمّد بن عبد الحمید ، عن سیف بن عمیرة ، 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فی المکتوبة بأقلّ من سورة ولا بأکثر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صفوان ، عن العلاء ، عن محمّد </w:t>
      </w:r>
      <w:r>
        <w:rPr>
          <w:rStyle w:val="FootnoteAnchor"/>
          <w:rtl w:val="true"/>
        </w:rPr>
        <w:footnoteReference w:id="435"/>
      </w:r>
      <w:r>
        <w:rPr>
          <w:rFonts w:ascii="IRNazanin" w:hAnsi="IRNazanin" w:eastAsia="IRNazanin"/>
          <w:color w:val="111111"/>
          <w:sz w:val="28"/>
          <w:sz w:val="28"/>
          <w:szCs w:val="28"/>
          <w:rtl w:val="true"/>
          <w:lang w:bidi="fa-IR"/>
        </w:rPr>
        <w:t>، عن</w:t>
      </w:r>
    </w:p>
    <w:p>
      <w:pPr>
        <w:pStyle w:val="Heading3"/>
        <w:numPr>
          <w:ilvl w:val="2"/>
          <w:numId w:val="1"/>
        </w:numPr>
        <w:rPr/>
      </w:pPr>
      <w:bookmarkStart w:id="352" w:name="__RefHeading___Toc347812_2142443653"/>
      <w:bookmarkStart w:id="353" w:name="_Toc137"/>
      <w:bookmarkEnd w:id="352"/>
      <w:r>
        <w:rPr>
          <w:rtl w:val="true"/>
        </w:rPr>
        <w:t>لا یقرأ فی الفریضةبأقلّ من سورة ولا بأکثر منها</w:t>
      </w:r>
      <w:bookmarkEnd w:id="35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4" w:name="__RefHeading___Toc347814_2142443653"/>
      <w:bookmarkStart w:id="355" w:name="_Toc138"/>
      <w:bookmarkEnd w:id="354"/>
      <w:r>
        <w:rPr>
          <w:rtl w:val="true"/>
        </w:rPr>
        <w:t>اشارة</w:t>
      </w:r>
      <w:bookmarkEnd w:id="355"/>
    </w:p>
    <w:p>
      <w:pPr>
        <w:pStyle w:val="BookText"/>
        <w:rPr/>
      </w:pPr>
      <w:r>
        <w:rPr>
          <w:rFonts w:ascii="IRNazanin" w:hAnsi="IRNazanin" w:eastAsia="IRNazanin"/>
          <w:color w:val="111111"/>
          <w:sz w:val="28"/>
          <w:sz w:val="28"/>
          <w:szCs w:val="28"/>
          <w:rtl w:val="true"/>
          <w:lang w:bidi="fa-IR"/>
        </w:rPr>
        <w:t xml:space="preserve">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یقرأ السورتین فی الرکعة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لکل سورة رکعة </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 عن الحسن ابن محبوب ، عن علی بن رئاب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فاتحة الکتاب تجوز وحدها فی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حال الضرورة دون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محمّد بن سنان ، عن ابن مسکان ، عن حسن الصیقل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أیجزئ عنّی أن أقرأ فی الفریضة فاتحة الکتاب وحدها إذا کنت مستعجلا أو أعجلنی شی‌ء؟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علیّ بن إبراهیم ، عن محمّد بن عیسی ، عن یونس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للمریض أن یقرأ فی الفریضة فاتحة الکتاب وحدها ، ویجوز للصحیح فی قضاء صلاة التطوع باللیل والنهار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عبد الله ، عن أحمد بن محمّد ، عن محمّد بن أبی عمیر ، عن حمّاد بن عثمان ، عن عبد الله الحلبی </w:t>
      </w:r>
      <w:r>
        <w:rPr>
          <w:rStyle w:val="FootnoteAnchor"/>
          <w:rtl w:val="true"/>
        </w:rPr>
        <w:footnoteReference w:id="437"/>
      </w:r>
      <w:r>
        <w:rPr>
          <w:rFonts w:ascii="IRNazanin" w:hAnsi="IRNazanin" w:eastAsia="IRNazanin"/>
          <w:color w:val="111111"/>
          <w:sz w:val="28"/>
          <w:sz w:val="28"/>
          <w:szCs w:val="28"/>
          <w:rtl w:val="true"/>
          <w:lang w:bidi="fa-IR"/>
        </w:rPr>
        <w:t xml:space="preserve">،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یقرأ الرجل فی الفریضة بفاتحة الکتاب فی الرکعتین </w:t>
      </w:r>
      <w:bookmarkStart w:id="356" w:name="pg15037_163736"/>
    </w:p>
    <w:p>
      <w:pPr>
        <w:pStyle w:val="BookText"/>
        <w:rPr/>
      </w:pPr>
      <w:bookmarkEnd w:id="356"/>
      <w:r>
        <w:rPr>
          <w:rFonts w:ascii="IRNazanin" w:hAnsi="IRNazanin" w:eastAsia="IRNazanin"/>
          <w:color w:val="111111"/>
          <w:sz w:val="28"/>
          <w:sz w:val="28"/>
          <w:szCs w:val="28"/>
          <w:rtl w:val="true"/>
          <w:lang w:bidi="fa-IR"/>
        </w:rPr>
        <w:t xml:space="preserve">الأوّلتین إذا ما أعجلت به حاجة أو تخوّف شیئا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إلاّ من جهة محمّد بن عبد الحمید ، فإنّا قد کرّرنا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النجاشی ذکر عبارة توهم أنّ التوثیق لأبیه لا له </w:t>
      </w:r>
      <w:r>
        <w:rPr>
          <w:rStyle w:val="FootnoteAnchor"/>
          <w:rtl w:val="true"/>
        </w:rPr>
        <w:footnoteReference w:id="439"/>
      </w:r>
      <w:r>
        <w:rPr>
          <w:rFonts w:ascii="IRNazanin" w:hAnsi="IRNazanin" w:eastAsia="IRNazanin"/>
          <w:color w:val="111111"/>
          <w:sz w:val="28"/>
          <w:sz w:val="28"/>
          <w:szCs w:val="28"/>
          <w:rtl w:val="true"/>
          <w:lang w:bidi="fa-IR"/>
        </w:rPr>
        <w:t xml:space="preserve">؛ والذی یظهر أنّ توثیق الأب فی عنوان الابن بعید جدّا عن مثل النجاشی ، والعبارة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الحمید بن سالم العطّار أبو جعفر ، روی عبد الحمید عن أبی الحسن موسی علیه السلام وکان ثقة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ولجدّی قدس سره اضطراب فی ذلک ، ففی فوائد الخلاصة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أنّ الموثّق الأب </w:t>
      </w:r>
      <w:r>
        <w:rPr>
          <w:rStyle w:val="FootnoteAnchor"/>
          <w:rtl w:val="true"/>
        </w:rPr>
        <w:footnoteReference w:id="441"/>
      </w:r>
      <w:r>
        <w:rPr>
          <w:rFonts w:ascii="IRNazanin" w:hAnsi="IRNazanin" w:eastAsia="IRNazanin"/>
          <w:color w:val="111111"/>
          <w:sz w:val="28"/>
          <w:sz w:val="28"/>
          <w:szCs w:val="28"/>
          <w:rtl w:val="true"/>
          <w:lang w:bidi="fa-IR"/>
        </w:rPr>
        <w:t>، وعلی کتاب ابن داود ما یستفاد منه أنّ الموثّق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محقّقی المعاصرین یظهر منه التوقف فی هذه الروایة ، فإنّه ذکرها مع نوع طعن فی السند </w:t>
      </w:r>
      <w:r>
        <w:rPr>
          <w:rStyle w:val="FootnoteAnchor"/>
          <w:rtl w:val="true"/>
        </w:rPr>
        <w:footnoteReference w:id="442"/>
      </w:r>
      <w:r>
        <w:rPr>
          <w:rFonts w:ascii="IRNazanin" w:hAnsi="IRNazanin" w:eastAsia="IRNazanin"/>
          <w:color w:val="111111"/>
          <w:sz w:val="28"/>
          <w:sz w:val="28"/>
          <w:szCs w:val="28"/>
          <w:rtl w:val="true"/>
          <w:lang w:bidi="fa-IR"/>
        </w:rPr>
        <w:t>؛ والأمر لا یخلو من تأمّل ؛ لما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سیف بن عمیرة فهو ثقة ، وینقل عن ابن شهرآشوب القول بأنّه واقفی </w:t>
      </w:r>
      <w:r>
        <w:rPr>
          <w:rStyle w:val="FootnoteAnchor"/>
          <w:rtl w:val="true"/>
        </w:rPr>
        <w:footnoteReference w:id="443"/>
      </w:r>
      <w:r>
        <w:rPr>
          <w:rFonts w:ascii="IRNazanin" w:hAnsi="IRNazanin" w:eastAsia="IRNazanin"/>
          <w:color w:val="111111"/>
          <w:sz w:val="28"/>
          <w:sz w:val="28"/>
          <w:szCs w:val="28"/>
          <w:rtl w:val="true"/>
          <w:lang w:bidi="fa-IR"/>
        </w:rPr>
        <w:t>، لکن حال ابن شهرآشوب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الثالث ، غیر أنّ فیه شیئا ینبغی التنبیه علیه ، وهو أنّ النجاشی نقل عن الکشی ، عن نصر بن الصباح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بن</w:t>
      </w:r>
    </w:p>
    <w:p>
      <w:pPr>
        <w:pStyle w:val="Heading4"/>
        <w:numPr>
          <w:ilvl w:val="3"/>
          <w:numId w:val="1"/>
        </w:numPr>
        <w:rPr/>
      </w:pPr>
      <w:bookmarkStart w:id="357" w:name="__RefHeading___Toc347816_2142443653"/>
      <w:bookmarkStart w:id="358" w:name="_Toc139"/>
      <w:bookmarkEnd w:id="357"/>
      <w:r>
        <w:rPr>
          <w:rtl w:val="true"/>
        </w:rPr>
        <w:t>بحث حول محمد بن عبدالحمید</w:t>
      </w:r>
      <w:bookmarkEnd w:id="35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9" w:name="__RefHeading___Toc347818_2142443653"/>
      <w:bookmarkStart w:id="360" w:name="_Toc140"/>
      <w:bookmarkEnd w:id="359"/>
      <w:r>
        <w:rPr>
          <w:rtl w:val="true"/>
        </w:rPr>
        <w:t>سیف بن عمیرة ثقة</w:t>
      </w:r>
      <w:bookmarkStart w:id="361" w:name="pg15037_163737"/>
      <w:bookmarkEnd w:id="360"/>
    </w:p>
    <w:p>
      <w:pPr>
        <w:pStyle w:val="BookText"/>
        <w:rPr/>
      </w:pPr>
      <w:bookmarkEnd w:id="361"/>
      <w:r>
        <w:rPr>
          <w:rFonts w:ascii="IRNazanin" w:hAnsi="IRNazanin" w:eastAsia="IRNazanin"/>
          <w:color w:val="111111"/>
          <w:sz w:val="28"/>
          <w:sz w:val="28"/>
          <w:szCs w:val="28"/>
          <w:rtl w:val="true"/>
          <w:lang w:bidi="fa-IR"/>
        </w:rPr>
        <w:t xml:space="preserve">محمّد بن عیسی لا یروی عن ابن محبوب من أجل أنّ أصحابنا یتّهمون ابن محبوب فی أبی حمزة الثمالی ، ثم تاب ورجع </w:t>
      </w:r>
      <w:r>
        <w:rPr>
          <w:rStyle w:val="FootnoteAnchor"/>
          <w:rtl w:val="true"/>
        </w:rPr>
        <w:footnoteReference w:id="444"/>
      </w:r>
      <w:r>
        <w:rPr>
          <w:rFonts w:ascii="IRNazanin" w:hAnsi="IRNazanin" w:eastAsia="IRNazanin"/>
          <w:color w:val="111111"/>
          <w:sz w:val="28"/>
          <w:sz w:val="28"/>
          <w:szCs w:val="28"/>
          <w:rtl w:val="true"/>
          <w:lang w:bidi="fa-IR"/>
        </w:rPr>
        <w:t xml:space="preserve">؛ وقد قدّمنا القول فی هذا مفصلا </w:t>
      </w:r>
      <w:r>
        <w:rPr>
          <w:rStyle w:val="FootnoteAnchor"/>
          <w:rtl w:val="true"/>
        </w:rPr>
        <w:footnoteReference w:id="445"/>
      </w:r>
      <w:r>
        <w:rPr>
          <w:rFonts w:ascii="IRNazanin" w:hAnsi="IRNazanin" w:eastAsia="IRNazanin"/>
          <w:color w:val="111111"/>
          <w:sz w:val="28"/>
          <w:sz w:val="28"/>
          <w:szCs w:val="28"/>
          <w:rtl w:val="true"/>
          <w:lang w:bidi="fa-IR"/>
        </w:rPr>
        <w:t xml:space="preserve">، والحاصل أنّ ذکر التوبة فی ذلک تدفع التوقف لظهور الخطأ ، غایة الأمر أنّ فی البین نوع کلام من حیث تاریخ أبی حمزة الثمالی والحسن بن محبوب علی ما یستفاد من الرجال ، فإنّ المستفاد عدم الروایة عن أبی حمزة إلاّ من جهة الإجازة ، وإطلاق الروایة من دون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لا یضر بالحال ؛ لأنّه أحد مذهبی أصحاب الدرایة فی إطلاق الروایة من دون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التوبة من أحمد لظهور جواز ذلک عنده ، أو ظهور کونه عذرا بالنسبة إلی غیره ، والأمر ربّما کان غیر عسر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وقع فی الکشی </w:t>
      </w:r>
      <w:r>
        <w:rPr>
          <w:rStyle w:val="FootnoteAnchor"/>
          <w:rtl w:val="true"/>
        </w:rPr>
        <w:footnoteReference w:id="446"/>
      </w:r>
      <w:r>
        <w:rPr>
          <w:rFonts w:ascii="IRNazanin" w:hAnsi="IRNazanin" w:eastAsia="IRNazanin"/>
          <w:color w:val="111111"/>
          <w:sz w:val="28"/>
          <w:sz w:val="28"/>
          <w:szCs w:val="28"/>
          <w:rtl w:val="true"/>
          <w:lang w:bidi="fa-IR"/>
        </w:rPr>
        <w:t xml:space="preserve">من المخالفة لما 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الاتهام فی ابن أبی حمزة </w:t>
      </w:r>
      <w:r>
        <w:rPr>
          <w:rStyle w:val="FootnoteAnchor"/>
          <w:rtl w:val="true"/>
        </w:rPr>
        <w:footnoteReference w:id="447"/>
      </w:r>
      <w:r>
        <w:rPr>
          <w:rFonts w:ascii="IRNazanin" w:hAnsi="IRNazanin" w:eastAsia="IRNazanin"/>
          <w:color w:val="111111"/>
          <w:sz w:val="28"/>
          <w:sz w:val="28"/>
          <w:szCs w:val="28"/>
          <w:rtl w:val="true"/>
          <w:lang w:bidi="fa-IR"/>
        </w:rPr>
        <w:t xml:space="preserve">، ولعلّه البطائنی لضعفه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من أغلاط نسخ الکشی الموجودة الآن ، لکن العجب من النجاشی أنّه لم یبیّن حقیقة الحال من جهة التاریخین کما نبّهنا علیه فیما سلف ، فلیتأمّل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سنان وحسن الصیقل ، وقد مضیا </w:t>
      </w:r>
      <w:r>
        <w:rPr>
          <w:rStyle w:val="FootnoteAnchor"/>
          <w:rtl w:val="true"/>
        </w:rPr>
        <w:footnoteReference w:id="448"/>
      </w:r>
      <w:r>
        <w:rPr>
          <w:rFonts w:ascii="IRNazanin" w:hAnsi="IRNazanin" w:eastAsia="IRNazanin"/>
          <w:color w:val="111111"/>
          <w:sz w:val="28"/>
          <w:sz w:val="28"/>
          <w:szCs w:val="28"/>
          <w:rtl w:val="true"/>
          <w:lang w:bidi="fa-IR"/>
        </w:rPr>
        <w:t xml:space="preserve">مکرّرین بضعف الأوّل وجهالة الثانی علی معنی أنّه مذکور فی الرجال </w:t>
      </w:r>
      <w:r>
        <w:rPr>
          <w:rStyle w:val="FootnoteAnchor"/>
          <w:rtl w:val="true"/>
        </w:rPr>
        <w:footnoteReference w:id="449"/>
      </w:r>
      <w:r>
        <w:rPr>
          <w:rFonts w:ascii="IRNazanin" w:hAnsi="IRNazanin" w:eastAsia="IRNazanin"/>
          <w:color w:val="111111"/>
          <w:sz w:val="28"/>
          <w:sz w:val="28"/>
          <w:szCs w:val="28"/>
          <w:rtl w:val="true"/>
          <w:lang w:bidi="fa-IR"/>
        </w:rPr>
        <w:t>بما لا یزید علی الإهمال ؛ وظنّ بعض الأصحاب أنّه ابن العطّار الثقة ، لا نعلم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عیسی ، عن یونس</w:t>
      </w:r>
      <w:r>
        <w:rPr>
          <w:rFonts w:eastAsia="IRNazanin" w:cs="IRNazanin"/>
          <w:color w:val="111111"/>
          <w:sz w:val="28"/>
          <w:szCs w:val="28"/>
          <w:rtl w:val="true"/>
          <w:lang w:bidi="fa-IR"/>
        </w:rPr>
        <w:t>.</w:t>
      </w:r>
    </w:p>
    <w:p>
      <w:pPr>
        <w:pStyle w:val="Heading4"/>
        <w:numPr>
          <w:ilvl w:val="3"/>
          <w:numId w:val="1"/>
        </w:numPr>
        <w:rPr/>
      </w:pPr>
      <w:bookmarkStart w:id="362" w:name="__RefHeading___Toc347820_2142443653"/>
      <w:bookmarkStart w:id="363" w:name="_Toc141"/>
      <w:bookmarkEnd w:id="362"/>
      <w:r>
        <w:rPr>
          <w:rtl w:val="true"/>
        </w:rPr>
        <w:t>بحث حول الحسن بن محبوب</w:t>
      </w:r>
      <w:bookmarkEnd w:id="363"/>
    </w:p>
    <w:p>
      <w:pPr>
        <w:pStyle w:val="Heading4"/>
        <w:numPr>
          <w:ilvl w:val="3"/>
          <w:numId w:val="1"/>
        </w:numPr>
        <w:rPr/>
      </w:pPr>
      <w:bookmarkStart w:id="364" w:name="__RefHeading___Toc347822_2142443653"/>
      <w:bookmarkStart w:id="365" w:name="_Toc142"/>
      <w:bookmarkEnd w:id="364"/>
      <w:r>
        <w:rPr>
          <w:rtl w:val="true"/>
        </w:rPr>
        <w:t>إشارة إلی ضعف محمد بن سنان</w:t>
      </w:r>
      <w:bookmarkEnd w:id="36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6" w:name="__RefHeading___Toc347824_2142443653"/>
      <w:bookmarkStart w:id="367" w:name="_Toc143"/>
      <w:bookmarkEnd w:id="366"/>
      <w:r>
        <w:rPr>
          <w:rtl w:val="true"/>
        </w:rPr>
        <w:t>بحث حول الحسن الصیقل</w:t>
      </w:r>
      <w:bookmarkStart w:id="368" w:name="pg15037_163738"/>
      <w:bookmarkEnd w:id="367"/>
    </w:p>
    <w:p>
      <w:pPr>
        <w:pStyle w:val="BookText"/>
        <w:rPr/>
      </w:pPr>
      <w:bookmarkEnd w:id="368"/>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قبل الکلام فیه من بیان مقدمة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العلاّمة فی المنتهی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أهل العلم فی جواز الاقتصار علی الحمد فی النافلة ، وکذا فی جوازه مع ضیق الوقت فی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یحسن إلاّ الحمد وأمکنه التعلّم وکان الوقت واسعا وجب علیه التعلّم ؛ لأنّها کالحمد فی الوجوب ، أمّا لو لم یمکنه التعلّم أو ضاق الوقت صلّی بالحمد وحدها للضرورة ، ولا خلاف فی جواز الاقتصار علی الحمد فی هذه المواضع وفی النافلة للعارف والمختار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المختلف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أنّه یجب علی المختار قراءة سورة بعد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اختیار الشیخ فی الجمل والخلاف والاستبصار ، واختاره المرتضی وابن أبی عقیل وأبی الصلاح وابن إدریس ، وللشیخ رحمه الله 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الحمد ، والسورة مستحبة وهو اختیار ابن الجنید وسلاّر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دلالة کلام المنتهی علی ما ینافی ما ذکره بعض المتأخّرین من وجوب التعویض إذا لم یحسن السورة ، بل صرّح المحقّق الشیخ علی بعد ذکر التعویض بادعاء عدم التصریح لأحد بالسقوط ، علی ما نقل عنه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9" w:name="__RefHeading___Toc347826_2142443653"/>
      <w:bookmarkStart w:id="370" w:name="_Toc144"/>
      <w:bookmarkEnd w:id="369"/>
      <w:r>
        <w:rPr>
          <w:rtl w:val="true"/>
        </w:rPr>
        <w:t>الأقوال فی وجوب السورة أو عدم وجوبها</w:t>
      </w:r>
      <w:bookmarkEnd w:id="370"/>
    </w:p>
    <w:p>
      <w:pPr>
        <w:pStyle w:val="BookText"/>
        <w:rPr/>
      </w:pPr>
      <w:r>
        <w:rPr>
          <w:rFonts w:ascii="IRNazanin" w:hAnsi="IRNazanin" w:eastAsia="IRNazanin"/>
          <w:color w:val="111111"/>
          <w:sz w:val="28"/>
          <w:sz w:val="28"/>
          <w:szCs w:val="28"/>
          <w:rtl w:val="true"/>
          <w:lang w:bidi="fa-IR"/>
        </w:rPr>
        <w:t xml:space="preserve">وفی حواشیه علی المختصر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 التقیید بسعة الوقت أنّه مع الضیق لا یجب ، ولیس کذلک ؛ إذ لا دلیل علی السقوط ، إذ لا یسقط شی‌ءٌ من الأُمور المعتبرة فی الصلاة لضیق الوقت ، ولا أعلم لأحد التصریح بسقوط السورة للضیق ، بل التصریح بخلافه موجود فی التذکرة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یخلو من غرابة وستسمع الأخبار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علی تقدیر سقوط السورة مع ضیق الوقت فالمراد بالضیق إن کان عدم اتساع الوقت لقراءتها ، أمکن ، وإن کان المراد ضیقه عن واجب الصلاة أشکل بلزوم الدور ، کما یعرف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العلاّمة فی الإرشاد أنّ من لم یحسن القراءة وجب علیه التعلّم ، فإن ضاق الوقت قرأ ما یحسن ، ولو لم یحسن شیئا سبّح الله وهلّله وکبّره بقدر القراءة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فوائد جدّی قدس سره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ما یجزئ فی الأخیرتین مکرّرا بقدر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کلامه التکرار فی الأوّلتین بقدر الفاتحة والسورة ، وکلام العلاّمة کالصریح فی ذلک ، لأنّه ذکر وجوب الفاتحة والسورة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ضاق الوقت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وجوب السورة ؛ للدلالة علی قراءة ما یحسن ، وفیه منافاة لما فی المنتهی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الدالة علی التبعیض تحمل علی من </w:t>
      </w:r>
    </w:p>
    <w:p>
      <w:pPr>
        <w:pStyle w:val="BookText"/>
        <w:rPr/>
      </w:pPr>
      <w:r>
        <w:rPr>
          <w:rFonts w:ascii="IRNazanin" w:hAnsi="IRNazanin" w:eastAsia="IRNazanin"/>
          <w:color w:val="111111"/>
          <w:sz w:val="28"/>
          <w:sz w:val="28"/>
          <w:szCs w:val="28"/>
          <w:rtl w:val="true"/>
          <w:lang w:bidi="fa-IR"/>
        </w:rPr>
        <w:t xml:space="preserve">یحسن </w:t>
      </w:r>
      <w:r>
        <w:rPr>
          <w:rStyle w:val="FootnoteAnchor"/>
          <w:rtl w:val="true"/>
        </w:rPr>
        <w:footnoteReference w:id="456"/>
      </w:r>
      <w:r>
        <w:rPr>
          <w:rFonts w:ascii="IRNazanin" w:hAnsi="IRNazanin" w:eastAsia="IRNazanin"/>
          <w:color w:val="111111"/>
          <w:sz w:val="28"/>
          <w:sz w:val="28"/>
          <w:szCs w:val="28"/>
          <w:rtl w:val="true"/>
          <w:lang w:bidi="fa-IR"/>
        </w:rPr>
        <w:t>البعض ، إلاّ أنّه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حمل الضیق فی کلام من رأینا کلامه من الأصحاب </w:t>
      </w:r>
      <w:r>
        <w:rPr>
          <w:rStyle w:val="FootnoteAnchor"/>
          <w:rtl w:val="true"/>
        </w:rPr>
        <w:footnoteReference w:id="457"/>
      </w:r>
      <w:r>
        <w:rPr>
          <w:rFonts w:ascii="IRNazanin" w:hAnsi="IRNazanin" w:eastAsia="IRNazanin"/>
          <w:color w:val="111111"/>
          <w:sz w:val="28"/>
          <w:sz w:val="28"/>
          <w:szCs w:val="28"/>
          <w:rtl w:val="true"/>
          <w:lang w:bidi="fa-IR"/>
        </w:rPr>
        <w:t xml:space="preserve">علی أنّه لم یبق من الوقت إلاّ مقدار قراءة ما یحسن مع باقی الأفعال وبالتعویض یخرج الوقت ، فهو ممکن لکن بتکلّف ، إلاّ أن یقیّد بأنّ المراد عدم الزیادة علی مقدار الواجب من القراءة أی الفاتحة وسورة قصیرة کاملة ، فعلی تقدیر إمکان التعلّم یجب الاشتغال إلی أن لا یبقی إلاّ وقت ما یعلمه بناء علی عدم وجوب العوض ، وعلی القول به إلی مقداره ، کما ذکره بعض محققی المتأخّرین رحمه الله </w:t>
      </w:r>
      <w:r>
        <w:rPr>
          <w:rStyle w:val="FootnoteAnchor"/>
          <w:rtl w:val="true"/>
        </w:rPr>
        <w:footnoteReference w:id="458"/>
      </w:r>
      <w:r>
        <w:rPr>
          <w:rFonts w:ascii="IRNazanin" w:hAnsi="IRNazanin" w:eastAsia="IRNazanin"/>
          <w:color w:val="111111"/>
          <w:sz w:val="28"/>
          <w:sz w:val="28"/>
          <w:szCs w:val="28"/>
          <w:rtl w:val="true"/>
          <w:lang w:bidi="fa-IR"/>
        </w:rPr>
        <w:t>وفیه تکلّف أیضا ، وبالجملة فالمقام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منّا کلام فی أوّل هذا الجزء فی الحدیث المتضمن لأنّ من لم یحسن قراءة القرآن یجزؤه التکبیر والتسبیح ، وذکرنا ما لا بدّ منه فیه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الخبر الأوّل قد ذکر فی الاستدلال لوجوب السورة من المتأخّرین </w:t>
      </w:r>
      <w:r>
        <w:rPr>
          <w:rStyle w:val="FootnoteAnchor"/>
          <w:rtl w:val="true"/>
        </w:rPr>
        <w:footnoteReference w:id="460"/>
      </w:r>
      <w:r>
        <w:rPr>
          <w:rFonts w:ascii="IRNazanin" w:hAnsi="IRNazanin" w:eastAsia="IRNazanin"/>
          <w:color w:val="111111"/>
          <w:sz w:val="28"/>
          <w:sz w:val="28"/>
          <w:szCs w:val="28"/>
          <w:rtl w:val="true"/>
          <w:lang w:bidi="fa-IR"/>
        </w:rPr>
        <w:t xml:space="preserve">، کما یظهر من الشیخ ، ومن الذاکرین العلاّمة فی المختلف غیر واصف له بالصحة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 اقتفی أثره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غریب من العلاّمة ، فإنّه فی الخلاصة </w:t>
      </w:r>
      <w:r>
        <w:rPr>
          <w:rStyle w:val="FootnoteAnchor"/>
          <w:rtl w:val="true"/>
        </w:rPr>
        <w:footnoteReference w:id="463"/>
      </w:r>
      <w:r>
        <w:rPr>
          <w:rFonts w:ascii="IRNazanin" w:hAnsi="IRNazanin" w:eastAsia="IRNazanin"/>
          <w:color w:val="111111"/>
          <w:sz w:val="28"/>
          <w:sz w:val="28"/>
          <w:szCs w:val="28"/>
          <w:rtl w:val="true"/>
          <w:lang w:bidi="fa-IR"/>
        </w:rPr>
        <w:t>ظاهره توثیق محمّد بن عبد الحمید</w:t>
      </w:r>
      <w:r>
        <w:rPr>
          <w:rFonts w:eastAsia="IRNazanin" w:cs="IRNazanin"/>
          <w:color w:val="111111"/>
          <w:sz w:val="28"/>
          <w:szCs w:val="28"/>
          <w:rtl w:val="true"/>
          <w:lang w:bidi="fa-IR"/>
        </w:rPr>
        <w:t xml:space="preserve">. </w:t>
      </w:r>
      <w:bookmarkStart w:id="371" w:name="pg15037_163741"/>
    </w:p>
    <w:p>
      <w:pPr>
        <w:pStyle w:val="BookText"/>
        <w:rPr/>
      </w:pPr>
      <w:bookmarkEnd w:id="371"/>
      <w:r>
        <w:rPr>
          <w:rFonts w:ascii="IRNazanin" w:hAnsi="IRNazanin" w:eastAsia="IRNazanin"/>
          <w:color w:val="111111"/>
          <w:sz w:val="28"/>
          <w:sz w:val="28"/>
          <w:szCs w:val="28"/>
          <w:rtl w:val="true"/>
          <w:lang w:bidi="fa-IR"/>
        </w:rPr>
        <w:t>ثم إنّ الخبر لا ینافی القول باستحباب السورة فی نظری القاصر ، لأنّه لا مانع من الاستحباب وعدم جواز التبعیض ، کما لم یجز فی النافلة فعلها بغیر الرکوع ونحوه ، وقد یعبّر عن هذا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ذکره بعض مشایخنا من أنّ القرآن لمّا ثبت من الأخبار جوازه فی الفریضة ، فلا بدّ من حمل النهی فی هذا الخبر عن الأکثر علی الکراهة ، فلیحمل ما دلّ علی الأقلّ علیها </w:t>
      </w:r>
      <w:r>
        <w:rPr>
          <w:rStyle w:val="FootnoteAnchor"/>
          <w:rtl w:val="true"/>
        </w:rPr>
        <w:footnoteReference w:id="464"/>
      </w:r>
      <w:r>
        <w:rPr>
          <w:rFonts w:ascii="IRNazanin" w:hAnsi="IRNazanin" w:eastAsia="IRNazanin"/>
          <w:color w:val="111111"/>
          <w:sz w:val="28"/>
          <w:sz w:val="28"/>
          <w:szCs w:val="28"/>
          <w:rtl w:val="true"/>
          <w:lang w:bidi="fa-IR"/>
        </w:rPr>
        <w:t>؛ إذ من المستبعد تخالف النهی فی الخبر بالکراهة والتحریم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دلّ الدلیل علی وجوب السورة لا مانع من إبقاء النهی فی الخبر علی حقیقته فی الناقص ، ولزوم استعمال اللفظ فی حقیقته ومجازه لا یضر بالحال مع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ذکرت ، إلاّ أنّ الکلام فی إثبات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ذکره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النهی فی الخبر محمولٌ علی الکراهة فیما زاد جمعا بین الأخبار ، لما سیأتی فی القراءة ، فکذا فیما نقص ، تفصیّا من استعمال النهی فی حقیقته ومجازه معا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 لأنّ مجرّد التفصّی لا یقتضی ما ذکره إلاّ بعد ردّ دلیل الوجوب ، وکأنّه اعتمد علی ذلک حیث ردّ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مشتمل علی نهیین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 الأقل والآخر عن الأکثر ، فلو حمل النهی الثانی علی الکراهة یبقی النهی الأوّل علی حقیقته ، فلیس من حمل اللفظ علی حقیقته ومجازه ، بل حمل کل لفظ علی معنی فالأوّل حقیقی والثانی مجازیّ ، فلیتأمّل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2" w:name="__RefHeading___Toc347828_2142443653"/>
      <w:bookmarkStart w:id="373" w:name="_Toc145"/>
      <w:bookmarkEnd w:id="372"/>
      <w:r>
        <w:rPr>
          <w:rtl w:val="true"/>
        </w:rPr>
        <w:t>بیان ما دل علی أنّه لا یقرأ فی المکتوبة بأقل من سورة ولا بأکثر</w:t>
      </w:r>
      <w:bookmarkStart w:id="374" w:name="pg15037_163742"/>
      <w:bookmarkEnd w:id="373"/>
    </w:p>
    <w:p>
      <w:pPr>
        <w:pStyle w:val="BookText"/>
        <w:rPr/>
      </w:pPr>
      <w:bookmarkEnd w:id="374"/>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وإن کان ظاهره أنّ لکل رکعة سورة إلاّ أنّ بمعونة النهی عن قراءة السورتین یفهم أنّ الرجحان فی السورة علی تقدیر کراهة القران کما یستفاد من الأخبار الآتیة </w:t>
      </w:r>
      <w:r>
        <w:rPr>
          <w:rStyle w:val="FootnoteAnchor"/>
          <w:rtl w:val="true"/>
        </w:rPr>
        <w:footnoteReference w:id="466"/>
      </w:r>
      <w:r>
        <w:rPr>
          <w:rFonts w:ascii="IRNazanin" w:hAnsi="IRNazanin" w:eastAsia="IRNazanin"/>
          <w:color w:val="111111"/>
          <w:sz w:val="28"/>
          <w:sz w:val="28"/>
          <w:szCs w:val="28"/>
          <w:rtl w:val="true"/>
          <w:lang w:bidi="fa-IR"/>
        </w:rPr>
        <w:t>، وعلی تقدیر تحریم القران یحتمل إرادة انتفاء التحریم بالسورة سواء کانت واجبة أو 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نوع عدول عن ظاهر الخبر ، فالجواب أنّ المعارضة توجب هذا ، بل هو أخفّ من المحامل المذکورة من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صریح فی جواز الاقتصار علی الفاتحة فی الفریضة ، وحمل الشیخ له علی الضرورة للروایة الرابعة لا یخلو من تأمّل علی تقدیر صحّة الروایة ؛ لأنّ السؤال فیها تضمّن الاستعجال ، وهذا لا یفید تقییدا إذا لم یکن من الإمام علیه السلام ؛ إذ السؤال عن بعض أفراد المطلق لا یفید تقییده فی نظری القاصر علی الإطلاق ، نعم قد یفید التقریر فی بعض الأفراد وإن کان نادرا ، وممّا یؤیّد هذا ، التأمّل فی أکثر موارد السؤال عن أفراد العام والمطلق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الخبر بتقدیر تقییده إنّما یفید الاستعجال ، وهو غیر منضبط علی وجه یتّضح به الحال ؛ وقد ذکرنا فی المقدّمة کلام بعض الأصحاب فی ضیق الوقت وعدم إمکان التعلّم </w:t>
      </w:r>
      <w:r>
        <w:rPr>
          <w:rStyle w:val="FootnoteAnchor"/>
          <w:rtl w:val="true"/>
        </w:rPr>
        <w:footnoteReference w:id="467"/>
      </w:r>
      <w:r>
        <w:rPr>
          <w:rFonts w:ascii="IRNazanin" w:hAnsi="IRNazanin" w:eastAsia="IRNazanin"/>
          <w:color w:val="111111"/>
          <w:sz w:val="28"/>
          <w:sz w:val="28"/>
          <w:szCs w:val="28"/>
          <w:rtl w:val="true"/>
          <w:lang w:bidi="fa-IR"/>
        </w:rPr>
        <w:t xml:space="preserve">؛ والذی یظهر من الشیخ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مطلق العجلة ، ولم أقف علی مبیّن حقیقة الأمر فی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بعض المتأخّرین علی مختصر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وجوب سورة مع الحمد </w:t>
      </w:r>
      <w:r>
        <w:rPr>
          <w:rStyle w:val="FootnoteAnchor"/>
          <w:rtl w:val="true"/>
        </w:rPr>
        <w:footnoteReference w:id="468"/>
      </w:r>
      <w:r>
        <w:rPr>
          <w:rFonts w:ascii="IRNazanin" w:hAnsi="IRNazanin" w:eastAsia="IRNazanin"/>
          <w:color w:val="111111"/>
          <w:sz w:val="28"/>
          <w:sz w:val="28"/>
          <w:szCs w:val="28"/>
          <w:rtl w:val="true"/>
          <w:lang w:bidi="fa-IR"/>
        </w:rPr>
        <w:t xml:space="preserve">للمختار ، إلی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یفهم من التقیید بالمختار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5" w:name="__RefHeading___Toc347830_2142443653"/>
      <w:bookmarkStart w:id="376" w:name="_Toc146"/>
      <w:bookmarkEnd w:id="375"/>
      <w:r>
        <w:rPr>
          <w:rtl w:val="true"/>
        </w:rPr>
        <w:t>بیان ما دل علی جواز الاقتصار علی الفاتحة فی الفریضة والمناقشة فی توجیه الشیخ له</w:t>
      </w:r>
      <w:bookmarkStart w:id="377" w:name="pg15037_163743"/>
      <w:bookmarkEnd w:id="376"/>
    </w:p>
    <w:p>
      <w:pPr>
        <w:pStyle w:val="BookText"/>
        <w:rPr/>
      </w:pPr>
      <w:bookmarkEnd w:id="377"/>
      <w:r>
        <w:rPr>
          <w:rFonts w:ascii="IRNazanin" w:hAnsi="IRNazanin" w:eastAsia="IRNazanin"/>
          <w:color w:val="111111"/>
          <w:sz w:val="28"/>
          <w:sz w:val="28"/>
          <w:szCs w:val="28"/>
          <w:rtl w:val="true"/>
          <w:lang w:bidi="fa-IR"/>
        </w:rPr>
        <w:t>أنّ المضطر کالمریض الذی یشق علیه قراءتها کثیرا أو من أعجلته حاجة لا یجب علیه السورة ، وهو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اعتبار الکثرة فی المشقّة غیر ظاهر الوجه ، فإنّ الروایة الخامسة تضمّنت مطلق المریض ، وعلی تقدیر عدم الالتفات إلیها لضعف السند ، أمکن أن یقال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اعتماد الشیخ علی الروایة مع جزمه فی الرجال بردّ الروایة المشتملة علی محمّد بن عیسی عن یونس </w:t>
      </w:r>
      <w:r>
        <w:rPr>
          <w:rStyle w:val="FootnoteAnchor"/>
          <w:rtl w:val="true"/>
        </w:rPr>
        <w:footnoteReference w:id="470"/>
      </w:r>
      <w:r>
        <w:rPr>
          <w:rFonts w:ascii="IRNazanin" w:hAnsi="IRNazanin" w:eastAsia="IRNazanin"/>
          <w:color w:val="111111"/>
          <w:sz w:val="28"/>
          <w:sz w:val="28"/>
          <w:szCs w:val="28"/>
          <w:rtl w:val="true"/>
          <w:lang w:bidi="fa-IR"/>
        </w:rPr>
        <w:t xml:space="preserve">المقیّدة بعدم المؤیّد ، یدل علی أنّ فی مثل هذا المقام وجد المؤیّد عنده ؛ وحینئذ لا فرق بین هذا وبین توثیق الرجل فی کتابیه وتوثیق النجاشی ، کما قدّمنا القول فی مثل هذا فی الجزء الثانی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ولیس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یستلزم صحّة جمیع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التهذیب والاستبصار عن محمّد بن عیسی عن یونس ، والذی یظهر من المعاصرین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لإمکان الجواب بعدم التفطّن لهذا الوجه </w:t>
      </w:r>
      <w:r>
        <w:rPr>
          <w:rStyle w:val="FootnoteAnchor"/>
          <w:rtl w:val="true"/>
        </w:rPr>
        <w:footnoteReference w:id="472"/>
      </w:r>
      <w:r>
        <w:rPr>
          <w:rFonts w:ascii="IRNazanin" w:hAnsi="IRNazanin" w:eastAsia="IRNazanin"/>
          <w:color w:val="111111"/>
          <w:sz w:val="28"/>
          <w:sz w:val="28"/>
          <w:szCs w:val="28"/>
          <w:rtl w:val="true"/>
          <w:lang w:bidi="fa-IR"/>
        </w:rPr>
        <w:t>، أو لجواز کون الشیخ اعتمد علی قرائن لا تصلح حجّة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لو تمّ لزم عدم قبول قوله فی التعدیل ؛ لجواز اعتماده علی قرائن لیست حجّة عند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الرجال لا بدّ من البحث عن الجارح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انتفاء الجارح یحکم بالتعدیل ، وحینئذ یرجع</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8" w:name="__RefHeading___Toc347832_2142443653"/>
      <w:bookmarkStart w:id="379" w:name="_Toc147"/>
      <w:bookmarkEnd w:id="378"/>
      <w:r>
        <w:rPr>
          <w:rtl w:val="true"/>
        </w:rPr>
        <w:t>بحث حول روایة محمد بن عیسی عن یونس ووجه اعتماد الشیخ علیها</w:t>
      </w:r>
      <w:bookmarkEnd w:id="379"/>
    </w:p>
    <w:p>
      <w:pPr>
        <w:pStyle w:val="BookText"/>
        <w:rPr/>
      </w:pPr>
      <w:r>
        <w:rPr>
          <w:rFonts w:ascii="IRNazanin" w:hAnsi="IRNazanin" w:eastAsia="IRNazanin"/>
          <w:color w:val="111111"/>
          <w:sz w:val="28"/>
          <w:sz w:val="28"/>
          <w:szCs w:val="28"/>
          <w:rtl w:val="true"/>
          <w:lang w:bidi="fa-IR"/>
        </w:rPr>
        <w:t>إلی إفتاء الشیخ بالعدالة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الروایات یجوز أن یکون اعتماد الشیخ لیس علی الراوی ، بل علی کونها من الأُصول المعتمدة ، أو من رواة متعددین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راجع إلی الحکم بالصحة وهو کالتوثیق ، وفی البین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وجدت بعض محقّقی المتأخرین رحمه الله اعتمد علی روایة محمّد ابن عیسی عن یونس </w:t>
      </w:r>
      <w:r>
        <w:rPr>
          <w:rStyle w:val="FootnoteAnchor"/>
          <w:rtl w:val="true"/>
        </w:rPr>
        <w:footnoteReference w:id="473"/>
      </w:r>
      <w:r>
        <w:rPr>
          <w:rFonts w:ascii="IRNazanin" w:hAnsi="IRNazanin" w:eastAsia="IRNazanin"/>
          <w:color w:val="111111"/>
          <w:sz w:val="28"/>
          <w:sz w:val="28"/>
          <w:szCs w:val="28"/>
          <w:rtl w:val="true"/>
          <w:lang w:bidi="fa-IR"/>
        </w:rPr>
        <w:t>، لکن لم یذکر فی توجیهه ما یدل علی ما ذکرناه ، بل من حیث إنّ الاستثناء لا یقتضی الطعن ، وفیه نوع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شیخنا قدس سره أنّه وصف بعض الأخبار التی فیها محمّد بن عیسی عن یونس بالصحة ، مع جزمه بالردّ </w:t>
      </w:r>
      <w:r>
        <w:rPr>
          <w:rStyle w:val="FootnoteAnchor"/>
          <w:rtl w:val="true"/>
        </w:rPr>
        <w:footnoteReference w:id="474"/>
      </w:r>
      <w:r>
        <w:rPr>
          <w:rFonts w:ascii="IRNazanin" w:hAnsi="IRNazanin" w:eastAsia="IRNazanin"/>
          <w:color w:val="111111"/>
          <w:sz w:val="28"/>
          <w:sz w:val="28"/>
          <w:szCs w:val="28"/>
          <w:rtl w:val="true"/>
          <w:lang w:bidi="fa-IR"/>
        </w:rPr>
        <w:t>؛ لکن أظنّ أنّه نقل الروایة من کلام من أشرنا إلیه اعتمادا علی أنّ تصحیحه لا ارتیاب فیه ، ولم یتفطّن لمذهبه فی محمّد بن عیسی عن یونس</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فالروایة المبحوث عنها إذا لم تصلح للاستدلال بما قلناه ، یمکن أن یؤیّدها ما رواه الشیخ فی زیادات الصلاة من التهذیب فی باب صلاة المضطر عن سعد ، عن أحمد بن محمّد ، عن محمّد بن إسماعیل بن بزیع ، عن ثعلبة بن میمون ، عن حمّاد بن عثمان عن عبد الرحمن بن أبی عبد الله </w:t>
      </w:r>
      <w:r>
        <w:rPr>
          <w:rStyle w:val="FootnoteAnchor"/>
          <w:rtl w:val="true"/>
        </w:rPr>
        <w:footnoteReference w:id="4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علی الدابّة الفریضة إلاّ مریض یستقبل به القبلة ویجزؤه 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فی هذا الکتاب فی الجزء الثانی فی باب الصلاة فی المحمل </w:t>
      </w:r>
      <w:r>
        <w:rPr>
          <w:rStyle w:val="FootnoteAnchor"/>
          <w:rtl w:val="true"/>
        </w:rPr>
        <w:footnoteReference w:id="477"/>
      </w:r>
      <w:r>
        <w:rPr>
          <w:rFonts w:ascii="IRNazanin" w:hAnsi="IRNazanin" w:eastAsia="IRNazanin"/>
          <w:color w:val="111111"/>
          <w:sz w:val="28"/>
          <w:sz w:val="28"/>
          <w:szCs w:val="28"/>
          <w:rtl w:val="true"/>
          <w:lang w:bidi="fa-IR"/>
        </w:rPr>
        <w:t xml:space="preserve">؛ وإنّما نقلناه من </w:t>
      </w:r>
      <w:bookmarkStart w:id="380" w:name="pg15037_163745"/>
    </w:p>
    <w:p>
      <w:pPr>
        <w:pStyle w:val="BookText"/>
        <w:rPr/>
      </w:pPr>
      <w:bookmarkEnd w:id="380"/>
      <w:r>
        <w:rPr>
          <w:rFonts w:ascii="IRNazanin" w:hAnsi="IRNazanin" w:eastAsia="IRNazanin"/>
          <w:color w:val="111111"/>
          <w:sz w:val="28"/>
          <w:sz w:val="28"/>
          <w:szCs w:val="28"/>
          <w:rtl w:val="true"/>
          <w:lang w:bidi="fa-IR"/>
        </w:rPr>
        <w:t xml:space="preserve">التهذیب لأنّ طریقه إلی سعد فی المشیخة فیه صحیح بلا مریة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المفید ، عن محمّد بن علی بن الحسین ، عن أبیه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مضی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قولویه ، وقد مضی فیه </w:t>
      </w:r>
      <w:r>
        <w:rPr>
          <w:rStyle w:val="FootnoteAnchor"/>
          <w:rtl w:val="true"/>
        </w:rPr>
        <w:footnoteReference w:id="479"/>
      </w:r>
      <w:r>
        <w:rPr>
          <w:rFonts w:ascii="Amiri" w:hAnsi="Amiri" w:eastAsia="Amiri" w:cs="Amiri"/>
          <w:color w:val="111111"/>
          <w:sz w:val="28"/>
          <w:sz w:val="28"/>
          <w:szCs w:val="28"/>
          <w:rtl w:val="true"/>
          <w:lang w:bidi="ar-SA"/>
        </w:rPr>
        <w:t xml:space="preserve">نوع توقّف </w:t>
      </w:r>
      <w:r>
        <w:rPr>
          <w:rStyle w:val="FootnoteAnchor"/>
          <w:rtl w:val="true"/>
        </w:rPr>
        <w:footnoteReference w:id="4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الخبر مؤیّد لأنّ مطلق المرض مجوّز للفاتحة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المبحوث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بمفهومه علی أنّ غیر المریض لا یجزؤه الفاتحة وحدها فتجب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الوصف غیر واضح الحجّیّة کما ذکرناه فی الأُصول مفصّلا ، وقد حاول بعض الأصحاب </w:t>
      </w:r>
      <w:r>
        <w:rPr>
          <w:rStyle w:val="FootnoteAnchor"/>
          <w:rtl w:val="true"/>
        </w:rPr>
        <w:footnoteReference w:id="482"/>
      </w:r>
      <w:r>
        <w:rPr>
          <w:rFonts w:ascii="IRNazanin" w:hAnsi="IRNazanin" w:eastAsia="IRNazanin"/>
          <w:color w:val="111111"/>
          <w:sz w:val="28"/>
          <w:sz w:val="28"/>
          <w:szCs w:val="28"/>
          <w:rtl w:val="true"/>
          <w:lang w:bidi="fa-IR"/>
        </w:rPr>
        <w:t xml:space="preserve">الاستدلال بما نقلناه فی حواشی التهذیب علی حجّیته بتحقق الذمّ علی المخالفة بتقدیر الخطاب بما یقتضی الوصف لو أمر السیّد عبده بإعطاء العالم فأعطی الجاهل ، وذکرنا فی جوابه ، هناک احتمال کون الذم لعدم الأمر بإعطاء الجاهل لا لمخالفة الأمر ، وأیّدناه بمفهوم اللقب ؛ إذ لیس بحجة عند القائل مع تحقّق الذم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زیدا فأعطی عمرا ، وفصّلنا المقام هناک زیادة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مضی فی الکتاب ذکر ما وقع للأصحاب فی المطلق والمقیّد من الجمع مع التنافی مع القول بعدم حجّیّة مفهوم الوصف ، مع أنّ التنافی لا یتمّ بدونه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1" w:name="__RefHeading___Toc347834_2142443653"/>
      <w:bookmarkStart w:id="382" w:name="_Toc148"/>
      <w:bookmarkEnd w:id="381"/>
      <w:r>
        <w:rPr>
          <w:rtl w:val="true"/>
        </w:rPr>
        <w:t>عدم حجیّة مفهوم الوصف</w:t>
      </w:r>
      <w:bookmarkStart w:id="383" w:name="pg15037_163746"/>
      <w:bookmarkEnd w:id="382"/>
    </w:p>
    <w:p>
      <w:pPr>
        <w:pStyle w:val="BookText"/>
        <w:rPr/>
      </w:pPr>
      <w:bookmarkEnd w:id="383"/>
      <w:r>
        <w:rPr>
          <w:rFonts w:ascii="IRNazanin" w:hAnsi="IRNazanin" w:eastAsia="IRNazanin"/>
          <w:color w:val="111111"/>
          <w:sz w:val="28"/>
          <w:sz w:val="28"/>
          <w:szCs w:val="28"/>
          <w:rtl w:val="true"/>
          <w:lang w:bidi="fa-IR"/>
        </w:rPr>
        <w:t>ویخطر فی البال الآن إمکان الاحتجاج علی حجّیّة مفهوم الوصف بما اشتهر من أنّ تعلیق الحکم علی الوصف یشعر بالعلیّة ، ولا ریب أنّ انتفاء العلّة یقتضی انتفاء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الإشعار بالعلیّة لیس بالصریح ، وبتقدیر العلّة لیست تامّة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فالخبر السادس یدل مفهوم الشرط فیه علی أنّ مقتضی سقوط السورة العجلة أو تخوّف </w:t>
      </w:r>
      <w:r>
        <w:rPr>
          <w:rStyle w:val="FootnoteAnchor"/>
          <w:rtl w:val="true"/>
        </w:rPr>
        <w:footnoteReference w:id="483"/>
      </w:r>
      <w:r>
        <w:rPr>
          <w:rFonts w:ascii="IRNazanin" w:hAnsi="IRNazanin" w:eastAsia="IRNazanin"/>
          <w:color w:val="111111"/>
          <w:sz w:val="28"/>
          <w:sz w:val="28"/>
          <w:szCs w:val="28"/>
          <w:rtl w:val="true"/>
          <w:lang w:bidi="fa-IR"/>
        </w:rPr>
        <w:t xml:space="preserve">شی‌ء ، لکن العجلة والتخوّف لا یخلوان من إطلاق ، وأظنّ القائل بالضرورة لا یطلق کما مضی القول فیه ، والشیخ فی الظاهر أنّه قائل بذلک لو کان فی الاستبصار قوله یصلح للاعتماد ، ولا یبعد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تردیدا من الراوی علی سبیل الشکّ فیما قاله الإمام علیه السلام ، ولا أقلّ من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الاستدلال علی وجوب السورة بآیة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فَاقْرَؤُا ما تَیَسَّرَ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أظهر من أن یبیّن بعد ما سبق منّا ، والحاصل أنّ ما فی الآیة کما یحتمل الموصولة یحتمل النکرة الموصوفة ، فالعموم فی الموصولة إنّما یصلح للاستدلال لو تعیّن ، وعلی ما قدّمناه من أنّ ظاهر بعض الأخبار ثبوت القراءة من السنّة ینفی دلالة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عجیب ما وقع للعلاّمة فی المختلف أنّه استدل بالآیة ووجّه الاستدلال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للوجوب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 لحسن الاستثناء الذی هو إخراج</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4" w:name="__RefHeading___Toc347836_2142443653"/>
      <w:bookmarkStart w:id="385" w:name="_Toc149"/>
      <w:bookmarkEnd w:id="384"/>
      <w:r>
        <w:rPr>
          <w:rtl w:val="true"/>
        </w:rPr>
        <w:t>أدلّة القائلین بوجوب السورة والمناقشة فیها</w:t>
      </w:r>
      <w:bookmarkEnd w:id="385"/>
    </w:p>
    <w:p>
      <w:pPr>
        <w:pStyle w:val="BookText"/>
        <w:rPr/>
      </w:pPr>
      <w:r>
        <w:rPr>
          <w:rFonts w:ascii="IRNazanin" w:hAnsi="IRNazanin" w:eastAsia="IRNazanin"/>
          <w:color w:val="111111"/>
          <w:sz w:val="28"/>
          <w:sz w:val="28"/>
          <w:szCs w:val="28"/>
          <w:rtl w:val="true"/>
          <w:lang w:bidi="fa-IR"/>
        </w:rPr>
        <w:t>ما یتناوله اللفظ کما فی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القراءة لا تجب فی غیر الصلاة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أنّه یتوجّه علی الثانی أنّ انحصار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العموم بالنسبة إلی الآیة غیر ظاهر ، بعد احتمال النکرة الموصوفة ، وصحة الاستثناء إن کان المراد به فی الآیة فهو فرع إرادة العموم والحال أنّه أصل المدّعی ، وعلی تقدیر وقوع الاستثناء یکون قرینة إرادة العموم ، لا أنّ کلّ ما وجد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ظاهر الآیة وجوب قراءة کل ما تیسّر ، فینبغی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ما فوق السورة بالإجماع ، ولا یکتفی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تجب فی غیر الصلاة ؛ فیمکن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مراده لا یجب قراءة الحمد والسورة فی غیر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استدلاله فی المختلف علی وجوب السورة بأنّ وجوب التسمیة بعد الحمد قبل السورة یستلزم وجوب السورة ، إشارة إلی ما مضی من روایة یحیی بن عمران الهمدانی ؛ ففیه ما مضی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واعتراضه فی المختلف علی الاستدلال بجواز اختصاص وجوب البسملة بمن قرأها لا مطلقا ، ثمّ جوابه بأنّ السورة إذا لم تکن واجبة لم تکن أبعاضها واجبة ؛ لأنّ علماءنا بین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أوجب السورة ، والآخر لم یوجبها فلم یوجب أبعاضها ، فالفرق ثالث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الجواب لا یطابق السؤال ؛ لأنّ حاصله أنّ البسملة تجب علی من قرأ السورة ، وهذا یحتمل أن یراد بالوجوب الحقیقة ویجوز أن یراد به </w:t>
      </w:r>
    </w:p>
    <w:p>
      <w:pPr>
        <w:pStyle w:val="BookText"/>
        <w:rPr/>
      </w:pPr>
      <w:r>
        <w:rPr>
          <w:rFonts w:ascii="Amiri" w:hAnsi="Amiri" w:eastAsia="Amiri" w:cs="Amiri"/>
          <w:color w:val="111111"/>
          <w:sz w:val="28"/>
          <w:sz w:val="28"/>
          <w:szCs w:val="28"/>
          <w:rtl w:val="true"/>
          <w:lang w:bidi="ar-SA"/>
        </w:rPr>
        <w:t>الشرطیّة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کان المراد الأوّل احتمل أن یراد أنّ المصلّی مخیّر بین السورة وبعضها ، فإن اختار السورة وجبت البسملة ، وإن اختار البعض لا یجب ، والمورد کلامه یحتمل هذا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اختصاص وجوب البسملة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وإرادة أنّ وجوبها مختصّ بالسورة لا مفردة غیر بعیدة ، فلا یفید قوله إحداث ثالث ، والجواب کما تری یدل علی أنّه فهم من السؤال جواز وجوب البسملة فی بعض الأحوال فدفعه بأنّه إحداث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تقدیر الشرطیّة فالأمر واضح ، ولا یبعد توجیه السؤال والجواب ، إلاّ أنّ العبارة قاصرة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عن الشیخ أنّه احتجّ بروایة علیّ بن رئاب ومثلها روایة الحلبی </w:t>
      </w:r>
      <w:r>
        <w:rPr>
          <w:rStyle w:val="FootnoteAnchor"/>
          <w:rtl w:val="true"/>
        </w:rPr>
        <w:footnoteReference w:id="486"/>
      </w:r>
      <w:r>
        <w:rPr>
          <w:rFonts w:ascii="IRNazanin" w:hAnsi="IRNazanin" w:eastAsia="IRNazanin"/>
          <w:color w:val="111111"/>
          <w:sz w:val="28"/>
          <w:sz w:val="28"/>
          <w:szCs w:val="28"/>
          <w:rtl w:val="true"/>
          <w:lang w:bidi="fa-IR"/>
        </w:rPr>
        <w:t xml:space="preserve">، والروایتان مرویّتان فی التهذیب </w:t>
      </w:r>
      <w:r>
        <w:rPr>
          <w:rStyle w:val="FootnoteAnchor"/>
          <w:rtl w:val="true"/>
        </w:rPr>
        <w:footnoteReference w:id="487"/>
      </w:r>
      <w:r>
        <w:rPr>
          <w:rFonts w:ascii="IRNazanin" w:hAnsi="IRNazanin" w:eastAsia="IRNazanin"/>
          <w:color w:val="111111"/>
          <w:sz w:val="28"/>
          <w:sz w:val="28"/>
          <w:szCs w:val="28"/>
          <w:rtl w:val="true"/>
          <w:lang w:bidi="fa-IR"/>
        </w:rPr>
        <w:t>، وهنا کما تری أحدهما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 ما وصل إلینا فی هذا الباب هذان الحدیثان ، ولأنّ الأصل براءة الذمّة ، ولأنّ إجزاء بعض السورة یستلزم عدم وجوب السورة ، والملزوم ثابت ؛ لما رواه عمر بن یزید فی الصحیح ، وذکر الروایة الآتیة ، ثم 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الخبر الأوّل محمول علی الضرورة لما رواه عبید الله الحلبی ، وذکر الروایة الأخیرة هنا ، ووجّه الاستدلال بها من جهة مفهوم الشرط بناء علی أنّ التردید من الإمام علیه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وأصالة براءة الذمة غیر ثابتة مع العلم بشغلها بالتکلیف ، فلا یسقط إلاّ مع العلم بنفیه ، وأجاب عن خبر عمر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بإرادة تکرار السورة فی الرکعتین </w:t>
      </w:r>
      <w:r>
        <w:rPr>
          <w:rStyle w:val="FootnoteAnchor"/>
          <w:rtl w:val="true"/>
        </w:rPr>
        <w:footnoteReference w:id="488"/>
      </w:r>
      <w:r>
        <w:rPr>
          <w:rFonts w:ascii="IRNazanin" w:hAnsi="IRNazanin" w:eastAsia="IRNazanin"/>
          <w:color w:val="111111"/>
          <w:sz w:val="28"/>
          <w:sz w:val="28"/>
          <w:szCs w:val="28"/>
          <w:rtl w:val="true"/>
          <w:lang w:bidi="fa-IR"/>
        </w:rPr>
        <w:t xml:space="preserve">، کما سیأتی ذکره </w:t>
      </w:r>
    </w:p>
    <w:p>
      <w:pPr>
        <w:pStyle w:val="BookText"/>
        <w:rPr/>
      </w:pPr>
      <w:r>
        <w:rPr>
          <w:rFonts w:ascii="IRNazanin" w:hAnsi="IRNazanin" w:eastAsia="IRNazanin"/>
          <w:color w:val="111111"/>
          <w:sz w:val="28"/>
          <w:sz w:val="28"/>
          <w:szCs w:val="28"/>
          <w:rtl w:val="true"/>
          <w:lang w:bidi="fa-IR"/>
        </w:rPr>
        <w:t xml:space="preserve">فیه إن شاء الله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 المقام محلّ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من الحمل علی الضرورة فیه عدم الانضباط کما تقدم ، مع تصریحه فی المنتهی بعدم الوجوب مع بعض الضرورات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دلّ علی التبعیض غیر مخصوص بخبر عمر بن یزید ، کما ستسمعه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اشتغال الذمّة إن أُرید به بالصلاة کما هو الظاهر فیکون زوال الاشتغال بفعلها مع السورة منتفیا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اشتغال الذمّة بمطلق الصلاة یتحقّق بما علم من الشارع وجوبه ، وما لم یعلم یکفی فی الامتثال تحقّق الوقوع کیف کان إذا وافق الأمر ولم یتحقّق النهی ، ولزوم توقّف العبادة علی النقل مسلّم فیما ثبت ، لکن مع تعارض الأخبار إمّا یحمل علی الاستحباب أو یترک العمل ، لکن الترک منفی بالإجماع ، فلم یبق إلاّ حال الضرورة للسقوط ، وعدمها للوجوب أو الاستحباب ، والأوّل له مرجوحیّة بما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ویقین البراءة اعتباره لو تمّ لم یعمل بالأدلّة الظنّیة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مواد الاختلاف یعتبر لا مطلقا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للبراءة إذا وجب لا یلتفت إلی الأدلة الظنیّة ، علی أنّ اشتغال الذمّة بیقین بعد فعل الصلاة بغیر سورة غیر معلوم ، نعم قبل فعلها معلوم ، والمطلوب فی الحالین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فعلها بدون السورة یزیل الیقین الحاصل لاشتغال الذمّة ولا یحصل یقین ببراءة الذمّة ، وبینهما فرق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 عن أحمد بن محمّد ، عن العباس بن معروف ، عن صفوان بن یحیی ، عن عبد الله بن مسکان ، عن الحسن بن السری ،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الرجل السورة الواحدة فی الرکعتین من الفریضة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إذا کانت أکثر من ثلاث 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أنّه یجوز له إعادتها فی الرکعة الثانیة دون أن یبعّضها ، وذلک إذا لم یحسن غیرها ، فأمّا إذا أحسن غیرها فإنّه یکره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علی بن محبوب ، عن أحمد بن محمّد ، عن موسی بن القاسم ، عن علیّ بن جعفر ، عن أخیه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یقرأ سورة واحدة فی الرکعتین من الفریضة وهو یحسن غیرها ، فإن فعل فما علیه؟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أحسن غیرها فلا یفعل فإن لم یحسن غیرها فلا بأس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سعد ، عن محمّد بن عیسی ، عن یاسین الضریر ، عن حریز بن عبد الله ، عن أبی بصیر ، عن أبی عبد الله علیه السلام أنّه سئل عن السورة یصلّی بها الرجل فی الرکعتین من الفریضة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کانت ست آیات قرأ بالنصف منها فی الرکعة الأولی والنصف الآخر </w:t>
      </w:r>
      <w:bookmarkStart w:id="386" w:name="pg15037_163751"/>
    </w:p>
    <w:p>
      <w:pPr>
        <w:pStyle w:val="BookText"/>
        <w:rPr/>
      </w:pPr>
      <w:bookmarkEnd w:id="386"/>
      <w:r>
        <w:rPr>
          <w:rFonts w:ascii="IRNazanin" w:hAnsi="IRNazanin" w:eastAsia="IRNazanin"/>
          <w:color w:val="111111"/>
          <w:sz w:val="28"/>
          <w:sz w:val="28"/>
          <w:szCs w:val="28"/>
          <w:rtl w:val="true"/>
          <w:lang w:bidi="fa-IR"/>
        </w:rPr>
        <w:t xml:space="preserve">فی الرکعة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محمول علی حال التقیّة دون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محمّد بن أبی عمیر ، عن أبان بن عثمان ، عن إسماعیل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عبد الله أو أبو جعفر علیهماالسلام فقرأ بفاتحة الکتاب وآخر سورة المائدة فلما سلّم التفت إلینا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إنّی أردت أن أعلّمکم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البرقی ، عن سعد بن سعد الأشعری ،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قرأ فی رکعة الحمد ونصف سورة هل یجزؤه فی الثانیة أن لا یقرأ الحمد ویقرأ ما بقی من السورة؟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یقرأ الحمد ثم یقرأ ما بقی من السورة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النوافل دون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یدلّ علی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أحمد بن محمّد ، عن الحسن بن علی بن یقطین ، عن أخیه الحسین بن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تبعیض السورة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أکره ولا بأس به فی النافلة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السری ولم یتقدم الکلام فیه ، والموجود فی الرجال الحسن بن السری الأنباری یعرف بالکاتب مذکور مهملا فی رجال الصادق علیه السلام من کتاب الشیخ ، وفی رجال الباقر علیه السلام کذلک </w:t>
      </w:r>
      <w:r>
        <w:rPr>
          <w:rStyle w:val="FootnoteAnchor"/>
          <w:rtl w:val="true"/>
        </w:rPr>
        <w:footnoteReference w:id="492"/>
      </w:r>
      <w:r>
        <w:rPr>
          <w:rFonts w:ascii="IRNazanin" w:hAnsi="IRNazanin" w:eastAsia="IRNazanin"/>
          <w:color w:val="111111"/>
          <w:sz w:val="28"/>
          <w:sz w:val="28"/>
          <w:szCs w:val="28"/>
          <w:rtl w:val="true"/>
          <w:lang w:bidi="fa-IR"/>
        </w:rPr>
        <w:t>، وفی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7" w:name="__RefHeading___Toc347838_2142443653"/>
      <w:bookmarkStart w:id="388" w:name="_Toc150"/>
      <w:bookmarkEnd w:id="387"/>
      <w:r>
        <w:rPr>
          <w:rtl w:val="true"/>
        </w:rPr>
        <w:t>بحث حول الحسن بن السری</w:t>
      </w:r>
      <w:bookmarkEnd w:id="388"/>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السری الکاتب له کتاب ، وذکر أنّ الراوی عنه الحسن بن محبوب </w:t>
      </w:r>
      <w:r>
        <w:rPr>
          <w:rStyle w:val="FootnoteAnchor"/>
          <w:rtl w:val="true"/>
        </w:rPr>
        <w:footnoteReference w:id="493"/>
      </w:r>
      <w:r>
        <w:rPr>
          <w:rFonts w:ascii="IRNazanin" w:hAnsi="IRNazanin" w:eastAsia="IRNazanin"/>
          <w:color w:val="111111"/>
          <w:sz w:val="28"/>
          <w:sz w:val="28"/>
          <w:szCs w:val="28"/>
          <w:rtl w:val="true"/>
          <w:lang w:bidi="fa-IR"/>
        </w:rPr>
        <w:t xml:space="preserve">؛ وفی رجال الصادق علیه السلام من کتاب الشیخ الحسن ابن السری الکرخی مهملا </w:t>
      </w:r>
      <w:r>
        <w:rPr>
          <w:rStyle w:val="FootnoteAnchor"/>
          <w:rtl w:val="true"/>
        </w:rPr>
        <w:footnoteReference w:id="494"/>
      </w:r>
      <w:r>
        <w:rPr>
          <w:rFonts w:ascii="IRNazanin" w:hAnsi="IRNazanin" w:eastAsia="IRNazanin"/>
          <w:color w:val="111111"/>
          <w:sz w:val="28"/>
          <w:sz w:val="28"/>
          <w:szCs w:val="28"/>
          <w:rtl w:val="true"/>
          <w:lang w:bidi="fa-IR"/>
        </w:rPr>
        <w:t xml:space="preserve">، وفی النجاشی علی ما ذکره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 بعد أنّ نقل عن الخلاصة ما هذا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السری الکاتب الکرخی ثقة ، وأخوه علیّ ، رویا عن أبی عبد الله علیه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وزاد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عنه الحسن بن محبوب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کما تری یدل علی اتحاد الکاتب والکرخی ، ویؤیّد ما أسلفناه من أنّ الشیخ کثیرا مّا یذکر الرجل الواحد متعددا إذا رآه موصوفا بصفات مختلفة فلیکن الحکم ملحوظا فی مواضع ، وما ذکره الشیخ من وصف الأنباری ووصف الکرخی لا یخلو من نوع منافرة إلاّ أنّ الجمع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المنقول فی کتاب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بن السری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أنّی لم أجد فی النجاشی علیّا هذا ولا توثیقه إلاّ مع أخیه ، والعبارة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السری الکاتب الکرخی وأخوه علیّ رویا عن أبی عبد الله علیه السلام ، وظاهر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ثقتان رویا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یقتضیه توثیقهما علی ما فی الخلاصة ورجال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ظاهر العبارة فی علیّ یقتضی إسقاط ثقة ولعلّها من النسخة ؛ لأنّ تتمّة الکلام تفید ذلک</w:t>
      </w:r>
      <w:r>
        <w:rPr>
          <w:rFonts w:eastAsia="IRNazanin" w:cs="IRNazanin"/>
          <w:color w:val="111111"/>
          <w:sz w:val="28"/>
          <w:szCs w:val="28"/>
          <w:rtl w:val="true"/>
          <w:lang w:bidi="fa-IR"/>
        </w:rPr>
        <w:t xml:space="preserve">. </w:t>
      </w:r>
      <w:bookmarkStart w:id="389" w:name="pg15037_163753"/>
    </w:p>
    <w:p>
      <w:pPr>
        <w:pStyle w:val="BookText"/>
        <w:rPr/>
      </w:pPr>
      <w:bookmarkEnd w:id="389"/>
      <w:r>
        <w:rPr>
          <w:rFonts w:ascii="IRNazanin" w:hAnsi="IRNazanin" w:eastAsia="IRNazanin"/>
          <w:color w:val="111111"/>
          <w:sz w:val="28"/>
          <w:sz w:val="28"/>
          <w:szCs w:val="28"/>
          <w:rtl w:val="true"/>
          <w:lang w:bidi="fa-IR"/>
        </w:rPr>
        <w:t xml:space="preserve">ومن العجب ما وقع للعلاّمة فی الخلاصة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السری الکرخی روی عن أبی عبد الله علیه السلام ثقة قاله النجاشی وابن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الکشی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إسماعیل ثقة وهو علی بن السری فلقب إسماعیل بالسری ، ونصر بن الصباح ضعیف عندی لکن الاعتماد علی تعدیل النجاشی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بعد ملاحظة الکشی بما وقع من التوهم فی عبارته ، کما نبّه علیه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وتوثیق النجاشی کذلک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یاسین الضریر وحاله فی الرجال </w:t>
      </w:r>
      <w:r>
        <w:rPr>
          <w:rStyle w:val="FootnoteAnchor"/>
          <w:rtl w:val="true"/>
        </w:rPr>
        <w:footnoteReference w:id="498"/>
      </w:r>
      <w:r>
        <w:rPr>
          <w:rFonts w:ascii="IRNazanin" w:hAnsi="IRNazanin" w:eastAsia="IRNazanin"/>
          <w:color w:val="111111"/>
          <w:sz w:val="28"/>
          <w:sz w:val="28"/>
          <w:szCs w:val="28"/>
          <w:rtl w:val="true"/>
          <w:lang w:bidi="fa-IR"/>
        </w:rPr>
        <w:t xml:space="preserve">لا یزید علی الإهمال ، وأبو بصیر تکرّر القول فیه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 رجاله بعد ما قدّمناه </w:t>
      </w:r>
      <w:r>
        <w:rPr>
          <w:rStyle w:val="FootnoteAnchor"/>
          <w:rtl w:val="true"/>
        </w:rPr>
        <w:footnoteReference w:id="500"/>
      </w:r>
      <w:r>
        <w:rPr>
          <w:rFonts w:ascii="IRNazanin" w:hAnsi="IRNazanin" w:eastAsia="IRNazanin"/>
          <w:color w:val="111111"/>
          <w:sz w:val="28"/>
          <w:sz w:val="28"/>
          <w:szCs w:val="28"/>
          <w:rtl w:val="true"/>
          <w:lang w:bidi="fa-IR"/>
        </w:rPr>
        <w:t xml:space="preserve">فی أبان ، وإسماعیل بن الفضل لیس فی الرجال غیر الهاشمی الثقة </w:t>
      </w:r>
      <w:r>
        <w:rPr>
          <w:rStyle w:val="FootnoteAnchor"/>
          <w:rtl w:val="true"/>
        </w:rPr>
        <w:footnoteReference w:id="501"/>
      </w:r>
      <w:r>
        <w:rPr>
          <w:rFonts w:ascii="IRNazanin" w:hAnsi="IRNazanin" w:eastAsia="IRNazanin"/>
          <w:color w:val="111111"/>
          <w:sz w:val="28"/>
          <w:sz w:val="28"/>
          <w:szCs w:val="28"/>
          <w:rtl w:val="true"/>
          <w:lang w:bidi="fa-IR"/>
        </w:rPr>
        <w:t>، فتعیّن کونه إیّاه علی الظاهر ، واحتمال جهالته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البرقی ، وهو علی الظاهر محمّد بن خالد ، لروایة أحمد بن محمّد بن عیسی عنه فی الرجال </w:t>
      </w:r>
      <w:r>
        <w:rPr>
          <w:rStyle w:val="FootnoteAnchor"/>
          <w:rtl w:val="true"/>
        </w:rPr>
        <w:footnoteReference w:id="502"/>
      </w:r>
      <w:r>
        <w:rPr>
          <w:rFonts w:ascii="IRNazanin" w:hAnsi="IRNazanin" w:eastAsia="IRNazanin"/>
          <w:color w:val="111111"/>
          <w:sz w:val="28"/>
          <w:sz w:val="28"/>
          <w:szCs w:val="28"/>
          <w:rtl w:val="true"/>
          <w:lang w:bidi="fa-IR"/>
        </w:rPr>
        <w:t xml:space="preserve">، وفیه کلام مضی </w:t>
      </w:r>
      <w:r>
        <w:rPr>
          <w:rStyle w:val="FootnoteAnchor"/>
          <w:rtl w:val="true"/>
        </w:rPr>
        <w:footnoteReference w:id="503"/>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الرجال</w:t>
      </w:r>
      <w:r>
        <w:rPr>
          <w:rFonts w:eastAsia="IRNazanin" w:cs="IRNazanin"/>
          <w:color w:val="111111"/>
          <w:sz w:val="28"/>
          <w:szCs w:val="28"/>
          <w:rtl w:val="true"/>
          <w:lang w:bidi="fa-IR"/>
        </w:rPr>
        <w:t>.</w:t>
      </w:r>
    </w:p>
    <w:p>
      <w:pPr>
        <w:pStyle w:val="Heading4"/>
        <w:numPr>
          <w:ilvl w:val="3"/>
          <w:numId w:val="1"/>
        </w:numPr>
        <w:rPr/>
      </w:pPr>
      <w:bookmarkStart w:id="390" w:name="__RefHeading___Toc347840_2142443653"/>
      <w:bookmarkStart w:id="391" w:name="_Toc151"/>
      <w:bookmarkEnd w:id="390"/>
      <w:r>
        <w:rPr>
          <w:rtl w:val="true"/>
        </w:rPr>
        <w:t>یاسین الضریر مهمل</w:t>
      </w:r>
      <w:bookmarkEnd w:id="39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2" w:name="__RefHeading___Toc347842_2142443653"/>
      <w:bookmarkStart w:id="393" w:name="_Toc152"/>
      <w:bookmarkEnd w:id="392"/>
      <w:r>
        <w:rPr>
          <w:rtl w:val="true"/>
        </w:rPr>
        <w:t>إسماعیل بن الفضل هو الهاشمی الثقة</w:t>
      </w:r>
      <w:bookmarkStart w:id="394" w:name="pg15037_163754"/>
      <w:bookmarkEnd w:id="393"/>
    </w:p>
    <w:p>
      <w:pPr>
        <w:pStyle w:val="BookText"/>
        <w:rPr/>
      </w:pPr>
      <w:bookmarkEnd w:id="394"/>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فی المختلف فیه نحو ما قاله الشیخ فیه ، إلاّ أنّ العلاّمة بعد ذکر احتمال تکرار السورة الواحدة فی الرکعتین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الأفضل قراءة إنّا أنزلناه فی الرکعة الاولی والتوحید فی الثانیة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بالواحدة فیهما ؛ لما رواه علی بن جعفر ، وذکر الروایة الثانیة </w:t>
      </w:r>
      <w:r>
        <w:rPr>
          <w:rStyle w:val="FootnoteAnchor"/>
          <w:rtl w:val="true"/>
        </w:rPr>
        <w:footnoteReference w:id="504"/>
      </w:r>
      <w:r>
        <w:rPr>
          <w:rFonts w:ascii="IRNazanin" w:hAnsi="IRNazanin" w:eastAsia="IRNazanin"/>
          <w:color w:val="111111"/>
          <w:sz w:val="28"/>
          <w:sz w:val="28"/>
          <w:szCs w:val="28"/>
          <w:rtl w:val="true"/>
          <w:lang w:bidi="fa-IR"/>
        </w:rPr>
        <w:t>، والشیخ کما تری حملها علی ما إذا لم یحسن غیرها ، فأمّا إذا أحسن غیرها فإنّه یکره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حمل الشیخ أولی من حمل العلاّمة ؛ لأنّ مقتضی الروایة نفی البأس إذا کانت السورة أکثر من ثلاث آیات ، وحینئذ لو أُرید نفی البأس بالنسبة إلی الأفضل کما ذکره العلاّمة ینبغی أن یکون الجواب من دون هذا الشرط ، إذ منطوقه أنّ تکرار السورة فی الرکعتین إذا کانت أکثر لا بأس به ، ولو کان المراد أنّ السورتین المذکورتین فی کلام العلاّمة أفضل لکان ما عداهما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واستدلال العلاّمة بروایة علی بن جعفر لا یطابق مطلوبه ، وقد یمکن التسدید بتکلّف ، وحمل الشیخ کما تری یوافقه روایة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فی قوله علیه السلام فی روایة علی بن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التحریم ، فالحمل علی الکراهة مشکل ، 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معلومیّة القائل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تضمّنته الروایة الاولی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أکثر من ثلاث</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5" w:name="__RefHeading___Toc347844_2142443653"/>
      <w:bookmarkStart w:id="396" w:name="_Toc153"/>
      <w:bookmarkEnd w:id="395"/>
      <w:r>
        <w:rPr>
          <w:rtl w:val="true"/>
        </w:rPr>
        <w:t>توجیه ما دل علی جواز تکرار السورة فی الرکعتین من الفریضة إذا کانت أکثر من ثلاث آیات</w:t>
      </w:r>
      <w:bookmarkEnd w:id="396"/>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قیل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بظاهره یقتضی خروج البسملة من السورة ؛ إذ لیس فی السور ما یکون مع البسملة ثلاث آیات ، فإنّ أقصر سورة سورة الکوثر ، وهی مع البسملة أربع ، والإجماع انعقد علی أنّها جزء من کل 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المراد بالسورة ما عدا البسملة من قبیل تسمیة الجزء باسم الکل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الخبر علی وجود سورة ثلاث آیات إنّما هو بالمفهوم ، ودلالة المفهوم قد تترک للامتناع ، کما قرّروه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تُکْرِهُوا فَتَیاتِکُمْ عَلَی الْبِغاءِ إِنْ أَرَدْنَ تَحَصُّناً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أن تکون فائدة ذکر الثلاث آیات للتنبیه علی أنّ تکرار جمیع السور جائز ، لکن العبارة غامضة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ولشیخنا الشهید فی الذکری کلام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لو کان واردا فی تکریر السورة فی الرکعتین لم یکن للتقیید بزیادتها علی الثلاث فائدة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لا یخلو من وجه ، بل لا یبعد ظهور الخبر فی التبعیض من حیث دلالة روایة أبی بصیر الآتیة </w:t>
      </w:r>
      <w:r>
        <w:rPr>
          <w:rStyle w:val="FootnoteAnchor"/>
          <w:rtl w:val="true"/>
        </w:rPr>
        <w:footnoteReference w:id="509"/>
      </w:r>
      <w:r>
        <w:rPr>
          <w:rFonts w:ascii="IRNazanin" w:hAnsi="IRNazanin" w:eastAsia="IRNazanin"/>
          <w:color w:val="111111"/>
          <w:sz w:val="28"/>
          <w:sz w:val="28"/>
          <w:szCs w:val="28"/>
          <w:rtl w:val="true"/>
          <w:lang w:bidi="fa-IR"/>
        </w:rPr>
        <w:t>علی تقسیم الستّ آیات صریحا ، وهذا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علی بن جعفر لا تأبی ذلک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خبر إسماعیل بن الفضل ففی دلالته علی التقیّة کما ذکر الشیخ </w:t>
      </w:r>
    </w:p>
    <w:p>
      <w:pPr>
        <w:pStyle w:val="BookText"/>
        <w:rPr/>
      </w:pPr>
      <w:r>
        <w:rPr>
          <w:rFonts w:ascii="IRNazanin" w:hAnsi="IRNazanin" w:eastAsia="IRNazanin"/>
          <w:color w:val="111111"/>
          <w:sz w:val="28"/>
          <w:sz w:val="28"/>
          <w:szCs w:val="28"/>
          <w:rtl w:val="true"/>
          <w:lang w:bidi="fa-IR"/>
        </w:rPr>
        <w:t xml:space="preserve">تأمّل ؛ لاحتمال أن یکون علیه السلام أراد تعلیمهم الجواز ، واحتمال الإعلام بحضور من یتّقی یشکل بأنّ الظاهر عدم حصول الفائدة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حصولها لا یضرّ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الشیخ فی توجیه خبر سعد بن سعد فی غایة البعد ، والروایة المستدل بها علی الحمل ظاهرة فی الکراهة بالنسبة إلی الفریضة ، إلاّ أن تحمل الکراهة علی التحریم ، وللشیخ فی هذا اضطراب کما یعرفه من اطّلع علی کتابیه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العلاّمة فی موضع من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 یحضرنی الآن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الکراهة قد یراد بها المعنی الأُصولی وقد یراد بها معنی یتناول التحریم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من الخبر الکراهة الأُصولیّة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شی‌ء وهو أنّ الشیخ کما تری جعل تکرار السورة الواحدة مکروها مع إحسان غیرها ، وخبر حمّاد المشهور اقتضی أنّه علیه السلام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الرکعتین </w:t>
      </w:r>
      <w:r>
        <w:rPr>
          <w:rStyle w:val="FootnoteAnchor"/>
          <w:rtl w:val="true"/>
        </w:rPr>
        <w:footnoteReference w:id="511"/>
      </w:r>
      <w:r>
        <w:rPr>
          <w:rFonts w:ascii="IRNazanin" w:hAnsi="IRNazanin" w:eastAsia="IRNazanin"/>
          <w:color w:val="111111"/>
          <w:sz w:val="28"/>
          <w:sz w:val="28"/>
          <w:szCs w:val="28"/>
          <w:rtl w:val="true"/>
          <w:lang w:bidi="fa-IR"/>
        </w:rPr>
        <w:t xml:space="preserve">، والظاهر من الخبر أنّه علیه السلام أراد بیان الصلاة الکاملة ، فلا بدّ أن یقال باستثناء سورة الإخلاص من التکرار المکروه ، فما ذکره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أفضلیّة إنّا أنزلناه فی الاولی والإخلاص فی الثانیة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تأمّل ، وإن کان فی الأخبار ما یقتضیه ، إلاّ أنّ خبر حمّاد أسلم سندا فیما أظن ، 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خبر حمّاد فی النافلة فیختص بها ، فیه ما لا یخفی</w:t>
      </w:r>
      <w:r>
        <w:rPr>
          <w:rFonts w:eastAsia="IRNazanin" w:cs="IRNazanin"/>
          <w:color w:val="111111"/>
          <w:sz w:val="28"/>
          <w:szCs w:val="28"/>
          <w:rtl w:val="true"/>
          <w:lang w:bidi="fa-IR"/>
        </w:rPr>
        <w:t xml:space="preserve">. </w:t>
      </w:r>
      <w:bookmarkStart w:id="397" w:name="pg15037_163757"/>
    </w:p>
    <w:p>
      <w:pPr>
        <w:pStyle w:val="BookText"/>
        <w:rPr/>
      </w:pPr>
      <w:bookmarkEnd w:id="39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القران بین السورتین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 عن أحمد بن محمّد ، عن أبیه ، عن الحسین ابن الحسن بن أبان ، عن الحسین بن سعید ، عن الهروی </w:t>
      </w:r>
      <w:r>
        <w:rPr>
          <w:rStyle w:val="FootnoteAnchor"/>
          <w:rtl w:val="true"/>
        </w:rPr>
        <w:footnoteReference w:id="513"/>
      </w:r>
      <w:r>
        <w:rPr>
          <w:rFonts w:ascii="IRNazanin" w:hAnsi="IRNazanin" w:eastAsia="IRNazanin"/>
          <w:color w:val="111111"/>
          <w:sz w:val="28"/>
          <w:sz w:val="28"/>
          <w:szCs w:val="28"/>
          <w:rtl w:val="true"/>
          <w:lang w:bidi="fa-IR"/>
        </w:rPr>
        <w:t xml:space="preserve">، عن أبان ،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 سورتین فی رکعة؟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کل سورة حقّها من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فی الفریضة فأمّا فی النافلة فلیس به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محمّد بن الحسین ، عن صفوان ، عن عبد الله بن بکیر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یکره أن یجمع بین السورتین فی الفریضة فأمّا النافلة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الحسن بن علی بن یقطین ، عن أخیه الحسین ، عن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القران بین السورتین فی المکتوبة والنافلة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ضرب من الرخصة ، وإن کان الأفضل ما قدّمناه ؛ لأنّ القران بین السورتین لیس ممّا یفسد الصلاة وقد جاءت الروایات صریحة بالکراهیّة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الهروی علی ما وجدته من نسخه الآن ، وفی التهذیب القروی </w:t>
      </w:r>
      <w:r>
        <w:rPr>
          <w:rStyle w:val="FootnoteAnchor"/>
          <w:rtl w:val="true"/>
        </w:rPr>
        <w:footnoteReference w:id="514"/>
      </w:r>
      <w:r>
        <w:rPr>
          <w:rFonts w:ascii="IRNazanin" w:hAnsi="IRNazanin" w:eastAsia="IRNazanin"/>
          <w:color w:val="111111"/>
          <w:sz w:val="28"/>
          <w:sz w:val="28"/>
          <w:szCs w:val="28"/>
          <w:rtl w:val="true"/>
          <w:lang w:bidi="fa-IR"/>
        </w:rPr>
        <w:t xml:space="preserve">فی نسخة معتبرة ، وفی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w:t>
      </w:r>
    </w:p>
    <w:p>
      <w:pPr>
        <w:pStyle w:val="Heading3"/>
        <w:numPr>
          <w:ilvl w:val="2"/>
          <w:numId w:val="1"/>
        </w:numPr>
        <w:rPr/>
      </w:pPr>
      <w:bookmarkStart w:id="398" w:name="__RefHeading___Toc347846_2142443653"/>
      <w:bookmarkStart w:id="399" w:name="_Toc154"/>
      <w:bookmarkEnd w:id="398"/>
      <w:r>
        <w:rPr>
          <w:rtl w:val="true"/>
        </w:rPr>
        <w:t>القران بین السورتین</w:t>
      </w:r>
      <w:bookmarkEnd w:id="39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0" w:name="__RefHeading___Toc347848_2142443653"/>
      <w:bookmarkStart w:id="401" w:name="_Toc155"/>
      <w:bookmarkEnd w:id="400"/>
      <w:r>
        <w:rPr>
          <w:rtl w:val="true"/>
        </w:rPr>
        <w:t>بحث حول الهروی عبدالسلام بن صالح</w:t>
      </w:r>
      <w:bookmarkEnd w:id="401"/>
    </w:p>
    <w:p>
      <w:pPr>
        <w:pStyle w:val="BookText"/>
        <w:rPr/>
      </w:pPr>
      <w:r>
        <w:rPr>
          <w:rFonts w:ascii="IRNazanin" w:hAnsi="IRNazanin" w:eastAsia="IRNazanin"/>
          <w:color w:val="111111"/>
          <w:sz w:val="28"/>
          <w:sz w:val="28"/>
          <w:szCs w:val="28"/>
          <w:rtl w:val="true"/>
          <w:lang w:bidi="fa-IR"/>
        </w:rPr>
        <w:t xml:space="preserve">الهروی من أصحاب الرضا علیه السلام </w:t>
      </w:r>
      <w:r>
        <w:rPr>
          <w:rStyle w:val="FootnoteAnchor"/>
          <w:rtl w:val="true"/>
        </w:rPr>
        <w:footnoteReference w:id="515"/>
      </w:r>
      <w:r>
        <w:rPr>
          <w:rFonts w:ascii="IRNazanin" w:hAnsi="IRNazanin" w:eastAsia="IRNazanin"/>
          <w:color w:val="111111"/>
          <w:sz w:val="28"/>
          <w:sz w:val="28"/>
          <w:szCs w:val="28"/>
          <w:rtl w:val="true"/>
          <w:lang w:bidi="fa-IR"/>
        </w:rPr>
        <w:t xml:space="preserve">، وله مناسبة ؛ لروایة الحسین بن سعید عنه ، وعبد السلام المذکور قال العلاّمة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صحیح الحدیث </w:t>
      </w:r>
      <w:r>
        <w:rPr>
          <w:rStyle w:val="FootnoteAnchor"/>
          <w:rtl w:val="true"/>
        </w:rPr>
        <w:footnoteReference w:id="516"/>
      </w:r>
      <w:r>
        <w:rPr>
          <w:rFonts w:ascii="IRNazanin" w:hAnsi="IRNazanin" w:eastAsia="IRNazanin"/>
          <w:color w:val="111111"/>
          <w:sz w:val="28"/>
          <w:sz w:val="28"/>
          <w:szCs w:val="28"/>
          <w:rtl w:val="true"/>
          <w:lang w:bidi="fa-IR"/>
        </w:rPr>
        <w:t xml:space="preserve">؛ وفی فوائد جدّی قدس سره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لفظ النجاشی تبعه علیه المصنف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حکی قدس سره عن الشیخ أنّه ذکر فی کتابه أنّه عامیّ ، وتبعه علی ذلک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الکنی بعبارة یظهر منها أنّ العامی غیر هذا ، ثم قال قدس سره والظاهر أنّهما واحد ثقة عند المخالف والمؤالف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نجد </w:t>
      </w:r>
      <w:r>
        <w:rPr>
          <w:rStyle w:val="FootnoteAnchor"/>
          <w:rtl w:val="true"/>
        </w:rPr>
        <w:footnoteReference w:id="518"/>
      </w:r>
      <w:r>
        <w:rPr>
          <w:rFonts w:ascii="IRNazanin" w:hAnsi="IRNazanin" w:eastAsia="IRNazanin"/>
          <w:color w:val="111111"/>
          <w:sz w:val="28"/>
          <w:sz w:val="28"/>
          <w:szCs w:val="28"/>
          <w:rtl w:val="true"/>
          <w:lang w:bidi="fa-IR"/>
        </w:rPr>
        <w:t>ما ذکره قدس سره فی کتاب الشیخ ، والظاهر أنّ النقل من کتاب ابن طاوس ، وفیه أوهام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ولبعض فضلاء المتأخّرین کلام فی المقام ،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التصریح بکونه صحیح الحدیث یقتضی الجزم بکونه إمامیّا ؛ لأنّ الصحیح ما یرویه العدل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دفع هذا بأنّ تعریف الصحیح المذکور اصطلاح للمتأخّرین ، والمتقدّمون علی خلاف هذا ، وقد مضی القول فی ذلک مفصّلا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الصدوق روی فی کتاب کمال الدین روایة ، عن علی بن إبراهیم ، عن أبیه ، عن عبد السلام بن صالح الهروی </w:t>
      </w:r>
      <w:r>
        <w:rPr>
          <w:rStyle w:val="FootnoteAnchor"/>
          <w:rtl w:val="true"/>
        </w:rPr>
        <w:footnoteReference w:id="519"/>
      </w:r>
      <w:r>
        <w:rPr>
          <w:rFonts w:ascii="IRNazanin" w:hAnsi="IRNazanin" w:eastAsia="IRNazanin"/>
          <w:color w:val="111111"/>
          <w:sz w:val="28"/>
          <w:sz w:val="28"/>
          <w:szCs w:val="28"/>
          <w:rtl w:val="true"/>
          <w:lang w:bidi="fa-IR"/>
        </w:rPr>
        <w:t xml:space="preserve">، وهذا یدل </w:t>
      </w:r>
    </w:p>
    <w:p>
      <w:pPr>
        <w:pStyle w:val="BookText"/>
        <w:rPr/>
      </w:pPr>
      <w:r>
        <w:rPr>
          <w:rFonts w:ascii="IRNazanin" w:hAnsi="IRNazanin" w:eastAsia="IRNazanin"/>
          <w:color w:val="111111"/>
          <w:sz w:val="28"/>
          <w:sz w:val="28"/>
          <w:szCs w:val="28"/>
          <w:rtl w:val="true"/>
          <w:lang w:bidi="fa-IR"/>
        </w:rPr>
        <w:t>علی أنّ المذکور هنا لیس فی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عنه واضح ؛ لأنّ إبراهیم بن هاشم مذکور فی أصحاب الرضا علیه السلام ، وما وقع فی النجاشی بعد حکایته عن الکشی القول بأنّه من أصحاب الرضا علیه السلام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وجهه فی کتاب معاهد 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کون النظر لا من جهة أنّه من أصحاب الرضا علیه السلام ، بل لکونه تلمیذ یونس بن عبد الرحمن ؛ فإنّ الکشی ذکر أنّه تلمیذ یونس بن عبد الرحمن من أصحاب الرضا علیه السلام ، وإن کان الحق أنّ احتمال کون النظر لیس من جهة یونس ، لا یخلو من وجه ؛ لما ذکره النجاشی فی ترجمة محمّد بن علی بن إبراهیم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إبراهیم بن هاشم یروی عن إبراهیم بن محمّد الهمدانی عن الرضا علیه السلام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احتمال الروایة بواسطة تارة وبعدمها أُخری فی حیّز الإمکان ، إلاّ أنّ ظاهر عبارة النجاشی خلاف هذا فی الترجمة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الاعتماد علی هذا فالتصریح بأنّ عبد السلام من أصحاب الرضا علیه السلام لا یمنع من روایة إبراهیم بن هاشم عنه وإن لم یکن من أصحاب الرضا علیه السلام ، فلیتأمّل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الروایة المنقولة عن کمال الدین تضمنت إیمان عبد السلام ، إلاّ أنّ الشهادة منه لنفسه ؛ لأنّ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أعنی عبد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إلی باب الدار التی حبس فیها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فدخلت إلیه ، وحکی کلاما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عبد السلام أمنکر أنت لما أوجب الله عزّ وجلّ لنا من الولایة کما ینکره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w:t>
      </w:r>
      <w:bookmarkStart w:id="402" w:name="pg15037_163760"/>
    </w:p>
    <w:p>
      <w:pPr>
        <w:pStyle w:val="BookText"/>
        <w:rPr/>
      </w:pPr>
      <w:bookmarkEnd w:id="402"/>
      <w:r>
        <w:rPr>
          <w:rFonts w:ascii="IRNazanin" w:hAnsi="IRNazanin" w:eastAsia="IRNazanin"/>
          <w:color w:val="111111"/>
          <w:sz w:val="28"/>
          <w:sz w:val="28"/>
          <w:szCs w:val="28"/>
          <w:rtl w:val="true"/>
          <w:lang w:bidi="fa-IR"/>
        </w:rPr>
        <w:t xml:space="preserve">الله بل أنا مقرّ بولایتکم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وإن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ما فیه </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 إلاّ أنّ اعترافه بما ذکر کاف فی إیمانه ، والطریق إلیه حسن ، فما ذکره جدّی قدس سره نقلا عن الشیخ من کونه عامیّا </w:t>
      </w:r>
      <w:r>
        <w:rPr>
          <w:rStyle w:val="FootnoteAnchor"/>
          <w:rtl w:val="true"/>
        </w:rPr>
        <w:footnoteReference w:id="524"/>
      </w:r>
      <w:r>
        <w:rPr>
          <w:rFonts w:ascii="IRNazanin" w:hAnsi="IRNazanin" w:eastAsia="IRNazanin"/>
          <w:color w:val="111111"/>
          <w:sz w:val="28"/>
          <w:sz w:val="28"/>
          <w:szCs w:val="28"/>
          <w:rtl w:val="true"/>
          <w:lang w:bidi="fa-IR"/>
        </w:rPr>
        <w:t>ربّما یندفع بهذا ، فلیتأمّل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أنّی وقفت بعد ما ذکرته علی روایة من الشیخ فی باب صلاة العیدین وفیها تصریح بروایة الحسین بن سعید عن أحمد بن عبد الله القروی عن أبان </w:t>
      </w:r>
      <w:r>
        <w:rPr>
          <w:rStyle w:val="FootnoteAnchor"/>
          <w:rtl w:val="true"/>
        </w:rPr>
        <w:footnoteReference w:id="525"/>
      </w:r>
      <w:r>
        <w:rPr>
          <w:rFonts w:ascii="IRNazanin" w:hAnsi="IRNazanin" w:eastAsia="IRNazanin"/>
          <w:color w:val="111111"/>
          <w:sz w:val="28"/>
          <w:sz w:val="28"/>
          <w:szCs w:val="28"/>
          <w:rtl w:val="true"/>
          <w:lang w:bidi="fa-IR"/>
        </w:rPr>
        <w:t>، وحینئذ یتعیّن أن یکون الموجود هنا هو القروی ، ونسخة الهروی تصحیف ، والمذکور فیما یأتی مجهول الحال ، لأنّی لم أقف علیه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الله بن بکیر ، وقد مضی القول فیه مفصّلا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دلالة صدره علی أنّ القران بین السورتین جائز علی الإطلاق ، إلاّ أنّ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یقال ، محتمل لأن یکون مراده أنّ إطلاق الجواب بالجواز یقتضی نوع منافرة للأمر بإعطاء کل سورة حقها علی سبیل الاستحباب ، کما یحتمل أن یکون علی سبیل الوجوب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3" w:name="__RefHeading___Toc347850_2142443653"/>
      <w:bookmarkStart w:id="404" w:name="_Toc156"/>
      <w:bookmarkEnd w:id="403"/>
      <w:r>
        <w:rPr>
          <w:rtl w:val="true"/>
        </w:rPr>
        <w:t>بیان ما دل علی جواز القران فی النافلة وعدم جوازه فی الفریضة والجمع بینه وبین ما دل علی الکراهة فی الفریضة</w:t>
      </w:r>
      <w:bookmarkEnd w:id="404"/>
    </w:p>
    <w:p>
      <w:pPr>
        <w:pStyle w:val="BookText"/>
        <w:rPr/>
      </w:pPr>
      <w:r>
        <w:rPr>
          <w:rFonts w:ascii="IRNazanin" w:hAnsi="IRNazanin" w:eastAsia="IRNazanin"/>
          <w:color w:val="111111"/>
          <w:sz w:val="28"/>
          <w:sz w:val="28"/>
          <w:szCs w:val="28"/>
          <w:rtl w:val="true"/>
          <w:lang w:bidi="fa-IR"/>
        </w:rPr>
        <w:t xml:space="preserve">وعلی التقدیرین قد یشکل الإطلاق فی الجواب أوّلا ، کما یشکل الجواب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ذاک فی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إطلاق التجویز فی الجواب الأوّل ملائمته للتفصیل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یکون السائل فهم الإطلاق ثم سأل عن وجه الجمع بین الجواز وبین ذاک الدال علی الرجحان ، فأزاح علیه السلام الریبة بالفرق بین الفرض والنفل ، ولعلّه علیه السلام لمّا علم أنّ السائل یستفصل عن الأمرین أجمل فی الأوّل ، وعلی کل حال فذکر الشیخ الروایة فی الأوّل مع ظاهر دلالتها علی وجوب إعطاء کل سورة حقّها الدال علی تحریم القران ، مع ادّعائه دلالة الثانیة علی الکراهة ، لا یخلو من تأمّل ؛ لأنّ الکراهة فی الأخبار تستعمل بمعنی التحریم بکثرة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دلالة الخبر الأوّل علی التحریم یحمل الثانی علیه ، بجواز استعمال الکراهة فیه ، ولو کان الأوّل صریحا فی عدم التحریم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الکراهة مشترکة فی الأخبار بین التحریم والکراهة ، ومع الاشتراک لا ینافی الخبر الأوّل الدال علی الجواز </w:t>
      </w:r>
      <w:r>
        <w:rPr>
          <w:rStyle w:val="FootnoteAnchor"/>
          <w:rtl w:val="true"/>
        </w:rPr>
        <w:footnoteReference w:id="527"/>
      </w:r>
      <w:r>
        <w:rPr>
          <w:rFonts w:ascii="IRNazanin" w:hAnsi="IRNazanin" w:eastAsia="IRNazanin"/>
          <w:color w:val="111111"/>
          <w:sz w:val="28"/>
          <w:sz w:val="28"/>
          <w:szCs w:val="28"/>
          <w:rtl w:val="true"/>
          <w:lang w:bidi="fa-IR"/>
        </w:rPr>
        <w:t xml:space="preserve">،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الأوّل فی حیّز الإجمال بسبب ما قدّمناه من الاحتمال ، فیبقی الخبر الثانی صالحا للکراهة ، لا أنّه صریح کما قاله الشیخ ، فإنّ الصراحة ینافیها استعمال الکراهة فی التحریم ، وبالجملة فالمقام واسع البحث ، وقد ذکرت فی حاشیة التهذیب ما لا بدّ منه أیضا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أنه ینبغی أن یعلم أنّ الشیخ فی زیادات التهذیب روی الثالث بزیادة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تبعیض السورة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أکره </w:t>
      </w:r>
    </w:p>
    <w:p>
      <w:pPr>
        <w:pStyle w:val="BookText"/>
        <w:rPr/>
      </w:pPr>
      <w:r>
        <w:rPr>
          <w:rFonts w:ascii="IRNazanin" w:hAnsi="IRNazanin" w:eastAsia="IRNazanin"/>
          <w:color w:val="111111"/>
          <w:sz w:val="28"/>
          <w:sz w:val="28"/>
          <w:szCs w:val="28"/>
          <w:rtl w:val="true"/>
          <w:lang w:bidi="fa-IR"/>
        </w:rPr>
        <w:t xml:space="preserve">ولا بأس به فی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الرکعتین اللتین یصمت فیهما الإمام أیقرأ فیهما بالحمد وهو إمام یقتدی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قرأت فلا بأس وإن سکتّ فلا بأس </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رحمه الله فی التهذیب قال بعد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بالقران بین السورتین فی المکتوبة ، محمول علی أنّه إذا کان إحدی السورتین الحمد ، ولیس فی الظاهر أنّه لا بأس بقراءتهما بعد الحمد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من الشیخ رحمه الله غریب وقد حمل الخبر هنا کما تری علی الرخصة وأنّ الأفضل عدم القران ، وأنت خبیر بدلالة الکلام علی أنّ فی الروایة الاولی لا بدّ من التوجیه السابق ، ولولاه لکانت الروایة فی غایة الإجمال ، وقد ذکرت فی کتاب معاهد التنبیه ما یتوجه فی المقام بعد الزیادة التی فی التهذیب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الشیخ یظهر منه عدم القول بجواز التبعیض فی الفرض ، بل یظهر من بعض الأصحاب نفی القول به </w:t>
      </w:r>
      <w:r>
        <w:rPr>
          <w:rStyle w:val="FootnoteAnchor"/>
          <w:rtl w:val="true"/>
        </w:rPr>
        <w:footnoteReference w:id="530"/>
      </w:r>
      <w:r>
        <w:rPr>
          <w:rFonts w:ascii="IRNazanin" w:hAnsi="IRNazanin" w:eastAsia="IRNazanin"/>
          <w:color w:val="111111"/>
          <w:sz w:val="28"/>
          <w:sz w:val="28"/>
          <w:szCs w:val="28"/>
          <w:rtl w:val="true"/>
          <w:lang w:bidi="fa-IR"/>
        </w:rPr>
        <w:t xml:space="preserve">، وحینئذ فما تضمنته الروایة من الزیادة فی جواب السؤال عن التبعیض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حمله علی التحریم ، وإذا حمل علیه یستبعد حمل الکراهة فی أوّله علی غیر التحریم ، فقول الشیخ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الروایات جاءت صریحة بالکراهة ، لا یخلو من تأمّل ، إلاّ أنّ الأمر ربّما یسهل علی تقدیر عدم تحقّق الإجماع علی نفی التبعیض ، وبتقدیر الثبوت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مانع من استعمال الکراهة فی خبر واحد تارة بمعنی التحریم للمعارض ، وتارة لغیره ، إلاّ أنّ </w:t>
      </w:r>
      <w:bookmarkStart w:id="405" w:name="pg15037_163763"/>
    </w:p>
    <w:p>
      <w:pPr>
        <w:pStyle w:val="BookText"/>
        <w:rPr/>
      </w:pPr>
      <w:bookmarkEnd w:id="405"/>
      <w:r>
        <w:rPr>
          <w:rFonts w:ascii="IRNazanin" w:hAnsi="IRNazanin" w:eastAsia="IRNazanin"/>
          <w:color w:val="111111"/>
          <w:sz w:val="28"/>
          <w:sz w:val="28"/>
          <w:szCs w:val="28"/>
          <w:rtl w:val="true"/>
          <w:lang w:bidi="fa-IR"/>
        </w:rPr>
        <w:t>الحق عدم الصراحة کما قاله الشیخ ، فإنّ تتبع الأخبار یقتضی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فاعلم أنّ القِران فی المکتوبة علی تقدیر التحریم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مفسد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واحتج علیه فی المختلف بأنّ القارن بین السورتین غیر آت بالمأمور به علی وجهه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وناقشه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بتحقّق الامتثال بقراءة الواحدة ، والثانیة خارجة عن الصلاة ، فالنهی لا یستلزم الفساد کالنظر إلی الأجنبیّة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القران إن وقع فی أوّل القصد علی معنی فعل السورتین بقصد القران من ابتداء القراءة للسورة فالنهی واضح الاستلزام للفساد ؛ إذ الواحدة هی المأمور بها ولم یأت بها ، وکونها فی جملة الثنتین غیر کونها مأمورا بها ؛ إذ المعیّة تنافی الوحدة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الوحدة غیر معتبر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اعتبار قصد الواحدة مسلّم ، أمّا قصد عدمها فعدم اعتباره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قصد القران بعد الفراغ من السورة أمکن الحکم بالصحة وعدمها ، کما ذکرته فی محل آخر من حواشی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کیفیّة متلقّاة من الشارع ، وکل ما خالف المنقول یقتضی عدم الامتثال ، فلیتأمّل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6" w:name="__RefHeading___Toc347852_2142443653"/>
      <w:bookmarkStart w:id="407" w:name="_Toc157"/>
      <w:bookmarkEnd w:id="406"/>
      <w:r>
        <w:rPr>
          <w:rtl w:val="true"/>
        </w:rPr>
        <w:t>هل القرآن علی تقدیر التحریم مفسد؟</w:t>
      </w:r>
      <w:bookmarkEnd w:id="40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فضالة ، عن العلاء 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أبو عبد الله علیه السلام الفجر فقرأ والضحی وأ لم نشرح فی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ینافی ما قدّمناه من کراهیّة القران بین السورتین ؛ لأنّ هاتین السورتین سورة واحدة عند آل محمّد علیهم السلام وینبغی أن یقرأهما موضعا واحدا ولا یفصل بینهما ببسم الله الرّحمن الرّحیم فی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هذا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أحمد بن محمّد ، عن الحسین ، عن فضالة ، عن الحسین ، عن ابن مسکان ، 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أبو عبد الله علیه السلام فقرأ بنا الضحی وأ لم نشرح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لیس فی هذا الخبر أنّه قرأهما فی رکعة أو رکعتین ، فإذا کان هذا الراوی بعینه قد روی هذا الحکم بعینه وبیّن أنّه قرأهما فی رکعة واحدة فحملُ هذه الروایة المطلقة علی ما یطابق ذاک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أحمد بن محمّد ، عن ابن أبی عمیر ، عن بعض أصحابنا ، 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أبو عبد الله علیه السلام فقرأ فی الأُولی الضحی وفی الثانیة ألم نشرح</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الروایة وإن تضمّنت أنّه قرأهما فی رکعتین فلیس فیها أنّه قرأهما فی الفریضة أو النافلة ، ویجوز أن یکون قرأهما فی رکعتین من </w:t>
      </w:r>
      <w:bookmarkStart w:id="408" w:name="pg15037_163765"/>
    </w:p>
    <w:p>
      <w:pPr>
        <w:pStyle w:val="BookText"/>
        <w:rPr/>
      </w:pPr>
      <w:bookmarkEnd w:id="408"/>
      <w:r>
        <w:rPr>
          <w:rFonts w:ascii="IRNazanin" w:hAnsi="IRNazanin" w:eastAsia="IRNazanin"/>
          <w:color w:val="111111"/>
          <w:sz w:val="28"/>
          <w:sz w:val="28"/>
          <w:szCs w:val="28"/>
          <w:rtl w:val="true"/>
          <w:lang w:bidi="fa-IR"/>
        </w:rPr>
        <w:t>النوافل ، وذلک جائز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 وکذلک الثانی ، والحسین الأوّل فیه ابن سعید ، والثانی ابن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الإرسال ، وکون المرسل ابن أبی عمیر قد قدّمنا القول فیه مفصّلا فی أوّل الکتاب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غیر منعقد علی قبول مراسیله ، لتصریح الشیخ فی الکتاب بردّ روایات بالإرسال </w:t>
      </w:r>
      <w:r>
        <w:rPr>
          <w:rStyle w:val="FootnoteAnchor"/>
          <w:rtl w:val="true"/>
        </w:rPr>
        <w:footnoteReference w:id="535"/>
      </w:r>
      <w:r>
        <w:rPr>
          <w:rFonts w:ascii="IRNazanin" w:hAnsi="IRNazanin" w:eastAsia="IRNazanin"/>
          <w:color w:val="111111"/>
          <w:sz w:val="28"/>
          <w:sz w:val="28"/>
          <w:szCs w:val="28"/>
          <w:rtl w:val="true"/>
          <w:lang w:bidi="fa-IR"/>
        </w:rPr>
        <w:t xml:space="preserve">والمرسل لها ابن أبی عمیر ، کما أنّ فیه دفعا لما ظنّ من أنّ معنی قول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اجمع علی تصحیح ما یصح عنه </w:t>
      </w:r>
      <w:r>
        <w:rPr>
          <w:rStyle w:val="FootnoteAnchor"/>
          <w:rtl w:val="true"/>
        </w:rPr>
        <w:footnoteReference w:id="536"/>
      </w:r>
      <w:r>
        <w:rPr>
          <w:rFonts w:ascii="IRNazanin" w:hAnsi="IRNazanin" w:eastAsia="IRNazanin"/>
          <w:color w:val="111111"/>
          <w:sz w:val="28"/>
          <w:sz w:val="28"/>
          <w:szCs w:val="28"/>
          <w:rtl w:val="true"/>
          <w:lang w:bidi="fa-IR"/>
        </w:rPr>
        <w:t xml:space="preserve">، أنّ ما ثبتت صحّته إلیه کاف فی صحة الخبر وإن کان ما بعده بغیر صفة الصحیح ؛ لأنّ ابن أبی عمیر من المجمعین علی تصحیح ما یصح عنه </w:t>
      </w:r>
      <w:r>
        <w:rPr>
          <w:rStyle w:val="FootnoteAnchor"/>
          <w:rtl w:val="true"/>
        </w:rPr>
        <w:footnoteReference w:id="537"/>
      </w:r>
      <w:r>
        <w:rPr>
          <w:rFonts w:ascii="IRNazanin" w:hAnsi="IRNazanin" w:eastAsia="IRNazanin"/>
          <w:color w:val="111111"/>
          <w:sz w:val="28"/>
          <w:sz w:val="28"/>
          <w:szCs w:val="28"/>
          <w:rtl w:val="true"/>
          <w:lang w:bidi="fa-IR"/>
        </w:rPr>
        <w:t xml:space="preserve">؛ وقد ردّ خبره بالإرسال کما سمعته ، علی أنّ ذکر مراسیل ابن أبی عمیر وقبولها فی کلام متأخّری الأصحاب </w:t>
      </w:r>
      <w:r>
        <w:rPr>
          <w:rStyle w:val="FootnoteAnchor"/>
          <w:rtl w:val="true"/>
        </w:rPr>
        <w:footnoteReference w:id="538"/>
      </w:r>
      <w:r>
        <w:rPr>
          <w:rFonts w:ascii="IRNazanin" w:hAnsi="IRNazanin" w:eastAsia="IRNazanin"/>
          <w:color w:val="111111"/>
          <w:sz w:val="28"/>
          <w:sz w:val="28"/>
          <w:szCs w:val="28"/>
          <w:rtl w:val="true"/>
          <w:lang w:bidi="fa-IR"/>
        </w:rPr>
        <w:t>صریح فی أنّ معنی الإجماع لیس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وقع فی النجاشی من السکون إلی مراسیله من الأصحاب </w:t>
      </w:r>
      <w:r>
        <w:rPr>
          <w:rStyle w:val="FootnoteAnchor"/>
          <w:rtl w:val="true"/>
        </w:rPr>
        <w:footnoteReference w:id="539"/>
      </w:r>
      <w:r>
        <w:rPr>
          <w:rFonts w:ascii="IRNazanin" w:hAnsi="IRNazanin" w:eastAsia="IRNazanin"/>
          <w:color w:val="111111"/>
          <w:sz w:val="28"/>
          <w:sz w:val="28"/>
          <w:szCs w:val="28"/>
          <w:rtl w:val="true"/>
          <w:lang w:bidi="fa-IR"/>
        </w:rPr>
        <w:t>، قد بیّنا فیما سبق أنّه لا یدل علی قبول مراسیله ؛ لأنّه ذکر أنّ کتبه ذهبت فلذلک یسکنون الأصحاب إلی مراسیله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کما تری لا یلیق منه إرادة إثبات صحة المراسیل بما ذکر ، فإنّه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9" w:name="__RefHeading___Toc347854_2142443653"/>
      <w:bookmarkStart w:id="410" w:name="_Toc158"/>
      <w:bookmarkEnd w:id="409"/>
      <w:r>
        <w:rPr>
          <w:rtl w:val="true"/>
        </w:rPr>
        <w:t>بحث حول مراسیل ابن أبی عمیر</w:t>
      </w:r>
      <w:bookmarkStart w:id="411" w:name="pg15037_163766"/>
      <w:bookmarkEnd w:id="410"/>
    </w:p>
    <w:p>
      <w:pPr>
        <w:pStyle w:val="BookText"/>
        <w:rPr/>
      </w:pPr>
      <w:bookmarkEnd w:id="411"/>
      <w:r>
        <w:rPr>
          <w:rFonts w:ascii="IRNazanin" w:hAnsi="IRNazanin" w:eastAsia="IRNazanin"/>
          <w:color w:val="111111"/>
          <w:sz w:val="28"/>
          <w:sz w:val="28"/>
          <w:szCs w:val="28"/>
          <w:rtl w:val="true"/>
          <w:lang w:bidi="fa-IR"/>
        </w:rPr>
        <w:t xml:space="preserve">لا یفید المدّعی بوجه ، ومثل النجاشی لا یتکلم به ، بل الظاهر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النظر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کثرة الإرسال لا یوجب قدحا فیه من حیث عدم الضبط ، إذ لم یحفظ من روی عنه بکثرة ، فلمّا ذهبت کتبه ظهر عذره ، فمن ثمّ سکن الأصحاب إلی مراسیله ، وجمیع هذا مضی </w:t>
      </w:r>
      <w:r>
        <w:rPr>
          <w:rStyle w:val="FootnoteAnchor"/>
          <w:rtl w:val="true"/>
        </w:rPr>
        <w:footnoteReference w:id="540"/>
      </w:r>
      <w:r>
        <w:rPr>
          <w:rFonts w:ascii="IRNazanin" w:hAnsi="IRNazanin" w:eastAsia="IRNazanin"/>
          <w:color w:val="111111"/>
          <w:sz w:val="28"/>
          <w:sz w:val="28"/>
          <w:szCs w:val="28"/>
          <w:rtl w:val="true"/>
          <w:lang w:bidi="fa-IR"/>
        </w:rPr>
        <w:t>، وإنّما أعدناه لبعد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أنّه علیه السلام قرأ الضحی وأ لم نشرح فی رکعة ، وتأویل الشیخ أنّهما سورة واحدة فی ظاهر الحال أنّه من الإجماع ، لکن لا یخفی أنّه یتوجه علی الشیخ 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 ، بل یجب عنده قراءتهما حیث لم یجوّز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الشیخ ظنّ کونهما سورة واحدة من قراءتهما مع ورود الأخبار بقراءة السورة الواحدة ، لا وجه له ، فإنّ مثل هذا واضح الاندفاع ، بل الظاهر أنّه مرجع الشیخ إلی الإجماع ، غایة الأمر قد یشکل الحال فی ترک البسملة مع وجودها فی المصاحف ، والحرص علی نفی الزوائد منه من نحو الإعراب وغیره یدل علی کون البسملة منهما ، والصدوق فی الفقیه جزم بأنّهما سورة واحدة </w:t>
      </w:r>
      <w:r>
        <w:rPr>
          <w:rStyle w:val="FootnoteAnchor"/>
          <w:rtl w:val="true"/>
        </w:rPr>
        <w:footnoteReference w:id="541"/>
      </w:r>
      <w:r>
        <w:rPr>
          <w:rFonts w:ascii="IRNazanin" w:hAnsi="IRNazanin" w:eastAsia="IRNazanin"/>
          <w:color w:val="111111"/>
          <w:sz w:val="28"/>
          <w:sz w:val="28"/>
          <w:szCs w:val="28"/>
          <w:rtl w:val="true"/>
          <w:lang w:bidi="fa-IR"/>
        </w:rPr>
        <w:t>، وهو کثیر التثبّت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ذکره المحقّق فی المعتبر من أنّا لا نسلّم أنّهما سورة واحدة ، بل إنّما تدل الأخبار علی قراءتهما فی رکعة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2" w:name="__RefHeading___Toc347856_2142443653"/>
      <w:bookmarkStart w:id="413" w:name="_Toc159"/>
      <w:bookmarkEnd w:id="412"/>
      <w:r>
        <w:rPr>
          <w:rtl w:val="true"/>
        </w:rPr>
        <w:t>توجیه ما دل علی وقوع القِران من الامام علیه السلام</w:t>
      </w:r>
      <w:bookmarkEnd w:id="413"/>
    </w:p>
    <w:p>
      <w:pPr>
        <w:pStyle w:val="BookText"/>
        <w:rPr/>
      </w:pPr>
      <w:r>
        <w:rPr>
          <w:rFonts w:ascii="IRNazanin" w:hAnsi="IRNazanin" w:eastAsia="IRNazanin"/>
          <w:color w:val="111111"/>
          <w:sz w:val="28"/>
          <w:sz w:val="28"/>
          <w:szCs w:val="28"/>
          <w:rtl w:val="true"/>
          <w:lang w:bidi="fa-IR"/>
        </w:rPr>
        <w:t>لأنّ دعوی الشیخ الإجماع لا وجه لردّها ، إلاّ أنّ المحقّق فی الإجماع المدعی کثیر الاضطراب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شیخنا قدس سره فی المدارک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 المحقّق فی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أصحابنا أنّ الضحی وألم نشرح سورة واحدة ، إلی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ذکره المصنّف من روایة الأصحاب لم أقف علیه فی شی‌ء من الأُصول ولا نقله ناقل فی کتب الاستدلال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نقل الشیخ الإجماع لا أقلّ من کونه روایة مرسلة ، مع أنّ الصدوق ظاهره نقل متون الأخبار فی کتابه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یحکی عن بعض الأصحاب أنّه نقل عن کتاب أحمد بن محمّد بن أبی نصر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یجمع بین السورتین فی رکعة واحدة إلاّ الضحی وأ لم نشرح وسورة الفیل ولإیلاف </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فلم أقف الآن علی المأخذ ، إلاّ أنّ الروایة ظاهرة فی التعدد ، لکن لا تدل علی وجوب الجمع ، کما یفهم من کلام جدّی قدس سره فی بعض مصنّفاته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قاله الشیخ رحمه الله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لیس فی الخبر أنّه قرأهما فی رکعة أو رکعتین ؛ متوجّه ، إلاّ أنّ ما ذکره فی الثالث محل تأمّل ؛ لأنّ الحمل علی النافلة یقتضی أنّ الروایة مختلفة ، فتارة یکون قد روی الراوی وقوع الفعل فی الجماعة ، وتارة فی غیرها بناء علی عدم صحّة الجماعة فی النافلة ، کما هو المشهور بین المتأخّرین </w:t>
      </w:r>
      <w:r>
        <w:rPr>
          <w:rStyle w:val="FootnoteAnchor"/>
          <w:rtl w:val="true"/>
        </w:rPr>
        <w:footnoteReference w:id="546"/>
      </w:r>
      <w:r>
        <w:rPr>
          <w:rFonts w:ascii="IRNazanin" w:hAnsi="IRNazanin" w:eastAsia="IRNazanin"/>
          <w:color w:val="111111"/>
          <w:sz w:val="28"/>
          <w:sz w:val="28"/>
          <w:szCs w:val="28"/>
          <w:rtl w:val="true"/>
          <w:lang w:bidi="fa-IR"/>
        </w:rPr>
        <w:t xml:space="preserve">، بل ادّعی الشهید رحمه الله الإجماع </w:t>
      </w:r>
      <w:bookmarkStart w:id="414" w:name="pg15037_163768"/>
    </w:p>
    <w:p>
      <w:pPr>
        <w:pStyle w:val="BookText"/>
        <w:rPr/>
      </w:pPr>
      <w:bookmarkEnd w:id="414"/>
      <w:r>
        <w:rPr>
          <w:rFonts w:ascii="IRNazanin" w:hAnsi="IRNazanin" w:eastAsia="IRNazanin"/>
          <w:color w:val="111111"/>
          <w:sz w:val="28"/>
          <w:sz w:val="28"/>
          <w:szCs w:val="28"/>
          <w:rtl w:val="true"/>
          <w:lang w:bidi="fa-IR"/>
        </w:rPr>
        <w:t xml:space="preserve">علی نفیه </w:t>
      </w:r>
      <w:r>
        <w:rPr>
          <w:rStyle w:val="FootnoteAnchor"/>
          <w:rtl w:val="true"/>
        </w:rPr>
        <w:footnoteReference w:id="547"/>
      </w:r>
      <w:r>
        <w:rPr>
          <w:rFonts w:ascii="IRNazanin" w:hAnsi="IRNazanin" w:eastAsia="IRNazanin"/>
          <w:color w:val="111111"/>
          <w:sz w:val="28"/>
          <w:sz w:val="28"/>
          <w:szCs w:val="28"/>
          <w:rtl w:val="true"/>
          <w:lang w:bidi="fa-IR"/>
        </w:rPr>
        <w:t xml:space="preserve">؛ وإن کان فیه بحث ؛ لوجود القائل </w:t>
      </w:r>
      <w:r>
        <w:rPr>
          <w:rStyle w:val="FootnoteAnchor"/>
          <w:rtl w:val="true"/>
        </w:rPr>
        <w:footnoteReference w:id="548"/>
      </w:r>
      <w:r>
        <w:rPr>
          <w:rFonts w:ascii="IRNazanin" w:hAnsi="IRNazanin" w:eastAsia="IRNazanin"/>
          <w:color w:val="111111"/>
          <w:sz w:val="28"/>
          <w:sz w:val="28"/>
          <w:szCs w:val="28"/>
          <w:rtl w:val="true"/>
          <w:lang w:bidi="fa-IR"/>
        </w:rPr>
        <w:t xml:space="preserve">، ودلالة صریح الأخبار علیه </w:t>
      </w:r>
      <w:r>
        <w:rPr>
          <w:rStyle w:val="FootnoteAnchor"/>
          <w:rtl w:val="true"/>
        </w:rPr>
        <w:footnoteReference w:id="549"/>
      </w:r>
      <w:r>
        <w:rPr>
          <w:rFonts w:ascii="IRNazanin" w:hAnsi="IRNazanin" w:eastAsia="IRNazanin"/>
          <w:color w:val="111111"/>
          <w:sz w:val="28"/>
          <w:sz w:val="28"/>
          <w:szCs w:val="28"/>
          <w:rtl w:val="true"/>
          <w:lang w:bidi="fa-IR"/>
        </w:rPr>
        <w:t xml:space="preserve">، ولا یبعد أن یکون الشیخ ملاحظا لکون الصلاة جماعة فی النافلة ، لما یظهر من کلامه فی الخبرین مراعاة للمطابقة ؛ إذ لو حمل الروایات علی التعدد لأمکن أن یقال بعدم المانع من فعله علیه السلام تارة فی رکعة وتارة فی رکعتین ، والتبعیض یدل علیه بعض الأخبار کما سبق بیانه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النهی عن قول آمین بعد الحمد</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بن یعقوب ، عن علی بن إبراهیم ، عن أبیه ، عن عبد الله بن المغیرة ، عن جمیل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خلف إمام فقرأ الحمد وفرغ من قرائتها فقل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 ولا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محمّد بن سنان ، عن ابن مسکان ، عن محمّد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أقول إذا فرغت من 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ابن أبی عمیر ، عن جمیل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الناس فی الصلاة جماعة حین یقرأ 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أحسنها وأخفض الصوت بها </w:t>
      </w:r>
      <w:r>
        <w:rPr>
          <w:rFonts w:eastAsia="IRNazanin" w:cs="IRNazanin"/>
          <w:color w:val="111111"/>
          <w:sz w:val="28"/>
          <w:szCs w:val="28"/>
          <w:rtl w:val="true"/>
          <w:lang w:bidi="fa-IR"/>
        </w:rPr>
        <w:t>».</w:t>
      </w:r>
    </w:p>
    <w:p>
      <w:pPr>
        <w:pStyle w:val="Heading3"/>
        <w:numPr>
          <w:ilvl w:val="2"/>
          <w:numId w:val="1"/>
        </w:numPr>
        <w:rPr/>
      </w:pPr>
      <w:bookmarkStart w:id="415" w:name="__RefHeading___Toc347858_2142443653"/>
      <w:bookmarkStart w:id="416" w:name="_Toc160"/>
      <w:bookmarkEnd w:id="415"/>
      <w:r>
        <w:rPr>
          <w:rtl w:val="true"/>
        </w:rPr>
        <w:t>النهی عن قول آمین بعد الحمد</w:t>
      </w:r>
      <w:bookmarkEnd w:id="41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7" w:name="__RefHeading___Toc347860_2142443653"/>
      <w:bookmarkStart w:id="418" w:name="_Toc161"/>
      <w:bookmarkEnd w:id="417"/>
      <w:r>
        <w:rPr>
          <w:rtl w:val="true"/>
        </w:rPr>
        <w:t>اشارة</w:t>
      </w:r>
      <w:bookmarkStart w:id="419" w:name="pg15037_163769"/>
      <w:bookmarkEnd w:id="418"/>
    </w:p>
    <w:p>
      <w:pPr>
        <w:pStyle w:val="BookText"/>
        <w:rPr/>
      </w:pPr>
      <w:bookmarkEnd w:id="419"/>
      <w:r>
        <w:rPr>
          <w:rFonts w:ascii="IRNazanin" w:hAnsi="IRNazanin" w:eastAsia="IRNazanin"/>
          <w:color w:val="111111"/>
          <w:sz w:val="28"/>
          <w:sz w:val="28"/>
          <w:szCs w:val="28"/>
          <w:rtl w:val="true"/>
          <w:lang w:bidi="fa-IR"/>
        </w:rPr>
        <w:t xml:space="preserve">فأوّل ما فی هذا الخبر أنّ راویه جمیل وقد روی ضدّ ذلک وهو ما قدّمناه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 بل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 وإذا کان قد روی ما ینقض هذه الروایة ویوافق روایة غیره فیجب العمل علیه دون غیره ، ولو سلّم لجاز أن نحمله علی ضرب من التقیّة ، لإجماع الطائفة </w:t>
      </w:r>
      <w:r>
        <w:rPr>
          <w:rStyle w:val="FootnoteAnchor"/>
          <w:rtl w:val="true"/>
        </w:rPr>
        <w:footnoteReference w:id="551"/>
      </w:r>
      <w:r>
        <w:rPr>
          <w:rFonts w:ascii="IRNazanin" w:hAnsi="IRNazanin" w:eastAsia="IRNazanin"/>
          <w:color w:val="111111"/>
          <w:sz w:val="28"/>
          <w:sz w:val="28"/>
          <w:szCs w:val="28"/>
          <w:rtl w:val="true"/>
          <w:lang w:bidi="fa-IR"/>
        </w:rPr>
        <w:t>علی ترک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فقد روی الحسین بن سعید ، عن حمّاد بن عیسی ،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آمین إذا 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المغضوب علیهم ولا الضّالّین؟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الیهود والنصاری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یُجب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فعدوله علیه السلام عن جواب ما سأله السائل دلیل علی کراهیّة هذه اللفظة ، وإن لم یتمکن من التصریح بکراهیّته للتقیّة والاضطرار فعدل عن جوابه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تقدیر کون عبد الله بن المغیرة هو الثقة فی النجاشی </w:t>
      </w:r>
      <w:r>
        <w:rPr>
          <w:rStyle w:val="FootnoteAnchor"/>
          <w:rtl w:val="true"/>
        </w:rPr>
        <w:footnoteReference w:id="552"/>
      </w:r>
      <w:r>
        <w:rPr>
          <w:rFonts w:ascii="IRNazanin" w:hAnsi="IRNazanin" w:eastAsia="IRNazanin"/>
          <w:color w:val="111111"/>
          <w:sz w:val="28"/>
          <w:sz w:val="28"/>
          <w:szCs w:val="28"/>
          <w:rtl w:val="true"/>
          <w:lang w:bidi="fa-IR"/>
        </w:rPr>
        <w:t xml:space="preserve">، کما هو الظاهر من الإطلاق ، واحتماله لعبد الله بن المغیرة المذکور فی رجال الرضا علیه السلام من کتاب الشیخ مهملا </w:t>
      </w:r>
      <w:r>
        <w:rPr>
          <w:rStyle w:val="FootnoteAnchor"/>
          <w:rtl w:val="true"/>
        </w:rPr>
        <w:footnoteReference w:id="553"/>
      </w:r>
      <w:r>
        <w:rPr>
          <w:rFonts w:ascii="Amiri" w:hAnsi="Amiri" w:eastAsia="Amiri" w:cs="Amiri"/>
          <w:color w:val="111111"/>
          <w:sz w:val="28"/>
          <w:sz w:val="28"/>
          <w:szCs w:val="28"/>
          <w:rtl w:val="true"/>
          <w:lang w:bidi="ar-SA"/>
        </w:rPr>
        <w:t>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صحیحان علی ما مضی القول فی رجالهما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0" w:name="__RefHeading___Toc347862_2142443653"/>
      <w:bookmarkStart w:id="421" w:name="_Toc162"/>
      <w:bookmarkEnd w:id="420"/>
      <w:r>
        <w:rPr>
          <w:rtl w:val="true"/>
        </w:rPr>
        <w:t>إشارة إلی تمییز عبدالله بن المغیرة</w:t>
      </w:r>
      <w:bookmarkStart w:id="422" w:name="pg15037_163770"/>
      <w:bookmarkEnd w:id="421"/>
    </w:p>
    <w:p>
      <w:pPr>
        <w:pStyle w:val="BookText"/>
        <w:rPr/>
      </w:pPr>
      <w:bookmarkEnd w:id="422"/>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بعض محققی المتأخّرین رحمه الله عن العلاّمة فی المنتهی أنّه قال ، قال علماؤنا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قول آمین وتبطل الصلاة به ، 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ذلک فی آخر الحمد وغیره سرّا وجهرا للإمام والمأموم وعلی کل حال ، وادّعی الشیخان والمرتضی إجماع الإمامیّة علیه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شرح الإرشاد لجدّی قدس سره أنّ المستند صحیح جمیل وذکر الروایة </w:t>
      </w:r>
      <w:r>
        <w:rPr>
          <w:rStyle w:val="FootnoteAnchor"/>
          <w:rtl w:val="true"/>
        </w:rPr>
        <w:footnoteReference w:id="556"/>
      </w:r>
      <w:r>
        <w:rPr>
          <w:rFonts w:ascii="IRNazanin" w:hAnsi="IRNazanin" w:eastAsia="IRNazanin"/>
          <w:color w:val="111111"/>
          <w:sz w:val="28"/>
          <w:sz w:val="28"/>
          <w:szCs w:val="28"/>
          <w:rtl w:val="true"/>
          <w:lang w:bidi="fa-IR"/>
        </w:rPr>
        <w:t xml:space="preserve">؛ وفیه ما ستسمعه بعد نقل کلام الروضة ، وأیضا لا یخفی أنّ 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الاستحباب ، ومعه یقرب أن یکون النهی للکراهة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تقل 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 بعدم الملازمة بین کون الأمر للاستحباب نظرا إلی الإجماع وکون النهی للکراهة ، بل هو باق علی حقیقته ؛ لعدم المقتضی ؛ وفیه استبعاد الاختلاف فی الخبر الواحد ، لکنه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وإن دل علی النهی الذی هو حقیقة فی التحریم ، إلاّ أنّ ضعف المستند فیه ظاهر ، والوالد قدس سره کان یتوقّف فی الأوامر والنواهی فی الأخبار بالنسبة إلی الوجوب والتحریم حقیقة ، لکثرة استعمالهما فی الندب والکراهة </w:t>
      </w:r>
      <w:r>
        <w:rPr>
          <w:rStyle w:val="FootnoteAnchor"/>
          <w:rtl w:val="true"/>
        </w:rPr>
        <w:footnoteReference w:id="557"/>
      </w:r>
      <w:r>
        <w:rPr>
          <w:rFonts w:ascii="IRNazanin" w:hAnsi="IRNazanin" w:eastAsia="IRNazanin"/>
          <w:color w:val="111111"/>
          <w:sz w:val="28"/>
          <w:sz w:val="28"/>
          <w:szCs w:val="28"/>
          <w:rtl w:val="true"/>
          <w:lang w:bidi="fa-IR"/>
        </w:rPr>
        <w:t>، ولعلّ الإجماع المدعی فی المقام یسهّل الخطب إن تمّ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3" w:name="__RefHeading___Toc347864_2142443653"/>
      <w:bookmarkStart w:id="424" w:name="_Toc163"/>
      <w:bookmarkEnd w:id="423"/>
      <w:r>
        <w:rPr>
          <w:rtl w:val="true"/>
        </w:rPr>
        <w:t>بیان ما دل علی عدم جواز التأمین بعد الفاتحة والجمع بینه وبین ما دل علی الجواز</w:t>
      </w:r>
      <w:bookmarkEnd w:id="424"/>
    </w:p>
    <w:p>
      <w:pPr>
        <w:pStyle w:val="BookText"/>
        <w:rPr/>
      </w:pPr>
      <w:r>
        <w:rPr>
          <w:rFonts w:ascii="IRNazanin" w:hAnsi="IRNazanin" w:eastAsia="IRNazanin"/>
          <w:color w:val="111111"/>
          <w:sz w:val="28"/>
          <w:sz w:val="28"/>
          <w:szCs w:val="28"/>
          <w:rtl w:val="true"/>
          <w:lang w:bidi="fa-IR"/>
        </w:rPr>
        <w:t xml:space="preserve">وقد اتفق لجدی قدس سره فی الروضة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 الشهید رحمه الله فی التروک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جمیع أحوال الصلاة وإن کان عقیب الحمد أو دعاء ، للنهی عنه فی الأخبار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دلالة الأخبار مختصّة بما بعد الفاتحة ، فالتعمیم لا یخلو من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فی الخلاف دعوی الإجماع علی بطلان الصلاة بالتأمین </w:t>
      </w:r>
      <w:r>
        <w:rPr>
          <w:rStyle w:val="FootnoteAnchor"/>
          <w:rtl w:val="true"/>
        </w:rPr>
        <w:footnoteReference w:id="559"/>
      </w:r>
      <w:r>
        <w:rPr>
          <w:rFonts w:ascii="IRNazanin" w:hAnsi="IRNazanin" w:eastAsia="IRNazanin"/>
          <w:color w:val="111111"/>
          <w:sz w:val="28"/>
          <w:sz w:val="28"/>
          <w:szCs w:val="28"/>
          <w:rtl w:val="true"/>
          <w:lang w:bidi="fa-IR"/>
        </w:rPr>
        <w:t>؛ وهو غریب ، فإنّ الخلاف موجود ، کما أنّه فی التحریم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نقل عن المحقّق فی المعتبر المیل إلی الکراهة محتجا بالثالث </w:t>
      </w:r>
      <w:r>
        <w:rPr>
          <w:rStyle w:val="FootnoteAnchor"/>
          <w:rtl w:val="true"/>
        </w:rPr>
        <w:footnoteReference w:id="560"/>
      </w:r>
      <w:r>
        <w:rPr>
          <w:rFonts w:ascii="IRNazanin" w:hAnsi="IRNazanin" w:eastAsia="IRNazanin"/>
          <w:color w:val="111111"/>
          <w:sz w:val="28"/>
          <w:sz w:val="28"/>
          <w:szCs w:val="28"/>
          <w:rtl w:val="true"/>
          <w:lang w:bidi="fa-IR"/>
        </w:rPr>
        <w:t xml:space="preserve">؛ وما ذکره الشیخ من حمله علی التقیّة قد یشکل بأنّه لیس بأولی من الحمل علی الکراهة فی النهی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الثالث نفی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یحمل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النفی وتشدید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أُعدّها حسنة ، فیؤیّد الکراهة ، وربّما احتمل أن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وأخفض ، من کلام جمیل حکایة عنه علیه السلام أنّه أتی بهذه اللفظة خفیّة ، فیؤیّد التقیّة من جهة أُخری ، إلاّ أنّی لم أقف علی ما یقتضی صحة هذا اللفظ </w:t>
      </w:r>
      <w:r>
        <w:rPr>
          <w:rStyle w:val="FootnoteAnchor"/>
          <w:rtl w:val="true"/>
        </w:rPr>
        <w:footnoteReference w:id="561"/>
      </w:r>
      <w:r>
        <w:rPr>
          <w:rFonts w:ascii="Amiri" w:hAnsi="Amiri" w:eastAsia="Amiri" w:cs="Amiri"/>
          <w:color w:val="111111"/>
          <w:sz w:val="28"/>
          <w:sz w:val="28"/>
          <w:szCs w:val="28"/>
          <w:rtl w:val="true"/>
          <w:lang w:bidi="ar-SA"/>
        </w:rPr>
        <w:t>فی العربیّة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الاستدلال علی التحریم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الصلاة لا یصلح فیه شی‌ء من کلام الآدمیّین </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وآمین من کلامهم ؛ إذ لیست بقرآن ولا دعاء </w:t>
      </w:r>
    </w:p>
    <w:p>
      <w:pPr>
        <w:pStyle w:val="BookText"/>
        <w:rPr/>
      </w:pPr>
      <w:r>
        <w:rPr>
          <w:rFonts w:ascii="IRNazanin" w:hAnsi="IRNazanin" w:eastAsia="IRNazanin"/>
          <w:color w:val="111111"/>
          <w:sz w:val="28"/>
          <w:sz w:val="28"/>
          <w:szCs w:val="28"/>
          <w:rtl w:val="true"/>
          <w:lang w:bidi="fa-IR"/>
        </w:rPr>
        <w:t xml:space="preserve">ولا ذکر ، إنّما هی اسم للدعاء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استجب ، والاسم مغایر لمسمّاه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غیر معلوم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 الأصحاب أنّ الاستدلال مبنی علی أنّ أسماء الأفعال أسماء لألفاظها لا لمعانیها </w:t>
      </w:r>
      <w:r>
        <w:rPr>
          <w:rStyle w:val="FootnoteAnchor"/>
          <w:rtl w:val="true"/>
        </w:rPr>
        <w:footnoteReference w:id="564"/>
      </w:r>
      <w:r>
        <w:rPr>
          <w:rFonts w:ascii="IRNazanin" w:hAnsi="IRNazanin" w:eastAsia="IRNazanin"/>
          <w:color w:val="111111"/>
          <w:sz w:val="28"/>
          <w:sz w:val="28"/>
          <w:szCs w:val="28"/>
          <w:rtl w:val="true"/>
          <w:lang w:bidi="fa-IR"/>
        </w:rPr>
        <w:t xml:space="preserve">؛ وهو خلاف الظاهر ، کما ذکره المحقّق الرضی رضی الله عنه مستدلا بأنّ 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وترید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 لا یخطر ببالها لفظ اسکت ، بل قد لا تکون مسموعة 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غرض المستدل کون الإذن فی الدعاء لا فی اسم الدعاء ، فلا یضرّ ما ذکره المورد ، وفیه ما لا یخفی ، ولا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آمین لو فرض أنّها دعاء محض والنهی ورد عنها فلا سبیل إلی استثنائها ، نعم لو ردّ الخبر الدال علی النهی إمّا بعدم الصحة أو عدم الصراحة فی التحریم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علی تحریم الکلام فی الصلاة مطلق إلاّ ما خرج بالدلیل وهو الدعاء ، وکون لفظ آمین دعاء یتوقف علی الثبوت ، ولم یعلم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المأذون فیه لا یختص بلفظ ، وکون آمین فی معنی الدعاء لا ینکر ، وذلک کاف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الدعاء المأذون فیه ما یسمّی دعاء لغة أو عرفا علی تقدیر انتفاء الشرع ، واللغة غیر معلومة الآن ، والعرف لا یساعد علی کون آمین دعاء ، وإن کان فی البین کلام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قد یقال فی توجیه عدم الإفساد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النهی عن أمر خارج </w:t>
      </w:r>
    </w:p>
    <w:p>
      <w:pPr>
        <w:pStyle w:val="BookText"/>
        <w:rPr/>
      </w:pPr>
      <w:r>
        <w:rPr>
          <w:rFonts w:ascii="IRNazanin" w:hAnsi="IRNazanin" w:eastAsia="IRNazanin"/>
          <w:color w:val="111111"/>
          <w:sz w:val="28"/>
          <w:sz w:val="28"/>
          <w:szCs w:val="28"/>
          <w:rtl w:val="true"/>
          <w:lang w:bidi="fa-IR"/>
        </w:rPr>
        <w:t xml:space="preserve">عن العبادة ، ففیه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إذا تحقّق النهی علم أنه غیر مستثنی ممّا یجوز ، ومعه تتوقف الصحّة علی الدلیل ؛ إذ العبادة متلقّاة من الشارع ، ولو نوقش فی ذلک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المنع من الکلام والإبطال به حاصل إلاّ ما خرج بالدلیل ، والفرض وقوع النهی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 فلیتأمّل </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یعلم أنّ القائل بالتعمیم فی الفاتحة وغیرها </w:t>
      </w:r>
      <w:r>
        <w:rPr>
          <w:rStyle w:val="FootnoteAnchor"/>
          <w:rtl w:val="true"/>
        </w:rPr>
        <w:footnoteReference w:id="567"/>
      </w:r>
      <w:r>
        <w:rPr>
          <w:rFonts w:ascii="IRNazanin" w:hAnsi="IRNazanin" w:eastAsia="IRNazanin"/>
          <w:color w:val="111111"/>
          <w:sz w:val="28"/>
          <w:sz w:val="28"/>
          <w:szCs w:val="28"/>
          <w:rtl w:val="true"/>
          <w:lang w:bidi="fa-IR"/>
        </w:rPr>
        <w:t>ربّما یوجّه کلامه بنوع من التدبر فیما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بعض الأصحاب من أنّ الأوامر المطلقة تقتضی الصحة </w:t>
      </w:r>
      <w:r>
        <w:rPr>
          <w:rStyle w:val="FootnoteAnchor"/>
          <w:rtl w:val="true"/>
        </w:rPr>
        <w:footnoteReference w:id="568"/>
      </w:r>
      <w:r>
        <w:rPr>
          <w:rFonts w:ascii="IRNazanin" w:hAnsi="IRNazanin" w:eastAsia="IRNazanin"/>
          <w:color w:val="111111"/>
          <w:sz w:val="28"/>
          <w:sz w:val="28"/>
          <w:szCs w:val="28"/>
          <w:rtl w:val="true"/>
          <w:lang w:bidi="fa-IR"/>
        </w:rPr>
        <w:t>، فیه تأمّل یعرف من تفصیل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التأمین لا یصح إلاّ لمن قصد الدعاء ، فلا یجوز إلاّ لمن قصد الدعاء ، لأنّه کلام بغیر ذکر ودعاء ، فیدخل تحت النهی فیکون حراما ومبطلا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ففیه تأمّل ؛ لأنّ </w:t>
      </w:r>
      <w:r>
        <w:rPr>
          <w:rStyle w:val="FootnoteAnchor"/>
          <w:rtl w:val="true"/>
        </w:rPr>
        <w:footnoteReference w:id="569"/>
      </w:r>
      <w:r>
        <w:rPr>
          <w:rFonts w:ascii="IRNazanin" w:hAnsi="IRNazanin" w:eastAsia="IRNazanin"/>
          <w:color w:val="111111"/>
          <w:sz w:val="28"/>
          <w:sz w:val="28"/>
          <w:szCs w:val="28"/>
          <w:rtl w:val="true"/>
          <w:lang w:bidi="fa-IR"/>
        </w:rPr>
        <w:t>استجابة الدعاء لا یختصّ بحضوره ، سلّمنا ، لکن النهی غیر عام فی الأخبار ، والإجماع علی أنّ غیر الذکر والدعاء مبطل علی وجه یتناول التأمین غیر حاصل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إثبات کون التأمین دعاء غیر معلوم ، فیحتاج الحکم بجوازه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فی الدخول تحت النهی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الشیخ فی التبیان لتوجیه الإبطال بآمین من لزوم خروج </w:t>
      </w:r>
    </w:p>
    <w:p>
      <w:pPr>
        <w:pStyle w:val="BookText"/>
        <w:rPr/>
      </w:pPr>
      <w:r>
        <w:rPr>
          <w:rFonts w:ascii="IRNazanin" w:hAnsi="IRNazanin" w:eastAsia="IRNazanin"/>
          <w:color w:val="111111"/>
          <w:sz w:val="28"/>
          <w:sz w:val="28"/>
          <w:szCs w:val="28"/>
          <w:rtl w:val="true"/>
          <w:lang w:bidi="fa-IR"/>
        </w:rPr>
        <w:t xml:space="preserve">الفاتحة عن کونها قرآنا إن قصد الدعاء ، أو عدم فائدة التأمین علی تقدیر قصد القرآن ، ولزوم استعمال المشترک علی تقدیر إرادة القرآن والدعاء من الفاتحة </w:t>
      </w:r>
      <w:r>
        <w:rPr>
          <w:rStyle w:val="FootnoteAnchor"/>
          <w:rtl w:val="true"/>
        </w:rPr>
        <w:footnoteReference w:id="570"/>
      </w:r>
      <w:r>
        <w:rPr>
          <w:rFonts w:ascii="IRNazanin" w:hAnsi="IRNazanin" w:eastAsia="IRNazanin"/>
          <w:color w:val="111111"/>
          <w:sz w:val="28"/>
          <w:sz w:val="28"/>
          <w:szCs w:val="28"/>
          <w:rtl w:val="true"/>
          <w:lang w:bidi="fa-IR"/>
        </w:rPr>
        <w:t xml:space="preserve">؛ اعترض علیه جدّی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الاشتراک لاتّحاد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قصد استجابة الدعاء لا یتعیّن کونه بالفاتحة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الاشتراک لو فرض إمکانه فالمعنی مختلف ، ومن ثم جوّز القنوت بالقرآن من حیث الدعاء ، نعم الوضع للدعاء غیر متحقّق لیدخل فی المشترک بحسب وضعه ، کما یعلم من الأُصول ، وقد ورد فی معتبر الأخبار أنّ الفاتحة مشتملة علی الدعاء والذکر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استجابة الدعاء إذا لم یتعیّن یقتضی اعتبار قصد الاستجابة لغیر الفاتحة ، والمطلوب لجدّی قدس سره الإبطال بالتأمین مطلقا </w:t>
      </w:r>
      <w:r>
        <w:rPr>
          <w:rStyle w:val="FootnoteAnchor"/>
          <w:rtl w:val="true"/>
        </w:rPr>
        <w:footnoteReference w:id="573"/>
      </w:r>
      <w:r>
        <w:rPr>
          <w:rFonts w:ascii="IRNazanin" w:hAnsi="IRNazanin" w:eastAsia="IRNazanin"/>
          <w:color w:val="111111"/>
          <w:sz w:val="28"/>
          <w:sz w:val="28"/>
          <w:szCs w:val="28"/>
          <w:rtl w:val="true"/>
          <w:lang w:bidi="fa-IR"/>
        </w:rPr>
        <w:t>، إلاّ أنّ توجیه هذا غیر بعید ، فلیتأمّل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الخبر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کانت التقیّة فیه ظاهرة ، وکأنّ بعض المخالفین کان حاضرا فی المجلس فأوهمه علیه السلام أنّ السؤال عن تفسیر المغضوب علیهم ولا الضالین ، أمّا الحمل علی کون القائلین بهذه اللفظة کالیهود والنصاری فممّا لا یلیق ذکره</w:t>
      </w:r>
      <w:r>
        <w:rPr>
          <w:rFonts w:eastAsia="IRNazanin" w:cs="IRNazanin"/>
          <w:color w:val="111111"/>
          <w:sz w:val="28"/>
          <w:szCs w:val="28"/>
          <w:rtl w:val="true"/>
          <w:lang w:bidi="fa-IR"/>
        </w:rPr>
        <w:t xml:space="preserve">. </w:t>
      </w:r>
      <w:bookmarkStart w:id="425" w:name="pg15037_163775"/>
    </w:p>
    <w:p>
      <w:pPr>
        <w:pStyle w:val="BookText"/>
        <w:rPr/>
      </w:pPr>
      <w:bookmarkEnd w:id="425"/>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قرأ سورة من العزائم التی فی آخرها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الحسین بن عبید الله ، عن عدّة من أصحابنا ، عن محمّد بن یعقوب ، عن علی بن إبراهیم ، عن أبیه ، عن ابن أبی عمیر ، عن حمّاد ، عن الحلبی ، عن أبی عبد الله علیه السلام أنّه سئل عن الرجل یقرأ بالسجدة فی آخر السورة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ثم یقوم فیقرأ فاتحة الکتاب ثم یرکع ویسجد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محمّد بن خالد ، عن أبی البختری وهب بن وهب ، عن أبی عبد الله علیه السلام ، عن أبیه ، عن علی علیهم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آخر السورة السجدة أجزأک أن ترکع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ینافی هذا الخبر الأوّل ؛ لأنّ هذا الخبر محمول علی من یصلّی مع قوم لا یمکنه أن یسجد ویقوم فیقرأ الحمد ، فإنّه لا بأس أن یرکع ، والخبر الأوّل محمول علی 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عثمان بن عیسی ، عن سماعة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اقرأ باسم ربک ، فإن ختمها فلیسجد ، فإذا قام فلیقرأ فاتحة الکتاب ولیرکع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ابتلیت مع إمام لا یسجد فیجزؤک الإیماء والرکوع ، ولا تقرأها فی الفریضة اقرأها فی التطوع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تقدیر ما قدّمناه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العدّة المذکورة</w:t>
      </w:r>
    </w:p>
    <w:p>
      <w:pPr>
        <w:pStyle w:val="Heading3"/>
        <w:numPr>
          <w:ilvl w:val="2"/>
          <w:numId w:val="1"/>
        </w:numPr>
        <w:rPr/>
      </w:pPr>
      <w:bookmarkStart w:id="426" w:name="__RefHeading___Toc347866_2142443653"/>
      <w:bookmarkStart w:id="427" w:name="_Toc164"/>
      <w:bookmarkEnd w:id="426"/>
      <w:r>
        <w:rPr>
          <w:rtl w:val="true"/>
        </w:rPr>
        <w:t>من قرأ سورة من العزائم التی فی آخرها السجود</w:t>
      </w:r>
      <w:bookmarkEnd w:id="42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8" w:name="__RefHeading___Toc347868_2142443653"/>
      <w:bookmarkStart w:id="429" w:name="_Toc165"/>
      <w:bookmarkEnd w:id="428"/>
      <w:r>
        <w:rPr>
          <w:rtl w:val="true"/>
        </w:rPr>
        <w:t>اشارة</w:t>
      </w:r>
      <w:bookmarkStart w:id="430" w:name="pg15037_163776"/>
      <w:bookmarkEnd w:id="429"/>
    </w:p>
    <w:p>
      <w:pPr>
        <w:pStyle w:val="BookText"/>
        <w:rPr/>
      </w:pPr>
      <w:bookmarkEnd w:id="430"/>
      <w:r>
        <w:rPr>
          <w:rFonts w:ascii="IRNazanin" w:hAnsi="IRNazanin" w:eastAsia="IRNazanin"/>
          <w:color w:val="111111"/>
          <w:sz w:val="28"/>
          <w:sz w:val="28"/>
          <w:szCs w:val="28"/>
          <w:rtl w:val="true"/>
          <w:lang w:bidi="fa-IR"/>
        </w:rPr>
        <w:t>هی من ذکرهم فی ترتیب الوضوء من حیث إن الظاهر عدم الاختصاص بذلک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وهب بن وهب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عثمان بن عیسی وقد مضی مکرّرا ضعفه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دعوی الإجماع فی کلام بعض </w:t>
      </w:r>
      <w:r>
        <w:rPr>
          <w:rStyle w:val="FootnoteAnchor"/>
          <w:rtl w:val="true"/>
        </w:rPr>
        <w:footnoteReference w:id="576"/>
      </w:r>
      <w:r>
        <w:rPr>
          <w:rFonts w:ascii="IRNazanin" w:hAnsi="IRNazanin" w:eastAsia="IRNazanin"/>
          <w:color w:val="111111"/>
          <w:sz w:val="28"/>
          <w:sz w:val="28"/>
          <w:szCs w:val="28"/>
          <w:rtl w:val="true"/>
          <w:lang w:bidi="fa-IR"/>
        </w:rPr>
        <w:t>علی تحریم قراءة العزیمة فی الفریضة لأمکن تأیید الإطلاقات الدالة علی قراءة السورة به ، لکن ظاهر الشیخ کما تری القول بمضمونه ، حیث لم یتعرض لحمله علی ما یوافق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فی توجیهه لا یتعیّن ، لجواز حمل الأوّل علی الفضل والثانی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النهی لم یتعرض الشیخ له مع أنّه المهمّ من حیث اقتضائه حمل الأوّل علی النافلة أو علی قراءة العزیمة سهوا ، ونحو ذلک ، وعلی تقدیر عدم الإجماع یمکن حمل النهی فی الأخیرة علی الکراهة ، کما یؤیّده الأمر بالقراءة فی التطوع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وفی أخبار أُخر ما یدل علی الجواز مطلقا ، کما رواه الشیخ فی التهذیب فی زیادات الصلاة ، والثقة الجلیل محمّد بن یعقوب فی الحسن ، عن الحلبی ، عن أبی عبد الله علیه السلام أنّه سئل عن الرجل یقرأ بالسجدة فی آخر السورة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یسجد ثم یقوم فیقرأ فاتحة الکتاب ثم یرکع</w:t>
      </w:r>
    </w:p>
    <w:p>
      <w:pPr>
        <w:pStyle w:val="Heading4"/>
        <w:numPr>
          <w:ilvl w:val="3"/>
          <w:numId w:val="1"/>
        </w:numPr>
        <w:rPr/>
      </w:pPr>
      <w:bookmarkStart w:id="431" w:name="__RefHeading___Toc347870_2142443653"/>
      <w:bookmarkStart w:id="432" w:name="_Toc166"/>
      <w:bookmarkEnd w:id="431"/>
      <w:r>
        <w:rPr>
          <w:rtl w:val="true"/>
        </w:rPr>
        <w:t>وهب بن وهب ضعیف</w:t>
      </w:r>
      <w:bookmarkEnd w:id="432"/>
    </w:p>
    <w:p>
      <w:pPr>
        <w:pStyle w:val="Heading4"/>
        <w:numPr>
          <w:ilvl w:val="3"/>
          <w:numId w:val="1"/>
        </w:numPr>
        <w:rPr/>
      </w:pPr>
      <w:bookmarkStart w:id="433" w:name="__RefHeading___Toc347872_2142443653"/>
      <w:bookmarkStart w:id="434" w:name="_Toc167"/>
      <w:bookmarkEnd w:id="433"/>
      <w:r>
        <w:rPr>
          <w:rtl w:val="true"/>
        </w:rPr>
        <w:t>إشارة إلی ضعف عثمان بن عیسی</w:t>
      </w:r>
      <w:bookmarkEnd w:id="43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5" w:name="__RefHeading___Toc347874_2142443653"/>
      <w:bookmarkStart w:id="436" w:name="_Toc168"/>
      <w:bookmarkEnd w:id="435"/>
      <w:r>
        <w:rPr>
          <w:rtl w:val="true"/>
        </w:rPr>
        <w:t>بیان ما دلّ علی عدم بطلان الصلاة بقراءة العزیمة والجمع بینه وبین ما دل علی النهی عنها</w:t>
      </w:r>
      <w:bookmarkStart w:id="437" w:name="pg15037_163777"/>
      <w:bookmarkEnd w:id="436"/>
    </w:p>
    <w:p>
      <w:pPr>
        <w:pStyle w:val="BookText"/>
        <w:rPr/>
      </w:pPr>
      <w:bookmarkEnd w:id="437"/>
      <w:r>
        <w:rPr>
          <w:rFonts w:ascii="IRNazanin" w:hAnsi="IRNazanin" w:eastAsia="IRNazanin"/>
          <w:color w:val="111111"/>
          <w:sz w:val="28"/>
          <w:sz w:val="28"/>
          <w:szCs w:val="28"/>
          <w:rtl w:val="true"/>
          <w:lang w:bidi="fa-IR"/>
        </w:rPr>
        <w:t xml:space="preserve">ویسجد </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فی الصحیح ، عن محمّد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یقرأ السجدة فینساها حتی یرکع ویسجد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إذا ذکر إذا کانت من العزائم </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أخبار نقلتها فی کتاب معاهد التنبیه مع زیادة أحکام لا بدّ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وللأصحاب کلام فی بطلان الصلاة مع قراءة العزیمة واحتجاج لبعض علی المنع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البطلان بعضهم بزیادة السجدة فی الصلاة ، أو ترک الفوریّة الموجب للنهی عن الضد </w:t>
      </w:r>
      <w:r>
        <w:rPr>
          <w:rStyle w:val="FootnoteAnchor"/>
          <w:rtl w:val="true"/>
        </w:rPr>
        <w:footnoteReference w:id="580"/>
      </w:r>
      <w:r>
        <w:rPr>
          <w:rFonts w:ascii="IRNazanin" w:hAnsi="IRNazanin" w:eastAsia="IRNazanin"/>
          <w:color w:val="111111"/>
          <w:sz w:val="28"/>
          <w:sz w:val="28"/>
          <w:szCs w:val="28"/>
          <w:rtl w:val="true"/>
          <w:lang w:bidi="fa-IR"/>
        </w:rPr>
        <w:t xml:space="preserve">؛ واعترض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ثبوت الفوریّة ، وعلی تقدیرها بالبناء علی وجوب إکمال السورة وتحقق القران بالبعض </w:t>
      </w:r>
      <w:r>
        <w:rPr>
          <w:rStyle w:val="FootnoteAnchor"/>
          <w:rtl w:val="true"/>
        </w:rPr>
        <w:footnoteReference w:id="581"/>
      </w:r>
      <w:r>
        <w:rPr>
          <w:rFonts w:ascii="IRNazanin" w:hAnsi="IRNazanin" w:eastAsia="IRNazanin"/>
          <w:color w:val="111111"/>
          <w:sz w:val="28"/>
          <w:sz w:val="28"/>
          <w:szCs w:val="28"/>
          <w:rtl w:val="true"/>
          <w:lang w:bidi="fa-IR"/>
        </w:rPr>
        <w:t>، والإثبات فیهما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یعرف من الأوّل ، وقد ذکرنا ما فی ذلک کلّه فی الکتاب المشار إلیه ، والحاصل أنّه لا یبعد اختصاص القران بالسورتین التامّتین ؛ لما هو معلوم من جواز العدول من السورة إلی أُخری مع الشرط المذکور فی محلّه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القران لا یتم إلاّ بالقصد من أوّل الأمر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جواز قراءة سورتین بعد قصد قراءة واحدة من أوّل الأمر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8" w:name="__RefHeading___Toc347876_2142443653"/>
      <w:bookmarkStart w:id="439" w:name="_Toc169"/>
      <w:bookmarkEnd w:id="438"/>
      <w:r>
        <w:rPr>
          <w:rtl w:val="true"/>
        </w:rPr>
        <w:t>أدلّة القول بالبطلان والمناقشة فیها</w:t>
      </w:r>
      <w:bookmarkStart w:id="440" w:name="pg15037_163778"/>
      <w:bookmarkEnd w:id="439"/>
    </w:p>
    <w:p>
      <w:pPr>
        <w:pStyle w:val="BookText"/>
        <w:rPr/>
      </w:pPr>
      <w:bookmarkEnd w:id="440"/>
      <w:r>
        <w:rPr>
          <w:rFonts w:ascii="IRNazanin" w:hAnsi="IRNazanin" w:eastAsia="IRNazanin"/>
          <w:color w:val="111111"/>
          <w:sz w:val="28"/>
          <w:sz w:val="28"/>
          <w:szCs w:val="28"/>
          <w:rtl w:val="true"/>
          <w:lang w:bidi="fa-IR"/>
        </w:rPr>
        <w:t>وإشکاله علی تقدیر القول بالتحریم ظاهر من إطلاق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بعض الأصحاب أنّ البطلان بقراءة السورة من العزائم إنّما یظهر بعد قراءة آیة السجدة لیتوجّه النهی إلی العبادة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إکمال السورة إذا سلّم لزم منه محذور النهی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نوع تأمّل ، إلاّ أنّه قابل للتسدید ، فما ذکره جدّی قدس سره فی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علی القول بالتحریم مطلقا کما ذکره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والجماعة ، من قرأ العزیمة عمدا بطلت صلاته بمجرد الشروع فی السورة وإن لم یبلغ موضع السجود ، للنهی المقتضی للفساد </w:t>
      </w:r>
      <w:r>
        <w:rPr>
          <w:rStyle w:val="FootnoteAnchor"/>
          <w:rtl w:val="true"/>
        </w:rPr>
        <w:footnoteReference w:id="583"/>
      </w:r>
      <w:r>
        <w:rPr>
          <w:rFonts w:ascii="Amiri" w:hAnsi="Amiri" w:eastAsia="Amiri" w:cs="Amiri"/>
          <w:color w:val="111111"/>
          <w:sz w:val="28"/>
          <w:sz w:val="28"/>
          <w:szCs w:val="28"/>
          <w:rtl w:val="true"/>
          <w:lang w:bidi="ar-SA"/>
        </w:rPr>
        <w:t>؛ محلّ 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ویبقی من الأخبار الدالة علی المنع ما نقله شیخنا قدس سره عن الشیخ </w:t>
      </w:r>
      <w:r>
        <w:rPr>
          <w:rStyle w:val="FootnoteAnchor"/>
          <w:rtl w:val="true"/>
        </w:rPr>
        <w:footnoteReference w:id="584"/>
      </w:r>
      <w:r>
        <w:rPr>
          <w:rFonts w:ascii="IRNazanin" w:hAnsi="IRNazanin" w:eastAsia="IRNazanin"/>
          <w:color w:val="111111"/>
          <w:sz w:val="28"/>
          <w:sz w:val="28"/>
          <w:szCs w:val="28"/>
          <w:rtl w:val="true"/>
          <w:lang w:bidi="fa-IR"/>
        </w:rPr>
        <w:t xml:space="preserve">، والذی رأیته فی الکافی ، عن زرارة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فی المکتوبة بشی‌ء من العزائم ، فإنّ السجود زیادة فی المکتوبة </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الطریق القاسم بن عروة وهو مجهول ، وعبد الله بن بکیر وهو فطحیّ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فی القاسم یرید به الجهالة بحاله بسبب عدم وجود ما یدل علی المدح والتوثیق مع ذکره فی الرجال ، وقد قدّمنا فیه القول وذکر ما توهّم فیه البعض </w:t>
      </w:r>
      <w:r>
        <w:rPr>
          <w:rStyle w:val="FootnoteAnchor"/>
          <w:rtl w:val="true"/>
        </w:rPr>
        <w:footnoteReference w:id="587"/>
      </w:r>
      <w:r>
        <w:rPr>
          <w:rFonts w:ascii="IRNazanin" w:hAnsi="IRNazanin" w:eastAsia="IRNazanin"/>
          <w:color w:val="111111"/>
          <w:sz w:val="28"/>
          <w:sz w:val="28"/>
          <w:szCs w:val="28"/>
          <w:rtl w:val="true"/>
          <w:lang w:bidi="fa-IR"/>
        </w:rPr>
        <w:t xml:space="preserve">، والعجب من قول العلاّمة فی المنتهی أنّ القاسم بن عروة ما یحضرنی الآن حاله </w:t>
      </w:r>
      <w:r>
        <w:rPr>
          <w:rStyle w:val="FootnoteAnchor"/>
          <w:rtl w:val="true"/>
        </w:rPr>
        <w:footnoteReference w:id="588"/>
      </w:r>
      <w:r>
        <w:rPr>
          <w:rFonts w:ascii="IRNazanin" w:hAnsi="IRNazanin" w:eastAsia="IRNazanin"/>
          <w:color w:val="111111"/>
          <w:sz w:val="28"/>
          <w:sz w:val="28"/>
          <w:szCs w:val="28"/>
          <w:rtl w:val="true"/>
          <w:lang w:bidi="fa-IR"/>
        </w:rPr>
        <w:t>، وله فی المختلف نظیر هذا فی کثیر من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1" w:name="__RefHeading___Toc347878_2142443653"/>
      <w:bookmarkStart w:id="442" w:name="_Toc170"/>
      <w:bookmarkEnd w:id="441"/>
      <w:r>
        <w:rPr>
          <w:rtl w:val="true"/>
        </w:rPr>
        <w:t>کلمة حول جهالة القاسم بن عروة</w:t>
      </w:r>
      <w:bookmarkStart w:id="443" w:name="pg15037_163779"/>
      <w:bookmarkEnd w:id="442"/>
    </w:p>
    <w:p>
      <w:pPr>
        <w:pStyle w:val="BookText"/>
        <w:rPr/>
      </w:pPr>
      <w:bookmarkEnd w:id="443"/>
      <w:r>
        <w:rPr>
          <w:rFonts w:ascii="IRNazanin" w:hAnsi="IRNazanin" w:eastAsia="IRNazanin"/>
          <w:color w:val="111111"/>
          <w:sz w:val="28"/>
          <w:sz w:val="28"/>
          <w:szCs w:val="28"/>
          <w:rtl w:val="true"/>
          <w:lang w:bidi="fa-IR"/>
        </w:rPr>
        <w:t xml:space="preserve">الرجال ، وهو یوجب زیادة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سرعة الاستعجال </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الحائض تسمع سجدة العزائم</w:t>
      </w:r>
      <w:r>
        <w:rPr>
          <w:rFonts w:eastAsia="Amiri" w:cs="Amiri" w:ascii="Amiri" w:hAnsi="Amiri"/>
          <w:color w:val="111111"/>
          <w:sz w:val="28"/>
          <w:szCs w:val="28"/>
          <w:rtl w:val="true"/>
          <w:lang w:bidi="ar-SA"/>
        </w:rPr>
        <w:t>.</w:t>
      </w:r>
    </w:p>
    <w:p>
      <w:pPr>
        <w:pStyle w:val="BookText"/>
        <w:rPr/>
      </w:pPr>
      <w:r>
        <w:rPr>
          <w:rStyle w:val="FootnoteAnchor"/>
          <w:rtl w:val="true"/>
        </w:rPr>
        <w:footnoteReference w:id="590"/>
      </w:r>
      <w:r>
        <w:rPr>
          <w:rFonts w:ascii="IRNazanin" w:hAnsi="IRNazanin" w:eastAsia="IRNazanin"/>
          <w:color w:val="111111"/>
          <w:sz w:val="28"/>
          <w:sz w:val="28"/>
          <w:szCs w:val="28"/>
          <w:rtl w:val="true"/>
          <w:lang w:bidi="fa-IR"/>
        </w:rPr>
        <w:t xml:space="preserve">الحسین بن سعید ، عن فضالة بن أیّوب ، عن الحسین بن عثمان ، عن سماعة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صلّیت مع قوم فقرأ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شیئا من العزائم وفرغ من قراءته ولم یسجد فأوم إیماء ، والحائض تسجد إذا سمعت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الحسین بن سعید ، عن فضالة ، عن أبان بن عثمان ، عن عبد الرحمن بن أبی عبد الله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الحائض هل تقرأ القرآن وتسجد سجدة إذا سمعت السجدة؟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تقرأ </w:t>
      </w:r>
      <w:r>
        <w:rPr>
          <w:rStyle w:val="FootnoteAnchor"/>
          <w:rtl w:val="true"/>
        </w:rPr>
        <w:footnoteReference w:id="591"/>
      </w:r>
      <w:r>
        <w:rPr>
          <w:rFonts w:ascii="IRNazanin" w:hAnsi="IRNazanin" w:eastAsia="IRNazanin"/>
          <w:color w:val="111111"/>
          <w:sz w:val="28"/>
          <w:sz w:val="28"/>
          <w:szCs w:val="28"/>
          <w:rtl w:val="true"/>
          <w:lang w:bidi="fa-IR"/>
        </w:rPr>
        <w:t xml:space="preserve">ولا تسجد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ینافی الخبر الأوّل ؛ لأنّ الخبر الأوّل محمول علی الاستحباب دون الوجوب ، وهذا الخبر محمول علی جواز ترکه ، ولا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الحال بأبی بصیر لتکرّره فیما مضی من المقال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347880_2142443653"/>
      <w:bookmarkStart w:id="445" w:name="_Toc171"/>
      <w:bookmarkEnd w:id="444"/>
      <w:r>
        <w:rPr>
          <w:rtl w:val="true"/>
        </w:rPr>
        <w:t>الحائض تسمع سجدة العزائم</w:t>
      </w:r>
      <w:bookmarkEnd w:id="44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6" w:name="__RefHeading___Toc347882_2142443653"/>
      <w:bookmarkStart w:id="447" w:name="_Toc172"/>
      <w:bookmarkEnd w:id="446"/>
      <w:r>
        <w:rPr>
          <w:rtl w:val="true"/>
        </w:rPr>
        <w:t>اشارة</w:t>
      </w:r>
      <w:bookmarkStart w:id="448" w:name="pg15037_163780"/>
      <w:bookmarkEnd w:id="447"/>
    </w:p>
    <w:p>
      <w:pPr>
        <w:pStyle w:val="BookText"/>
        <w:rPr/>
      </w:pPr>
      <w:bookmarkEnd w:id="448"/>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بعد ما قدمناه فی أبان مرارا </w:t>
      </w:r>
      <w:r>
        <w:rPr>
          <w:rStyle w:val="FootnoteAnchor"/>
          <w:rtl w:val="true"/>
        </w:rPr>
        <w:footnoteReference w:id="593"/>
      </w:r>
      <w:r>
        <w:rPr>
          <w:rFonts w:ascii="IRNazanin" w:hAnsi="IRNazanin" w:eastAsia="IRNazanin"/>
          <w:color w:val="111111"/>
          <w:sz w:val="28"/>
          <w:sz w:val="28"/>
          <w:szCs w:val="28"/>
          <w:rtl w:val="true"/>
          <w:lang w:bidi="fa-IR"/>
        </w:rPr>
        <w:t xml:space="preserve">، وذکرنا عن قریب القول فی روایة الحسین بن سعید عن فضالة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الحکمین المشتمل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فیه وجه للجمع ، وما ذکره العلاّمة فی المختلف فی باب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الخبر محمولٌ علی المنع من قراءة العزائم ، فکأنّه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القرآن ولا تسجد ، أی لا تقرأ العزیمة التی تسجد فیها ، وإطلاق السبب علی المسبب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 من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أنّه فی کتاب الصلاة ذکر المسألة ونقل عن الشیخ فی المبسوط جواز السجود للحائض ، وفی النهایة القول بعدم السجود ، ثمّ حکی عن الشیخ الاحتجاج بالروایة ، وأنّه أجاب عنها فی الاستبصار بأنّ 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خبر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الاستحباب دون الوجوب ، وهذا الخبر محمول علی الجواز ، 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التأویل بعید ؛ لخروجه عن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التعجب أنّه اختار فی المسألة فی کتاب الصلاة کون الطهارة غیر شرط مستدلا بالأصل وروایة أبی بصیر ، ثم ذکر روایة عبد الرحمن واصفا لها بالموثّق ، وأجاب بما تری </w:t>
      </w:r>
      <w:r>
        <w:rPr>
          <w:rStyle w:val="FootnoteAnchor"/>
          <w:rtl w:val="true"/>
        </w:rPr>
        <w:footnoteReference w:id="596"/>
      </w:r>
      <w:r>
        <w:rPr>
          <w:rFonts w:ascii="IRNazanin" w:hAnsi="IRNazanin" w:eastAsia="IRNazanin"/>
          <w:color w:val="111111"/>
          <w:sz w:val="28"/>
          <w:sz w:val="28"/>
          <w:szCs w:val="28"/>
          <w:rtl w:val="true"/>
          <w:lang w:bidi="fa-IR"/>
        </w:rPr>
        <w:t>، والحال أنّه لا بدّ له من تأویله إن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9" w:name="__RefHeading___Toc347884_2142443653"/>
      <w:bookmarkStart w:id="450" w:name="_Toc173"/>
      <w:bookmarkEnd w:id="449"/>
      <w:r>
        <w:rPr>
          <w:rtl w:val="true"/>
        </w:rPr>
        <w:t>توجیه ما دل علی أنّ الحائض إذا سمعت السجدة لا تسجد ، واضطراب کلام الشیخ والعلّامة فی المسألة</w:t>
      </w:r>
      <w:bookmarkEnd w:id="450"/>
    </w:p>
    <w:p>
      <w:pPr>
        <w:pStyle w:val="BookText"/>
        <w:rPr/>
      </w:pPr>
      <w:r>
        <w:rPr>
          <w:rFonts w:ascii="IRNazanin" w:hAnsi="IRNazanin" w:eastAsia="IRNazanin"/>
          <w:color w:val="111111"/>
          <w:sz w:val="28"/>
          <w:sz w:val="28"/>
          <w:szCs w:val="28"/>
          <w:rtl w:val="true"/>
          <w:lang w:bidi="fa-IR"/>
        </w:rPr>
        <w:t>کان معمولا به عنده ، وإن لم یکن معمولا به لزمه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ردّه فی باب الحیض بعدم الصحة </w:t>
      </w:r>
      <w:r>
        <w:rPr>
          <w:rStyle w:val="FootnoteAnchor"/>
          <w:rtl w:val="true"/>
        </w:rPr>
        <w:footnoteReference w:id="597"/>
      </w:r>
      <w:r>
        <w:rPr>
          <w:rFonts w:ascii="IRNazanin" w:hAnsi="IRNazanin" w:eastAsia="IRNazanin"/>
          <w:color w:val="111111"/>
          <w:sz w:val="28"/>
          <w:sz w:val="28"/>
          <w:szCs w:val="28"/>
          <w:rtl w:val="true"/>
          <w:lang w:bidi="fa-IR"/>
        </w:rPr>
        <w:t xml:space="preserve">؛ مع أنّ أبان بن عثمان قد نقل الإجماع علی تصحیح ما یصحّ عنه </w:t>
      </w:r>
      <w:r>
        <w:rPr>
          <w:rStyle w:val="FootnoteAnchor"/>
          <w:rtl w:val="true"/>
        </w:rPr>
        <w:footnoteReference w:id="598"/>
      </w:r>
      <w:r>
        <w:rPr>
          <w:rFonts w:ascii="IRNazanin" w:hAnsi="IRNazanin" w:eastAsia="IRNazanin"/>
          <w:color w:val="111111"/>
          <w:sz w:val="28"/>
          <w:sz w:val="28"/>
          <w:szCs w:val="28"/>
          <w:rtl w:val="true"/>
          <w:lang w:bidi="fa-IR"/>
        </w:rPr>
        <w:t xml:space="preserve">، والقدح فیه بالناووسیّة من ابن فضّال </w:t>
      </w:r>
      <w:r>
        <w:rPr>
          <w:rStyle w:val="FootnoteAnchor"/>
          <w:rtl w:val="true"/>
        </w:rPr>
        <w:footnoteReference w:id="599"/>
      </w:r>
      <w:r>
        <w:rPr>
          <w:rFonts w:ascii="IRNazanin" w:hAnsi="IRNazanin" w:eastAsia="IRNazanin"/>
          <w:color w:val="111111"/>
          <w:sz w:val="28"/>
          <w:sz w:val="28"/>
          <w:szCs w:val="28"/>
          <w:rtl w:val="true"/>
          <w:lang w:bidi="fa-IR"/>
        </w:rPr>
        <w:t xml:space="preserve">، کما صرّح به فی فوائد الخلاصة علی ما حکی عن ولده أنّه سأله عن ذلک فأجابه بما ینافی الرد </w:t>
      </w:r>
      <w:r>
        <w:rPr>
          <w:rStyle w:val="FootnoteAnchor"/>
          <w:rtl w:val="true"/>
        </w:rPr>
        <w:footnoteReference w:id="600"/>
      </w:r>
      <w:r>
        <w:rPr>
          <w:rFonts w:ascii="IRNazanin" w:hAnsi="IRNazanin" w:eastAsia="IRNazanin"/>
          <w:color w:val="111111"/>
          <w:sz w:val="28"/>
          <w:sz w:val="28"/>
          <w:szCs w:val="28"/>
          <w:rtl w:val="true"/>
          <w:lang w:bidi="fa-IR"/>
        </w:rPr>
        <w:t>، وحینئذ فعدم الالتفات فی کتاب الصلاة إلی تأویله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وکونه مخالفا لقولی الشیخ لا یضرّ ؛ لاحتمال کون مذهبه فی الاستبصار غیر مذهبه فی المبسوط والنهایة ، علی تقدیر الاعتماد علی الاستبصار ، کما ینقل عنه العلاّمة بعض الأقوال من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العجیب فی المقام أنّ الشیخ فی أوّل التهذیب ادّعی الإجماع علی اشتراط الطهارة فی سجود التلاوة ، وهنا کما تری ، وفی التهذیب فی الزیادات من الصلاة حمل خبر أبی بصیر علی الاستحباب </w:t>
      </w:r>
      <w:r>
        <w:rPr>
          <w:rStyle w:val="FootnoteAnchor"/>
          <w:rtl w:val="true"/>
        </w:rPr>
        <w:footnoteReference w:id="601"/>
      </w:r>
      <w:r>
        <w:rPr>
          <w:rFonts w:ascii="IRNazanin" w:hAnsi="IRNazanin" w:eastAsia="IRNazanin"/>
          <w:color w:val="111111"/>
          <w:sz w:val="28"/>
          <w:sz w:val="28"/>
          <w:szCs w:val="28"/>
          <w:rtl w:val="true"/>
          <w:lang w:bidi="fa-IR"/>
        </w:rPr>
        <w:t xml:space="preserve">، والعلاّمة فی المختلف کما سمعته فی کتاب الصلاة احتج بأصالة البراءة </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التکلیف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الشیخ ادّعی الإجماع علی الطهارة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باب الحیض من المختلف استدل بأنّ الاستماع موجب للسجود إجماعا ، ثم ذکر أنّ الحیض لا یصلح للمانعیّة ، والأصل انتفاء غیره ، </w:t>
      </w:r>
      <w:bookmarkStart w:id="451" w:name="pg15037_163782"/>
    </w:p>
    <w:p>
      <w:pPr>
        <w:pStyle w:val="BookText"/>
        <w:rPr/>
      </w:pPr>
      <w:bookmarkEnd w:id="451"/>
      <w:r>
        <w:rPr>
          <w:rFonts w:ascii="IRNazanin" w:hAnsi="IRNazanin" w:eastAsia="IRNazanin"/>
          <w:color w:val="111111"/>
          <w:sz w:val="28"/>
          <w:sz w:val="28"/>
          <w:szCs w:val="28"/>
          <w:rtl w:val="true"/>
          <w:lang w:bidi="fa-IR"/>
        </w:rPr>
        <w:t xml:space="preserve">وللإجماع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الاضطراب فی الإجماع من الشیخ والعلاّمة یوجب زیادة التعجب ، وهم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اتفق لبعض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الخبر المبحوث عنه أخیرا علی التعجب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کیف تقرأ ولا تسجد؟ </w:t>
      </w:r>
      <w:r>
        <w:rPr>
          <w:rStyle w:val="FootnoteAnchor"/>
          <w:rtl w:val="true"/>
        </w:rPr>
        <w:footnoteReference w:id="604"/>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غریب منه ؛ لأنّ السؤال صریح فی جواز القراءة وعدمه ، کما ینبئ عنه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السائل عالم بالجواز سائل عن السجود ،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إسماع الرجل نفسه القراءة</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بن یعقوب ، عن علی بن إبراهیم ، عن أبیه ، عن ابن أبی عمیر ، عن عمر بن أُذینة وابن بکیر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یکتب من القراءة والدعاء إلاّ ما أسمع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 عن العبّاس بن معروف ، عن الحسن ابن محبوب ، عن علی بن رئاب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هل یقرأ الرجل فی صلاته وثوبه علی فیه؟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إن کان أسمع </w:t>
      </w:r>
      <w:r>
        <w:rPr>
          <w:rStyle w:val="FootnoteAnchor"/>
          <w:rtl w:val="true"/>
        </w:rPr>
        <w:footnoteReference w:id="605"/>
      </w:r>
      <w:r>
        <w:rPr>
          <w:rFonts w:ascii="IRNazanin" w:hAnsi="IRNazanin" w:eastAsia="IRNazanin"/>
          <w:color w:val="111111"/>
          <w:sz w:val="28"/>
          <w:sz w:val="28"/>
          <w:szCs w:val="28"/>
          <w:rtl w:val="true"/>
          <w:lang w:bidi="fa-IR"/>
        </w:rPr>
        <w:t xml:space="preserve">أُذنیه الهمهمة </w:t>
      </w:r>
      <w:r>
        <w:rPr>
          <w:rFonts w:eastAsia="IRNazanin" w:cs="IRNazanin"/>
          <w:color w:val="111111"/>
          <w:sz w:val="28"/>
          <w:szCs w:val="28"/>
          <w:rtl w:val="true"/>
          <w:lang w:bidi="fa-IR"/>
        </w:rPr>
        <w:t>».</w:t>
      </w:r>
    </w:p>
    <w:p>
      <w:pPr>
        <w:pStyle w:val="Heading3"/>
        <w:numPr>
          <w:ilvl w:val="2"/>
          <w:numId w:val="1"/>
        </w:numPr>
        <w:rPr/>
      </w:pPr>
      <w:bookmarkStart w:id="452" w:name="__RefHeading___Toc347886_2142443653"/>
      <w:bookmarkStart w:id="453" w:name="_Toc174"/>
      <w:bookmarkEnd w:id="452"/>
      <w:r>
        <w:rPr>
          <w:rtl w:val="true"/>
        </w:rPr>
        <w:t>إسماع الرجل نفسه القراءة</w:t>
      </w:r>
      <w:bookmarkEnd w:id="45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4" w:name="__RefHeading___Toc347888_2142443653"/>
      <w:bookmarkStart w:id="455" w:name="_Toc175"/>
      <w:bookmarkEnd w:id="454"/>
      <w:r>
        <w:rPr>
          <w:rtl w:val="true"/>
        </w:rPr>
        <w:t>اشارة</w:t>
      </w:r>
      <w:bookmarkStart w:id="456" w:name="pg15037_163783"/>
      <w:bookmarkEnd w:id="455"/>
    </w:p>
    <w:p>
      <w:pPr>
        <w:pStyle w:val="BookText"/>
        <w:rPr/>
      </w:pPr>
      <w:bookmarkEnd w:id="456"/>
      <w:r>
        <w:rPr>
          <w:rFonts w:ascii="IRNazanin" w:hAnsi="IRNazanin" w:eastAsia="IRNazanin"/>
          <w:color w:val="111111"/>
          <w:sz w:val="28"/>
          <w:sz w:val="28"/>
          <w:szCs w:val="28"/>
          <w:rtl w:val="true"/>
          <w:lang w:bidi="fa-IR"/>
        </w:rPr>
        <w:t xml:space="preserve">فأمّا ما رواه محمّد بن أحمد بن یحیی ، عن العمرکی ، عن علی بن جعفر ، عن أخیه موسی بن جعفر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یصلح له أن یقرأ فی صلاته ویحرک لسانه بالقراءة فی لهواته من غیر أن یسمع نفسه؟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لا یحرک لسانه ، یتوهم توهّما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من یصلّی خلف من لا یقتدی به جاز أن یقرأ مع نفسه مثل حدیث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یدلّ علی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محمّد بن أحمد بن یحیی ، عن یعقوب بن یزید ، عن محمّد بن أبی حمزة ، عمّن ذکره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یجزؤک من القراءة معهم مثل حدیث 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تقدّم </w:t>
      </w:r>
      <w:r>
        <w:rPr>
          <w:rStyle w:val="FootnoteAnchor"/>
          <w:rtl w:val="true"/>
        </w:rPr>
        <w:footnoteReference w:id="606"/>
      </w:r>
      <w:r>
        <w:rPr>
          <w:rFonts w:ascii="IRNazanin" w:hAnsi="IRNazanin" w:eastAsia="IRNazanin"/>
          <w:color w:val="111111"/>
          <w:sz w:val="28"/>
          <w:sz w:val="28"/>
          <w:szCs w:val="28"/>
          <w:rtl w:val="true"/>
          <w:lang w:bidi="fa-IR"/>
        </w:rPr>
        <w:t xml:space="preserve">؛ لأنّ الطریق إلی محمّد بن أحمد بن یحیی فی المشیخة من لا یرتاب فیه من عاصرناه </w:t>
      </w:r>
      <w:r>
        <w:rPr>
          <w:rStyle w:val="FootnoteAnchor"/>
          <w:rtl w:val="true"/>
        </w:rPr>
        <w:footnoteReference w:id="607"/>
      </w:r>
      <w:r>
        <w:rPr>
          <w:rFonts w:ascii="IRNazanin" w:hAnsi="IRNazanin" w:eastAsia="IRNazanin"/>
          <w:color w:val="111111"/>
          <w:sz w:val="28"/>
          <w:sz w:val="28"/>
          <w:szCs w:val="28"/>
          <w:rtl w:val="true"/>
          <w:lang w:bidi="fa-IR"/>
        </w:rPr>
        <w:t xml:space="preserve">وغیرهم من المصطلحین علی الحدیث الصحیح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الثالث</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7" w:name="__RefHeading___Toc347890_2142443653"/>
      <w:bookmarkStart w:id="458" w:name="_Toc176"/>
      <w:bookmarkEnd w:id="457"/>
      <w:r>
        <w:rPr>
          <w:rtl w:val="true"/>
        </w:rPr>
        <w:t>کلمة فی الطریق إلی محمد بن أحمد بن یحیی</w:t>
      </w:r>
      <w:bookmarkStart w:id="459" w:name="pg15037_163784"/>
      <w:bookmarkEnd w:id="458"/>
    </w:p>
    <w:p>
      <w:pPr>
        <w:pStyle w:val="BookText"/>
        <w:rPr/>
      </w:pPr>
      <w:bookmarkEnd w:id="459"/>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الإرسال ، أمّا محمّد بن أبی حمزة فقد مضی أنّ الظاهر کونه الثمالی </w:t>
      </w:r>
      <w:r>
        <w:rPr>
          <w:rStyle w:val="FootnoteAnchor"/>
          <w:rtl w:val="true"/>
        </w:rPr>
        <w:footnoteReference w:id="609"/>
      </w:r>
      <w:r>
        <w:rPr>
          <w:rFonts w:ascii="IRNazanin" w:hAnsi="IRNazanin" w:eastAsia="IRNazanin"/>
          <w:color w:val="111111"/>
          <w:sz w:val="28"/>
          <w:sz w:val="28"/>
          <w:szCs w:val="28"/>
          <w:rtl w:val="true"/>
          <w:lang w:bidi="fa-IR"/>
        </w:rPr>
        <w:t xml:space="preserve">، واحتمال التیملی المذکور فی رجال الصادق علیه السلام من کتاب الشیخ مهملا </w:t>
      </w:r>
      <w:r>
        <w:rPr>
          <w:rStyle w:val="FootnoteAnchor"/>
          <w:rtl w:val="true"/>
        </w:rPr>
        <w:footnoteReference w:id="610"/>
      </w:r>
      <w:r>
        <w:rPr>
          <w:rFonts w:ascii="IRNazanin" w:hAnsi="IRNazanin" w:eastAsia="IRNazanin"/>
          <w:color w:val="111111"/>
          <w:sz w:val="28"/>
          <w:sz w:val="28"/>
          <w:szCs w:val="28"/>
          <w:rtl w:val="true"/>
          <w:lang w:bidi="fa-IR"/>
        </w:rPr>
        <w:t xml:space="preserve">، بعید ، مع احتمال الاتحاد ، غیر أنّ الروایة هنا عن یعقوب بن یزید عنه ، وفی الرجال أنّ الراوی عنه محمّد بن أبی عمیر فی النجاشی </w:t>
      </w:r>
      <w:r>
        <w:rPr>
          <w:rStyle w:val="FootnoteAnchor"/>
          <w:rtl w:val="true"/>
        </w:rPr>
        <w:footnoteReference w:id="611"/>
      </w:r>
      <w:r>
        <w:rPr>
          <w:rFonts w:ascii="IRNazanin" w:hAnsi="IRNazanin" w:eastAsia="IRNazanin"/>
          <w:color w:val="111111"/>
          <w:sz w:val="28"/>
          <w:sz w:val="28"/>
          <w:szCs w:val="28"/>
          <w:rtl w:val="true"/>
          <w:lang w:bidi="fa-IR"/>
        </w:rPr>
        <w:t xml:space="preserve">والفهرست </w:t>
      </w:r>
      <w:r>
        <w:rPr>
          <w:rStyle w:val="FootnoteAnchor"/>
          <w:rtl w:val="true"/>
        </w:rPr>
        <w:footnoteReference w:id="612"/>
      </w:r>
      <w:r>
        <w:rPr>
          <w:rFonts w:ascii="IRNazanin" w:hAnsi="IRNazanin" w:eastAsia="IRNazanin"/>
          <w:color w:val="111111"/>
          <w:sz w:val="28"/>
          <w:sz w:val="28"/>
          <w:szCs w:val="28"/>
          <w:rtl w:val="true"/>
          <w:lang w:bidi="fa-IR"/>
        </w:rPr>
        <w:t>؛ وفی الظن أنّ روایة یعقوب بن یزید عنه بعیدة ، والأمر سهل بعد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ظاهر الدلالة ، وکأنّ الظاهر أنّ المراد فی الإخفات ؛ لاعتبار الزیادة فی الجهر علی المشهور ، والروایة وإن کانت عامة فهی دالّة علی القراءة فی الصلاة للدخول فی العموم ، ولا یخفی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ما أسمع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تقدیر ما أسمع الإنسان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الاکتفاء بسماع الهمهمة ، فیقیّد الأوّل به ، وحینئذ یفید الخبر الاکتفاء فی الإخفات بسماع الهمهمة ، ولم أجد من صرّح فی تفسیر إسماع الإنسان نفسه فی الإخفات بالهمهمة ، کما ذکرته فی حواشی التهذیب أیضا ، وقد قدّمنا </w:t>
      </w:r>
      <w:r>
        <w:rPr>
          <w:rStyle w:val="FootnoteAnchor"/>
          <w:rtl w:val="true"/>
        </w:rPr>
        <w:footnoteReference w:id="613"/>
      </w:r>
      <w:r>
        <w:rPr>
          <w:rFonts w:ascii="IRNazanin" w:hAnsi="IRNazanin" w:eastAsia="IRNazanin"/>
          <w:color w:val="111111"/>
          <w:sz w:val="28"/>
          <w:sz w:val="28"/>
          <w:szCs w:val="28"/>
          <w:rtl w:val="true"/>
          <w:lang w:bidi="fa-IR"/>
        </w:rPr>
        <w:t>عن قریب کلاما فی الجهر والإخفات ، حیث ذکر الشیخ هناک الجهر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الأوّل والثانی یتناولان الجهریّة</w:t>
      </w:r>
    </w:p>
    <w:p>
      <w:pPr>
        <w:pStyle w:val="Heading4"/>
        <w:numPr>
          <w:ilvl w:val="3"/>
          <w:numId w:val="1"/>
        </w:numPr>
        <w:rPr/>
      </w:pPr>
      <w:bookmarkStart w:id="460" w:name="__RefHeading___Toc347892_2142443653"/>
      <w:bookmarkStart w:id="461" w:name="_Toc177"/>
      <w:bookmarkEnd w:id="460"/>
      <w:r>
        <w:rPr>
          <w:rtl w:val="true"/>
        </w:rPr>
        <w:t>کلمة حول تمییز محمد بن أبی حمزة</w:t>
      </w:r>
      <w:bookmarkEnd w:id="46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2" w:name="__RefHeading___Toc347894_2142443653"/>
      <w:bookmarkStart w:id="463" w:name="_Toc178"/>
      <w:bookmarkEnd w:id="462"/>
      <w:r>
        <w:rPr>
          <w:rtl w:val="true"/>
        </w:rPr>
        <w:t>بیان ما دل علی لزوم إسماع الرجل نفسه القراءة والجمع بینه وبین ما دل علی کفایة مثل حدیث النفس</w:t>
      </w:r>
      <w:bookmarkStart w:id="464" w:name="pg15037_163785"/>
      <w:bookmarkEnd w:id="463"/>
    </w:p>
    <w:p>
      <w:pPr>
        <w:pStyle w:val="BookText"/>
        <w:rPr/>
      </w:pPr>
      <w:bookmarkEnd w:id="464"/>
      <w:r>
        <w:rPr>
          <w:rFonts w:ascii="IRNazanin" w:hAnsi="IRNazanin" w:eastAsia="IRNazanin"/>
          <w:color w:val="111111"/>
          <w:sz w:val="28"/>
          <w:sz w:val="28"/>
          <w:szCs w:val="28"/>
          <w:rtl w:val="true"/>
          <w:lang w:bidi="fa-IR"/>
        </w:rPr>
        <w:t>ویؤیّدان الاستحباب السابق نقله ، ویکون الخبر الثالث محمولا علی الإخفاتیّة بیانا لأقلّ مراتبه ، إلاّ أنّ المعروف من الأصحاب المتأخّرین خلاف ذلک ؛ والحمل علی التقیة کما ذکره الشیخ له وجه وإن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 محقّقی المتأخّرین رحمه الله أنّه لو لا خوف الإجماع لکان القول بمضمون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خبر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 لبُعد حمل الشیخ من حیث عدم الإشعار فی الخبر بما ذکره ، وضعف المؤیّد ، والجمع بین الأخبار بحمل الأولین 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حسن </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انتهی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وجه وجیه یظهر بالتأمّل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اللحمة المشرفة علی الحلق ،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لهوات ولهیات </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الخفی ، وتنویم المرأة الطفل بصوتها ، وتردّد الزئیر فی الصدر من الهم ، ونحو أصوات البقر وکل صوت معه بحح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التخییر بین القراءة والتسبیح فی الرکعتین الأخیرتین</w:t>
      </w:r>
    </w:p>
    <w:p>
      <w:pPr>
        <w:pStyle w:val="BookText"/>
        <w:rPr/>
      </w:pPr>
      <w:r>
        <w:rPr>
          <w:rFonts w:ascii="IRNazanin" w:hAnsi="IRNazanin" w:eastAsia="IRNazanin"/>
          <w:color w:val="111111"/>
          <w:sz w:val="28"/>
          <w:sz w:val="28"/>
          <w:szCs w:val="28"/>
          <w:rtl w:val="true"/>
          <w:lang w:bidi="fa-IR"/>
        </w:rPr>
        <w:t xml:space="preserve">محمّد بن یعقوب ، عن محمّد بن إسماعیل ، عن الفضل بن شاذان ، عن حمّاد بن عیسی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Heading4"/>
        <w:numPr>
          <w:ilvl w:val="3"/>
          <w:numId w:val="1"/>
        </w:numPr>
        <w:rPr/>
      </w:pPr>
      <w:bookmarkStart w:id="465" w:name="__RefHeading___Toc347896_2142443653"/>
      <w:bookmarkStart w:id="466" w:name="_Toc179"/>
      <w:bookmarkEnd w:id="465"/>
      <w:r>
        <w:rPr>
          <w:rtl w:val="true"/>
        </w:rPr>
        <w:t>معنی اللهوات والهمهمة</w:t>
      </w:r>
      <w:bookmarkEnd w:id="466"/>
    </w:p>
    <w:p>
      <w:pPr>
        <w:pStyle w:val="Heading3"/>
        <w:numPr>
          <w:ilvl w:val="2"/>
          <w:numId w:val="1"/>
        </w:numPr>
        <w:rPr/>
      </w:pPr>
      <w:bookmarkStart w:id="467" w:name="__RefHeading___Toc347898_2142443653"/>
      <w:bookmarkStart w:id="468" w:name="_Toc180"/>
      <w:bookmarkEnd w:id="467"/>
      <w:r>
        <w:rPr>
          <w:rtl w:val="true"/>
        </w:rPr>
        <w:t>التخییر بین القراءة والتسبیح فی الرکعتین الأخیرتین</w:t>
      </w:r>
      <w:bookmarkEnd w:id="46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9" w:name="__RefHeading___Toc347900_2142443653"/>
      <w:bookmarkStart w:id="470" w:name="_Toc181"/>
      <w:bookmarkEnd w:id="469"/>
      <w:r>
        <w:rPr>
          <w:rtl w:val="true"/>
        </w:rPr>
        <w:t>اشارة</w:t>
      </w:r>
      <w:bookmarkEnd w:id="470"/>
    </w:p>
    <w:p>
      <w:pPr>
        <w:pStyle w:val="BookText"/>
        <w:rPr/>
      </w:pPr>
      <w:r>
        <w:rPr>
          <w:rFonts w:ascii="IRNazanin" w:hAnsi="IRNazanin" w:eastAsia="IRNazanin"/>
          <w:color w:val="111111"/>
          <w:sz w:val="28"/>
          <w:sz w:val="28"/>
          <w:szCs w:val="28"/>
          <w:rtl w:val="true"/>
          <w:lang w:bidi="fa-IR"/>
        </w:rPr>
        <w:t xml:space="preserve">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یجزئ من القول فی الرکعتین الأخیرتین؟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الله ولا إله إلاّ الله والله أکبر وتکبّر وترکع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النضر بن سوید ، عن یحیی الحلبی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الرکعتین الأخیرتین من الظهر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تسبّح وتحمد الله وتستغفر لذنبک وإن شئت فاتحة الکتاب فإنّها تحمید ودعاء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 عن أحمد بن محمّد ، عن الحسن بن علی بن فضال ، عن عبد الله بن بکیر ، عن علی بن حنظلة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الرکعتین الأخیرتین ما أصنع فیهما؟ فقال </w:t>
      </w:r>
      <w:r>
        <w:rPr>
          <w:rStyle w:val="FootnoteAnchor"/>
          <w:rtl w:val="true"/>
        </w:rPr>
        <w:footnoteReference w:id="6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فاقرأ </w:t>
      </w:r>
      <w:r>
        <w:rPr>
          <w:rStyle w:val="FootnoteAnchor"/>
          <w:rtl w:val="true"/>
        </w:rPr>
        <w:footnoteReference w:id="619"/>
      </w:r>
      <w:r>
        <w:rPr>
          <w:rFonts w:ascii="IRNazanin" w:hAnsi="IRNazanin" w:eastAsia="IRNazanin"/>
          <w:color w:val="111111"/>
          <w:sz w:val="28"/>
          <w:sz w:val="28"/>
          <w:szCs w:val="28"/>
          <w:rtl w:val="true"/>
          <w:lang w:bidi="fa-IR"/>
        </w:rPr>
        <w:t xml:space="preserve">فاتحة الکتاب وإن شئت فاذکر الله فهو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ذلک أفضل؟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والله سواء ، إن شئت سبّحت وإن شئت قرأت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محمّد بن أبی الحسن بن علان ، عن محمّد بن حکیم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أیّما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فی الرکعتین الأخیرتین أو التسبیح؟ قال </w:t>
      </w:r>
      <w:r>
        <w:rPr>
          <w:rStyle w:val="FootnoteAnchor"/>
          <w:rtl w:val="true"/>
        </w:rPr>
        <w:footnoteReference w:id="6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القراءة أفضل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إذا کان إماما کانت القراءة </w:t>
      </w:r>
      <w:bookmarkStart w:id="471" w:name="pg15037_163787"/>
    </w:p>
    <w:p>
      <w:pPr>
        <w:pStyle w:val="BookText"/>
        <w:rPr/>
      </w:pPr>
      <w:bookmarkEnd w:id="471"/>
      <w:r>
        <w:rPr>
          <w:rFonts w:ascii="IRNazanin" w:hAnsi="IRNazanin" w:eastAsia="IRNazanin"/>
          <w:color w:val="111111"/>
          <w:sz w:val="28"/>
          <w:sz w:val="28"/>
          <w:szCs w:val="28"/>
          <w:rtl w:val="true"/>
          <w:lang w:bidi="fa-IR"/>
        </w:rPr>
        <w:t xml:space="preserve">أفضل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صفوان ، عن منصور بن حازم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إماما فاقرأ فی الرکعتین الأخیرتین فاتحة الکتاب ، وإن کنت وحدک فیسعک فعلت أو لم تفعل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 عن أحمد بن محمّد ، عن محمّد بن أبی عمیر ، عن حمّاد بن عثمان ، عن عبید الله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فی الرکعتین الأخیرتین لا تقرأ فیهما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وسبحان الله والله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فإنّما نهاه أن یقرأ معتقدا أنّ غیر القراءة لا یجوز ، دون أن یقرأ </w:t>
      </w:r>
      <w:r>
        <w:rPr>
          <w:rStyle w:val="FootnoteAnchor"/>
          <w:rtl w:val="true"/>
        </w:rPr>
        <w:footnoteReference w:id="622"/>
      </w:r>
      <w:r>
        <w:rPr>
          <w:rFonts w:ascii="IRNazanin" w:hAnsi="IRNazanin" w:eastAsia="IRNazanin"/>
          <w:color w:val="111111"/>
          <w:sz w:val="28"/>
          <w:sz w:val="28"/>
          <w:szCs w:val="28"/>
          <w:rtl w:val="true"/>
          <w:lang w:bidi="fa-IR"/>
        </w:rPr>
        <w:t xml:space="preserve">علی وجه الاختیار وطلب الفضل ، ویمکن أن یکون </w:t>
      </w:r>
      <w:r>
        <w:rPr>
          <w:rStyle w:val="FootnoteAnchor"/>
          <w:rtl w:val="true"/>
        </w:rPr>
        <w:footnoteReference w:id="623"/>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لا نهیا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تکن ممّن یقرأ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وسبحان الله والله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تکرّر القول فیه من جهة محمّد بن إسماعیل </w:t>
      </w:r>
      <w:r>
        <w:rPr>
          <w:rStyle w:val="FootnoteAnchor"/>
          <w:rtl w:val="true"/>
        </w:rPr>
        <w:footnoteReference w:id="624"/>
      </w:r>
      <w:r>
        <w:rPr>
          <w:rFonts w:ascii="IRNazanin" w:hAnsi="IRNazanin" w:eastAsia="IRNazanin"/>
          <w:color w:val="111111"/>
          <w:sz w:val="28"/>
          <w:sz w:val="28"/>
          <w:szCs w:val="28"/>
          <w:rtl w:val="true"/>
          <w:lang w:bidi="fa-IR"/>
        </w:rPr>
        <w:t xml:space="preserve">، وبیّنا أنّه من الشیوخ غیر ابن بزیع ، والفرق بینه وبین أحمد بن محمّد بن الحسن ابن الولید وابن یحیی العطّار وأشباههما غیر واضح ، بل إمّا أن تردّ روایة الجمیع للجهالة أو یقبل الجمیع ، والالتفات إلی تصحیح العلاّمة بعض الطرق الذی فیها أحد المذکورین مشترک ، وقول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2" w:name="__RefHeading___Toc347902_2142443653"/>
      <w:bookmarkStart w:id="473" w:name="_Toc182"/>
      <w:bookmarkEnd w:id="472"/>
      <w:r>
        <w:rPr>
          <w:rtl w:val="true"/>
        </w:rPr>
        <w:t>بحث حول محمد بن اسماعیل</w:t>
      </w:r>
      <w:bookmarkStart w:id="474" w:name="pg15037_163788"/>
      <w:bookmarkEnd w:id="473"/>
    </w:p>
    <w:p>
      <w:pPr>
        <w:pStyle w:val="BookText"/>
        <w:rPr/>
      </w:pPr>
      <w:bookmarkEnd w:id="474"/>
      <w:r>
        <w:rPr>
          <w:rFonts w:ascii="IRNazanin" w:hAnsi="IRNazanin" w:eastAsia="IRNazanin"/>
          <w:color w:val="111111"/>
          <w:sz w:val="28"/>
          <w:sz w:val="28"/>
          <w:szCs w:val="28"/>
          <w:rtl w:val="true"/>
          <w:lang w:bidi="fa-IR"/>
        </w:rPr>
        <w:t xml:space="preserve">الخبر من الحسن </w:t>
      </w:r>
      <w:r>
        <w:rPr>
          <w:rStyle w:val="FootnoteAnchor"/>
          <w:rtl w:val="true"/>
        </w:rPr>
        <w:footnoteReference w:id="625"/>
      </w:r>
      <w:r>
        <w:rPr>
          <w:rFonts w:ascii="IRNazanin" w:hAnsi="IRNazanin" w:eastAsia="IRNazanin"/>
          <w:color w:val="111111"/>
          <w:sz w:val="28"/>
          <w:sz w:val="28"/>
          <w:szCs w:val="28"/>
          <w:rtl w:val="true"/>
          <w:lang w:bidi="fa-IR"/>
        </w:rPr>
        <w:t>؛ غیر واضح الوجه ، بل إمّا من الصحیح أو من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علی بن فضّال وقد مضی فیه المقال </w:t>
      </w:r>
      <w:r>
        <w:rPr>
          <w:rStyle w:val="FootnoteAnchor"/>
          <w:rtl w:val="true"/>
        </w:rPr>
        <w:footnoteReference w:id="626"/>
      </w:r>
      <w:r>
        <w:rPr>
          <w:rFonts w:ascii="IRNazanin" w:hAnsi="IRNazanin" w:eastAsia="IRNazanin"/>
          <w:color w:val="111111"/>
          <w:sz w:val="28"/>
          <w:sz w:val="28"/>
          <w:szCs w:val="28"/>
          <w:rtl w:val="true"/>
          <w:lang w:bidi="fa-IR"/>
        </w:rPr>
        <w:t xml:space="preserve">، أمّا علی بن حنظلة ففی رجال الصادق من کتاب الشیخ مذکور مهملا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الحسن فیه مجهول الحال ؛ إذ لم أقف علیه فی الرجال ، 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علان </w:t>
      </w:r>
      <w:r>
        <w:rPr>
          <w:rStyle w:val="FootnoteAnchor"/>
          <w:rtl w:val="true"/>
        </w:rPr>
        <w:footnoteReference w:id="628"/>
      </w:r>
      <w:r>
        <w:rPr>
          <w:rFonts w:ascii="IRNazanin" w:hAnsi="IRNazanin" w:eastAsia="IRNazanin"/>
          <w:color w:val="111111"/>
          <w:sz w:val="28"/>
          <w:sz w:val="28"/>
          <w:szCs w:val="28"/>
          <w:rtl w:val="true"/>
          <w:lang w:bidi="fa-IR"/>
        </w:rPr>
        <w:t>، وهو مجهول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محمّد بن حکیم فهو مشترک بین رجلین لا یزیدان عن الإهمال کما مضی القول فی ذلک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قبل الکلام فیه من بیان مقدّمة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العلاّمة فی المختلف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علماؤنا علی التخییر بین الحمد وحدها والتسبیح فی الثالثة والرابعة من الثلاثیّة والرباعیّة ، لکن اختلفوا فی مقامات وذکر ما حاصله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قدر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کلام ابنی بابویه أفضلیّة التسبیح علی القراءة</w:t>
      </w:r>
    </w:p>
    <w:p>
      <w:pPr>
        <w:pStyle w:val="Heading4"/>
        <w:numPr>
          <w:ilvl w:val="3"/>
          <w:numId w:val="1"/>
        </w:numPr>
        <w:rPr/>
      </w:pPr>
      <w:bookmarkStart w:id="475" w:name="__RefHeading___Toc347904_2142443653"/>
      <w:bookmarkStart w:id="476" w:name="_Toc183"/>
      <w:bookmarkEnd w:id="475"/>
      <w:r>
        <w:rPr>
          <w:rtl w:val="true"/>
        </w:rPr>
        <w:t>علی بن حنظلة مهمل</w:t>
      </w:r>
      <w:bookmarkEnd w:id="476"/>
    </w:p>
    <w:p>
      <w:pPr>
        <w:pStyle w:val="Heading4"/>
        <w:numPr>
          <w:ilvl w:val="3"/>
          <w:numId w:val="1"/>
        </w:numPr>
        <w:rPr/>
      </w:pPr>
      <w:bookmarkStart w:id="477" w:name="__RefHeading___Toc347906_2142443653"/>
      <w:bookmarkStart w:id="478" w:name="_Toc184"/>
      <w:bookmarkEnd w:id="477"/>
      <w:r>
        <w:rPr>
          <w:rtl w:val="true"/>
        </w:rPr>
        <w:t>محمد بن أبی الحسن بن علان مجهول</w:t>
      </w:r>
      <w:bookmarkEnd w:id="478"/>
    </w:p>
    <w:p>
      <w:pPr>
        <w:pStyle w:val="Heading4"/>
        <w:numPr>
          <w:ilvl w:val="3"/>
          <w:numId w:val="1"/>
        </w:numPr>
        <w:rPr/>
      </w:pPr>
      <w:bookmarkStart w:id="479" w:name="__RefHeading___Toc347908_2142443653"/>
      <w:bookmarkStart w:id="480" w:name="_Toc185"/>
      <w:bookmarkEnd w:id="479"/>
      <w:r>
        <w:rPr>
          <w:rtl w:val="true"/>
        </w:rPr>
        <w:t>محمد بن حکیم مشترک بین مهملین</w:t>
      </w:r>
      <w:bookmarkEnd w:id="48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1" w:name="__RefHeading___Toc347910_2142443653"/>
      <w:bookmarkStart w:id="482" w:name="_Toc186"/>
      <w:bookmarkEnd w:id="481"/>
      <w:r>
        <w:rPr>
          <w:rtl w:val="true"/>
        </w:rPr>
        <w:t>التخییر بین الفاتحة والتسبیح فی الاخیرتین وبیان موارد الاختلاف بین الفقهاء فی المسالة</w:t>
      </w:r>
      <w:bookmarkStart w:id="483" w:name="pg15037_163789"/>
      <w:bookmarkEnd w:id="482"/>
    </w:p>
    <w:p>
      <w:pPr>
        <w:pStyle w:val="BookText"/>
        <w:rPr/>
      </w:pPr>
      <w:bookmarkEnd w:id="483"/>
      <w:r>
        <w:rPr>
          <w:rFonts w:ascii="IRNazanin" w:hAnsi="IRNazanin" w:eastAsia="IRNazanin"/>
          <w:color w:val="111111"/>
          <w:sz w:val="28"/>
          <w:sz w:val="28"/>
          <w:szCs w:val="28"/>
          <w:rtl w:val="true"/>
          <w:lang w:bidi="fa-IR"/>
        </w:rPr>
        <w:t>للإمام والمأموم ، وهو قول ابن أبی عقیل وابن إدریس ؛ والظاهر من الشیخ فی النهایة والجمل والمبسوط التخییر من غیر تفضیل ، ومن الاستبصار ذلک فی حق المنفرد ، وأمّا الإمام فالأفضل له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الجنید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للإمام المتیقّن أنّه لم یدخل فی صلاته أحد ممّن سبقه برکعة من صلاته أن یُسبّح فی الأخیرتین لیقرأ فیهما من لم یقرأ فی الأوّلتین من المأمومین ، وإن علم بدخوله أو لم یأمن من ذلک </w:t>
      </w:r>
      <w:r>
        <w:rPr>
          <w:rStyle w:val="FootnoteAnchor"/>
          <w:rtl w:val="true"/>
        </w:rPr>
        <w:footnoteReference w:id="630"/>
      </w:r>
      <w:r>
        <w:rPr>
          <w:rFonts w:ascii="IRNazanin" w:hAnsi="IRNazanin" w:eastAsia="IRNazanin"/>
          <w:color w:val="111111"/>
          <w:sz w:val="28"/>
          <w:sz w:val="28"/>
          <w:szCs w:val="28"/>
          <w:rtl w:val="true"/>
          <w:lang w:bidi="fa-IR"/>
        </w:rPr>
        <w:t>قرأ فیهما بالحمد لیکون ابتداء صلاة الداخل بقراءة ، والمأموم فیقرأ فیهما ، والمنفرد یجزؤه أیّما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یتعین قراءة الفاتحة فی الأخیرتین فی حق الناسی للقراءة فی الأوّلتین؟ 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631"/>
      </w:r>
      <w:r>
        <w:rPr>
          <w:rFonts w:ascii="IRNazanin" w:hAnsi="IRNazanin" w:eastAsia="IRNazanin"/>
          <w:color w:val="111111"/>
          <w:sz w:val="28"/>
          <w:sz w:val="28"/>
          <w:szCs w:val="28"/>
          <w:rtl w:val="true"/>
          <w:lang w:bidi="fa-IR"/>
        </w:rPr>
        <w:t>نسی القراءة فی الأوّلتین لم یبطل تخییره ، وإنّما الأولی له القراءة لئلاّ تخلو الصلاة من القراءة ، وقد روی أنّه إذا نسی القراءة فی الأوّلتین تعیّن فی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نسی القراءة فی الرکعتین الأوّلتین وذکر فی الأخیرتین سبّح فیهما ولم یقرأ فیهما شیئا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 الأوّل کما یدلّ علی إجزاء التسبیح عن قراءة الفاتحة یدل علی الاکتفاء بالمرّة المذکورة فیه ، وهی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والحمد لله ولا إله إلاّ الله والله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المنقول عن المفید رحمه الله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أقلّه أربع تسبیحات ، وهی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والحمد الله ولا إله إلاّ الله والله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4" w:name="__RefHeading___Toc347912_2142443653"/>
      <w:bookmarkStart w:id="485" w:name="_Toc187"/>
      <w:bookmarkEnd w:id="484"/>
      <w:r>
        <w:rPr>
          <w:rtl w:val="true"/>
        </w:rPr>
        <w:t>بیان دلالة الاخبار</w:t>
      </w:r>
      <w:bookmarkStart w:id="486" w:name="pg15037_163790"/>
      <w:bookmarkEnd w:id="485"/>
    </w:p>
    <w:p>
      <w:pPr>
        <w:pStyle w:val="BookText"/>
        <w:rPr/>
      </w:pPr>
      <w:bookmarkEnd w:id="486"/>
      <w:r>
        <w:rPr>
          <w:rFonts w:ascii="IRNazanin" w:hAnsi="IRNazanin" w:eastAsia="IRNazanin"/>
          <w:color w:val="111111"/>
          <w:sz w:val="28"/>
          <w:sz w:val="28"/>
          <w:szCs w:val="28"/>
          <w:rtl w:val="true"/>
          <w:lang w:bidi="fa-IR"/>
        </w:rPr>
        <w:t xml:space="preserve">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إجزاء مطلق التسبیح والتحمید والاستغفار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والمنقول عن ابن الجنید القول بأنّه یقال مکان القراءة تحمید وتسبیح وتکبیر </w:t>
      </w:r>
      <w:r>
        <w:rPr>
          <w:rStyle w:val="FootnoteAnchor"/>
          <w:rtl w:val="true"/>
        </w:rPr>
        <w:footnoteReference w:id="634"/>
      </w:r>
      <w:r>
        <w:rPr>
          <w:rFonts w:ascii="IRNazanin" w:hAnsi="IRNazanin" w:eastAsia="IRNazanin"/>
          <w:color w:val="111111"/>
          <w:sz w:val="28"/>
          <w:sz w:val="28"/>
          <w:szCs w:val="28"/>
          <w:rtl w:val="true"/>
          <w:lang w:bidi="fa-IR"/>
        </w:rPr>
        <w:t>؛ وهذا الخبر لا یدل علیه ، بل المنقول عنه الاحتجاج بالسادس ، أمّا مضمون المبحوث عنه فلم أقف علی القائل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علی المساواة مطلقا ، وقد ذکر فی المختلف أنّ القائلین بالمساواة احتجوا به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أفضلیّة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أفضلیّة القراءة للإمام والتساوی للمنفرد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رجحان التسبیح مطلقا ، وتأویل الشیخ ستسمع القول فیه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بدّ قبل الکلام فیما لا بدّ منه من ذکر بقیّة الأخبار الواردة فی الباب ممّا وقفت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 الشیخ فی زیادات الصلاة من التهذیب ، عن علی بن مهزیار ، عن النضر بن سوید ، عن محمّد بن أبی حمزة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القراءة خلف الإمام فی الرکعتین الأخیرتین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یقرأ فاتحة الکتاب ومن خلفه یسبّح ، فإذا کنت وحدک فاقرأ</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7" w:name="__RefHeading___Toc347914_2142443653"/>
      <w:bookmarkStart w:id="488" w:name="_Toc188"/>
      <w:bookmarkEnd w:id="487"/>
      <w:r>
        <w:rPr>
          <w:rtl w:val="true"/>
        </w:rPr>
        <w:t>ذکر بقیّة الاخبار الواردة فی الباب</w:t>
      </w:r>
      <w:bookmarkEnd w:id="488"/>
    </w:p>
    <w:p>
      <w:pPr>
        <w:pStyle w:val="BookText"/>
        <w:rPr/>
      </w:pPr>
      <w:r>
        <w:rPr>
          <w:rFonts w:ascii="IRNazanin" w:hAnsi="IRNazanin" w:eastAsia="IRNazanin"/>
          <w:color w:val="111111"/>
          <w:sz w:val="28"/>
          <w:sz w:val="28"/>
          <w:szCs w:val="28"/>
          <w:rtl w:val="true"/>
          <w:lang w:bidi="fa-IR"/>
        </w:rPr>
        <w:t xml:space="preserve">فیهما ، وإن شئت فسبّح </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بطریق فیه علی بن السندی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القول فیه </w:t>
      </w:r>
      <w:r>
        <w:rPr>
          <w:rStyle w:val="FootnoteAnchor"/>
          <w:rtl w:val="true"/>
        </w:rPr>
        <w:footnoteReference w:id="638"/>
      </w:r>
      <w:r>
        <w:rPr>
          <w:rFonts w:ascii="IRNazanin" w:hAnsi="IRNazanin" w:eastAsia="IRNazanin"/>
          <w:color w:val="111111"/>
          <w:sz w:val="28"/>
          <w:sz w:val="28"/>
          <w:szCs w:val="28"/>
          <w:rtl w:val="true"/>
          <w:lang w:bidi="fa-IR"/>
        </w:rPr>
        <w:t xml:space="preserve">، وباقی رجاله لا ارتیاب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والراوی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عمّا یقرأ الإمام فی الرکعتین فی آخر الصلاة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بفاتحة الکتاب ولا یقرأ الذین خلفه ، ویقرأ الرجل فیهما إذا صلّی وحده بفاتحة الکتاب </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 باب الجماعة من الزیادات عن الحسین بن سعید ، عن صفوان ، عن ابن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خلف الإمام فی صلاة لا یجهر فیها بالقراءة حتی یفرغ وکان الرجل مأمونا علی القرآن فلا تقرأ خلفه فی الأوّلتین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یجزئک التسبیح فی الأخیرتین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تقول أنت؟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أقرأ فاتحة الکتاب </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الحسین بن سعید ، عن ابن أبی عمیر ، عن ابن أُذینة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 الرجل بعض الصلاة وفاته بعض خلف إمام یحتسب بالصلاة خلفه ، جعل أوّل ما أدرک أوّل صلاته إن أدرک من الظهر أو من العصر أو من العشاء رکعتین وفاتته رکعتان ، قرأ فی کل رکعة ممّا أدرک خلف الإمام فی نفسه بأمِّ الکتاب وسورة ، فإن لم یدرک السورة تامّة أجزأته أمّ الکتاب ، فإذا سلّم الإمام قام فصلّی فیها رکعتین لا یقرأ فیهما لأنّ الصلاة إنّما یُقرأ فیها فی الأوّلتین فی کلّ رکعة بأُمّ الکتاب </w:t>
      </w:r>
    </w:p>
    <w:p>
      <w:pPr>
        <w:pStyle w:val="BookText"/>
        <w:rPr/>
      </w:pPr>
      <w:r>
        <w:rPr>
          <w:rFonts w:ascii="IRNazanin" w:hAnsi="IRNazanin" w:eastAsia="IRNazanin"/>
          <w:color w:val="111111"/>
          <w:sz w:val="28"/>
          <w:sz w:val="28"/>
          <w:szCs w:val="28"/>
          <w:rtl w:val="true"/>
          <w:lang w:bidi="fa-IR"/>
        </w:rPr>
        <w:t xml:space="preserve">وسورة ، وفی الأخیرتین لا یقرأ فیهما ، إنّما هو تسبیح وتکبیر وتهلیل ودعاء لیس فیهما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الصدوق فی الفقیه فی أوّل باب الصلاة بطریقه الصحیح عن زرارة بن أعین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الذی فرض الله علی العباد عشر رکعات وفیهن القراءة ولیس فیهن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رسول الله صلی الله علیه و آله سبعا وفیهن السهو ولیس فیهن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زرارة فی الصحیح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فی الرکعتین من الأربع رکعات المفروضات إماما کنت أو غیر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أقول فیهما؟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إماما أو وحدک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 ثلاث مرّات تکمّل تسع تسبیحات ثمّ تکبّر وترکع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ذکرها الصدوق فی باب صلاة الجماعة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بطریق وإن کان غیر سلیم إلاّ أنّ إیداع الروایة کتابه لها مزیّة کرّرنا ذکرها ، والمتن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أدنی ما یجزئ من القول فی الرکعتین الأخیرتین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سبحان الله سبحان الله </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مرسلا أیضا فی باب وصف الصلاة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محمّد ابن عمران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وصار التسبیح أفضل من القراءة فی الأخیرتین لأنّ النبی صلی الله علیه و آله لمّا کان فی الأخیرتین ذکر ما رأی من عظمة الله عزّ وجلّ فدهش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 </w:t>
      </w:r>
      <w:bookmarkStart w:id="489" w:name="pg15037_163793"/>
    </w:p>
    <w:p>
      <w:pPr>
        <w:pStyle w:val="BookText"/>
        <w:rPr/>
      </w:pPr>
      <w:bookmarkEnd w:id="489"/>
      <w:r>
        <w:rPr>
          <w:rFonts w:ascii="IRNazanin" w:hAnsi="IRNazanin" w:eastAsia="IRNazanin"/>
          <w:color w:val="111111"/>
          <w:sz w:val="28"/>
          <w:sz w:val="28"/>
          <w:szCs w:val="28"/>
          <w:rtl w:val="true"/>
          <w:lang w:bidi="fa-IR"/>
        </w:rPr>
        <w:t xml:space="preserve">فلذلک صار التسبیح أفضل من القراءة </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المختلف ذکر أنّ الروایة عن محمّد بن حمران </w:t>
      </w:r>
      <w:r>
        <w:rPr>
          <w:rStyle w:val="FootnoteAnchor"/>
          <w:rtl w:val="true"/>
        </w:rPr>
        <w:footnoteReference w:id="647"/>
      </w:r>
      <w:r>
        <w:rPr>
          <w:rFonts w:ascii="IRNazanin" w:hAnsi="IRNazanin" w:eastAsia="IRNazanin"/>
          <w:color w:val="111111"/>
          <w:sz w:val="28"/>
          <w:sz w:val="28"/>
          <w:szCs w:val="28"/>
          <w:rtl w:val="true"/>
          <w:lang w:bidi="fa-IR"/>
        </w:rPr>
        <w:t xml:space="preserve">؛ والذی فی الفقیه ما نقلناه ، ویحتمل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الروایة ، لکنه بعید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أخبار ذکرتها 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هذا فاعلم أنّه یستفاد من کثیر من هذه الأخبار رجحان التسبیح ، والفرق بین الإمام وغیره وإن وجد فی البعض إلاّ أنّ روایة الصدوق الصحیحة عن زرارة المتضمّنة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إماما أو وحدک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صریحة فی عدم الفرق ؛ والنهی فی بعض الأخبار والنفی فی صحیح زرارة المروی من الصدوق فی باب الصلاة </w:t>
      </w:r>
      <w:r>
        <w:rPr>
          <w:rStyle w:val="FootnoteAnchor"/>
          <w:rtl w:val="true"/>
        </w:rPr>
        <w:footnoteReference w:id="649"/>
      </w:r>
      <w:r>
        <w:rPr>
          <w:rFonts w:ascii="IRNazanin" w:hAnsi="IRNazanin" w:eastAsia="IRNazanin"/>
          <w:color w:val="111111"/>
          <w:sz w:val="28"/>
          <w:sz w:val="28"/>
          <w:szCs w:val="28"/>
          <w:rtl w:val="true"/>
          <w:lang w:bidi="fa-IR"/>
        </w:rPr>
        <w:t>، أقل مراتبه إفادة المرجوحیّة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النهی فی الخبر السادس المذکور فی الکتاب ، وتأویل الشیخ بالاعتقاد قد ذکرت ما فیه فی حاشیة التهذیب وغیرها ، والحاصل أنّه لو کان المراد ما ذکره ینبغی أن یکون فی الجواب ما یفید التخییر ؛ لأنّ دفع التعین کما یتحقّق بتعین التسبیح یتحقّق باحتماله ویتحقّق برجحانه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التأویل الثانی فله وجه ، إلاّ أنّ المؤیّد للترجیح إذا وجد لا حاجة إلی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أنّه یبقی الکلام فی خبر ابن سنان ، وللوالد قدس سره فیه کلام فی المنتفی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تقول أنت؟ لا مانع من حمله علی السؤال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مأموما ، وفیه ما لا یخفی ، وقد أطال قدس سره القول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0" w:name="__RefHeading___Toc347916_2142443653"/>
      <w:bookmarkStart w:id="491" w:name="_Toc189"/>
      <w:bookmarkEnd w:id="490"/>
      <w:r>
        <w:rPr>
          <w:rtl w:val="true"/>
        </w:rPr>
        <w:t>أفضلیّة التسبیح من القراءة</w:t>
      </w:r>
      <w:bookmarkStart w:id="492" w:name="pg15037_163794"/>
      <w:bookmarkEnd w:id="491"/>
    </w:p>
    <w:p>
      <w:pPr>
        <w:pStyle w:val="BookText"/>
        <w:rPr/>
      </w:pPr>
      <w:bookmarkEnd w:id="492"/>
      <w:r>
        <w:rPr>
          <w:rFonts w:ascii="IRNazanin" w:hAnsi="IRNazanin" w:eastAsia="IRNazanin"/>
          <w:color w:val="111111"/>
          <w:sz w:val="28"/>
          <w:sz w:val="28"/>
          <w:szCs w:val="28"/>
          <w:rtl w:val="true"/>
          <w:lang w:bidi="fa-IR"/>
        </w:rPr>
        <w:t xml:space="preserve">فی توجیهه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أنّه لا یبعد أن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تقول أنت؟ فی حال الإمامة ، وقراءته علیه السلام الفاتحة لاحتمال وجود مخالف یصلّی معه أو یحکی فعله لو صلّی بغیر الفاتحة ، علی أنّه لا یبعد احتمال أن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تأمرنی به؟ ویکون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التقیّة </w:t>
      </w:r>
      <w:r>
        <w:rPr>
          <w:rStyle w:val="FootnoteAnchor"/>
          <w:rtl w:val="true"/>
        </w:rPr>
        <w:footnoteReference w:id="651"/>
      </w:r>
      <w:r>
        <w:rPr>
          <w:rFonts w:ascii="IRNazanin" w:hAnsi="IRNazanin" w:eastAsia="IRNazanin"/>
          <w:color w:val="111111"/>
          <w:sz w:val="28"/>
          <w:sz w:val="28"/>
          <w:szCs w:val="28"/>
          <w:rtl w:val="true"/>
          <w:lang w:bidi="fa-IR"/>
        </w:rPr>
        <w:t>، حیث إنّ الغالب حضور أهل الخلاف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احتمال التقیة فی خبر منصور بن حازم المذکور فی الکتاب أقرب للاعتبار من حیث مظنّة ما ذکرناه ، ویؤیّد هذا إطلاق الأخبار بأفضلیّة التسبیح ، وما دل علی أفضلیّة القراءة علی الإطلاق یکون محمولا علی ما قلناه ، فینبغی التأمّل فی ذلک ، وقد أوضحت الحال فی حاشیة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تضمّنه الخبر الأوّل من إجزاء التسبیحات الأربع فهو مذهب الأکثر علی ما قیل </w:t>
      </w:r>
      <w:r>
        <w:rPr>
          <w:rStyle w:val="FootnoteAnchor"/>
          <w:rtl w:val="true"/>
        </w:rPr>
        <w:footnoteReference w:id="652"/>
      </w:r>
      <w:r>
        <w:rPr>
          <w:rFonts w:ascii="IRNazanin" w:hAnsi="IRNazanin" w:eastAsia="IRNazanin"/>
          <w:color w:val="111111"/>
          <w:sz w:val="28"/>
          <w:sz w:val="28"/>
          <w:szCs w:val="28"/>
          <w:rtl w:val="true"/>
          <w:lang w:bidi="fa-IR"/>
        </w:rPr>
        <w:t xml:space="preserve">، لکن الاستغفار فی الثانیة علی الظاهر من الروایة وجوبه ، وترکه من الاولی قد یأبی الوجوب ، إلاّ أن یقال بالتخییر بین الأربع وبین فعل التسبیح والتحمید والاستغفار غیر أن لا ترتیب ، ولم أعلم الآن القول بذلک ، إلاّ أنّ المنقول عن بعض المتأخّرین ما یقتضی وجود القائل بالاستغفار واجبا </w:t>
      </w:r>
      <w:r>
        <w:rPr>
          <w:rStyle w:val="FootnoteAnchor"/>
          <w:rtl w:val="true"/>
        </w:rPr>
        <w:footnoteReference w:id="653"/>
      </w:r>
      <w:r>
        <w:rPr>
          <w:rFonts w:ascii="IRNazanin" w:hAnsi="IRNazanin" w:eastAsia="IRNazanin"/>
          <w:color w:val="111111"/>
          <w:sz w:val="28"/>
          <w:sz w:val="28"/>
          <w:szCs w:val="28"/>
          <w:rtl w:val="true"/>
          <w:lang w:bidi="fa-IR"/>
        </w:rPr>
        <w:t>؛ والتقریب الذی ذکرناه لم یصرح به ، واحتمال أن یقال باستحباب الاستغفار بخلوّ الخبر الأوّل وغیره منه ، یشکل بالاحتمال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3" w:name="__RefHeading___Toc347918_2142443653"/>
      <w:bookmarkStart w:id="494" w:name="_Toc190"/>
      <w:bookmarkEnd w:id="493"/>
      <w:r>
        <w:rPr>
          <w:rtl w:val="true"/>
        </w:rPr>
        <w:t>حکم الاستغفار والتکبیر ، والترتیب فی التسبیحات</w:t>
      </w:r>
      <w:bookmarkEnd w:id="494"/>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ترک التکبیر فی الثانی محتمل لأن یکون عوضه الاستغفار فیکون من قبیل التخییر ، ویحتمل عدم وجوبه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کالترتیب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الثانی علی نفیه ، أمّا احتمال حمل المطلق وهو الثانی علی المقیّد وهو الأوّل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إطلاقا وتقییدا والترجیح مشکل ، والحمل غیر مشخّص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تضمنه الثانی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فظاهره ترجیح التسبیح کما یشعر به اللفظ ، مضافا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فإنّها تحمید ودعاء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کما تری یشعر بأنّ الواجب فی الأخیرتین لمّا کان التحمید والدعاء وهما موجودان فی الحمد أجزأت ، وحینئذ ربما یستفاد منه لزوم الدعاء والتحمید فقط ، وما عداه لا یکون واجبا ، والاستغفار لا یخفی أنّه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الوجه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تحقّق أحد أفراد الواجب المخیر أو فردیه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الخبر کما تری دلالة علی تضمّن الفاتحة الدعاء ، فقد یندفع به ما ورد علی قول آمین بعد الفاتحة من استلزامه تقدّم الدعاء ، والفاتحة لیست بدعاء ، فإن قصد بها الدعاء خرجت عن کونها قرآنا ، وإلاّ فلا معنی لقول آمین ، وقد تقدّم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تقدیر العمل به یتضمن مطلق الذکر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کما تری تضمّن عدم الترتیب الأوّل وترک التهلیل والاستغفار ، وحینئذ یحتمل استفادة مطلق الذکر </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کما تضمّنه الثالث </w:t>
      </w:r>
      <w:bookmarkStart w:id="495" w:name="pg15037_163796"/>
    </w:p>
    <w:p>
      <w:pPr>
        <w:pStyle w:val="BookText"/>
        <w:rPr/>
      </w:pPr>
      <w:bookmarkEnd w:id="495"/>
      <w:r>
        <w:rPr>
          <w:rFonts w:ascii="IRNazanin" w:hAnsi="IRNazanin" w:eastAsia="IRNazanin"/>
          <w:color w:val="111111"/>
          <w:sz w:val="28"/>
          <w:sz w:val="28"/>
          <w:szCs w:val="28"/>
          <w:rtl w:val="true"/>
          <w:lang w:bidi="fa-IR"/>
        </w:rPr>
        <w:t>واختلاف مدلول الأخبار ، لکن الوقوف علی مدلول الخبر الأوّل مع الاستغفار طریق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أنّه یبقی ما دل علی الثلاث کما رواه الصدوق عن زرارة </w:t>
      </w:r>
      <w:r>
        <w:rPr>
          <w:rStyle w:val="FootnoteAnchor"/>
          <w:rtl w:val="true"/>
        </w:rPr>
        <w:footnoteReference w:id="656"/>
      </w:r>
      <w:r>
        <w:rPr>
          <w:rFonts w:ascii="IRNazanin" w:hAnsi="IRNazanin" w:eastAsia="IRNazanin"/>
          <w:color w:val="111111"/>
          <w:sz w:val="28"/>
          <w:sz w:val="28"/>
          <w:szCs w:val="28"/>
          <w:rtl w:val="true"/>
          <w:lang w:bidi="fa-IR"/>
        </w:rPr>
        <w:t>، واحتمال التخییر بین الثلاث وبین الأربع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حمل المطلق علی المقید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الأربع تضمّنت التکبیر والثلاث نفیه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نقله فی المختلف عن الشیخ فی النهایة والاقتصاد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ثلاث مرّات بالأربع فیکون اثنی عشر ،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الظاهر من ابن أبی عقیل ؛ وعن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بالعشر تسبیحات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 ثلاثا ، وضمّ التکبیر فی الأخیر ، وهو اختیار الشیخ فی الجمل والمبسوط وابن إدریس وسلاّر علی ما قاله العلاّمة ، فقد 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یقف لهما علی دلیل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ذکرت فی حاشیة الروضة ما یستدل به علی الأوّل من الخبر المذکور فی آخر السرائر لابن إدریس حیث نقل عن بعض الأُصول أحادیث من جملتها ما نقلناه هناک ، ویظهر من المحقّق القول به ؛ لأنّه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حیث ذکر الروایات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عندی القول بالجواز فی الکلّ ، إذ لا ترجیح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بعید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الأخبار عدم تعیّن الذکر المخصوص ، أو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6" w:name="__RefHeading___Toc347920_2142443653"/>
      <w:bookmarkStart w:id="497" w:name="_Toc191"/>
      <w:bookmarkEnd w:id="496"/>
      <w:r>
        <w:rPr>
          <w:rtl w:val="true"/>
        </w:rPr>
        <w:t>مقدار التسبیحات</w:t>
      </w:r>
      <w:bookmarkEnd w:id="497"/>
    </w:p>
    <w:p>
      <w:pPr>
        <w:pStyle w:val="BookText"/>
        <w:rPr/>
      </w:pPr>
      <w:r>
        <w:rPr>
          <w:rFonts w:ascii="IRNazanin" w:hAnsi="IRNazanin" w:eastAsia="IRNazanin"/>
          <w:color w:val="111111"/>
          <w:sz w:val="28"/>
          <w:sz w:val="28"/>
          <w:szCs w:val="28"/>
          <w:rtl w:val="true"/>
          <w:lang w:bidi="fa-IR"/>
        </w:rPr>
        <w:t>عدم ترتیب التسبیح ، أو عدم وقوفه علی حدّ بمعنی عدم جواز الزیادة ، بل بیان أقلّ الإجزاء وحینئذ لو أتی بالزائد کان أحد أفراد المخیّر ، لکن ینبغی أن یکون القصد من أوّل الأمر کما هو شأن المخیّر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المخیر الغیر المتمیز الأفراد ممکن ، أمّا المتمیز فالاحتیاج إلی القصد غیر واضح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متمیز الأفراد وغیره لا وجه له إلاّ تخیّل أنّ المتمیز یتعین الفرد بمجرد فعله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التعیّن تابع للقصد ؛ لعدم تشخص الفرد إلاّ به ، وبدونه فهو باق علی عدم التعین المطلق ، ألا تری أنّ الانتهاء فی مواضع التخییر </w:t>
      </w:r>
      <w:r>
        <w:rPr>
          <w:rStyle w:val="FootnoteAnchor"/>
          <w:rtl w:val="true"/>
        </w:rPr>
        <w:footnoteReference w:id="659"/>
      </w:r>
      <w:r>
        <w:rPr>
          <w:rFonts w:ascii="IRNazanin" w:hAnsi="IRNazanin" w:eastAsia="IRNazanin"/>
          <w:color w:val="111111"/>
          <w:sz w:val="28"/>
          <w:sz w:val="28"/>
          <w:szCs w:val="28"/>
          <w:rtl w:val="true"/>
          <w:lang w:bidi="fa-IR"/>
        </w:rPr>
        <w:t xml:space="preserve">لا یتعین إلاّ بقصدها ، مع أنّه متمیّزة ، وفاعل الخصال فی الکفّارة من دون قصد فرد معیّن یجزؤه واحد منها ، واللازم إجزاء الأوّل </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وقد ذکرت الحال مفصّلا فی حاشیة الروضة حیث إن جدّی قدس سره ذکر کلاما فی وجوب الزائد علی الأربع وعدمه </w:t>
      </w:r>
      <w:r>
        <w:rPr>
          <w:rStyle w:val="FootnoteAnchor"/>
          <w:rtl w:val="true"/>
        </w:rPr>
        <w:footnoteReference w:id="661"/>
      </w:r>
      <w:r>
        <w:rPr>
          <w:rFonts w:ascii="IRNazanin" w:hAnsi="IRNazanin" w:eastAsia="IRNazanin"/>
          <w:color w:val="111111"/>
          <w:sz w:val="28"/>
          <w:sz w:val="28"/>
          <w:szCs w:val="28"/>
          <w:rtl w:val="true"/>
          <w:lang w:bidi="fa-IR"/>
        </w:rPr>
        <w:t>، والحاصل ما ذکرناه ، فلیکن ملحوظا بعین العنایة فإنّ له فی کثیر من المسائل مزید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ترتیب الذکر لازم؟ الأشبه لا ؛ لاختلاف الروایات </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دلالة علی بعض ما ذکرناه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علی الأربع مرّة واحدة یدل علی أنّ ما یقتضی تکرارها ثلاثا للاستحباب ، بمعنی کون المرّتین مستحبة ، أمّا کون الثلاثة أحد الأفراد فلا دلیل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تضمّنه خبر زرارة السابق الدال علی التسبیح والتکبیر وما معهما یقتضی الإتیان بما یفیده وإن تکرر فیتحقّق الواجب فی أیّ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زرارة تضمن التسبیح والتکبیر والتهلیل والدعاء ، وما تضمّن الثلاث مقتضاه التسبیح والتحمید والتهلیل والتکبیر من دون الدعاء فلا یکون من أفراد ذلک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خروج بعض الأجزاء لا یقتضی استحباب غیرها ، وحینئذ یجوز أن یکون التحمید مستحبّا فی غیر الأوّل ، وإن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خبر زرارة سقوط التحمید من جمیع التسبیح ، وما دل علی الأربع یفید لزومه ، فما هو الجواب فهو الجواب لاشتراک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دلّ علی الثلاث بالنسبة إلی ما دلّ علی الواحدة یتعیّن حمل الزائد فیه علی الاستحباب ، والنظر إلی المطلق المتضمّن لمطلق التسبیح المذکور سابقا یقتضی العمل بإطلاقه لیکون فردا من التسبیح ، والفرد الآخر التسبیحة الواحدة الواردة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 وحینئذ ما زاد عن هذا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تضمّن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تضمّن الواحدة یحتمل أن یکون فردا من المطلق ، وعلی تقدیر کونه فردا آخر یجوز أن یکون الثلاث کذلک ، لکنّها أفضل من حیث المجموع علی معنی أفضل الفردین ، لکن لا یخفی أنّ هذا الاحتمال کما ینفی احتمال جدّی قدس سره لا یثبت احتمالنا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یدّعی أنّ جمیع ما تضمّنته الأخبار المفصّلة بیان لأفراد التسبیح ، وتفاوت بعضها علی بعض بالأفضلیة ، والمطلق من الأخبار </w:t>
      </w:r>
    </w:p>
    <w:p>
      <w:pPr>
        <w:pStyle w:val="BookText"/>
        <w:rPr/>
      </w:pPr>
      <w:r>
        <w:rPr>
          <w:rFonts w:ascii="IRNazanin" w:hAnsi="IRNazanin" w:eastAsia="IRNazanin"/>
          <w:color w:val="111111"/>
          <w:sz w:val="28"/>
          <w:sz w:val="28"/>
          <w:szCs w:val="28"/>
          <w:rtl w:val="true"/>
          <w:lang w:bidi="fa-IR"/>
        </w:rPr>
        <w:t xml:space="preserve">بالتسبیح لا یخلو حمله علی المقید من إشکال ، لما عرفت من التخالف بالزیادة والنقصان ، ولعل إبقاء المطلق علی إطلاقه لا مانع منه ، والمقید یحمل علی أنّه فرد أکمل من مطلق 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تضمّنه </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الخبر المطلق ، ثم المقید یتفاوت بالأفضلیة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أنّه لا یبعد ادّعاء الاحتیاط فی التسبیح ، لأنّ ما سبق </w:t>
      </w:r>
      <w:r>
        <w:rPr>
          <w:rStyle w:val="FootnoteAnchor"/>
          <w:rtl w:val="true"/>
        </w:rPr>
        <w:footnoteReference w:id="664"/>
      </w:r>
      <w:r>
        <w:rPr>
          <w:rFonts w:ascii="IRNazanin" w:hAnsi="IRNazanin" w:eastAsia="IRNazanin"/>
          <w:color w:val="111111"/>
          <w:sz w:val="28"/>
          <w:sz w:val="28"/>
          <w:szCs w:val="28"/>
          <w:rtl w:val="true"/>
          <w:lang w:bidi="fa-IR"/>
        </w:rPr>
        <w:t xml:space="preserve">نقله عن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ابن إدریس بعدم جواز الجهر بالبسملة فی الأخیرتین ، وعن البعض بالوجوب ، لا مخلص عنه إلاّ بالتسبیح ؛ والاختلاف فی التسبیح یمکن الخلاص عنه بفعل الزائد المتّفق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أوجب الأربع لا یوجب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الزائد لا یؤتی به علی سبیل الوجوب ، والقائل بالأربع لا یمنع فعل الزائد ، وهکذا القول فی غیر هذا من التسعة والعشرة ، علی أنّ الذی یقتضیه الاعتبار ما سبق فی دلیل الجهر فی الأخیرتین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دلالة الروایة المدّعی دلالتها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الوالد قدس سره یرجّح التسبیح مطلقا ما لم یشعر بمسبوق إذا کان إماما فیقرأ علی سبیل الاحتیاط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تقدیر ما قرّرناه لو أتی بالزائد واجبا أمکن من حیث دخول الواجب فیه ؛ إذ اختلاف الأخبار قرینة جلیّة علی عدم التعیّن ، غایة الأمر أنّ الاستغفار لا یخلو وجوبه من إشکال ، والاحتیاط فی فعله مطلوب إمّا بلفظة </w:t>
      </w:r>
    </w:p>
    <w:p>
      <w:pPr>
        <w:pStyle w:val="BookText"/>
        <w:rPr/>
      </w:pPr>
      <w:r>
        <w:rPr>
          <w:rFonts w:ascii="IRNazanin" w:hAnsi="IRNazanin" w:eastAsia="IRNazanin"/>
          <w:color w:val="111111"/>
          <w:sz w:val="28"/>
          <w:sz w:val="28"/>
          <w:szCs w:val="28"/>
          <w:rtl w:val="true"/>
          <w:lang w:bidi="fa-IR"/>
        </w:rPr>
        <w:t>أو بالدعاء</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شی‌ء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قدّمنا عن الصدوق روایة تضمّنت </w:t>
      </w:r>
      <w:r>
        <w:rPr>
          <w:rStyle w:val="FootnoteAnchor"/>
          <w:rtl w:val="true"/>
        </w:rPr>
        <w:footnoteReference w:id="666"/>
      </w:r>
      <w:r>
        <w:rPr>
          <w:rFonts w:ascii="IRNazanin" w:hAnsi="IRNazanin" w:eastAsia="IRNazanin"/>
          <w:color w:val="111111"/>
          <w:sz w:val="28"/>
          <w:sz w:val="28"/>
          <w:szCs w:val="28"/>
          <w:rtl w:val="true"/>
          <w:lang w:bidi="fa-IR"/>
        </w:rPr>
        <w:t xml:space="preserve">قضاء القراءة الفائتة فی الأوّلتین </w:t>
      </w:r>
      <w:r>
        <w:rPr>
          <w:rStyle w:val="FootnoteAnchor"/>
          <w:rtl w:val="true"/>
        </w:rPr>
        <w:footnoteReference w:id="667"/>
      </w:r>
      <w:r>
        <w:rPr>
          <w:rFonts w:ascii="IRNazanin" w:hAnsi="IRNazanin" w:eastAsia="IRNazanin"/>
          <w:color w:val="111111"/>
          <w:sz w:val="28"/>
          <w:sz w:val="28"/>
          <w:szCs w:val="28"/>
          <w:rtl w:val="true"/>
          <w:lang w:bidi="fa-IR"/>
        </w:rPr>
        <w:t>، وغیر بعید أن یراد بالقضاء قراءتها فی الأخیرتین ، فیکون مذهبا للصدوق ، فلیراجع ذلک ، والله تعالی أعلم بحقائق الأحکام</w:t>
      </w:r>
      <w:r>
        <w:rPr>
          <w:rFonts w:eastAsia="IRNazanin" w:cs="IRNazanin"/>
          <w:color w:val="111111"/>
          <w:sz w:val="28"/>
          <w:szCs w:val="28"/>
          <w:rtl w:val="true"/>
          <w:lang w:bidi="fa-IR"/>
        </w:rPr>
        <w:t xml:space="preserve">. </w:t>
      </w:r>
      <w:bookmarkStart w:id="498" w:name="pg15037_163801"/>
    </w:p>
    <w:p>
      <w:pPr>
        <w:pStyle w:val="BookText"/>
        <w:rPr/>
      </w:pPr>
      <w:bookmarkEnd w:id="498"/>
      <w:r>
        <w:rPr>
          <w:rFonts w:ascii="IRNazanin" w:hAnsi="IRNazanin" w:eastAsia="IRNazanin"/>
          <w:color w:val="111111"/>
          <w:sz w:val="28"/>
          <w:sz w:val="28"/>
          <w:szCs w:val="28"/>
          <w:rtl w:val="true"/>
          <w:lang w:bidi="fa-IR"/>
        </w:rPr>
        <w:t>أبواب الرکوع والسجود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أقل ما یجزئ من التسبیح فی الرکوع والسجود</w:t>
      </w:r>
    </w:p>
    <w:p>
      <w:pPr>
        <w:pStyle w:val="BookText"/>
        <w:rPr/>
      </w:pPr>
      <w:r>
        <w:rPr>
          <w:rFonts w:ascii="IRNazanin" w:hAnsi="IRNazanin" w:eastAsia="IRNazanin"/>
          <w:color w:val="111111"/>
          <w:sz w:val="28"/>
          <w:sz w:val="28"/>
          <w:szCs w:val="28"/>
          <w:rtl w:val="true"/>
          <w:lang w:bidi="fa-IR"/>
        </w:rPr>
        <w:t xml:space="preserve">أخبرنی الشیخ رحمة الله عن أبی القاسم جعفر بن محمّد ، عن أبیه ، عن سعد بن عبد الله ، عن أحمد بن محمّد بن عیسی ، عن الحسین بن سعید ومحمّد بن خالد البرقی والعباس بن معروف ، عن القاسم بن عروة ،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التسبیح فی الرکوع والسجود ، قال </w:t>
      </w:r>
      <w:r>
        <w:rPr>
          <w:rStyle w:val="FootnoteAnchor"/>
          <w:rtl w:val="true"/>
        </w:rPr>
        <w:footnoteReference w:id="6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فی الرکوع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الفریضة من ذلک تسبیحة ، والسنّة ثلاث </w:t>
      </w:r>
      <w:r>
        <w:rPr>
          <w:rStyle w:val="FootnoteAnchor"/>
          <w:rtl w:val="true"/>
        </w:rPr>
        <w:footnoteReference w:id="669"/>
      </w:r>
      <w:r>
        <w:rPr>
          <w:rFonts w:ascii="IRNazanin" w:hAnsi="IRNazanin" w:eastAsia="IRNazanin"/>
          <w:color w:val="111111"/>
          <w:sz w:val="28"/>
          <w:sz w:val="28"/>
          <w:szCs w:val="28"/>
          <w:rtl w:val="true"/>
          <w:lang w:bidi="fa-IR"/>
        </w:rPr>
        <w:t xml:space="preserve">، والفضل فی سبع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محمّد ، عن علی بن حدید وعبد الرحمن بن أبی نجران </w:t>
      </w:r>
      <w:r>
        <w:rPr>
          <w:rStyle w:val="FootnoteAnchor"/>
          <w:rtl w:val="true"/>
        </w:rPr>
        <w:footnoteReference w:id="670"/>
      </w:r>
      <w:r>
        <w:rPr>
          <w:rFonts w:ascii="IRNazanin" w:hAnsi="IRNazanin" w:eastAsia="IRNazanin"/>
          <w:color w:val="111111"/>
          <w:sz w:val="28"/>
          <w:sz w:val="28"/>
          <w:szCs w:val="28"/>
          <w:rtl w:val="true"/>
          <w:lang w:bidi="fa-IR"/>
        </w:rPr>
        <w:t xml:space="preserve">والحسین بن سعید ، عن حمّاد بن عیسی ، عن حریز بن عبد الله ، عن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یجزئ من القول فی الرکوع والسجود؟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تسبیحات فی ترسل واحد وواحدة تامّة تجزئ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 عن أیّوب بن نوح النخعی ، عن محمّد بن أبی حمزة ، عن</w:t>
      </w:r>
    </w:p>
    <w:p>
      <w:pPr>
        <w:pStyle w:val="Heading2"/>
        <w:numPr>
          <w:ilvl w:val="1"/>
          <w:numId w:val="1"/>
        </w:numPr>
        <w:rPr/>
      </w:pPr>
      <w:bookmarkStart w:id="499" w:name="__RefHeading___Toc347922_2142443653"/>
      <w:bookmarkStart w:id="500" w:name="_Toc192"/>
      <w:bookmarkEnd w:id="499"/>
      <w:r>
        <w:rPr>
          <w:rtl w:val="true"/>
        </w:rPr>
        <w:t>أبواب الرکوع والسجود</w:t>
      </w:r>
      <w:bookmarkEnd w:id="500"/>
    </w:p>
    <w:p>
      <w:pPr>
        <w:pStyle w:val="Heading3"/>
        <w:numPr>
          <w:ilvl w:val="2"/>
          <w:numId w:val="1"/>
        </w:numPr>
        <w:rPr/>
      </w:pPr>
      <w:bookmarkStart w:id="501" w:name="__RefHeading___Toc347924_2142443653"/>
      <w:bookmarkStart w:id="502" w:name="_Toc193"/>
      <w:bookmarkEnd w:id="501"/>
      <w:r>
        <w:rPr>
          <w:rtl w:val="true"/>
        </w:rPr>
        <w:t>أقل ما یجزئ من التسبیح فی الرکوع والسجود</w:t>
      </w:r>
      <w:bookmarkEnd w:id="50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3" w:name="__RefHeading___Toc347926_2142443653"/>
      <w:bookmarkStart w:id="504" w:name="_Toc194"/>
      <w:bookmarkEnd w:id="503"/>
      <w:r>
        <w:rPr>
          <w:rtl w:val="true"/>
        </w:rPr>
        <w:t>اشارة</w:t>
      </w:r>
      <w:bookmarkStart w:id="505" w:name="pg15037_163802"/>
      <w:bookmarkEnd w:id="504"/>
    </w:p>
    <w:p>
      <w:pPr>
        <w:pStyle w:val="BookText"/>
        <w:rPr/>
      </w:pPr>
      <w:bookmarkEnd w:id="505"/>
      <w:r>
        <w:rPr>
          <w:rFonts w:ascii="IRNazanin" w:hAnsi="IRNazanin" w:eastAsia="IRNazanin"/>
          <w:color w:val="111111"/>
          <w:sz w:val="28"/>
          <w:sz w:val="28"/>
          <w:szCs w:val="28"/>
          <w:rtl w:val="true"/>
          <w:lang w:bidi="fa-IR"/>
        </w:rPr>
        <w:t xml:space="preserve">علیّ بن یقطین ، عن أبی الحسن الأوّل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الرکوع والسجود کم یجزئ </w:t>
      </w:r>
      <w:r>
        <w:rPr>
          <w:rStyle w:val="FootnoteAnchor"/>
          <w:rtl w:val="true"/>
        </w:rPr>
        <w:footnoteReference w:id="671"/>
      </w:r>
      <w:r>
        <w:rPr>
          <w:rFonts w:ascii="IRNazanin" w:hAnsi="IRNazanin" w:eastAsia="IRNazanin"/>
          <w:color w:val="111111"/>
          <w:sz w:val="28"/>
          <w:sz w:val="28"/>
          <w:szCs w:val="28"/>
          <w:rtl w:val="true"/>
          <w:lang w:bidi="fa-IR"/>
        </w:rPr>
        <w:t xml:space="preserve">فیه من التسبیح؟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ویجزؤک </w:t>
      </w:r>
      <w:r>
        <w:rPr>
          <w:rStyle w:val="FootnoteAnchor"/>
          <w:rtl w:val="true"/>
        </w:rPr>
        <w:footnoteReference w:id="672"/>
      </w:r>
      <w:r>
        <w:rPr>
          <w:rFonts w:ascii="IRNazanin" w:hAnsi="IRNazanin" w:eastAsia="IRNazanin"/>
          <w:color w:val="111111"/>
          <w:sz w:val="28"/>
          <w:sz w:val="28"/>
          <w:szCs w:val="28"/>
          <w:rtl w:val="true"/>
          <w:lang w:bidi="fa-IR"/>
        </w:rPr>
        <w:t xml:space="preserve">واحدة إذا أمکنت جبهتک من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أبی جعفر ، عن الحسن بن علی بن یقطین ، عن أخیه الحسین بن علی بن یقطین ، عن أبیه ، عن أبی الحسن الأوّل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یسجد ، کم یجزؤه من التسبیح فی رکوعه وسجوده؟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 ویجزؤه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بن عروة ، وقد تکرّر </w:t>
      </w:r>
      <w:r>
        <w:rPr>
          <w:rStyle w:val="FootnoteAnchor"/>
          <w:rtl w:val="true"/>
        </w:rPr>
        <w:footnoteReference w:id="673"/>
      </w:r>
      <w:r>
        <w:rPr>
          <w:rFonts w:ascii="IRNazanin" w:hAnsi="IRNazanin" w:eastAsia="IRNazanin"/>
          <w:color w:val="111111"/>
          <w:sz w:val="28"/>
          <w:sz w:val="28"/>
          <w:szCs w:val="28"/>
          <w:rtl w:val="true"/>
          <w:lang w:bidi="fa-IR"/>
        </w:rPr>
        <w:t xml:space="preserve">أنّا لم نقف علی ما یقتضی مدحه فضلا عن غیره ، ومحمّد بن قولویه أیضا مضی القول فیه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 رجاله ، وفیه دلالة علی أنّ ما یوجد فی بعض الطرق من روایة علی بن حدید عن عبد الرحمن بن أبی نجران لا یخلو من ریب ، بل الوالد قدس سره قد سبق ما حکیناه عنه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جزمه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 والصواب هو الواو بدلها ، وفی الرجال ما یستفاد ذلک ، لأنّ الطریق إلی حمّاد بن عیسی فیه عبد الرحمن وعلی بن حدید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347928_2142443653"/>
      <w:bookmarkStart w:id="507" w:name="_Toc195"/>
      <w:bookmarkEnd w:id="506"/>
      <w:r>
        <w:rPr>
          <w:rtl w:val="true"/>
        </w:rPr>
        <w:t>إشارة إلی حال القاسم بن عروة</w:t>
      </w:r>
      <w:bookmarkEnd w:id="50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8" w:name="__RefHeading___Toc347930_2142443653"/>
      <w:bookmarkStart w:id="509" w:name="_Toc196"/>
      <w:bookmarkEnd w:id="508"/>
      <w:r>
        <w:rPr>
          <w:rtl w:val="true"/>
        </w:rPr>
        <w:t>کلمة فی روایة علی بن حدید عن عبدالرحمن بن أبی نجران</w:t>
      </w:r>
      <w:bookmarkStart w:id="510" w:name="pg15037_163803"/>
      <w:bookmarkEnd w:id="509"/>
    </w:p>
    <w:p>
      <w:pPr>
        <w:pStyle w:val="BookText"/>
        <w:rPr/>
      </w:pPr>
      <w:bookmarkEnd w:id="510"/>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بعد ما قدّمناه فی محمّد بن أبی حمزة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فیه أحمد بن محمّد بن عیسی علی ما مضی القول فیه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الضمائر کلّها فی الأخبار عائدة إلی سعد بن عبد الله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العلاّمة فی المختلف عن الشیخ فی المبسوط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التسبیح فی الرکوع أو ما یقوم مقامه من الذکر واجب تبطل الصلاة بترکه متعمّدا ، والذکر فی السجود فریضة من ترکه متعمّدا بطلت صلاته ؛ وفی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التسبیح فی الرکوع والسجود واجب ؛ وفی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 ما یجزئ من التسبیح فی الرکوع تسبیحة واحدة وهو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وأقلّ ما یجزئ من التسبیح فی السجود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وبحمده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التسبیح بعینه واجبا فیهما ، وقال المرتضی نحوه ، وأوجب أبو الصلاح التسبیح ثلاث مرّات علی المختار ، وتسبیحة واحدة علی المضطرّ ، أفضله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سبحان الله وکذا أوجبه فی السجود ، وکذا أوجب ابن البرّاج التسبیح فیهما ، وهو الظاهر من کلام ابن بابویه والمفید وسلاّر وابن حمزة وابن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فالخبر الأوّل ذکر العلاّمة أنّهم احتجّوا به ، والظاهر منه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1" w:name="__RefHeading___Toc347932_2142443653"/>
      <w:bookmarkStart w:id="512" w:name="_Toc197"/>
      <w:bookmarkEnd w:id="511"/>
      <w:r>
        <w:rPr>
          <w:rtl w:val="true"/>
        </w:rPr>
        <w:t>الأقوال فی ذکر الرکوع والسجود وبیان ما احتجوا به</w:t>
      </w:r>
      <w:bookmarkEnd w:id="512"/>
    </w:p>
    <w:p>
      <w:pPr>
        <w:pStyle w:val="BookText"/>
        <w:rPr/>
      </w:pPr>
      <w:r>
        <w:rPr>
          <w:rFonts w:ascii="IRNazanin" w:hAnsi="IRNazanin" w:eastAsia="IRNazanin"/>
          <w:color w:val="111111"/>
          <w:sz w:val="28"/>
          <w:sz w:val="28"/>
          <w:szCs w:val="28"/>
          <w:rtl w:val="true"/>
          <w:lang w:bidi="fa-IR"/>
        </w:rPr>
        <w:t>أنّه لتعین التسبیح ، حیث اختار هو مطلق الذکر أوّلا وإن کان الإجمال واقعا 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وجّه الاحتجاج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بیّن الواجب وخصّه بالتسبیح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الفرض </w:t>
      </w:r>
      <w:r>
        <w:rPr>
          <w:rStyle w:val="FootnoteAnchor"/>
          <w:rtl w:val="true"/>
        </w:rPr>
        <w:footnoteReference w:id="680"/>
      </w:r>
      <w:r>
        <w:rPr>
          <w:rFonts w:ascii="IRNazanin" w:hAnsi="IRNazanin" w:eastAsia="IRNazanin"/>
          <w:color w:val="111111"/>
          <w:sz w:val="28"/>
          <w:sz w:val="28"/>
          <w:szCs w:val="28"/>
          <w:rtl w:val="true"/>
          <w:lang w:bidi="fa-IR"/>
        </w:rPr>
        <w:t xml:space="preserve">من ذلک تسبیحة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نصّ فی الباب ، ثم ذکر الاحتجاج بالثانی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الإجزاء إنّما یطلق فی الواجب المأتیّ به علی وجهه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ما رواه علی بن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السند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السائل سأل عن التسبیح ، فتعیّن الجواب به لیقع مطابقا ، ولیس فی ذلک تخصیص للواجب بالتسبیح ، وکذلک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الفرض من ذلک تسبیحة واحدة </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الإجزاء حکم مرتّب علی الإتیان بالمأمور به علی وجهه سواء کان واجبا أو ندبا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وجاهة الجواب الأوّل ،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یتوجه علیه أنّه إن أراد بالندب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بأفضل الفردین الواجبین کما هو الظاهر فالمستدل کلامه لا یأبی هذا بعد التوجیه المذکور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إنّما یطلق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الإتیان بالمأمور به علی وجهه متحقّق فی التسبیح ، لکونه أحد الفردین ، ولا حاجة إلی ذکر الندب ، وإن أراد فی التوجیه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الإجزاء لا یطلق إلاّ علی ما لا یجزئ غیره ، فالعبارة عنه قاصرة ، والجواب لا یتم ؛ </w:t>
      </w:r>
      <w:bookmarkStart w:id="513" w:name="pg15037_163805"/>
    </w:p>
    <w:p>
      <w:pPr>
        <w:pStyle w:val="BookText"/>
        <w:rPr/>
      </w:pPr>
      <w:bookmarkEnd w:id="513"/>
      <w:r>
        <w:rPr>
          <w:rFonts w:ascii="IRNazanin" w:hAnsi="IRNazanin" w:eastAsia="IRNazanin"/>
          <w:color w:val="111111"/>
          <w:sz w:val="28"/>
          <w:sz w:val="28"/>
          <w:szCs w:val="28"/>
          <w:rtl w:val="true"/>
          <w:lang w:bidi="fa-IR"/>
        </w:rPr>
        <w:t>لأنّ إجزاء غیره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إجزاء التسبیح لا ینافی إجزاء غیره ، أولی ؛ وستسمع ما یدل علی إجزاء مطلق الذکر </w:t>
      </w:r>
      <w:r>
        <w:rPr>
          <w:rStyle w:val="FootnoteAnchor"/>
          <w:rtl w:val="true"/>
        </w:rPr>
        <w:footnoteReference w:id="683"/>
      </w:r>
      <w:r>
        <w:rPr>
          <w:rFonts w:ascii="IRNazanin" w:hAnsi="IRNazanin" w:eastAsia="IRNazanin"/>
          <w:color w:val="111111"/>
          <w:sz w:val="28"/>
          <w:sz w:val="28"/>
          <w:szCs w:val="28"/>
          <w:rtl w:val="true"/>
          <w:lang w:bidi="fa-IR"/>
        </w:rPr>
        <w:t>، فالجواب لا مجال لإنکاره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الحدیث الأوّل کما تری لیس فیه لفظ وبحمده والأقوال المذکورة مصرّح بها فیها ، وسیأتی </w:t>
      </w:r>
      <w:r>
        <w:rPr>
          <w:rStyle w:val="FootnoteAnchor"/>
          <w:rtl w:val="true"/>
        </w:rPr>
        <w:footnoteReference w:id="684"/>
      </w:r>
      <w:r>
        <w:rPr>
          <w:rFonts w:ascii="IRNazanin" w:hAnsi="IRNazanin" w:eastAsia="IRNazanin"/>
          <w:color w:val="111111"/>
          <w:sz w:val="28"/>
          <w:sz w:val="28"/>
          <w:szCs w:val="28"/>
          <w:rtl w:val="true"/>
          <w:lang w:bidi="fa-IR"/>
        </w:rPr>
        <w:t>ما اشتمل علیها وبیان ما یمکن من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والسنّة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المراد بالسنّة المستحب وبالفضل الأفضلیّة ، ویحتمل أن یراد بالسنّة الأفضل وبالفضل مجرّد الفضل ، وفیه نوع تأمّل من حیث إنّ الزیادة تشتمل علی زیادة کمال ، إلاّ أنّ توجّه باحتمال کون الموافقة للسنّة المندوبة أولی فیفید زیادة الثواب ، وهو غیر بعید ، إلاّ أنّ للکلام فیه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یراد بالفریضة ما ثبت بالقرآن کما هو المعروف من الإطلاق فی الأخبار ، فیکون الواحدة من القرآن والثلاثة من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الأخبار عن أهل العصمة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الحکم منه علیه السلام بالأفضل أیّ شی‌ء هو؟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کما تری یدل علی إجزاء ثلاث تسبیحات فی ترسّل ، ولعلّ المراد بالترسّل التأنّی کما یظهر من بعض الأخبار الآتیة </w:t>
      </w:r>
      <w:r>
        <w:rPr>
          <w:rStyle w:val="FootnoteAnchor"/>
          <w:rtl w:val="true"/>
        </w:rPr>
        <w:footnoteReference w:id="685"/>
      </w:r>
      <w:r>
        <w:rPr>
          <w:rFonts w:ascii="IRNazanin" w:hAnsi="IRNazanin" w:eastAsia="IRNazanin"/>
          <w:color w:val="111111"/>
          <w:sz w:val="28"/>
          <w:sz w:val="28"/>
          <w:szCs w:val="28"/>
          <w:rtl w:val="true"/>
          <w:lang w:bidi="fa-IR"/>
        </w:rPr>
        <w:t>، أعنی خبر داود الأبزاری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 لا یخلو من إجمال ؛ لاحتمالها الثلاث الکبریات وغیرها ، والواحدة التامّة أیضا کذلک ، وحینئذ یحتمل وجوها </w:t>
      </w:r>
      <w:r>
        <w:rPr>
          <w:rFonts w:eastAsia="IRNazanin" w:cs="IRNazanin"/>
          <w:color w:val="111111"/>
          <w:sz w:val="28"/>
          <w:szCs w:val="28"/>
          <w:rtl w:val="true"/>
          <w:lang w:bidi="fa-IR"/>
        </w:rPr>
        <w:t>:</w:t>
      </w:r>
    </w:p>
    <w:p>
      <w:pPr>
        <w:pStyle w:val="Heading4"/>
        <w:numPr>
          <w:ilvl w:val="3"/>
          <w:numId w:val="1"/>
        </w:numPr>
        <w:rPr/>
      </w:pPr>
      <w:bookmarkStart w:id="514" w:name="__RefHeading___Toc347934_2142443653"/>
      <w:bookmarkStart w:id="515" w:name="_Toc198"/>
      <w:bookmarkEnd w:id="514"/>
      <w:r>
        <w:rPr>
          <w:rtl w:val="true"/>
        </w:rPr>
        <w:t>بیان ما دل علی أنّ الفرض تسبیحة والسنّة ثلاث</w:t>
      </w:r>
      <w:bookmarkEnd w:id="51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6" w:name="__RefHeading___Toc347936_2142443653"/>
      <w:bookmarkStart w:id="517" w:name="_Toc199"/>
      <w:bookmarkEnd w:id="516"/>
      <w:r>
        <w:rPr>
          <w:rtl w:val="true"/>
        </w:rPr>
        <w:t>بیان ما دلّ علی إجزاء ثلاث تسبیحات فی ترسّل واحد وواحدة تامّة</w:t>
      </w:r>
      <w:bookmarkEnd w:id="517"/>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بها الواحدة الکبری وهی سبحان ربی الأعلی أو العظیم مع وبحمده أو عدمها ، والثلاث حینئذ یکون سبحان الله ثلاثا ، ویحتمل أن تکون الثلاث کبریات مع کونها کبری ، وقید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للاحتراز عن سبحان الله فقط ، ولا یخفی بُعد هذا بَعد کون الثلاث کبریات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بها سبحان الله فقط ، کما یراد بالثلاث سبحان الله ، والاحتراز بالتامّة عن مثل سبح من دون لفظ الله کما فی بعض الأخبار فی التهذیب من روایة مسمع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کرامة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سبح سبح </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المنفی فی الروایة مجموع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الثلاثة یستلزم نفی الواحدة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بالتامّة الواقع فیها الترسّل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تسبیحات فی ترسّل وواحدة کذلک ، وعلی هذا یحتمل أن یکون کبری أو صغری والثلاث کذلک ، وسیأتی فی الأخبار ما یدل علی إجزاء الثلاث الصغریات </w:t>
      </w:r>
      <w:r>
        <w:rPr>
          <w:rStyle w:val="FootnoteAnchor"/>
          <w:rtl w:val="true"/>
        </w:rPr>
        <w:footnoteReference w:id="687"/>
      </w:r>
      <w:r>
        <w:rPr>
          <w:rFonts w:ascii="IRNazanin" w:hAnsi="IRNazanin" w:eastAsia="IRNazanin"/>
          <w:color w:val="111111"/>
          <w:sz w:val="28"/>
          <w:sz w:val="28"/>
          <w:szCs w:val="28"/>
          <w:rtl w:val="true"/>
          <w:lang w:bidi="fa-IR"/>
        </w:rPr>
        <w:t xml:space="preserve">، فیمکن تقیید إطلاق الخبر به ، کما یمکن تقییده بالکبریات ، لوجودها فی بعض الأخبار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بالتامّة المساویة للثلاث الصغریات ، لما یأتی فی خبر مسمع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تسبیحات أو قدرهنّ </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وحینئذ یراد بالثلاث فی الخبر المذکور الصغریات ، ویراد بالتامّة قدرهنّ وهی کبری ، وزیادة شی‌ء معها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بالتامّة تمکین الجبهة من الأرض ، کما فی خبر </w:t>
      </w:r>
    </w:p>
    <w:p>
      <w:pPr>
        <w:pStyle w:val="BookText"/>
        <w:rPr/>
      </w:pPr>
      <w:r>
        <w:rPr>
          <w:rFonts w:ascii="IRNazanin" w:hAnsi="IRNazanin" w:eastAsia="IRNazanin"/>
          <w:color w:val="111111"/>
          <w:sz w:val="28"/>
          <w:sz w:val="28"/>
          <w:szCs w:val="28"/>
          <w:rtl w:val="true"/>
          <w:lang w:bidi="fa-IR"/>
        </w:rPr>
        <w:t>علی بن یقطین ، ویبقی الاحتمالات فی الثلاث ، فینبغی التأمّل فی رجحان أحد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إطلاق العلاّمة الاستدلال بالروایات ، والمطالب فی الأقوال مختلفة والروایات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فالإجمال فیهما ظاهر ، ولا یبعد أن یبیّن بخبر معاویة بن عمّار الآتی </w:t>
      </w:r>
      <w:r>
        <w:rPr>
          <w:rStyle w:val="FootnoteAnchor"/>
          <w:rtl w:val="true"/>
        </w:rPr>
        <w:footnoteReference w:id="690"/>
      </w:r>
      <w:r>
        <w:rPr>
          <w:rFonts w:ascii="IRNazanin" w:hAnsi="IRNazanin" w:eastAsia="IRNazanin"/>
          <w:color w:val="111111"/>
          <w:sz w:val="28"/>
          <w:sz w:val="28"/>
          <w:szCs w:val="28"/>
          <w:rtl w:val="true"/>
          <w:lang w:bidi="fa-IR"/>
        </w:rPr>
        <w:t>علی تقدیر الاعتماد علی الصحیح ، وبخبر أبی بکر الحضرمی عند من یعمل به ، لکن لا یخفی أن وجود الخبرین یُبقی الإجمال ، وقد یوجّه بجواز کل من المذکور فی الخبرین فلا إجمال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صفوان ، عن مسمع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یجزئ الرجل فی صلاته أقل من ثلاث تسبیحات أو قدرهنّ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النضر ، عن یحیی الحلبی ، عن داود الأبزاری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أدنی التسبیح ثلاث مرّات وأنت ساجد ، لا تعجل فیهن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سنان ، عن ابن مسکان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أدنی ما یجزئ من التسبیح فی الرکوع والسجود؟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تسبیحات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الجمع بین هذه الأخبار من وجهین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یجوز الاقتصار علی تسبیحة واحدة إن </w:t>
      </w:r>
      <w:r>
        <w:rPr>
          <w:rStyle w:val="FootnoteAnchor"/>
          <w:rtl w:val="true"/>
        </w:rPr>
        <w:footnoteReference w:id="691"/>
      </w:r>
      <w:r>
        <w:rPr>
          <w:rFonts w:ascii="IRNazanin" w:hAnsi="IRNazanin" w:eastAsia="IRNazanin"/>
          <w:color w:val="111111"/>
          <w:sz w:val="28"/>
          <w:sz w:val="28"/>
          <w:szCs w:val="28"/>
          <w:rtl w:val="true"/>
          <w:lang w:bidi="fa-IR"/>
        </w:rPr>
        <w:t xml:space="preserve">کان تسبیحا مخصوصا ، وهو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السجود حسب ما تضمنته الروایة التی رویناها فی أوّل الباب عن هشام بن سالم ، فأمّا إن </w:t>
      </w:r>
      <w:r>
        <w:rPr>
          <w:rStyle w:val="FootnoteAnchor"/>
          <w:rtl w:val="true"/>
        </w:rPr>
        <w:footnoteReference w:id="69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یجزؤه أقلّ من ثلاث تسبیحات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یدل علی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محمّد بن علی بن محبوب ، عن أحمد بن الحسن ، عن الحسین ، عن الحسن ، عن زرعة ،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الرکوع والسجود هل نزل فی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وَاسْجُدُوا </w:t>
      </w:r>
      <w:r>
        <w:rPr>
          <w:rFonts w:eastAsia="Amiri" w:cs="Amiri" w:ascii="Amiri" w:hAnsi="Amiri"/>
          <w:color w:val="111111"/>
          <w:sz w:val="28"/>
          <w:szCs w:val="28"/>
          <w:rtl w:val="true"/>
          <w:lang w:bidi="ar-SA"/>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حدّ الرکوع والسجود؟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یجزؤک من الرکوع فثلاث تسبیحات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سبحان الله سبحان الله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عن العباس بن معروف ، عن حمّاد بن عیسی </w:t>
      </w:r>
      <w:r>
        <w:rPr>
          <w:rStyle w:val="FootnoteAnchor"/>
          <w:rtl w:val="true"/>
        </w:rPr>
        <w:footnoteReference w:id="695"/>
      </w:r>
      <w:r>
        <w:rPr>
          <w:rFonts w:ascii="IRNazanin" w:hAnsi="IRNazanin" w:eastAsia="IRNazanin"/>
          <w:color w:val="111111"/>
          <w:sz w:val="28"/>
          <w:sz w:val="28"/>
          <w:szCs w:val="28"/>
          <w:rtl w:val="true"/>
          <w:lang w:bidi="fa-IR"/>
        </w:rPr>
        <w:t xml:space="preserve">،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أخفّ ما یکون من التسبیح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تسبیحات مترسّلا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سبحان الله سبحان الله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الثانی أن نحمل الأخبار الأخیرة علی الفضل والاستحباب دون الفرض والإیجاب</w:t>
      </w:r>
      <w:r>
        <w:rPr>
          <w:rFonts w:eastAsia="IRNazanin" w:cs="IRNazanin"/>
          <w:color w:val="111111"/>
          <w:sz w:val="28"/>
          <w:szCs w:val="28"/>
          <w:rtl w:val="true"/>
          <w:lang w:bidi="fa-IR"/>
        </w:rPr>
        <w:t xml:space="preserve">. </w:t>
      </w:r>
      <w:bookmarkStart w:id="518" w:name="pg15037_163809"/>
    </w:p>
    <w:p>
      <w:pPr>
        <w:pStyle w:val="BookText"/>
        <w:rPr/>
      </w:pPr>
      <w:bookmarkEnd w:id="518"/>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إلاّ مسمع فقد قدّمنا </w:t>
      </w:r>
      <w:r>
        <w:rPr>
          <w:rStyle w:val="FootnoteAnchor"/>
          <w:rtl w:val="true"/>
        </w:rPr>
        <w:footnoteReference w:id="696"/>
      </w:r>
      <w:r>
        <w:rPr>
          <w:rFonts w:ascii="IRNazanin" w:hAnsi="IRNazanin" w:eastAsia="IRNazanin"/>
          <w:color w:val="111111"/>
          <w:sz w:val="28"/>
          <w:sz w:val="28"/>
          <w:szCs w:val="28"/>
          <w:rtl w:val="true"/>
          <w:lang w:bidi="fa-IR"/>
        </w:rPr>
        <w:t xml:space="preserve">القول فیه عن قریب من أنّ الذی یستفاد من الرجال </w:t>
      </w:r>
      <w:r>
        <w:rPr>
          <w:rStyle w:val="FootnoteAnchor"/>
          <w:rtl w:val="true"/>
        </w:rPr>
        <w:footnoteReference w:id="697"/>
      </w:r>
      <w:r>
        <w:rPr>
          <w:rFonts w:ascii="IRNazanin" w:hAnsi="IRNazanin" w:eastAsia="IRNazanin"/>
          <w:color w:val="111111"/>
          <w:sz w:val="28"/>
          <w:sz w:val="28"/>
          <w:szCs w:val="28"/>
          <w:rtl w:val="true"/>
          <w:lang w:bidi="fa-IR"/>
        </w:rPr>
        <w:t xml:space="preserve">مدحه علی تقدیر مّا ، والعلاّمة فی المختلف وصفه بالصحة </w:t>
      </w:r>
      <w:r>
        <w:rPr>
          <w:rStyle w:val="FootnoteAnchor"/>
          <w:rtl w:val="true"/>
        </w:rPr>
        <w:footnoteReference w:id="698"/>
      </w:r>
      <w:r>
        <w:rPr>
          <w:rFonts w:ascii="IRNazanin" w:hAnsi="IRNazanin" w:eastAsia="IRNazanin"/>
          <w:color w:val="111111"/>
          <w:sz w:val="28"/>
          <w:sz w:val="28"/>
          <w:szCs w:val="28"/>
          <w:rtl w:val="true"/>
          <w:lang w:bidi="fa-IR"/>
        </w:rPr>
        <w:t xml:space="preserve">، واقتفی أثره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داود الأبزاری ، وهو مذکور مهملا فی رجال الباقر علیه السلام من کتاب الشیخ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سنان وأبو بصیر وحالهما تکرّر القول فیه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فیه مشترک </w:t>
      </w:r>
      <w:r>
        <w:rPr>
          <w:rStyle w:val="FootnoteAnchor"/>
          <w:rtl w:val="true"/>
        </w:rPr>
        <w:footnoteReference w:id="702"/>
      </w:r>
      <w:r>
        <w:rPr>
          <w:rFonts w:ascii="IRNazanin" w:hAnsi="IRNazanin" w:eastAsia="IRNazanin"/>
          <w:color w:val="111111"/>
          <w:sz w:val="28"/>
          <w:sz w:val="28"/>
          <w:szCs w:val="28"/>
          <w:rtl w:val="true"/>
          <w:lang w:bidi="fa-IR"/>
        </w:rPr>
        <w:t xml:space="preserve">، والتعیین غیر واضح ، أمّا الحسین فهو ابن سعید ، کما أنّ الحسن هو أخوه فی الظاهر من روایته عن زرعة ؛ لما قیل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یروی عن زرعة بواسطة أخیه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الجمیع ، ظن الشیخ المعارضة فیه بسبب دلالة الأخبار السابقة</w:t>
      </w:r>
    </w:p>
    <w:p>
      <w:pPr>
        <w:pStyle w:val="Heading4"/>
        <w:numPr>
          <w:ilvl w:val="3"/>
          <w:numId w:val="1"/>
        </w:numPr>
        <w:rPr/>
      </w:pPr>
      <w:bookmarkStart w:id="519" w:name="__RefHeading___Toc347938_2142443653"/>
      <w:bookmarkStart w:id="520" w:name="_Toc200"/>
      <w:bookmarkEnd w:id="519"/>
      <w:r>
        <w:rPr>
          <w:rtl w:val="true"/>
        </w:rPr>
        <w:t>إشارة إلی حال مسمع</w:t>
      </w:r>
      <w:bookmarkEnd w:id="520"/>
    </w:p>
    <w:p>
      <w:pPr>
        <w:pStyle w:val="Heading4"/>
        <w:numPr>
          <w:ilvl w:val="3"/>
          <w:numId w:val="1"/>
        </w:numPr>
        <w:rPr/>
      </w:pPr>
      <w:bookmarkStart w:id="521" w:name="__RefHeading___Toc347940_2142443653"/>
      <w:bookmarkStart w:id="522" w:name="_Toc201"/>
      <w:bookmarkEnd w:id="521"/>
      <w:r>
        <w:rPr>
          <w:rtl w:val="true"/>
        </w:rPr>
        <w:t>داود الأبزاری مهمل</w:t>
      </w:r>
      <w:bookmarkEnd w:id="52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3" w:name="__RefHeading___Toc347942_2142443653"/>
      <w:bookmarkStart w:id="524" w:name="_Toc202"/>
      <w:bookmarkEnd w:id="523"/>
      <w:r>
        <w:rPr>
          <w:rtl w:val="true"/>
        </w:rPr>
        <w:t>أحمد بن الحسن مشترک</w:t>
      </w:r>
      <w:bookmarkStart w:id="525" w:name="pg15037_163810"/>
      <w:bookmarkEnd w:id="524"/>
    </w:p>
    <w:p>
      <w:pPr>
        <w:pStyle w:val="BookText"/>
        <w:rPr/>
      </w:pPr>
      <w:bookmarkEnd w:id="525"/>
      <w:r>
        <w:rPr>
          <w:rFonts w:ascii="IRNazanin" w:hAnsi="IRNazanin" w:eastAsia="IRNazanin"/>
          <w:color w:val="111111"/>
          <w:sz w:val="28"/>
          <w:sz w:val="28"/>
          <w:szCs w:val="28"/>
          <w:rtl w:val="true"/>
          <w:lang w:bidi="fa-IR"/>
        </w:rPr>
        <w:t xml:space="preserve">علی إجزاء ما دون الثلاث ، وهذه تضمّن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یجزئ أقلّ من ثلاث تسبیحات أو قدرهنّ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أنّ أدنی التسبیح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أدنی ما یجزئ الثلاث ، وغیر خفیّ أنّ الأخبار الأوّلة بعد ما قدمناه من الاحتمال فی الواحدة التامّة أن یراد بها سبحان ربی الأعلی أو سبحان ربی العظیم لا یتحقق التعارض بینها وبین الأخبار المذکورة ، لأنّ الأوّل تضمّن الثلاث أو قدرهنّ ، والواحدة لا تفی بالقدر علی تقدیر کونها تسبیحة کبری کما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یراد بقدرهن مطلق الذکر کما یدل علیه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وسنذکرها إن شاء الله </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الأخبار خاصة بالتسبیح ، فإطلاق الشیخ فی الحمل الأوّل ، محل نظر بالنسبة إلی هذا الخبر ، مضافا إلی احتمال التامّة فی الأخبار السابقة ما قدمناه </w:t>
      </w:r>
      <w:r>
        <w:rPr>
          <w:rStyle w:val="FootnoteAnchor"/>
          <w:rtl w:val="true"/>
        </w:rPr>
        <w:footnoteReference w:id="705"/>
      </w:r>
      <w:r>
        <w:rPr>
          <w:rFonts w:ascii="IRNazanin" w:hAnsi="IRNazanin" w:eastAsia="IRNazanin"/>
          <w:color w:val="111111"/>
          <w:sz w:val="28"/>
          <w:sz w:val="28"/>
          <w:szCs w:val="28"/>
          <w:rtl w:val="true"/>
          <w:lang w:bidi="fa-IR"/>
        </w:rPr>
        <w:t xml:space="preserve">؛ علی أنّ الخبر تضمّن ما یجزئ الرجل فی صلاته ، ولا یتعیّن کونه فی الرکوع والسجود ؛ لجواز </w:t>
      </w:r>
      <w:r>
        <w:rPr>
          <w:rStyle w:val="FootnoteAnchor"/>
          <w:rtl w:val="true"/>
        </w:rPr>
        <w:footnoteReference w:id="706"/>
      </w:r>
      <w:r>
        <w:rPr>
          <w:rFonts w:ascii="IRNazanin" w:hAnsi="IRNazanin" w:eastAsia="IRNazanin"/>
          <w:color w:val="111111"/>
          <w:sz w:val="28"/>
          <w:sz w:val="28"/>
          <w:szCs w:val="28"/>
          <w:rtl w:val="true"/>
          <w:lang w:bidi="fa-IR"/>
        </w:rPr>
        <w:t xml:space="preserve">حمله علی الأخیرتین کما </w:t>
      </w:r>
      <w:r>
        <w:rPr>
          <w:rStyle w:val="FootnoteAnchor"/>
          <w:rtl w:val="true"/>
        </w:rPr>
        <w:footnoteReference w:id="707"/>
      </w:r>
      <w:r>
        <w:rPr>
          <w:rFonts w:ascii="IRNazanin" w:hAnsi="IRNazanin" w:eastAsia="IRNazanin"/>
          <w:color w:val="111111"/>
          <w:sz w:val="28"/>
          <w:sz w:val="28"/>
          <w:szCs w:val="28"/>
          <w:rtl w:val="true"/>
          <w:lang w:bidi="fa-IR"/>
        </w:rPr>
        <w:t xml:space="preserve">سبق نقله من روایة الصدوق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أدنی ما یجزئ من التسبیح فی الأخیرتین سبحان الله سبحان الله سبحان الله </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ولعلّ الشیخ نظر إلی تبادر تسبیح الرکوع والسجود أو إلی العموم المتناول لهما وللأخیرتین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أنّ أدنی التسبیح ثلاث مرّات ، فإن حمل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6" w:name="__RefHeading___Toc347944_2142443653"/>
      <w:bookmarkStart w:id="527" w:name="_Toc203"/>
      <w:bookmarkEnd w:id="526"/>
      <w:r>
        <w:rPr>
          <w:rtl w:val="true"/>
        </w:rPr>
        <w:t>توجیه ما دلّ علی أنّه لا یجزئ أقل من ثلاثه تسبیحات أو قدرهن</w:t>
      </w:r>
      <w:bookmarkEnd w:id="527"/>
    </w:p>
    <w:p>
      <w:pPr>
        <w:pStyle w:val="BookText"/>
        <w:rPr/>
      </w:pPr>
      <w:r>
        <w:rPr>
          <w:rFonts w:ascii="IRNazanin" w:hAnsi="IRNazanin" w:eastAsia="IRNazanin"/>
          <w:color w:val="111111"/>
          <w:sz w:val="28"/>
          <w:sz w:val="28"/>
          <w:szCs w:val="28"/>
          <w:rtl w:val="true"/>
          <w:lang w:bidi="fa-IR"/>
        </w:rPr>
        <w:t xml:space="preserve">علی ما ذکره الشیخ من أنّه إنّما یجوز الاقتصار علی واحدة إذا أتی بالمخصوص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الأخبار السابقة </w:t>
      </w:r>
      <w:r>
        <w:rPr>
          <w:rStyle w:val="FootnoteAnchor"/>
          <w:rtl w:val="true"/>
        </w:rPr>
        <w:footnoteReference w:id="709"/>
      </w:r>
      <w:r>
        <w:rPr>
          <w:rFonts w:ascii="IRNazanin" w:hAnsi="IRNazanin" w:eastAsia="IRNazanin"/>
          <w:color w:val="111111"/>
          <w:sz w:val="28"/>
          <w:sz w:val="28"/>
          <w:szCs w:val="28"/>
          <w:rtl w:val="true"/>
          <w:lang w:bidi="fa-IR"/>
        </w:rPr>
        <w:t xml:space="preserve">قد دل علی الواحدة التامّة ؛ واحتمال کونها من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سبحان الله مرّة دون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نقلناه عن التهذیب من روایة مسمع </w:t>
      </w:r>
      <w:r>
        <w:rPr>
          <w:rStyle w:val="FootnoteAnchor"/>
          <w:rtl w:val="true"/>
        </w:rPr>
        <w:footnoteReference w:id="710"/>
      </w:r>
      <w:r>
        <w:rPr>
          <w:rFonts w:ascii="IRNazanin" w:hAnsi="IRNazanin" w:eastAsia="IRNazanin"/>
          <w:color w:val="111111"/>
          <w:sz w:val="28"/>
          <w:sz w:val="28"/>
          <w:szCs w:val="28"/>
          <w:rtl w:val="true"/>
          <w:lang w:bidi="fa-IR"/>
        </w:rPr>
        <w:t xml:space="preserve">له قرب بالنسبة إلی الشیخ ، فلا یتعیّن الحمل علی الکبری ، علی أنّه سیأتی ما یدل علی أنّ الکبری فیها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وبحمده ، </w:t>
      </w:r>
      <w:r>
        <w:rPr>
          <w:rStyle w:val="FootnoteAnchor"/>
          <w:rtl w:val="true"/>
        </w:rPr>
        <w:footnoteReference w:id="711"/>
      </w:r>
      <w:r>
        <w:rPr>
          <w:rFonts w:ascii="IRNazanin" w:hAnsi="IRNazanin" w:eastAsia="IRNazanin"/>
          <w:color w:val="111111"/>
          <w:sz w:val="28"/>
          <w:sz w:val="28"/>
          <w:szCs w:val="28"/>
          <w:rtl w:val="true"/>
          <w:lang w:bidi="fa-IR"/>
        </w:rPr>
        <w:t>فلا یتم الإطلاق فی الوجه الأوّل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السؤال فی الروایة عن أدنی ما یجزئ من التسبیح ، فإن کان المراد کما هو الظاهر السؤال عن أدنی الواجب من التسبیح علی الإطلاق بمعنی شموله لجمیع أنواعه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الثلاث الکبریات أو الثلاث الصغریات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فالأدنی لا ینحصر فی الثلاث الصغریات ، بل الواحدة الکبری بالنسبة إلی الثلاث الکبریات أدنی ، وإن أرید الأدنی بالنسبة إلی الصغریات فلا وجه لذکر الأدنی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فالمستفاد من الأخبار السابقة الدالة علی الواحدة التامّة إذا حملت علی الکبری کونها مساویة للثلاث فی الحکم ، فإذا کان أدنی ما یجزئ هو الثلاث کانت الواحدة الکبری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فیه کالثانی ، وقد ذکرت فی فوائد التهذیب کلاما آخر ، من أراد 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فالدلالة فیه علی ما ذکره الشیخ غیر واضحة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دلّ علی أنّ الغیر مجز مطلقا لکن الثلاث أخف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عرفت هذا فاعلم أنّ ما ذکره العلاّمة فی المختلف من استدلال القائلین بتعیّن التسبیح بالروایات المذکورة قد تقدم ذکره </w:t>
      </w:r>
      <w:r>
        <w:rPr>
          <w:rStyle w:val="FootnoteAnchor"/>
          <w:rtl w:val="true"/>
        </w:rPr>
        <w:footnoteReference w:id="712"/>
      </w:r>
      <w:r>
        <w:rPr>
          <w:rFonts w:ascii="IRNazanin" w:hAnsi="IRNazanin" w:eastAsia="IRNazanin"/>
          <w:color w:val="111111"/>
          <w:sz w:val="28"/>
          <w:sz w:val="28"/>
          <w:szCs w:val="28"/>
          <w:rtl w:val="true"/>
          <w:lang w:bidi="fa-IR"/>
        </w:rPr>
        <w:t xml:space="preserve">، غیر أنّه استدل علی مختاره من إجزاء مطلق الذکر بروایتین رواهما الشیخ فی التهذیب ،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الحکم فی الصحیح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یجزئ أن أقول مکان التسبیح فی الرکوع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والحمد لله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کل </w:t>
      </w:r>
      <w:r>
        <w:rPr>
          <w:rStyle w:val="FootnoteAnchor"/>
          <w:rtl w:val="true"/>
        </w:rPr>
        <w:footnoteReference w:id="714"/>
      </w:r>
      <w:r>
        <w:rPr>
          <w:rFonts w:ascii="IRNazanin" w:hAnsi="IRNazanin" w:eastAsia="IRNazanin"/>
          <w:color w:val="111111"/>
          <w:sz w:val="28"/>
          <w:sz w:val="28"/>
          <w:szCs w:val="28"/>
          <w:rtl w:val="true"/>
          <w:lang w:bidi="fa-IR"/>
        </w:rPr>
        <w:t xml:space="preserve">هذا ذکر الله </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وفی الصحیح عن هشام بن سالم عن أبی عبد الله علیه السلام مثله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کلام الشیخ بعینه ، وقد نقله فی المختلف </w:t>
      </w:r>
      <w:r>
        <w:rPr>
          <w:rStyle w:val="FootnoteAnchor"/>
          <w:rtl w:val="true"/>
        </w:rPr>
        <w:footnoteReference w:id="717"/>
      </w:r>
      <w:r>
        <w:rPr>
          <w:rFonts w:ascii="IRNazanin" w:hAnsi="IRNazanin" w:eastAsia="IRNazanin"/>
          <w:color w:val="111111"/>
          <w:sz w:val="28"/>
          <w:sz w:val="28"/>
          <w:szCs w:val="28"/>
          <w:rtl w:val="true"/>
          <w:lang w:bidi="fa-IR"/>
        </w:rPr>
        <w:t>کذلک ، وکثیرا ما یخطر فی البال نوع توقف فی مثل هذا لاحتمال ظن المماثلة من الشیخ ، فالاکتفاء به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والروایتان المذکورتان عن التهذیب منقولتان فی الزیادات من کتاب الصلاة ، وقد وجدت الآن فی الکافی الروایة الثانیة عن هشام غیر مفسّرة بما قاله الشیخ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أیجزئ عنّی أن أقول مکان التسبیح فی الرکوع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والله أکبر؟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المماثلة غیر حاصلة من کل وجه ، بل ربما دلّ الخبر علی نوع خاص من الذکر بخلاف الأوّل ، وحینئذ فالاعتماد علی قول الشیخ مشکل ، کما أشرنا إلیه ، فلا ینبغی الغفلة عنه ، وقد مشی مشایخنا </w:t>
      </w:r>
      <w:r>
        <w:rPr>
          <w:rStyle w:val="FootnoteAnchor"/>
          <w:rtl w:val="true"/>
        </w:rPr>
        <w:footnoteReference w:id="719"/>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ما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فی الخبر کلام فی فوائد التهذیب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هذا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یحتمل إرادة المجموع أو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التقدیر ، المتبادر من السؤال کونه عن عوض التسبیح ، فالاستدلال به علی إجزاء سبحان الله وحدها لکونها ذکرا محلّ تأمّل یعرف وجهه ممّا فصّلناه فی الفوائد المذکورة ، ونزید هنا أنّ احتمال العموم فی الجواب علی تقدیر ظهوره یخص بما دلّ علی التسبیح ، وأنّه لا یجزئ سبحان الله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دل علی الواحدة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علی الواحدة من الثلاث المذکورة فی بعض الأخبار ، فیتم المطلوب ، ویشکل باحتمال الواحدة التامّة </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بما فی الخبر الأوّل ، وهی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لا یحصل له الجزم بالأجزاء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التخصیص بالکبری لا وجه له ؛ إذ لا منافاة بین إجزاء الکبری وإجزاء واحدة صغری من الخبر ، ویراد بالتمام عدم الإتیان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 کما مضی </w:t>
      </w:r>
      <w:r>
        <w:rPr>
          <w:rStyle w:val="FootnoteAnchor"/>
          <w:rtl w:val="true"/>
        </w:rPr>
        <w:footnoteReference w:id="721"/>
      </w:r>
      <w:r>
        <w:rPr>
          <w:rFonts w:ascii="Amiri" w:hAnsi="Amiri" w:eastAsia="Amiri" w:cs="Amiri"/>
          <w:color w:val="111111"/>
          <w:sz w:val="28"/>
          <w:sz w:val="28"/>
          <w:szCs w:val="28"/>
          <w:rtl w:val="true"/>
          <w:lang w:bidi="ar-SA"/>
        </w:rPr>
        <w:t xml:space="preserve">؛ والاحتمالات الأُخر السابقة </w:t>
      </w:r>
      <w:r>
        <w:rPr>
          <w:rStyle w:val="FootnoteAnchor"/>
          <w:rtl w:val="true"/>
        </w:rPr>
        <w:footnoteReference w:id="722"/>
      </w:r>
      <w:r>
        <w:rPr>
          <w:rFonts w:ascii="IRNazanin" w:hAnsi="IRNazanin" w:eastAsia="IRNazanin"/>
          <w:color w:val="111111"/>
          <w:sz w:val="28"/>
          <w:sz w:val="28"/>
          <w:szCs w:val="28"/>
          <w:rtl w:val="true"/>
          <w:lang w:bidi="fa-IR"/>
        </w:rPr>
        <w:t>بعید بعضها وبعضها لا یضرّ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تحقّق الإجزاء موقوف علی الصراحة کما أنّ تخصیص العموم فی الخبرین کذلک ، ومن هنا یظهر أنّ إطلاق شیخنا قدس سره </w:t>
      </w:r>
      <w:r>
        <w:rPr>
          <w:rStyle w:val="FootnoteAnchor"/>
          <w:rtl w:val="true"/>
        </w:rPr>
        <w:footnoteReference w:id="723"/>
      </w:r>
      <w:r>
        <w:rPr>
          <w:rFonts w:ascii="IRNazanin" w:hAnsi="IRNazanin" w:eastAsia="IRNazanin"/>
          <w:color w:val="111111"/>
          <w:sz w:val="28"/>
          <w:sz w:val="28"/>
          <w:szCs w:val="28"/>
          <w:rtl w:val="true"/>
          <w:lang w:bidi="fa-IR"/>
        </w:rPr>
        <w:t xml:space="preserve">وبعض محقّقی المعاصرین </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مطلق الذکر محلّ 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الوجه الثانی للشیخ ، فقد یتوجه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الفضل فی الأخبار الأخیرة إمّا أن یرید به کونه أفضل من سبحان الله وحدها ، أو أفضل من سبحان ربی العظیم أو الأعلی وحدها ، فإن أراد الأوّل فلم یسبق ما یدل علیه ، وإن أراد الثانی فالخبر الأوّل من الأخبار الأخیرة تضمن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قدرها ، وهو یقتضی مساواة القدر فی الفضل ، لا التسبیحات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 الشیخ جمیع ما تضمنته الأخبار الأخیرة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یبقی الواحدة التامّة علی تقدیر أن تکون هی الکبری مفضولة بحمله ما دل علی الثلاث ومقدارها علی الفضل ، والمقدار فی الکبری غیر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إرادة الکبری لکونها مقدارها فی الجملة فالخبر الأوّل من أخبار الباب دلّ علی أنّ السنّة فی ثلاث ، والمتبادر منه أنّ السنّة فی ثلاث کبری ، لما سبق فیه من ذکر الواحدة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أن یراد بالثلاث الصغریات لا یناسب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الفریضة واحدة ، لأنّ الظاهر من الواحدة الکبری ، ولو أراد من الثلاث بَعد عن اللفظ ، بل لا وجه له منه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تقدیر الحمل علی الفضیلة نظرا إلی إمکان توجیه مرّات الفضل فالمراد بالفضل إمّا کون الثلاث أفضل الفردین الواجبین تخییرا ، أو کون الواحدة هی الواجب والباقی مستحب ، وکلا الأمرین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الاکتفاء بالواحدة الصغری فی الفرض لا دلیل علیها إلاّ من حیث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وواحدة تامّة تجزئ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احتمالات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للواجب أفراد ، والأفضل ما اقتضی زیادة وبحمده فی الثلاث ، فلو حملت التسبیحات الثلاث علی الفضل مطلقا أشکل الحال ، ولو حملت علی مطلق الفضل لزم بیان الأفضل</w:t>
      </w:r>
      <w:r>
        <w:rPr>
          <w:rFonts w:eastAsia="IRNazanin" w:cs="IRNazanin"/>
          <w:color w:val="111111"/>
          <w:sz w:val="28"/>
          <w:szCs w:val="28"/>
          <w:rtl w:val="true"/>
          <w:lang w:bidi="fa-IR"/>
        </w:rPr>
        <w:t xml:space="preserve">. </w:t>
      </w:r>
      <w:bookmarkStart w:id="528" w:name="pg15037_163815"/>
    </w:p>
    <w:p>
      <w:pPr>
        <w:pStyle w:val="BookText"/>
        <w:rPr/>
      </w:pPr>
      <w:bookmarkEnd w:id="528"/>
      <w:r>
        <w:rPr>
          <w:rFonts w:ascii="IRNazanin" w:hAnsi="IRNazanin" w:eastAsia="IRNazanin"/>
          <w:color w:val="111111"/>
          <w:sz w:val="28"/>
          <w:sz w:val="28"/>
          <w:szCs w:val="28"/>
          <w:rtl w:val="true"/>
          <w:lang w:bidi="fa-IR"/>
        </w:rPr>
        <w:t xml:space="preserve">ویخطر فی البال عدم البُعد فی کون المجموع واجبا بتقدیر القصد إلی کون المجموع فردا من أفراد الواجب المخیّر علی أنّه أحد الفردین الواجبین ، والفردان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الواحدة الکبری ، أو الکبری مع زیادة تساوی الثلاث ، أو زیادة وبحمده وإمّا الثلاث ؛ وعلی تقدیر الفرد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الکبریات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الواجب المجموع ، وکماله حینئذ باعتبار رجحان زیادته علی غیره فی الثواب ، لا أنّ الفرد الأوّل هو الواجب والزائد مستحب علی الإطلاق ، کما یظهر من جدّی قدس سره </w:t>
      </w:r>
      <w:r>
        <w:rPr>
          <w:rStyle w:val="FootnoteAnchor"/>
          <w:rtl w:val="true"/>
        </w:rPr>
        <w:footnoteReference w:id="725"/>
      </w:r>
      <w:r>
        <w:rPr>
          <w:rFonts w:ascii="IRNazanin" w:hAnsi="IRNazanin" w:eastAsia="IRNazanin"/>
          <w:color w:val="111111"/>
          <w:sz w:val="28"/>
          <w:sz w:val="28"/>
          <w:szCs w:val="28"/>
          <w:rtl w:val="true"/>
          <w:lang w:bidi="fa-IR"/>
        </w:rPr>
        <w:t xml:space="preserve">وغیره </w:t>
      </w:r>
      <w:r>
        <w:rPr>
          <w:rStyle w:val="FootnoteAnchor"/>
          <w:rtl w:val="true"/>
        </w:rPr>
        <w:footnoteReference w:id="726"/>
      </w:r>
      <w:r>
        <w:rPr>
          <w:rFonts w:ascii="IRNazanin" w:hAnsi="IRNazanin" w:eastAsia="IRNazanin"/>
          <w:color w:val="111111"/>
          <w:sz w:val="28"/>
          <w:sz w:val="28"/>
          <w:szCs w:val="28"/>
          <w:rtl w:val="true"/>
          <w:lang w:bidi="fa-IR"/>
        </w:rPr>
        <w:t xml:space="preserve">، وقد حققنا ذلک فی حواشی الروضة وأشرنا إلیه فی التسبیح فی الأخیرتین هنا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یعلم انّ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الفرض والإیجاب ؛ یحتمل أن یکون المراد به دون الفرض المعیّن والإیجاب کذلک ، ویحتمل أن یرید به أنّ الزائد مستحب لا واجب ،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ترسّل فی قراءته اتّأد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الترسیل فی القراءة الترتیل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رتّل الکلام ترتیلا أحسن تألیفه ، وترتّل فیه ترسّل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التّید الرفق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تَیدَکَ یا هذا أی اتّئد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9" w:name="__RefHeading___Toc347946_2142443653"/>
      <w:bookmarkStart w:id="530" w:name="_Toc204"/>
      <w:bookmarkEnd w:id="529"/>
      <w:r>
        <w:rPr>
          <w:rtl w:val="true"/>
        </w:rPr>
        <w:t>معنی الترسّل</w:t>
      </w:r>
      <w:bookmarkEnd w:id="53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یکشف عما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أحمد بن محمّد بن عیسی ، عن علی بن الحکم ، عن یحیی </w:t>
      </w:r>
      <w:r>
        <w:rPr>
          <w:rStyle w:val="FootnoteAnchor"/>
          <w:rtl w:val="true"/>
        </w:rPr>
        <w:footnoteReference w:id="731"/>
      </w:r>
      <w:r>
        <w:rPr>
          <w:rFonts w:ascii="IRNazanin" w:hAnsi="IRNazanin" w:eastAsia="IRNazanin"/>
          <w:color w:val="111111"/>
          <w:sz w:val="28"/>
          <w:sz w:val="28"/>
          <w:szCs w:val="28"/>
          <w:rtl w:val="true"/>
          <w:lang w:bidi="fa-IR"/>
        </w:rPr>
        <w:t xml:space="preserve">بن عبد الملک ، عن أبی بکر الحضرمی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حد الرکوع والسجود؟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ثلاثا فی الرکوع ، وسبحان ربی الأعلی وبحمده ثلاثا فی السجود ، فمن نقص واحدة نقص ثلث صلاته ، ومن نقص اثنتین نقص ثلثی صلاته ، ومن لم یسبّح فلا صلاة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فدل هذا الخبر علی أنّهم إنّما نفوا الکمال والفضل ، ألا تری أنّهم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نقص واحدة نقص ثلث صلاته ، ومن نقص اثنتین نقص ثلثی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أن الأمر علی ما ذکرناه لما کان فرق بین الإخلال بواحدة فی أن یکون ذلک مبطلا للصلاة وبین الإخلال بالجمیع ، وقد علمنا أنّهم فرّقوا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أحمد بن محمّد ، عن ابن فضال ، عن ابن بکیر ، عن حمزة بن حمران والحسن بن زیاد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أبی عبد الله علیه السلام وعنده قوم یصلّی بهم العصر وقد کنّا صلّینا فعددنا له فی رکوعه سبحان ربی العظیم </w:t>
      </w:r>
      <w:r>
        <w:rPr>
          <w:rStyle w:val="FootnoteAnchor"/>
          <w:rtl w:val="true"/>
        </w:rPr>
        <w:footnoteReference w:id="732"/>
      </w:r>
      <w:r>
        <w:rPr>
          <w:rFonts w:ascii="IRNazanin" w:hAnsi="IRNazanin" w:eastAsia="IRNazanin"/>
          <w:color w:val="111111"/>
          <w:sz w:val="28"/>
          <w:sz w:val="28"/>
          <w:szCs w:val="28"/>
          <w:rtl w:val="true"/>
          <w:lang w:bidi="fa-IR"/>
        </w:rPr>
        <w:t>أربعا أو ثلاثا وثلاثین مرّة ، وقال أحدهما فی حدیثه وبحمده فی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مخصوصة بفعله علیه السلام ، </w:t>
      </w:r>
      <w:bookmarkStart w:id="531" w:name="pg15037_163817"/>
    </w:p>
    <w:p>
      <w:pPr>
        <w:pStyle w:val="BookText"/>
        <w:rPr/>
      </w:pPr>
      <w:bookmarkEnd w:id="531"/>
      <w:r>
        <w:rPr>
          <w:rFonts w:ascii="IRNazanin" w:hAnsi="IRNazanin" w:eastAsia="IRNazanin"/>
          <w:color w:val="111111"/>
          <w:sz w:val="28"/>
          <w:sz w:val="28"/>
          <w:szCs w:val="28"/>
          <w:rtl w:val="true"/>
          <w:lang w:bidi="fa-IR"/>
        </w:rPr>
        <w:t xml:space="preserve">وصلاته بمن </w:t>
      </w:r>
      <w:r>
        <w:rPr>
          <w:rStyle w:val="FootnoteAnchor"/>
          <w:rtl w:val="true"/>
        </w:rPr>
        <w:footnoteReference w:id="733"/>
      </w:r>
      <w:r>
        <w:rPr>
          <w:rFonts w:ascii="IRNazanin" w:hAnsi="IRNazanin" w:eastAsia="IRNazanin"/>
          <w:color w:val="111111"/>
          <w:sz w:val="28"/>
          <w:sz w:val="28"/>
          <w:szCs w:val="28"/>
          <w:rtl w:val="true"/>
          <w:lang w:bidi="fa-IR"/>
        </w:rPr>
        <w:t xml:space="preserve">علم أنّه یطیق ذلک ، لأنّ الأصل فی صلاة الجماعة التخفیف کما نبیّنه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یحیی بن عبد الملک ، وفی رجال الصادق علیه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 الملک بن أبی عتبة الخزاعی مهملا </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الحضرمی مضی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حاله لا یزید علی الإهمال علی ما یظهر من الرجال ، لا ما ذکره شیخنا قدس سره من عدم العلم بإیمانه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فیه الحسن علی الظاهر من الممارسة للروایات ، من روایة أحمد بن محمّد بن عیسی عنه بکثرة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ابن بکیر فمضی القول فیه کالحسن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بن حمران لا یزید علی الإهمال </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زیاد فیه اشتراک بین العطّار الثقة والصیقل المهمل </w:t>
      </w:r>
      <w:r>
        <w:rPr>
          <w:rStyle w:val="FootnoteAnchor"/>
          <w:rtl w:val="true"/>
        </w:rPr>
        <w:footnoteReference w:id="739"/>
      </w:r>
      <w:r>
        <w:rPr>
          <w:rFonts w:ascii="IRNazanin" w:hAnsi="IRNazanin" w:eastAsia="IRNazanin"/>
          <w:color w:val="111111"/>
          <w:sz w:val="28"/>
          <w:sz w:val="28"/>
          <w:szCs w:val="28"/>
          <w:rtl w:val="true"/>
          <w:lang w:bidi="fa-IR"/>
        </w:rPr>
        <w:t xml:space="preserve">، ودعوی بعض الأصحاب الاتحاد </w:t>
      </w:r>
      <w:r>
        <w:rPr>
          <w:rStyle w:val="FootnoteAnchor"/>
          <w:rtl w:val="true"/>
        </w:rPr>
        <w:footnoteReference w:id="740"/>
      </w:r>
      <w:r>
        <w:rPr>
          <w:rFonts w:ascii="IRNazanin" w:hAnsi="IRNazanin" w:eastAsia="IRNazanin"/>
          <w:color w:val="111111"/>
          <w:sz w:val="28"/>
          <w:sz w:val="28"/>
          <w:szCs w:val="28"/>
          <w:rtl w:val="true"/>
          <w:lang w:bidi="fa-IR"/>
        </w:rPr>
        <w:t>، فیکون الثقة ، محتاجة إلی ما یثبتها ، ولم نعلمه</w:t>
      </w:r>
      <w:r>
        <w:rPr>
          <w:rFonts w:eastAsia="IRNazanin" w:cs="IRNazanin"/>
          <w:color w:val="111111"/>
          <w:sz w:val="28"/>
          <w:szCs w:val="28"/>
          <w:rtl w:val="true"/>
          <w:lang w:bidi="fa-IR"/>
        </w:rPr>
        <w:t>.</w:t>
      </w:r>
    </w:p>
    <w:p>
      <w:pPr>
        <w:pStyle w:val="Heading4"/>
        <w:numPr>
          <w:ilvl w:val="3"/>
          <w:numId w:val="1"/>
        </w:numPr>
        <w:rPr/>
      </w:pPr>
      <w:bookmarkStart w:id="532" w:name="__RefHeading___Toc347948_2142443653"/>
      <w:bookmarkStart w:id="533" w:name="_Toc205"/>
      <w:bookmarkEnd w:id="532"/>
      <w:r>
        <w:rPr>
          <w:rtl w:val="true"/>
        </w:rPr>
        <w:t>یحیی بن عبدالملک مهمل</w:t>
      </w:r>
      <w:bookmarkEnd w:id="533"/>
    </w:p>
    <w:p>
      <w:pPr>
        <w:pStyle w:val="Heading4"/>
        <w:numPr>
          <w:ilvl w:val="3"/>
          <w:numId w:val="1"/>
        </w:numPr>
        <w:rPr/>
      </w:pPr>
      <w:bookmarkStart w:id="534" w:name="__RefHeading___Toc347950_2142443653"/>
      <w:bookmarkStart w:id="535" w:name="_Toc206"/>
      <w:bookmarkEnd w:id="534"/>
      <w:r>
        <w:rPr>
          <w:rtl w:val="true"/>
        </w:rPr>
        <w:t>إشارة إلی حال أبی بکر الحضرمی</w:t>
      </w:r>
      <w:bookmarkEnd w:id="535"/>
    </w:p>
    <w:p>
      <w:pPr>
        <w:pStyle w:val="Heading4"/>
        <w:numPr>
          <w:ilvl w:val="3"/>
          <w:numId w:val="1"/>
        </w:numPr>
        <w:rPr/>
      </w:pPr>
      <w:bookmarkStart w:id="536" w:name="__RefHeading___Toc347952_2142443653"/>
      <w:bookmarkStart w:id="537" w:name="_Toc207"/>
      <w:bookmarkEnd w:id="536"/>
      <w:r>
        <w:rPr>
          <w:rtl w:val="true"/>
        </w:rPr>
        <w:t>حمزة بن حمران مهمل</w:t>
      </w:r>
      <w:bookmarkEnd w:id="53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8" w:name="__RefHeading___Toc347954_2142443653"/>
      <w:bookmarkStart w:id="539" w:name="_Toc208"/>
      <w:bookmarkEnd w:id="538"/>
      <w:r>
        <w:rPr>
          <w:rtl w:val="true"/>
        </w:rPr>
        <w:t>الحسن بن زیاد مشترک</w:t>
      </w:r>
      <w:bookmarkStart w:id="540" w:name="pg15037_163818"/>
      <w:bookmarkEnd w:id="539"/>
    </w:p>
    <w:p>
      <w:pPr>
        <w:pStyle w:val="BookText"/>
        <w:rPr/>
      </w:pPr>
      <w:bookmarkEnd w:id="540"/>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کشفه لما ذکره الشیخ من الحمل علی الفضل ؛ لأنّ غایة ما یدل علیه أنّ التسبیحة الکبری مع لفظة وبحمده تجزئ ، والتکرار ثلاثا فیه الفضل ، أمّا کون الثلاث تسبیحات الصغریات فیها الفضل فلا ، ولو نظرنا إلی غیره من الأخبار ما احتجنا إلی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مقتضی الخبر أنّ من لم یسبّح لا صلاة له ، فإن کان المراد من لم یسبح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صلاة له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الشیخ قد روی فی التهذیب ما سبق من إجزاء مطلق الذکر </w:t>
      </w:r>
      <w:r>
        <w:rPr>
          <w:rStyle w:val="FootnoteAnchor"/>
          <w:rtl w:val="true"/>
        </w:rPr>
        <w:footnoteReference w:id="741"/>
      </w:r>
      <w:r>
        <w:rPr>
          <w:rFonts w:ascii="IRNazanin" w:hAnsi="IRNazanin" w:eastAsia="IRNazanin"/>
          <w:color w:val="111111"/>
          <w:sz w:val="28"/>
          <w:sz w:val="28"/>
          <w:szCs w:val="28"/>
          <w:rtl w:val="true"/>
          <w:lang w:bidi="fa-IR"/>
        </w:rPr>
        <w:t>، فلو ذکر من دون التسبیح لا یتحقق الإبطال ؛ وإن أُرید من لم یسبّح هذا النوع من التسبیح المذکور زاد الإشکال ، فإنّ الأخبار السابقة دلّت علی الإجزاء بدونه وإن کان تسبیحا کما هو 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حمل علی أنّ من لم یسبّح هذا النوع فلا صلاة له کاملة الکمال الحاصل بها ، ونقصان الثلاث بالنسبة ، لم یتم مطلوب الشیخ ، وحصل نوع منافرة من ظاهر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عدم التفات الشیخ إلی حکم زیادة وبحمده لا یخلو من غرابة ، واحتمال استحبابها ممکن ، کاحتمال وجوبها فی أحد الفردین ، وما قدّمناه من احتمال وجوب الفرد </w:t>
      </w:r>
      <w:r>
        <w:rPr>
          <w:rStyle w:val="FootnoteAnchor"/>
          <w:rtl w:val="true"/>
        </w:rPr>
        <w:footnoteReference w:id="742"/>
      </w:r>
      <w:r>
        <w:rPr>
          <w:rFonts w:ascii="IRNazanin" w:hAnsi="IRNazanin" w:eastAsia="IRNazanin"/>
          <w:color w:val="111111"/>
          <w:sz w:val="28"/>
          <w:sz w:val="28"/>
          <w:szCs w:val="28"/>
          <w:rtl w:val="true"/>
          <w:lang w:bidi="fa-IR"/>
        </w:rPr>
        <w:t>لا ینبغی الغفلة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المتضمن للفظ وبحمده وإن لم یکن معتبر الإسناد إلاّ أنّ</w:t>
      </w:r>
    </w:p>
    <w:p>
      <w:pPr>
        <w:pStyle w:val="Heading4"/>
        <w:numPr>
          <w:ilvl w:val="3"/>
          <w:numId w:val="1"/>
        </w:numPr>
        <w:rPr/>
      </w:pPr>
      <w:bookmarkStart w:id="541" w:name="__RefHeading___Toc347956_2142443653"/>
      <w:bookmarkStart w:id="542" w:name="_Toc209"/>
      <w:bookmarkEnd w:id="541"/>
      <w:r>
        <w:rPr>
          <w:rtl w:val="true"/>
        </w:rPr>
        <w:t>بیان ما دل علی أنّ حد الرکوع والسجود التسبیحة الکبری ثلاثاً وأنّ من لم یسبّح لا صلاة له</w:t>
      </w:r>
      <w:bookmarkEnd w:id="54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3" w:name="__RefHeading___Toc347958_2142443653"/>
      <w:bookmarkStart w:id="544" w:name="_Toc210"/>
      <w:bookmarkEnd w:id="543"/>
      <w:r>
        <w:rPr>
          <w:rtl w:val="true"/>
        </w:rPr>
        <w:t xml:space="preserve">حکم زیادة </w:t>
      </w:r>
      <w:r>
        <w:rPr>
          <w:rtl w:val="true"/>
        </w:rPr>
        <w:t xml:space="preserve">« </w:t>
      </w:r>
      <w:r>
        <w:rPr>
          <w:rtl w:val="true"/>
        </w:rPr>
        <w:t xml:space="preserve">وبحمده </w:t>
      </w:r>
      <w:r>
        <w:rPr>
          <w:rtl w:val="true"/>
        </w:rPr>
        <w:t>»</w:t>
      </w:r>
      <w:bookmarkStart w:id="545" w:name="pg15037_163819"/>
      <w:bookmarkEnd w:id="544"/>
    </w:p>
    <w:p>
      <w:pPr>
        <w:pStyle w:val="BookText"/>
        <w:rPr/>
      </w:pPr>
      <w:bookmarkEnd w:id="545"/>
      <w:r>
        <w:rPr>
          <w:rFonts w:ascii="IRNazanin" w:hAnsi="IRNazanin" w:eastAsia="IRNazanin"/>
          <w:color w:val="111111"/>
          <w:sz w:val="28"/>
          <w:sz w:val="28"/>
          <w:szCs w:val="28"/>
          <w:rtl w:val="true"/>
          <w:lang w:bidi="fa-IR"/>
        </w:rPr>
        <w:t xml:space="preserve">ما تضمنه موجود فی خبر حمّاد المشهور </w:t>
      </w:r>
      <w:r>
        <w:rPr>
          <w:rStyle w:val="FootnoteAnchor"/>
          <w:rtl w:val="true"/>
        </w:rPr>
        <w:footnoteReference w:id="743"/>
      </w:r>
      <w:r>
        <w:rPr>
          <w:rFonts w:ascii="IRNazanin" w:hAnsi="IRNazanin" w:eastAsia="IRNazanin"/>
          <w:color w:val="111111"/>
          <w:sz w:val="28"/>
          <w:sz w:val="28"/>
          <w:szCs w:val="28"/>
          <w:rtl w:val="true"/>
          <w:lang w:bidi="fa-IR"/>
        </w:rPr>
        <w:t xml:space="preserve">، وکذلک صحیح حریز المذکور فیه دعاء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التهذیب </w:t>
      </w:r>
      <w:r>
        <w:rPr>
          <w:rStyle w:val="FootnoteAnchor"/>
          <w:rtl w:val="true"/>
        </w:rPr>
        <w:footnoteReference w:id="744"/>
      </w:r>
      <w:r>
        <w:rPr>
          <w:rFonts w:ascii="IRNazanin" w:hAnsi="IRNazanin" w:eastAsia="IRNazanin"/>
          <w:color w:val="111111"/>
          <w:sz w:val="28"/>
          <w:sz w:val="28"/>
          <w:szCs w:val="28"/>
          <w:rtl w:val="true"/>
          <w:lang w:bidi="fa-IR"/>
        </w:rPr>
        <w:t xml:space="preserve">، وفی التهذیب </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ذکر الحمل علی الاختیار والاضطرار </w:t>
      </w:r>
      <w:r>
        <w:rPr>
          <w:rStyle w:val="FootnoteAnchor"/>
          <w:rtl w:val="true"/>
        </w:rPr>
        <w:footnoteReference w:id="746"/>
      </w:r>
      <w:r>
        <w:rPr>
          <w:rFonts w:ascii="IRNazanin" w:hAnsi="IRNazanin" w:eastAsia="IRNazanin"/>
          <w:color w:val="111111"/>
          <w:sz w:val="28"/>
          <w:sz w:val="28"/>
          <w:szCs w:val="28"/>
          <w:rtl w:val="true"/>
          <w:lang w:bidi="fa-IR"/>
        </w:rPr>
        <w:t>، وذکرنا فی فوائده ما یتوجه علیه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فالحمل علی الاستحباب ظاهر فیه ، وما تضمنه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أحدهما ؛ یراد به أنّه زاد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الرکوع والسجود ، لکن صدره اقتضی أنّهما عدّا فی رکوعه ، فالزیادة من أحدهما إنّما هی للسجود ، ویحتمل أن یکون الأوّل ذکر فیه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 والثانی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یحتمل مجموع الرکوع والسجود علی تقدیر الأمرین ، وعلی تقدیر الرکوع </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یحتمل کل رکوع فی صلاته ، ویحتمل الرکوع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أبان بن تغلب الصحیح فی التهذیب أنّه عدّد للصادق علیه السلام فی الرکوع والسجود ستین تسبیحة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ذکرت ما لا بدّ منه فی معنی سبحان ربی الأعلی وبحمده مفصّلا فی حواشی الروضة والتهذیب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ذکره هنا إجمالا أنّ التسبیح لغة هو التنزیه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سبّحت الله أی نزّهته عمّا لا یلیق به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6" w:name="__RefHeading___Toc347960_2142443653"/>
      <w:bookmarkStart w:id="547" w:name="_Toc211"/>
      <w:bookmarkEnd w:id="546"/>
      <w:r>
        <w:rPr>
          <w:rtl w:val="true"/>
        </w:rPr>
        <w:t xml:space="preserve">معنی </w:t>
      </w:r>
      <w:r>
        <w:rPr>
          <w:rtl w:val="true"/>
        </w:rPr>
        <w:t xml:space="preserve">« </w:t>
      </w:r>
      <w:r>
        <w:rPr>
          <w:rtl w:val="true"/>
        </w:rPr>
        <w:t xml:space="preserve">سبحان ربیّ الاعلی وبحمده </w:t>
      </w:r>
      <w:r>
        <w:rPr>
          <w:rtl w:val="true"/>
        </w:rPr>
        <w:t>»</w:t>
      </w:r>
      <w:bookmarkStart w:id="548" w:name="pg15037_163820"/>
      <w:bookmarkEnd w:id="547"/>
    </w:p>
    <w:p>
      <w:pPr>
        <w:pStyle w:val="BookText"/>
        <w:rPr/>
      </w:pPr>
      <w:bookmarkEnd w:id="548"/>
      <w:r>
        <w:rPr>
          <w:rFonts w:ascii="IRNazanin" w:hAnsi="IRNazanin" w:eastAsia="IRNazanin"/>
          <w:color w:val="111111"/>
          <w:sz w:val="28"/>
          <w:sz w:val="28"/>
          <w:szCs w:val="28"/>
          <w:rtl w:val="true"/>
          <w:lang w:bidi="fa-IR"/>
        </w:rPr>
        <w:t xml:space="preserve">وأمّا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اختلف فی متعلّقه ، ولعلّ الأولی أن یتعلق بالتسبیح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وبحمده اسبّحه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التسبیح بحمده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له </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لإمکان الجواب بأنّ الباء إمّا للملابسة أو المصاحبة ، وکلا الأمرین صالح للمقام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کون التسبیح بنفس الحمد لا مانع منه أیضا ، فإنّ فی بعض الأخبار ما یدل علی أنّ الحمد تسبیح ، وهو موثق عمّار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یجزئ من التسبیح بین الأذان والإقامة؟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الحمد لله </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تقدیر المناقشة فیما ذکر فما قاله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متلبّس بحمده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وجه أیضا ، لکن التقدیر فیه لا یخلو من زیادة ، فلیتأمّل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تلقی الأرض بالیدین لمن أراد السجود</w:t>
      </w:r>
    </w:p>
    <w:p>
      <w:pPr>
        <w:pStyle w:val="BookText"/>
        <w:rPr/>
      </w:pP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 xml:space="preserve">بن أبی جید القمی ، عن محمّد بن الحسن بن الولید ، عن الحسین بن الحسن بن أبان ، عن الحسین بن سعید ، عن فضالة ، عن العلاء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w:t>
      </w:r>
    </w:p>
    <w:p>
      <w:pPr>
        <w:pStyle w:val="Heading3"/>
        <w:numPr>
          <w:ilvl w:val="2"/>
          <w:numId w:val="1"/>
        </w:numPr>
        <w:rPr/>
      </w:pPr>
      <w:bookmarkStart w:id="549" w:name="__RefHeading___Toc347962_2142443653"/>
      <w:bookmarkStart w:id="550" w:name="_Toc212"/>
      <w:bookmarkEnd w:id="549"/>
      <w:r>
        <w:rPr>
          <w:rtl w:val="true"/>
        </w:rPr>
        <w:t>تلقی الأرض بالیدین لمن أراد السجود</w:t>
      </w:r>
      <w:bookmarkEnd w:id="55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1" w:name="__RefHeading___Toc347964_2142443653"/>
      <w:bookmarkStart w:id="552" w:name="_Toc213"/>
      <w:bookmarkEnd w:id="551"/>
      <w:r>
        <w:rPr>
          <w:rtl w:val="true"/>
        </w:rPr>
        <w:t>اشارة</w:t>
      </w:r>
      <w:bookmarkEnd w:id="552"/>
    </w:p>
    <w:p>
      <w:pPr>
        <w:pStyle w:val="BookText"/>
        <w:rPr/>
      </w:pPr>
      <w:r>
        <w:rPr>
          <w:rFonts w:ascii="IRNazanin" w:hAnsi="IRNazanin" w:eastAsia="IRNazanin"/>
          <w:color w:val="111111"/>
          <w:sz w:val="28"/>
          <w:sz w:val="28"/>
          <w:szCs w:val="28"/>
          <w:rtl w:val="true"/>
          <w:lang w:bidi="fa-IR"/>
        </w:rPr>
        <w:t>أبا عبد الله علیه السلام یضع یدیه قبل رکبتیه إذا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القاسم بن محمّد الجوهری ، عن الحسین بن أبی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یضع یدیه قبل رکبتیه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وإذا أراد أن یقوم رفع رکبتیه قبل یدیه </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 عن صفوان ، عن العلاء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الرجل یضع یدیه علی الأرض قبل رکبتیه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عن فضالة ، عن حسین ، عن سماعة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إذا صلّی الرجل أن یضع رکبتیه علی الأرض قبل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حال الضرورة التی لا یتمکن الإنسان فیها من تلقی الأرض بیدیه أوّلا لعلّة أو مرض أو غیرهما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الحسین بن سعید ، عن فضالة ، عن أبان بن عثمان ، عن عبد الرحمن بن أبی عبد الله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إذا رکع ثم رفع رأسه ، أیبدأ فیضع یدیه علی الأرض أم رکبتیه؟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یضرّه أیّ ذلک بدأ هو مقبول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یبطل علیه الصلاة ، أو لا یکون مستحقا للعقاب بترکه ، لأنّ ذلک من آداب الصلاة لا من فرائضها التی یستحق بترکها العقاب</w:t>
      </w:r>
      <w:r>
        <w:rPr>
          <w:rFonts w:eastAsia="IRNazanin" w:cs="IRNazanin"/>
          <w:color w:val="111111"/>
          <w:sz w:val="28"/>
          <w:szCs w:val="28"/>
          <w:rtl w:val="true"/>
          <w:lang w:bidi="fa-IR"/>
        </w:rPr>
        <w:t xml:space="preserve">. </w:t>
      </w:r>
      <w:bookmarkStart w:id="553" w:name="pg15037_163822"/>
    </w:p>
    <w:p>
      <w:pPr>
        <w:pStyle w:val="BookText"/>
        <w:rPr/>
      </w:pPr>
      <w:bookmarkEnd w:id="553"/>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قدّمنا الکلام فی أبی الحسین بن أبی جید من أنّ اسمه علی بن أحمد </w:t>
      </w:r>
      <w:r>
        <w:rPr>
          <w:rStyle w:val="FootnoteAnchor"/>
          <w:rtl w:val="true"/>
        </w:rPr>
        <w:footnoteReference w:id="755"/>
      </w:r>
      <w:r>
        <w:rPr>
          <w:rFonts w:ascii="IRNazanin" w:hAnsi="IRNazanin" w:eastAsia="IRNazanin"/>
          <w:color w:val="111111"/>
          <w:sz w:val="28"/>
          <w:sz w:val="28"/>
          <w:szCs w:val="28"/>
          <w:rtl w:val="true"/>
          <w:lang w:bidi="fa-IR"/>
        </w:rPr>
        <w:t xml:space="preserve">، وقد یظن من النجاشی أنّ اسم أبی جید طاهر </w:t>
      </w:r>
      <w:r>
        <w:rPr>
          <w:rStyle w:val="FootnoteAnchor"/>
          <w:rtl w:val="true"/>
        </w:rPr>
        <w:footnoteReference w:id="756"/>
      </w:r>
      <w:r>
        <w:rPr>
          <w:rFonts w:ascii="IRNazanin" w:hAnsi="IRNazanin" w:eastAsia="IRNazanin"/>
          <w:color w:val="111111"/>
          <w:sz w:val="28"/>
          <w:sz w:val="28"/>
          <w:szCs w:val="28"/>
          <w:rtl w:val="true"/>
          <w:lang w:bidi="fa-IR"/>
        </w:rPr>
        <w:t xml:space="preserve">، وظاهر المتأخرین الاعتماد علیه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الحسین بن الحسن بن أبان فالقول فیه خلاصته أنّه من الأجلاّء فیما یظهر من الرجال </w:t>
      </w:r>
      <w:r>
        <w:rPr>
          <w:rStyle w:val="FootnoteAnchor"/>
          <w:rtl w:val="true"/>
        </w:rPr>
        <w:footnoteReference w:id="758"/>
      </w:r>
      <w:r>
        <w:rPr>
          <w:rFonts w:ascii="IRNazanin" w:hAnsi="IRNazanin" w:eastAsia="IRNazanin"/>
          <w:color w:val="111111"/>
          <w:sz w:val="28"/>
          <w:sz w:val="28"/>
          <w:szCs w:val="28"/>
          <w:rtl w:val="true"/>
          <w:lang w:bidi="fa-IR"/>
        </w:rPr>
        <w:t xml:space="preserve">، إلاّ أنّ التصریح بالتوثیق غیر معلوم ، وما اتفق فی کتاب ابن داود من قوله فی محمّد بن أُورمة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عنه الحسین بن الحسن بن أبان وکان ثقة </w:t>
      </w:r>
      <w:r>
        <w:rPr>
          <w:rStyle w:val="FootnoteAnchor"/>
          <w:rtl w:val="true"/>
        </w:rPr>
        <w:footnoteReference w:id="759"/>
      </w:r>
      <w:r>
        <w:rPr>
          <w:rFonts w:ascii="IRNazanin" w:hAnsi="IRNazanin" w:eastAsia="IRNazanin"/>
          <w:color w:val="111111"/>
          <w:sz w:val="28"/>
          <w:sz w:val="28"/>
          <w:szCs w:val="28"/>
          <w:rtl w:val="true"/>
          <w:lang w:bidi="fa-IR"/>
        </w:rPr>
        <w:t>، یشکل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أن یعود ضمیر کان لمحمّد بن اورمة </w:t>
      </w:r>
      <w:r>
        <w:rPr>
          <w:rStyle w:val="FootnoteAnchor"/>
          <w:rtl w:val="true"/>
        </w:rPr>
        <w:footnoteReference w:id="760"/>
      </w:r>
      <w:r>
        <w:rPr>
          <w:rFonts w:ascii="IRNazanin" w:hAnsi="IRNazanin" w:eastAsia="IRNazanin"/>
          <w:color w:val="111111"/>
          <w:sz w:val="28"/>
          <w:sz w:val="28"/>
          <w:szCs w:val="28"/>
          <w:rtl w:val="true"/>
          <w:lang w:bidi="fa-IR"/>
        </w:rPr>
        <w:t xml:space="preserve">، والمعنی أنّ روایة الحسین عن محمّد فی زمن کان ثقة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ینقل فی الرجال عن محمّد بن أُورمة أنّه کان ثقة فی زمن من الأزمان ، وعلی تقدیر ذلک ینبغی الاعتماد علی ما یرویه الحسین بن الحسن عن ابن أُورمة ، لأنّ الضعف فی محمّد یکون لاحقا ، ولا أظنّ به قائلا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مجرد احتمال لدفع توثیق الحسین من کلام ابن داود</w:t>
      </w:r>
      <w:r>
        <w:rPr>
          <w:rFonts w:eastAsia="IRNazanin" w:cs="IRNazanin"/>
          <w:color w:val="111111"/>
          <w:sz w:val="28"/>
          <w:szCs w:val="28"/>
          <w:rtl w:val="true"/>
          <w:lang w:bidi="fa-IR"/>
        </w:rPr>
        <w:t>.</w:t>
      </w:r>
    </w:p>
    <w:p>
      <w:pPr>
        <w:pStyle w:val="Heading4"/>
        <w:numPr>
          <w:ilvl w:val="3"/>
          <w:numId w:val="1"/>
        </w:numPr>
        <w:rPr/>
      </w:pPr>
      <w:bookmarkStart w:id="554" w:name="__RefHeading___Toc347966_2142443653"/>
      <w:bookmarkStart w:id="555" w:name="_Toc214"/>
      <w:bookmarkEnd w:id="554"/>
      <w:r>
        <w:rPr>
          <w:rtl w:val="true"/>
        </w:rPr>
        <w:t>إشارة إلی حال أبی الحسین بن أبی جید</w:t>
      </w:r>
      <w:bookmarkEnd w:id="55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6" w:name="__RefHeading___Toc347968_2142443653"/>
      <w:bookmarkStart w:id="557" w:name="_Toc215"/>
      <w:bookmarkEnd w:id="556"/>
      <w:r>
        <w:rPr>
          <w:rtl w:val="true"/>
        </w:rPr>
        <w:t>بحث حول الحسین بن الحسن بن أبان ومحمّد بن اُورمة</w:t>
      </w:r>
      <w:bookmarkStart w:id="558" w:name="pg15037_163823"/>
      <w:bookmarkEnd w:id="557"/>
    </w:p>
    <w:p>
      <w:pPr>
        <w:pStyle w:val="BookText"/>
        <w:rPr/>
      </w:pPr>
      <w:bookmarkEnd w:id="558"/>
      <w:r>
        <w:rPr>
          <w:rFonts w:ascii="IRNazanin" w:hAnsi="IRNazanin" w:eastAsia="IRNazanin"/>
          <w:color w:val="111111"/>
          <w:sz w:val="28"/>
          <w:sz w:val="28"/>
          <w:szCs w:val="28"/>
          <w:rtl w:val="true"/>
          <w:lang w:bidi="fa-IR"/>
        </w:rPr>
        <w:t xml:space="preserve">وأمّا عدّه الخبر الذی فیه الحسین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الصحاح </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فلا أدری وجهه ، وقد تقدم بعض القول فی الحسین </w:t>
      </w:r>
      <w:r>
        <w:rPr>
          <w:rStyle w:val="FootnoteAnchor"/>
          <w:rtl w:val="true"/>
        </w:rPr>
        <w:footnoteReference w:id="762"/>
      </w:r>
      <w:r>
        <w:rPr>
          <w:rFonts w:ascii="IRNazanin" w:hAnsi="IRNazanin" w:eastAsia="IRNazanin"/>
          <w:color w:val="111111"/>
          <w:sz w:val="28"/>
          <w:sz w:val="28"/>
          <w:szCs w:val="28"/>
          <w:rtl w:val="true"/>
          <w:lang w:bidi="fa-IR"/>
        </w:rPr>
        <w:t>، والإعادة لأمر مّا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بن محمّد الجوهری ، وقد تکرر القول فیه من أنّه واقفی مهمل فی الرجال علی ما وقفت علیه </w:t>
      </w:r>
      <w:r>
        <w:rPr>
          <w:rStyle w:val="FootnoteAnchor"/>
          <w:rtl w:val="true"/>
        </w:rPr>
        <w:footnoteReference w:id="763"/>
      </w:r>
      <w:r>
        <w:rPr>
          <w:rFonts w:ascii="Amiri" w:hAnsi="Amiri" w:eastAsia="Amiri" w:cs="Amiri"/>
          <w:color w:val="111111"/>
          <w:sz w:val="28"/>
          <w:sz w:val="28"/>
          <w:szCs w:val="28"/>
          <w:rtl w:val="true"/>
          <w:lang w:bidi="ar-SA"/>
        </w:rPr>
        <w:t xml:space="preserve">، وظنّ ابن داود أنّهما اثنان أحدهما ثقة </w:t>
      </w:r>
      <w:r>
        <w:rPr>
          <w:rStyle w:val="FootnoteAnchor"/>
          <w:rtl w:val="true"/>
        </w:rPr>
        <w:footnoteReference w:id="764"/>
      </w:r>
      <w:r>
        <w:rPr>
          <w:rFonts w:ascii="IRNazanin" w:hAnsi="IRNazanin" w:eastAsia="IRNazanin"/>
          <w:color w:val="111111"/>
          <w:sz w:val="28"/>
          <w:sz w:val="28"/>
          <w:szCs w:val="28"/>
          <w:rtl w:val="true"/>
          <w:lang w:bidi="fa-IR"/>
        </w:rPr>
        <w:t>، لا نعلم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بن أبی العلاء تقدم أنّ حاله لا تزید علی المدح فی الجملة فیما یظن </w:t>
      </w:r>
      <w:r>
        <w:rPr>
          <w:rStyle w:val="FootnoteAnchor"/>
          <w:rtl w:val="true"/>
        </w:rPr>
        <w:footnoteReference w:id="765"/>
      </w:r>
      <w:r>
        <w:rPr>
          <w:rFonts w:ascii="IRNazanin" w:hAnsi="IRNazanin" w:eastAsia="IRNazanin"/>
          <w:color w:val="111111"/>
          <w:sz w:val="28"/>
          <w:sz w:val="28"/>
          <w:szCs w:val="28"/>
          <w:rtl w:val="true"/>
          <w:lang w:bidi="fa-IR"/>
        </w:rPr>
        <w:t xml:space="preserve">، والضمیر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الرجال سلیم من الارتیاب بعد ما کرّرنا القول فیه </w:t>
      </w:r>
      <w:r>
        <w:rPr>
          <w:rStyle w:val="FootnoteAnchor"/>
          <w:rtl w:val="true"/>
        </w:rPr>
        <w:footnoteReference w:id="766"/>
      </w:r>
      <w:r>
        <w:rPr>
          <w:rFonts w:ascii="IRNazanin" w:hAnsi="IRNazanin" w:eastAsia="IRNazanin"/>
          <w:color w:val="111111"/>
          <w:sz w:val="28"/>
          <w:sz w:val="28"/>
          <w:szCs w:val="28"/>
          <w:rtl w:val="true"/>
          <w:lang w:bidi="fa-IR"/>
        </w:rPr>
        <w:t xml:space="preserve">، والعلاء هو ابن رزین ، وتخیّل البعض </w:t>
      </w:r>
      <w:r>
        <w:rPr>
          <w:rStyle w:val="FootnoteAnchor"/>
          <w:rtl w:val="true"/>
        </w:rPr>
        <w:footnoteReference w:id="767"/>
      </w:r>
      <w:r>
        <w:rPr>
          <w:rFonts w:ascii="IRNazanin" w:hAnsi="IRNazanin" w:eastAsia="IRNazanin"/>
          <w:color w:val="111111"/>
          <w:sz w:val="28"/>
          <w:sz w:val="28"/>
          <w:szCs w:val="28"/>
          <w:rtl w:val="true"/>
          <w:lang w:bidi="fa-IR"/>
        </w:rPr>
        <w:t>الاشتراک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بصیر ، والحسین هو ابن عثمان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وسماعة مضی احتمال عدم القدح فیه </w:t>
      </w:r>
      <w:r>
        <w:rPr>
          <w:rStyle w:val="FootnoteAnchor"/>
          <w:rtl w:val="true"/>
        </w:rPr>
        <w:footnoteReference w:id="768"/>
      </w:r>
      <w:r>
        <w:rPr>
          <w:rFonts w:ascii="IRNazanin" w:hAnsi="IRNazanin" w:eastAsia="IRNazanin"/>
          <w:color w:val="111111"/>
          <w:sz w:val="28"/>
          <w:sz w:val="28"/>
          <w:szCs w:val="28"/>
          <w:rtl w:val="true"/>
          <w:lang w:bidi="fa-IR"/>
        </w:rPr>
        <w:t xml:space="preserve">؛ لعدم ذکر النجاشی کونه واقفیا ، وهو مقدّم علی الشیخ ، إلاّ أنّی وجدت الآن التصریح بأنّه واقفی من الصدوق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نافلة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أفطر فی یوم من شهر رمضان </w:t>
      </w:r>
      <w:r>
        <w:rPr>
          <w:rStyle w:val="FootnoteAnchor"/>
          <w:rtl w:val="true"/>
        </w:rPr>
        <w:footnoteReference w:id="769"/>
      </w:r>
      <w:r>
        <w:rPr>
          <w:rFonts w:ascii="Amiri" w:hAnsi="Amiri" w:eastAsia="Amiri" w:cs="Amiri"/>
          <w:color w:val="111111"/>
          <w:sz w:val="28"/>
          <w:sz w:val="28"/>
          <w:szCs w:val="28"/>
          <w:rtl w:val="true"/>
          <w:lang w:bidi="ar-SA"/>
        </w:rPr>
        <w:t xml:space="preserve">، فلیتدبّر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347970_2142443653"/>
      <w:bookmarkStart w:id="560" w:name="_Toc216"/>
      <w:bookmarkEnd w:id="559"/>
      <w:r>
        <w:rPr>
          <w:rtl w:val="true"/>
        </w:rPr>
        <w:t>إشارة إلی حال القاسم بن محمّد الجوهری</w:t>
      </w:r>
      <w:bookmarkEnd w:id="560"/>
    </w:p>
    <w:p>
      <w:pPr>
        <w:pStyle w:val="Heading4"/>
        <w:numPr>
          <w:ilvl w:val="3"/>
          <w:numId w:val="1"/>
        </w:numPr>
        <w:rPr/>
      </w:pPr>
      <w:bookmarkStart w:id="561" w:name="__RefHeading___Toc347972_2142443653"/>
      <w:bookmarkStart w:id="562" w:name="_Toc217"/>
      <w:bookmarkEnd w:id="561"/>
      <w:r>
        <w:rPr>
          <w:rtl w:val="true"/>
        </w:rPr>
        <w:t>إشارة إلی حال الحسین بن أبی العلاء</w:t>
      </w:r>
      <w:bookmarkEnd w:id="56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3" w:name="__RefHeading___Toc347974_2142443653"/>
      <w:bookmarkStart w:id="564" w:name="_Toc218"/>
      <w:bookmarkEnd w:id="563"/>
      <w:r>
        <w:rPr>
          <w:rtl w:val="true"/>
        </w:rPr>
        <w:t>بحث حول سماعة</w:t>
      </w:r>
      <w:bookmarkStart w:id="565" w:name="pg15037_163824"/>
      <w:bookmarkEnd w:id="564"/>
    </w:p>
    <w:p>
      <w:pPr>
        <w:pStyle w:val="BookText"/>
        <w:rPr/>
      </w:pPr>
      <w:bookmarkEnd w:id="565"/>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بعد ما قدّمناه فی أبان مرارا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 علی استحباب وضع الیدین قبل الرکبتین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إرادة السجود ، وقد یشکل بأنّ فعله علیه السلام یجوز أن یکون أحد جزئیات المأمور به ، مضافا إلی ما یأتی فی بعض الأخبار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تنظروا إلی ما أصنع وافعلوا ما تؤمرون </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فإنّ الخبر کما نذکره یشعر بعدم استحباب التأسّی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الأولی الاستدلال بقوله علیه السلام فی خبر زرارة المعتبر المذکور فی التهذیب حیث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أردت أن تسجد فارفع یدیک بالتکبیر وخرّ ساجدا وابدأ بیدیک تضعهما علی الأرض قبل رکبتیک تضعهما معا </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واحتمال أن یقال بالوجوب لظاهر الأمر یدفعه عدم ظهور القائل بالوجوب ، مضافا إلی الأصل والأوامر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احتمال أن یقال فی الخبر المبحوث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بکسر القاف وفتح الباء الموحدة بمعنی محاذاة الیدین للرکبتین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غیره من الأخبار یدفع الاحتمال سیّما خبر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له دلالة علی الجواز ، وقد یستفاد الاستحباب من عجزه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6" w:name="__RefHeading___Toc347976_2142443653"/>
      <w:bookmarkStart w:id="567" w:name="_Toc219"/>
      <w:bookmarkEnd w:id="566"/>
      <w:r>
        <w:rPr>
          <w:rtl w:val="true"/>
        </w:rPr>
        <w:t>بیان ما دلّ علی رجحان وضع الیدین قبل الرکعتین عند إرادة السجود وتوجیه ما یعارضه</w:t>
      </w:r>
      <w:bookmarkEnd w:id="567"/>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حاله من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تضمنته الأخبار الثلاثة بل الأربعة من ذکر الیدین کأنّ المراد بهما الکفّان باطنهما کما هو المتبادر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تضمنه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الموجود فی النسخ وفی التهذیب </w:t>
      </w:r>
      <w:r>
        <w:rPr>
          <w:rStyle w:val="FootnoteAnchor"/>
          <w:rtl w:val="true"/>
        </w:rPr>
        <w:footnoteReference w:id="774"/>
      </w:r>
      <w:r>
        <w:rPr>
          <w:rFonts w:ascii="IRNazanin" w:hAnsi="IRNazanin" w:eastAsia="IRNazanin"/>
          <w:color w:val="111111"/>
          <w:sz w:val="28"/>
          <w:sz w:val="28"/>
          <w:szCs w:val="28"/>
          <w:rtl w:val="true"/>
          <w:lang w:bidi="fa-IR"/>
        </w:rPr>
        <w:t xml:space="preserve">، لکن فی الحبل المتین وجدته فی نسخ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أراد أن یقوم رفع یدیه قبل رکبتیه </w:t>
      </w:r>
      <w:r>
        <w:rPr>
          <w:rStyle w:val="FootnoteAnchor"/>
          <w:rtl w:val="true"/>
        </w:rPr>
        <w:footnoteReference w:id="775"/>
      </w:r>
      <w:r>
        <w:rPr>
          <w:rFonts w:ascii="IRNazanin" w:hAnsi="IRNazanin" w:eastAsia="IRNazanin"/>
          <w:color w:val="111111"/>
          <w:sz w:val="28"/>
          <w:sz w:val="28"/>
          <w:szCs w:val="28"/>
          <w:rtl w:val="true"/>
          <w:lang w:bidi="fa-IR"/>
        </w:rPr>
        <w:t>، وکأنّه سهو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الشیخ فی التهذیب روی عن الحسین بن سعید ، عن فضالة ، عن العلاء ، عن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یضع یدیه قبل رکبتیه إذا سجد ، وإذا أراد أن یقوم رفع رکبتیه قبل یدیه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القاسم بن محمّد الجوهری ، وذکر الروایة الثانیة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صفوان إلی آخر الثالثة </w:t>
      </w:r>
      <w:r>
        <w:rPr>
          <w:rStyle w:val="FootnoteAnchor"/>
          <w:rtl w:val="true"/>
        </w:rPr>
        <w:footnoteReference w:id="776"/>
      </w:r>
      <w:r>
        <w:rPr>
          <w:rFonts w:ascii="IRNazanin" w:hAnsi="IRNazanin" w:eastAsia="IRNazanin"/>
          <w:color w:val="111111"/>
          <w:sz w:val="28"/>
          <w:sz w:val="28"/>
          <w:szCs w:val="28"/>
          <w:rtl w:val="true"/>
          <w:lang w:bidi="fa-IR"/>
        </w:rPr>
        <w:t xml:space="preserve">، وهنا کما تری علی ما وجدت من النسخة جعل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الحسین بن أبی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یکون سبق النظر من الشیخ من روایة إلی روایة أو </w:t>
      </w:r>
      <w:r>
        <w:rPr>
          <w:rStyle w:val="FootnoteAnchor"/>
          <w:rtl w:val="true"/>
        </w:rPr>
        <w:footnoteReference w:id="777"/>
      </w:r>
      <w:r>
        <w:rPr>
          <w:rFonts w:ascii="IRNazanin" w:hAnsi="IRNazanin" w:eastAsia="IRNazanin"/>
          <w:color w:val="111111"/>
          <w:sz w:val="28"/>
          <w:sz w:val="28"/>
          <w:szCs w:val="28"/>
          <w:rtl w:val="true"/>
          <w:lang w:bidi="fa-IR"/>
        </w:rPr>
        <w:t>أنّ ما هنا هو الأصل وما فی التهذیب موهوم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الحبل المتین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یضع یدیه قبل رکبتیه إذا سجد ، وإذا أراد أن یقوم ، إلی آخره </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bookmarkStart w:id="568" w:name="pg15037_163826"/>
    </w:p>
    <w:p>
      <w:pPr>
        <w:pStyle w:val="BookText"/>
        <w:rPr/>
      </w:pPr>
      <w:bookmarkEnd w:id="568"/>
      <w:r>
        <w:rPr>
          <w:rFonts w:ascii="IRNazanin" w:hAnsi="IRNazanin" w:eastAsia="IRNazanin"/>
          <w:color w:val="111111"/>
          <w:sz w:val="28"/>
          <w:sz w:val="28"/>
          <w:szCs w:val="28"/>
          <w:rtl w:val="true"/>
          <w:lang w:bidi="fa-IR"/>
        </w:rPr>
        <w:t>الروایة من التهذیب ، وتعبیر ابن مسلم من المصنّف ، أو هو مأخوذ من الکافی ، فلیتأمّل فی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الشیخ فیه فی غایة البعد ، ولعلّ الأولی التوجیه بما ذکره فی الخامس </w:t>
      </w:r>
      <w:r>
        <w:rPr>
          <w:rStyle w:val="FootnoteAnchor"/>
          <w:rtl w:val="true"/>
        </w:rPr>
        <w:footnoteReference w:id="779"/>
      </w:r>
      <w:r>
        <w:rPr>
          <w:rFonts w:ascii="IRNazanin" w:hAnsi="IRNazanin" w:eastAsia="IRNazanin"/>
          <w:color w:val="111111"/>
          <w:sz w:val="28"/>
          <w:sz w:val="28"/>
          <w:szCs w:val="28"/>
          <w:rtl w:val="true"/>
          <w:lang w:bidi="fa-IR"/>
        </w:rPr>
        <w:t xml:space="preserve">، وإن کان التوجیه فی الرابع أقرب منه فی الخامس ؛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لنفی الحرج ، بخلاف الخبر الخامس ؛ فإنّ الظاهر منه المساواة فی القبول من دون ترجیح ، لکن مع وجود المعارض فالتأویل لا بأس به ، وما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بطلان الصلاة أو عدم استحقاق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عن قدر الحاجة ، بل غیر موافق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مقبول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السجود علی الجبهة</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الصفار ، عن أحمد بن محمّد بن عیسی ، عن أبی عبد الله البرقی ، عن محمّد بن مضارب </w:t>
      </w:r>
      <w:r>
        <w:rPr>
          <w:rStyle w:val="FootnoteAnchor"/>
          <w:rtl w:val="true"/>
        </w:rPr>
        <w:footnoteReference w:id="78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السجود علی الجبهة ، ولیس علی الأنف سجود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موسی بن عمیر </w:t>
      </w:r>
      <w:r>
        <w:rPr>
          <w:rStyle w:val="FootnoteAnchor"/>
          <w:rtl w:val="true"/>
        </w:rPr>
        <w:footnoteReference w:id="781"/>
      </w:r>
      <w:r>
        <w:rPr>
          <w:rFonts w:ascii="IRNazanin" w:hAnsi="IRNazanin" w:eastAsia="IRNazanin"/>
          <w:color w:val="111111"/>
          <w:sz w:val="28"/>
          <w:sz w:val="28"/>
          <w:szCs w:val="28"/>
          <w:rtl w:val="true"/>
          <w:lang w:bidi="fa-IR"/>
        </w:rPr>
        <w:t>، عن الحسن بن علی بن فضال ، عن ابن بکیر وثعلبة بن م</w:t>
      </w:r>
    </w:p>
    <w:p>
      <w:pPr>
        <w:pStyle w:val="Heading3"/>
        <w:numPr>
          <w:ilvl w:val="2"/>
          <w:numId w:val="1"/>
        </w:numPr>
        <w:rPr/>
      </w:pPr>
      <w:bookmarkStart w:id="569" w:name="__RefHeading___Toc347978_2142443653"/>
      <w:bookmarkStart w:id="570" w:name="_Toc220"/>
      <w:bookmarkEnd w:id="569"/>
      <w:r>
        <w:rPr>
          <w:rtl w:val="true"/>
        </w:rPr>
        <w:t>السجود علی الجبهة</w:t>
      </w:r>
      <w:bookmarkEnd w:id="57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1" w:name="__RefHeading___Toc347980_2142443653"/>
      <w:bookmarkStart w:id="572" w:name="_Toc221"/>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الجبهة إلی الأنف ، أیّ ذلک أصبت الأرض فی السجود أجزأک ، والسجود علیه کلّه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الحسن بن علی بن فضّال ، عن مروان بن مسلم وعمار الساباطی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قصاص الشعر إلی طرف الأنف مسجد ، أیّ ذلک أصبت به الأرض أجزأک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ما رواه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بن یحیی ، عن عمّار ، عن جعفر عن أبیه علیهماالسلام </w:t>
      </w:r>
      <w:r>
        <w:rPr>
          <w:rStyle w:val="FootnoteAnchor"/>
          <w:rtl w:val="true"/>
        </w:rPr>
        <w:footnoteReference w:id="78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تجزئ صلاة لا یصیب فیها الأنف ما یصیب الجبین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الروایة محمولة علی ضرب من الکراهیة دون الفرض ؛ لأنّ الفرض هو السجود علی الجبهة ، والإرغام </w:t>
      </w:r>
      <w:r>
        <w:rPr>
          <w:rStyle w:val="FootnoteAnchor"/>
          <w:rtl w:val="true"/>
        </w:rPr>
        <w:footnoteReference w:id="784"/>
      </w:r>
      <w:r>
        <w:rPr>
          <w:rFonts w:ascii="Amiri" w:hAnsi="Amiri" w:eastAsia="Amiri" w:cs="Amiri"/>
          <w:color w:val="111111"/>
          <w:sz w:val="28"/>
          <w:sz w:val="28"/>
          <w:szCs w:val="28"/>
          <w:rtl w:val="true"/>
          <w:lang w:bidi="ar-SA"/>
        </w:rPr>
        <w:t>سنّة علی ما بیّنّاه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ویؤکد 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علی بن محبوب ، عن أحمد بن محمّد ، عن ابن أبی نجران ، عن حمّاد بن عیسی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Style w:val="FootnoteAnchor"/>
          <w:rtl w:val="true"/>
        </w:rPr>
        <w:footnoteReference w:id="7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علی 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 والیدین ، والرکبتین ، والإبهامین من الرجلین ، وترغم بأنفک إرغاما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الفرض فهذه السبعة ، وأمّا الإرغام بالأنف فسنّة من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لاحتمال الکلام فیه بما </w:t>
      </w:r>
      <w:bookmarkStart w:id="573" w:name="pg15037_163828"/>
    </w:p>
    <w:p>
      <w:pPr>
        <w:pStyle w:val="BookText"/>
        <w:rPr/>
      </w:pPr>
      <w:bookmarkEnd w:id="573"/>
      <w:r>
        <w:rPr>
          <w:rFonts w:ascii="IRNazanin" w:hAnsi="IRNazanin" w:eastAsia="IRNazanin"/>
          <w:color w:val="111111"/>
          <w:sz w:val="28"/>
          <w:sz w:val="28"/>
          <w:szCs w:val="28"/>
          <w:rtl w:val="true"/>
          <w:lang w:bidi="fa-IR"/>
        </w:rPr>
        <w:t xml:space="preserve">مضی </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مضارب ، فإنّه مذکور مهملا فی رجال الصادق علیه السلام من کتاب الشیخ </w:t>
      </w:r>
      <w:r>
        <w:rPr>
          <w:rStyle w:val="FootnoteAnchor"/>
          <w:rtl w:val="true"/>
        </w:rPr>
        <w:footnoteReference w:id="787"/>
      </w:r>
      <w:r>
        <w:rPr>
          <w:rFonts w:ascii="IRNazanin" w:hAnsi="IRNazanin" w:eastAsia="IRNazanin"/>
          <w:color w:val="111111"/>
          <w:sz w:val="28"/>
          <w:sz w:val="28"/>
          <w:szCs w:val="28"/>
          <w:rtl w:val="true"/>
          <w:lang w:bidi="fa-IR"/>
        </w:rPr>
        <w:t xml:space="preserve">، وفی التهذیب ابن مصادف </w:t>
      </w:r>
      <w:r>
        <w:rPr>
          <w:rStyle w:val="FootnoteAnchor"/>
          <w:rtl w:val="true"/>
        </w:rPr>
        <w:footnoteReference w:id="788"/>
      </w:r>
      <w:r>
        <w:rPr>
          <w:rFonts w:ascii="IRNazanin" w:hAnsi="IRNazanin" w:eastAsia="IRNazanin"/>
          <w:color w:val="111111"/>
          <w:sz w:val="28"/>
          <w:sz w:val="28"/>
          <w:szCs w:val="28"/>
          <w:rtl w:val="true"/>
          <w:lang w:bidi="fa-IR"/>
        </w:rPr>
        <w:t xml:space="preserve">، وهو علی ما ذکره العلاّمة فی الخلاصة نقلا عن ابن الغضائری لا یزید علی الإهمال ، لأنّ ابن الغضائری وثّقه فی کتاب وضعّفه فی آخر علی ما حکاه العلاّمة </w:t>
      </w:r>
      <w:r>
        <w:rPr>
          <w:rStyle w:val="FootnoteAnchor"/>
          <w:rtl w:val="true"/>
        </w:rPr>
        <w:footnoteReference w:id="789"/>
      </w:r>
      <w:r>
        <w:rPr>
          <w:rFonts w:ascii="IRNazanin" w:hAnsi="IRNazanin" w:eastAsia="IRNazanin"/>
          <w:color w:val="111111"/>
          <w:sz w:val="28"/>
          <w:sz w:val="28"/>
          <w:szCs w:val="28"/>
          <w:rtl w:val="true"/>
          <w:lang w:bidi="fa-IR"/>
        </w:rPr>
        <w:t>، والحال فی ذلک غیر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عمیر ، وهو ابن یزید الصیقل ، لروایة محمّد ابن علی بن محبوب عنه فی الفهرست </w:t>
      </w:r>
      <w:r>
        <w:rPr>
          <w:rStyle w:val="FootnoteAnchor"/>
          <w:rtl w:val="true"/>
        </w:rPr>
        <w:footnoteReference w:id="790"/>
      </w:r>
      <w:r>
        <w:rPr>
          <w:rFonts w:ascii="IRNazanin" w:hAnsi="IRNazanin" w:eastAsia="IRNazanin"/>
          <w:color w:val="111111"/>
          <w:sz w:val="28"/>
          <w:sz w:val="28"/>
          <w:szCs w:val="28"/>
          <w:rtl w:val="true"/>
          <w:lang w:bidi="fa-IR"/>
        </w:rPr>
        <w:t xml:space="preserve">، وفی النجاشی موسی بن عمیر فی النسخة الموجودة فیما وقفنا علیه </w:t>
      </w:r>
      <w:r>
        <w:rPr>
          <w:rStyle w:val="FootnoteAnchor"/>
          <w:rtl w:val="true"/>
        </w:rPr>
        <w:footnoteReference w:id="791"/>
      </w:r>
      <w:r>
        <w:rPr>
          <w:rFonts w:ascii="IRNazanin" w:hAnsi="IRNazanin" w:eastAsia="IRNazanin"/>
          <w:color w:val="111111"/>
          <w:sz w:val="28"/>
          <w:sz w:val="28"/>
          <w:szCs w:val="28"/>
          <w:rtl w:val="true"/>
          <w:lang w:bidi="fa-IR"/>
        </w:rPr>
        <w:t xml:space="preserve">، وابن داود ذکره ابن عمر </w:t>
      </w:r>
      <w:r>
        <w:rPr>
          <w:rStyle w:val="FootnoteAnchor"/>
          <w:rtl w:val="true"/>
        </w:rPr>
        <w:footnoteReference w:id="792"/>
      </w:r>
      <w:r>
        <w:rPr>
          <w:rFonts w:ascii="IRNazanin" w:hAnsi="IRNazanin" w:eastAsia="IRNazanin"/>
          <w:color w:val="111111"/>
          <w:sz w:val="28"/>
          <w:sz w:val="28"/>
          <w:szCs w:val="28"/>
          <w:rtl w:val="true"/>
          <w:lang w:bidi="fa-IR"/>
        </w:rPr>
        <w:t xml:space="preserve">، وفی التهذیب ابن عمر </w:t>
      </w:r>
      <w:r>
        <w:rPr>
          <w:rStyle w:val="FootnoteAnchor"/>
          <w:rtl w:val="true"/>
        </w:rPr>
        <w:footnoteReference w:id="793"/>
      </w:r>
      <w:r>
        <w:rPr>
          <w:rFonts w:ascii="IRNazanin" w:hAnsi="IRNazanin" w:eastAsia="IRNazanin"/>
          <w:color w:val="111111"/>
          <w:sz w:val="28"/>
          <w:sz w:val="28"/>
          <w:szCs w:val="28"/>
          <w:rtl w:val="true"/>
          <w:lang w:bidi="fa-IR"/>
        </w:rPr>
        <w:t>ولا یبعد الاعتماد علی ما فی النجاشی والفهرست ؛ لجواز الإتیان باللفظ مصغرا وغیره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وبُرَید فیه بالباء الموحدة فی نسخة وهو العجلی الثقة ، وفی أُخری غیر مضبوط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عدّه بعض محقّقی المعاصرین من الموثق </w:t>
      </w:r>
      <w:r>
        <w:rPr>
          <w:rStyle w:val="FootnoteAnchor"/>
          <w:rtl w:val="true"/>
        </w:rPr>
        <w:footnoteReference w:id="794"/>
      </w:r>
      <w:r>
        <w:rPr>
          <w:rFonts w:ascii="IRNazanin" w:hAnsi="IRNazanin" w:eastAsia="IRNazanin"/>
          <w:color w:val="111111"/>
          <w:sz w:val="28"/>
          <w:sz w:val="28"/>
          <w:szCs w:val="28"/>
          <w:rtl w:val="true"/>
          <w:lang w:bidi="fa-IR"/>
        </w:rPr>
        <w:t>، ولا اعلم وجهه مع وجود موسی بن عمر فیه ، وهو غیر موثّق ولا ممدوح</w:t>
      </w:r>
      <w:r>
        <w:rPr>
          <w:rFonts w:eastAsia="IRNazanin" w:cs="IRNazanin"/>
          <w:color w:val="111111"/>
          <w:sz w:val="28"/>
          <w:szCs w:val="28"/>
          <w:rtl w:val="true"/>
          <w:lang w:bidi="fa-IR"/>
        </w:rPr>
        <w:t>.</w:t>
      </w:r>
    </w:p>
    <w:p>
      <w:pPr>
        <w:pStyle w:val="Heading4"/>
        <w:numPr>
          <w:ilvl w:val="3"/>
          <w:numId w:val="1"/>
        </w:numPr>
        <w:rPr/>
      </w:pPr>
      <w:bookmarkStart w:id="574" w:name="__RefHeading___Toc347982_2142443653"/>
      <w:bookmarkStart w:id="575" w:name="_Toc222"/>
      <w:bookmarkEnd w:id="574"/>
      <w:r>
        <w:rPr>
          <w:rtl w:val="true"/>
        </w:rPr>
        <w:t>بحث حول محمد بن مضارب</w:t>
      </w:r>
      <w:bookmarkEnd w:id="575"/>
    </w:p>
    <w:p>
      <w:pPr>
        <w:pStyle w:val="Heading4"/>
        <w:numPr>
          <w:ilvl w:val="3"/>
          <w:numId w:val="1"/>
        </w:numPr>
        <w:rPr/>
      </w:pPr>
      <w:bookmarkStart w:id="576" w:name="__RefHeading___Toc347984_2142443653"/>
      <w:bookmarkStart w:id="577" w:name="_Toc223"/>
      <w:bookmarkEnd w:id="576"/>
      <w:r>
        <w:rPr>
          <w:rtl w:val="true"/>
        </w:rPr>
        <w:t xml:space="preserve">بحث حول موسی بن عمیر </w:t>
      </w:r>
      <w:r>
        <w:rPr>
          <w:rtl w:val="true"/>
        </w:rPr>
        <w:t xml:space="preserve">( </w:t>
      </w:r>
      <w:r>
        <w:rPr>
          <w:rtl w:val="true"/>
        </w:rPr>
        <w:t xml:space="preserve">عمر </w:t>
      </w:r>
      <w:r>
        <w:rPr>
          <w:rtl w:val="true"/>
        </w:rPr>
        <w:t>)</w:t>
      </w:r>
      <w:bookmarkEnd w:id="57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8" w:name="__RefHeading___Toc347986_2142443653"/>
      <w:bookmarkStart w:id="579" w:name="_Toc224"/>
      <w:bookmarkEnd w:id="578"/>
      <w:r>
        <w:rPr>
          <w:rtl w:val="true"/>
        </w:rPr>
        <w:t>إشارة إلی وثاقة بُرید العجلی</w:t>
      </w:r>
      <w:bookmarkStart w:id="580" w:name="pg15037_163829"/>
      <w:bookmarkEnd w:id="579"/>
    </w:p>
    <w:p>
      <w:pPr>
        <w:pStyle w:val="BookText"/>
        <w:rPr/>
      </w:pPr>
      <w:bookmarkEnd w:id="580"/>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علی بن فضّال ، وقد تکرّر القول فیه </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ومروان بن مسلم کذلک ،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کذلک لکنه فطحی علی قول الشیخ </w:t>
      </w:r>
      <w:r>
        <w:rPr>
          <w:rStyle w:val="FootnoteAnchor"/>
          <w:rtl w:val="true"/>
        </w:rPr>
        <w:footnoteReference w:id="796"/>
      </w:r>
      <w:r>
        <w:rPr>
          <w:rFonts w:ascii="IRNazanin" w:hAnsi="IRNazanin" w:eastAsia="IRNazanin"/>
          <w:color w:val="111111"/>
          <w:sz w:val="28"/>
          <w:sz w:val="28"/>
          <w:szCs w:val="28"/>
          <w:rtl w:val="true"/>
          <w:lang w:bidi="fa-IR"/>
        </w:rPr>
        <w:t xml:space="preserve">، والنجاشی اقتصر علی التوثیق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فیه لیس هو العطّار ؛ لأنّه الراوی عن أحمد بن محمّد ، بل إمّا الخثعمی أو الخزّاز أو غیرهما ، ویبعد کونه الخثعمی ؛ لتوسط ابن أبی عمیر بینه وبین أحمد بن محمّد فی الروایة عنه علی ما فی الرجال </w:t>
      </w:r>
      <w:r>
        <w:rPr>
          <w:rStyle w:val="FootnoteAnchor"/>
          <w:rtl w:val="true"/>
        </w:rPr>
        <w:footnoteReference w:id="798"/>
      </w:r>
      <w:r>
        <w:rPr>
          <w:rFonts w:ascii="IRNazanin" w:hAnsi="IRNazanin" w:eastAsia="IRNazanin"/>
          <w:color w:val="111111"/>
          <w:sz w:val="28"/>
          <w:sz w:val="28"/>
          <w:szCs w:val="28"/>
          <w:rtl w:val="true"/>
          <w:lang w:bidi="fa-IR"/>
        </w:rPr>
        <w:t xml:space="preserve">، وقد عدّه بعض محققی الأصحاب </w:t>
      </w:r>
      <w:r>
        <w:rPr>
          <w:rStyle w:val="FootnoteAnchor"/>
          <w:rtl w:val="true"/>
        </w:rPr>
        <w:footnoteReference w:id="799"/>
      </w:r>
      <w:r>
        <w:rPr>
          <w:rFonts w:ascii="IRNazanin" w:hAnsi="IRNazanin" w:eastAsia="IRNazanin"/>
          <w:color w:val="111111"/>
          <w:sz w:val="28"/>
          <w:sz w:val="28"/>
          <w:szCs w:val="28"/>
          <w:rtl w:val="true"/>
          <w:lang w:bidi="fa-IR"/>
        </w:rPr>
        <w:t xml:space="preserve">من الموثق </w:t>
      </w:r>
      <w:r>
        <w:rPr>
          <w:rStyle w:val="FootnoteAnchor"/>
          <w:rtl w:val="true"/>
        </w:rPr>
        <w:footnoteReference w:id="800"/>
      </w:r>
      <w:r>
        <w:rPr>
          <w:rFonts w:ascii="IRNazanin" w:hAnsi="IRNazanin" w:eastAsia="IRNazanin"/>
          <w:color w:val="111111"/>
          <w:sz w:val="28"/>
          <w:sz w:val="28"/>
          <w:szCs w:val="28"/>
          <w:rtl w:val="true"/>
          <w:lang w:bidi="fa-IR"/>
        </w:rPr>
        <w:t>، ولا اعلم وجهه بعد احتمال محمّد بن یحیی لغیر من وثّق ، ولعلّه من غیر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الأنف لیس علیه سجود ، فهو لو صحّ ینفی قول الصدوق بوجوب الإرغام کما یُظن من عبارته فی الفقیه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الإرغام سنّة من ترکه لا صلاة له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الخبر کما تری ، وردّ قوله</w:t>
      </w:r>
    </w:p>
    <w:p>
      <w:pPr>
        <w:pStyle w:val="Heading4"/>
        <w:numPr>
          <w:ilvl w:val="3"/>
          <w:numId w:val="1"/>
        </w:numPr>
        <w:rPr/>
      </w:pPr>
      <w:bookmarkStart w:id="581" w:name="__RefHeading___Toc347988_2142443653"/>
      <w:bookmarkStart w:id="582" w:name="_Toc225"/>
      <w:bookmarkEnd w:id="581"/>
      <w:r>
        <w:rPr>
          <w:rtl w:val="true"/>
        </w:rPr>
        <w:t>إشارة إلی وثاقة مروان بن مسلم</w:t>
      </w:r>
      <w:bookmarkEnd w:id="582"/>
    </w:p>
    <w:p>
      <w:pPr>
        <w:pStyle w:val="Heading4"/>
        <w:numPr>
          <w:ilvl w:val="3"/>
          <w:numId w:val="1"/>
        </w:numPr>
        <w:rPr/>
      </w:pPr>
      <w:bookmarkStart w:id="583" w:name="__RefHeading___Toc347990_2142443653"/>
      <w:bookmarkStart w:id="584" w:name="_Toc226"/>
      <w:bookmarkEnd w:id="583"/>
      <w:r>
        <w:rPr>
          <w:rtl w:val="true"/>
        </w:rPr>
        <w:t>إشارة إلی حال عمّار الساباطی</w:t>
      </w:r>
      <w:bookmarkEnd w:id="584"/>
    </w:p>
    <w:p>
      <w:pPr>
        <w:pStyle w:val="Heading4"/>
        <w:numPr>
          <w:ilvl w:val="3"/>
          <w:numId w:val="1"/>
        </w:numPr>
        <w:rPr/>
      </w:pPr>
      <w:bookmarkStart w:id="585" w:name="__RefHeading___Toc347992_2142443653"/>
      <w:bookmarkStart w:id="586" w:name="_Toc227"/>
      <w:bookmarkEnd w:id="585"/>
      <w:r>
        <w:rPr>
          <w:rtl w:val="true"/>
        </w:rPr>
        <w:t>بحث حول محمد بن یحیی</w:t>
      </w:r>
      <w:bookmarkEnd w:id="58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7" w:name="__RefHeading___Toc347994_2142443653"/>
      <w:bookmarkStart w:id="588" w:name="_Toc228"/>
      <w:bookmarkEnd w:id="587"/>
      <w:r>
        <w:rPr>
          <w:rtl w:val="true"/>
        </w:rPr>
        <w:t>بیان ما دل علی أنّه لیس علی الأنف سجود</w:t>
      </w:r>
      <w:bookmarkStart w:id="589" w:name="pg15037_163830"/>
      <w:bookmarkEnd w:id="588"/>
    </w:p>
    <w:p>
      <w:pPr>
        <w:pStyle w:val="BookText"/>
        <w:rPr/>
      </w:pPr>
      <w:bookmarkEnd w:id="589"/>
      <w:r>
        <w:rPr>
          <w:rFonts w:ascii="IRNazanin" w:hAnsi="IRNazanin" w:eastAsia="IRNazanin"/>
          <w:color w:val="111111"/>
          <w:sz w:val="28"/>
          <w:sz w:val="28"/>
          <w:szCs w:val="28"/>
          <w:rtl w:val="true"/>
          <w:lang w:bidi="fa-IR"/>
        </w:rPr>
        <w:t xml:space="preserve">بالأخیر ستسمع القول فیه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أنّ الجبهة حدّها من القصاص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منتهی منابت شعر الرأس من جهة الوجه إلی الأنف ، وأن کل جزء منها لو أصاب الأرض بفعل الإنسان أجزأ فی السجود ، ولو صحّ لاندفع به قول معتبر قدر الدرهم کما ینقل عن الصدوق </w:t>
      </w:r>
      <w:r>
        <w:rPr>
          <w:rStyle w:val="FootnoteAnchor"/>
          <w:rtl w:val="true"/>
        </w:rPr>
        <w:footnoteReference w:id="804"/>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805"/>
      </w:r>
      <w:r>
        <w:rPr>
          <w:rFonts w:ascii="IRNazanin" w:hAnsi="IRNazanin" w:eastAsia="IRNazanin"/>
          <w:color w:val="111111"/>
          <w:sz w:val="28"/>
          <w:sz w:val="28"/>
          <w:szCs w:val="28"/>
          <w:rtl w:val="true"/>
          <w:lang w:bidi="fa-IR"/>
        </w:rPr>
        <w:t xml:space="preserve">والشهید فی الذکری </w:t>
      </w:r>
      <w:r>
        <w:rPr>
          <w:rStyle w:val="FootnoteAnchor"/>
          <w:rtl w:val="true"/>
        </w:rPr>
        <w:footnoteReference w:id="806"/>
      </w:r>
      <w:r>
        <w:rPr>
          <w:rFonts w:ascii="IRNazanin" w:hAnsi="IRNazanin" w:eastAsia="IRNazanin"/>
          <w:color w:val="111111"/>
          <w:sz w:val="28"/>
          <w:sz w:val="28"/>
          <w:szCs w:val="28"/>
          <w:rtl w:val="true"/>
          <w:lang w:bidi="fa-IR"/>
        </w:rPr>
        <w:t xml:space="preserve">؛ وإن کان فی نظری القاصر أنّ کلام الصدوق فی الفقیه لا یفید الوجوب ؛ لأنّه ذکر السجود علی العود والسواک مع ذکره الدرهم </w:t>
      </w:r>
      <w:r>
        <w:rPr>
          <w:rStyle w:val="FootnoteAnchor"/>
          <w:rtl w:val="true"/>
        </w:rPr>
        <w:footnoteReference w:id="807"/>
      </w:r>
      <w:r>
        <w:rPr>
          <w:rFonts w:ascii="IRNazanin" w:hAnsi="IRNazanin" w:eastAsia="IRNazanin"/>
          <w:color w:val="111111"/>
          <w:sz w:val="28"/>
          <w:sz w:val="28"/>
          <w:szCs w:val="28"/>
          <w:rtl w:val="true"/>
          <w:lang w:bidi="fa-IR"/>
        </w:rPr>
        <w:t xml:space="preserve">، فلا بدّ من الحمل علی الاستحباب فی الدرهم ، أو حمل العود والسواک علی مقدار الدرهم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فی غایة البعد بخلاف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الاستدلال للمعتبرین بخبر زرارة </w:t>
      </w:r>
      <w:r>
        <w:rPr>
          <w:rStyle w:val="FootnoteAnchor"/>
          <w:rtl w:val="true"/>
        </w:rPr>
        <w:footnoteReference w:id="808"/>
      </w:r>
      <w:r>
        <w:rPr>
          <w:rFonts w:ascii="IRNazanin" w:hAnsi="IRNazanin" w:eastAsia="IRNazanin"/>
          <w:color w:val="111111"/>
          <w:sz w:val="28"/>
          <w:sz w:val="28"/>
          <w:szCs w:val="28"/>
          <w:rtl w:val="true"/>
          <w:lang w:bidi="fa-IR"/>
        </w:rPr>
        <w:t xml:space="preserve">الدال علی إجزاء مقدار الدرهم </w:t>
      </w:r>
      <w:r>
        <w:rPr>
          <w:rFonts w:eastAsia="IRNazanin" w:cs="IRNazanin"/>
          <w:color w:val="111111"/>
          <w:sz w:val="28"/>
          <w:szCs w:val="28"/>
          <w:rtl w:val="true"/>
          <w:lang w:bidi="fa-IR"/>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ومقدار طرف الأنملة </w:t>
      </w:r>
      <w:r>
        <w:rPr>
          <w:rStyle w:val="FootnoteAnchor"/>
          <w:rtl w:val="true"/>
        </w:rPr>
        <w:footnoteReference w:id="810"/>
      </w:r>
      <w:r>
        <w:rPr>
          <w:rFonts w:ascii="IRNazanin" w:hAnsi="IRNazanin" w:eastAsia="IRNazanin"/>
          <w:color w:val="111111"/>
          <w:sz w:val="28"/>
          <w:sz w:val="28"/>
          <w:szCs w:val="28"/>
          <w:rtl w:val="true"/>
          <w:lang w:bidi="fa-IR"/>
        </w:rPr>
        <w:t xml:space="preserve">،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طرف الأنملة أقلّ من مقدار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ودلالة الخبر المبحوث عنه علی أفضلیّة وضع جمیع الجبهة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الأنف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به الطرف الأعلی ، وقد یحتمل أن یعود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الأنف ، وبُعده ظاهر ، کما أنّ احتمال إرادة کل من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0" w:name="__RefHeading___Toc347996_2142443653"/>
      <w:bookmarkStart w:id="591" w:name="_Toc229"/>
      <w:bookmarkEnd w:id="590"/>
      <w:r>
        <w:rPr>
          <w:rtl w:val="true"/>
        </w:rPr>
        <w:t>بیان ما دلّ علی إجزاء المسمّی وعدم اعتبار مقدار الدرهم</w:t>
      </w:r>
      <w:bookmarkStart w:id="592" w:name="pg15037_163831"/>
      <w:bookmarkEnd w:id="591"/>
    </w:p>
    <w:p>
      <w:pPr>
        <w:pStyle w:val="BookText"/>
        <w:rPr/>
      </w:pPr>
      <w:bookmarkEnd w:id="592"/>
      <w:r>
        <w:rPr>
          <w:rFonts w:ascii="IRNazanin" w:hAnsi="IRNazanin" w:eastAsia="IRNazanin"/>
          <w:color w:val="111111"/>
          <w:sz w:val="28"/>
          <w:sz w:val="28"/>
          <w:szCs w:val="28"/>
          <w:rtl w:val="true"/>
          <w:lang w:bidi="fa-IR"/>
        </w:rPr>
        <w:t>الجبهة والطرف من الأنف کذلک ، واستبعاد تخصیص الأفضل بالجبهة کلها من دون ذکر الأنف یقربه أنّ المقام لبیان الجبهة لا لبیان محالّ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علی إجزاء المسمّی من الموضع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خبر زرارة لو أفاد المطلوب من اعتبار الدرهم لما نافاه شی‌ء من هذه الأخبار ؛ لأنّها تضمنت بیان الجبهة التی یصح السجود علیها ، وهی من جهة إجزاء کل جزء من قبیل العام ، فلا مانع من تخصیصه ، بل لا یبعد أن یکون من قبیل المجمل فلا مانع من بیانه ، إلاّ أنّ الکلام فی المبیّن ، وما وجّه به شیخنا قدس سره الاستدلال من خبر زرارة </w:t>
      </w:r>
      <w:r>
        <w:rPr>
          <w:rStyle w:val="FootnoteAnchor"/>
          <w:rtl w:val="true"/>
        </w:rPr>
        <w:footnoteReference w:id="811"/>
      </w:r>
      <w:r>
        <w:rPr>
          <w:rFonts w:ascii="IRNazanin" w:hAnsi="IRNazanin" w:eastAsia="IRNazanin"/>
          <w:color w:val="111111"/>
          <w:sz w:val="28"/>
          <w:sz w:val="28"/>
          <w:szCs w:val="28"/>
          <w:rtl w:val="true"/>
          <w:lang w:bidi="fa-IR"/>
        </w:rPr>
        <w:t>ذکرنا ما فیه فی غیر هذا الموضع ، والمحصّل 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محمول علی الفضل فی إصابة الأنف لما أصاب الجبین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الوجوب لا یعلم القائل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کما تری یتناول کلما یصح السجود علیه ، والعجب من جدّی قدس سره أنّه استدل بالخبر علی تحقّق الإرغام بغیر التراب </w:t>
      </w:r>
      <w:r>
        <w:rPr>
          <w:rStyle w:val="FootnoteAnchor"/>
          <w:rtl w:val="true"/>
        </w:rPr>
        <w:footnoteReference w:id="813"/>
      </w:r>
      <w:r>
        <w:rPr>
          <w:rFonts w:ascii="IRNazanin" w:hAnsi="IRNazanin" w:eastAsia="IRNazanin"/>
          <w:color w:val="111111"/>
          <w:sz w:val="28"/>
          <w:sz w:val="28"/>
          <w:szCs w:val="28"/>
          <w:rtl w:val="true"/>
          <w:lang w:bidi="fa-IR"/>
        </w:rPr>
        <w:t xml:space="preserve">، والحال أنّه تضمّن الجبین صریحا ، ولعل نظره قدس سره إلی أن المراد بالجبین الجبهة لشدة الاتصال بینهما ، وهو غیر بعید ، والشیخ کما تری فهم هذا من الروایة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الفرض هو السجود علی الجبهة والإرغام سنة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الشیخ بیان الفرض وکل ما عداه سنّة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یدل علی مطلوب الشیخ من کون الإرغام سنّة علی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3" w:name="__RefHeading___Toc347998_2142443653"/>
      <w:bookmarkStart w:id="594" w:name="_Toc230"/>
      <w:bookmarkEnd w:id="593"/>
      <w:r>
        <w:rPr>
          <w:rtl w:val="true"/>
        </w:rPr>
        <w:t>توجیه ما دلّ علی لزوم إصابة الأنف لما یصیب الجبین ومعنی الارغام</w:t>
      </w:r>
      <w:bookmarkEnd w:id="594"/>
    </w:p>
    <w:p>
      <w:pPr>
        <w:pStyle w:val="BookText"/>
        <w:rPr/>
      </w:pPr>
      <w:r>
        <w:rPr>
          <w:rFonts w:ascii="IRNazanin" w:hAnsi="IRNazanin" w:eastAsia="IRNazanin"/>
          <w:color w:val="111111"/>
          <w:sz w:val="28"/>
          <w:sz w:val="28"/>
          <w:szCs w:val="28"/>
          <w:rtl w:val="true"/>
          <w:lang w:bidi="fa-IR"/>
        </w:rPr>
        <w:t xml:space="preserve">تقدیر إرادة المستحب منها ، واحتمال إرادة ما ثبت من السنّة ممکن ، لأنّه علیه السلام لما ذکر الفرض علم أنّ السنّة تقابله ، ولمّا تقرّر أنّ الفرض ما ثبت من القرآن فالسنّة ما ثبت بها ، غیر أنّ الحق اشتراک السنّة ، ومع الاشتراک لا یخرج عن الأصل إلاّ بالتعین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السنّة هنا یراد بها ما ثبت بالسنّة ، وهو أعم من الواجب والندب ، فلا یخرج عن الأصل ، إلاّ أن یقال إنّ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وترغم بأنفک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فی معنی الأمر فیفید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ذلک بیان کون الإرغام من السنّة ، وهذا وإن کان فیه تأمّل سبق بیان وجهه مفصّلا ، من جهة احتمال الجملة الخبریة للاستحباب بسبب العدول ، إلاّ أنّه وجه للاستدلال عند من یطلق کون الخبریة للوجوب إذا کانت فی مثل هذه المواضع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والإرغام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إلصاق الأنف بالرغام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التراب ، ونقل عن المرتضی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إلصاق الطرف الأعلی منه ، وهو ممّا یلی الحاجبین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مماسّة الأرض بطرف الأنف وحدبته </w:t>
      </w:r>
      <w:r>
        <w:rPr>
          <w:rStyle w:val="FootnoteAnchor"/>
          <w:rtl w:val="true"/>
        </w:rPr>
        <w:footnoteReference w:id="816"/>
      </w:r>
      <w:r>
        <w:rPr>
          <w:rFonts w:ascii="Amiri" w:hAnsi="Amiri" w:eastAsia="Amiri" w:cs="Amiri"/>
          <w:color w:val="111111"/>
          <w:sz w:val="28"/>
          <w:sz w:val="28"/>
          <w:szCs w:val="28"/>
          <w:rtl w:val="true"/>
          <w:lang w:bidi="ar-SA"/>
        </w:rPr>
        <w:t xml:space="preserve">، سواء الرجل والمرأة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نظری القاصر أنّ ما فی حدیث حمّاد المشهور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وسجد علی ثمانیة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والأنف </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الإرغام بما ذکره ، واحتمال أن یکون الإرغام غیر ما ذکر لا وجه له</w:t>
      </w:r>
      <w:r>
        <w:rPr>
          <w:rFonts w:eastAsia="IRNazanin" w:cs="IRNazanin"/>
          <w:color w:val="111111"/>
          <w:sz w:val="28"/>
          <w:szCs w:val="28"/>
          <w:rtl w:val="true"/>
          <w:lang w:bidi="fa-IR"/>
        </w:rPr>
        <w:t xml:space="preserve">. </w:t>
      </w:r>
      <w:bookmarkStart w:id="595" w:name="pg15037_163833"/>
    </w:p>
    <w:p>
      <w:pPr>
        <w:pStyle w:val="BookText"/>
        <w:rPr/>
      </w:pPr>
      <w:bookmarkEnd w:id="595"/>
      <w:r>
        <w:rPr>
          <w:rFonts w:ascii="IRNazanin" w:hAnsi="IRNazanin" w:eastAsia="IRNazanin"/>
          <w:color w:val="111111"/>
          <w:sz w:val="28"/>
          <w:sz w:val="28"/>
          <w:szCs w:val="28"/>
          <w:rtl w:val="true"/>
          <w:lang w:bidi="fa-IR"/>
        </w:rPr>
        <w:t xml:space="preserve">إذا عرفت هذا فاعلم أنّ الخبر المبحوث عنه اشتمل علی أنّ السجود علی سبعة أعظم ، وکذلک خبر حمّاد ، وهذا فی الجبهة والرکبتین واضح ، أمّا فی الیدین فعلی تقدیر ما نقل عن السید المرتضی أنّ السجود علی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 علی </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الزندین </w:t>
      </w:r>
      <w:r>
        <w:rPr>
          <w:rStyle w:val="FootnoteAnchor"/>
          <w:rtl w:val="true"/>
        </w:rPr>
        <w:footnoteReference w:id="820"/>
      </w:r>
      <w:r>
        <w:rPr>
          <w:rFonts w:ascii="IRNazanin" w:hAnsi="IRNazanin" w:eastAsia="IRNazanin"/>
          <w:color w:val="111111"/>
          <w:sz w:val="28"/>
          <w:sz w:val="28"/>
          <w:szCs w:val="28"/>
          <w:rtl w:val="true"/>
          <w:lang w:bidi="fa-IR"/>
        </w:rPr>
        <w:t>له وجه ، أمّا علی تقدیر الکفین فالعظم لا یخلو من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العلاّمة فی المختلف أنّه نقل قول السیّد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اعتبار الیدین ؛ لما رواه زرارة </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کما تری ، لکن لا خروج عن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الأنامل فالعظم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أیضا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التغلیب ، وقد ذکر بعض شرّاح حدیث المخالفین الحدیث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باب التغلیب </w:t>
      </w:r>
      <w:r>
        <w:rPr>
          <w:rStyle w:val="FootnoteAnchor"/>
          <w:rtl w:val="true"/>
        </w:rPr>
        <w:footnoteReference w:id="823"/>
      </w:r>
      <w:r>
        <w:rPr>
          <w:rFonts w:ascii="Amiri" w:hAnsi="Amiri" w:eastAsia="Amiri" w:cs="Amiri"/>
          <w:color w:val="111111"/>
          <w:sz w:val="28"/>
          <w:sz w:val="28"/>
          <w:szCs w:val="28"/>
          <w:rtl w:val="true"/>
          <w:lang w:bidi="ar-SA"/>
        </w:rPr>
        <w:t>، فلیتدبّر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عساه یقال فی الخبر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کون السبعة من القرآن لا یخلو من خفاء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البیت علیهم السلام أدری بما فیه ، وفی الظاهر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بالسجود یراد </w:t>
      </w:r>
      <w:r>
        <w:rPr>
          <w:rStyle w:val="FootnoteAnchor"/>
          <w:rtl w:val="true"/>
        </w:rPr>
        <w:footnoteReference w:id="824"/>
      </w:r>
      <w:r>
        <w:rPr>
          <w:rFonts w:ascii="IRNazanin" w:hAnsi="IRNazanin" w:eastAsia="IRNazanin"/>
          <w:color w:val="111111"/>
          <w:sz w:val="28"/>
          <w:sz w:val="28"/>
          <w:szCs w:val="28"/>
          <w:rtl w:val="true"/>
          <w:lang w:bidi="fa-IR"/>
        </w:rPr>
        <w:t>به علی الأعضاء السبعة ، لتفسیرهم علیهم السلام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الأخبار المعتبرة ما یدل علی قول ابن الجنید </w:t>
      </w:r>
      <w:r>
        <w:rPr>
          <w:rStyle w:val="FootnoteAnchor"/>
          <w:rtl w:val="true"/>
        </w:rPr>
        <w:footnoteReference w:id="825"/>
      </w:r>
      <w:r>
        <w:rPr>
          <w:rFonts w:ascii="IRNazanin" w:hAnsi="IRNazanin" w:eastAsia="IRNazanin"/>
          <w:color w:val="111111"/>
          <w:sz w:val="28"/>
          <w:sz w:val="28"/>
          <w:szCs w:val="28"/>
          <w:rtl w:val="true"/>
          <w:lang w:bidi="fa-IR"/>
        </w:rPr>
        <w:t>فی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6" w:name="__RefHeading___Toc348000_2142443653"/>
      <w:bookmarkStart w:id="597" w:name="_Toc231"/>
      <w:bookmarkEnd w:id="596"/>
      <w:r>
        <w:rPr>
          <w:rtl w:val="true"/>
        </w:rPr>
        <w:t xml:space="preserve">بیان قوله علیه السلام </w:t>
      </w:r>
      <w:r>
        <w:rPr>
          <w:rtl w:val="true"/>
        </w:rPr>
        <w:t xml:space="preserve">: « </w:t>
      </w:r>
      <w:r>
        <w:rPr>
          <w:rtl w:val="true"/>
        </w:rPr>
        <w:t xml:space="preserve">السجود علی سبعة أعظم </w:t>
      </w:r>
      <w:r>
        <w:rPr>
          <w:rtl w:val="true"/>
        </w:rPr>
        <w:t>»</w:t>
      </w:r>
      <w:bookmarkStart w:id="598" w:name="pg15037_163834"/>
      <w:bookmarkEnd w:id="597"/>
    </w:p>
    <w:p>
      <w:pPr>
        <w:pStyle w:val="BookText"/>
        <w:rPr/>
      </w:pPr>
      <w:bookmarkEnd w:id="598"/>
      <w:r>
        <w:rPr>
          <w:rFonts w:ascii="IRNazanin" w:hAnsi="IRNazanin" w:eastAsia="IRNazanin"/>
          <w:color w:val="111111"/>
          <w:sz w:val="28"/>
          <w:sz w:val="28"/>
          <w:szCs w:val="28"/>
          <w:rtl w:val="true"/>
          <w:lang w:bidi="fa-IR"/>
        </w:rPr>
        <w:t xml:space="preserve">الجملة ، وهو ما رواه علی بن جعفر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تطول قصتها ، فإذا سجدت وقع بعض جبهتها علی الأرض وبعض یغطیه الشعر ، هل یجوز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تقع جبهتها علی الأرض </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وقد حملت هذه الروایة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تقدم من الأخبار قابل للجمع بینها وبین هذه الروایة ببیان </w:t>
      </w:r>
      <w:r>
        <w:rPr>
          <w:rStyle w:val="FootnoteAnchor"/>
          <w:rtl w:val="true"/>
        </w:rPr>
        <w:footnoteReference w:id="827"/>
      </w:r>
      <w:r>
        <w:rPr>
          <w:rFonts w:ascii="IRNazanin" w:hAnsi="IRNazanin" w:eastAsia="IRNazanin"/>
          <w:color w:val="111111"/>
          <w:sz w:val="28"/>
          <w:sz w:val="28"/>
          <w:szCs w:val="28"/>
          <w:rtl w:val="true"/>
          <w:lang w:bidi="fa-IR"/>
        </w:rPr>
        <w:t xml:space="preserve">مقدار الواجب من غیرها ، علی معنی أنّ محل الواجب من السجود ما کان حدّه کذا وکذا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کل جزء حصل تحقّق الوجوب ، ولو دلّ علی الثانی لکان ظاهرا وهذا الخبر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ابن الجنید قوله مرکّب علی ما نقل </w:t>
      </w:r>
      <w:r>
        <w:rPr>
          <w:rStyle w:val="FootnoteAnchor"/>
          <w:rtl w:val="true"/>
        </w:rPr>
        <w:footnoteReference w:id="829"/>
      </w:r>
      <w:r>
        <w:rPr>
          <w:rFonts w:ascii="IRNazanin" w:hAnsi="IRNazanin" w:eastAsia="IRNazanin"/>
          <w:color w:val="111111"/>
          <w:sz w:val="28"/>
          <w:sz w:val="28"/>
          <w:szCs w:val="28"/>
          <w:rtl w:val="true"/>
          <w:lang w:bidi="fa-IR"/>
        </w:rPr>
        <w:t>، والخبر لا یدل علیه ، وبدونه لا یتحقق الموافق علی مدلول الروایة ، فربما یتم الحمل علی الاستحباب ، فلیتأمّل المقام ، وبالله سبحانه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الإقعاء بین السجدتین</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الصفار ، عن أحمد بن محمّد ، عن الحسین بن سعید ، عن فضالة ، عن الحسین بن عثمان ، عن سماعة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تقع بین السجدتین إقعاء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ابن أبی عمیر ، عن حمّاد بن عثمان ، عن عبید الله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w:t>
      </w:r>
    </w:p>
    <w:p>
      <w:pPr>
        <w:pStyle w:val="Heading3"/>
        <w:numPr>
          <w:ilvl w:val="2"/>
          <w:numId w:val="1"/>
        </w:numPr>
        <w:rPr/>
      </w:pPr>
      <w:bookmarkStart w:id="599" w:name="__RefHeading___Toc348002_2142443653"/>
      <w:bookmarkStart w:id="600" w:name="_Toc232"/>
      <w:bookmarkEnd w:id="599"/>
      <w:r>
        <w:rPr>
          <w:rtl w:val="true"/>
        </w:rPr>
        <w:t>الإقعاء بین السجدتین</w:t>
      </w:r>
      <w:bookmarkEnd w:id="60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1" w:name="__RefHeading___Toc348004_2142443653"/>
      <w:bookmarkStart w:id="602" w:name="_Toc233"/>
      <w:bookmarkEnd w:id="601"/>
      <w:r>
        <w:rPr>
          <w:rtl w:val="true"/>
        </w:rPr>
        <w:t>اشارة</w:t>
      </w:r>
      <w:bookmarkStart w:id="603" w:name="pg15037_163835"/>
      <w:bookmarkEnd w:id="602"/>
    </w:p>
    <w:p>
      <w:pPr>
        <w:pStyle w:val="BookText"/>
        <w:rPr/>
      </w:pPr>
      <w:bookmarkEnd w:id="603"/>
      <w:r>
        <w:rPr>
          <w:rFonts w:ascii="IRNazanin" w:hAnsi="IRNazanin" w:eastAsia="IRNazanin"/>
          <w:color w:val="111111"/>
          <w:sz w:val="28"/>
          <w:sz w:val="28"/>
          <w:szCs w:val="28"/>
          <w:rtl w:val="true"/>
          <w:lang w:bidi="fa-IR"/>
        </w:rPr>
        <w:t xml:space="preserve">بالإقعاء فی الصلاة ما بین السجدتین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الروایة الرخصة أو حال الضرورة ، غیر أنّ الأفضل ما قدّمناه فی الروایة الاولی ، وذلک أیضا مطابق للروایات التی أوردناها فی کتابنا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ویؤکد ذلک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معاویة بن عمّار وابن مسلم والحلبی جمیعا قالوا </w:t>
      </w:r>
      <w:r>
        <w:rPr>
          <w:rStyle w:val="FootnoteAnchor"/>
          <w:rtl w:val="true"/>
        </w:rPr>
        <w:footnoteReference w:id="83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تقع بین السجدتین کإقعاء الکلب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أبو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الطریق إلی الثلاثة غیر مذکور فی المشیخة ، وفی الفهرست ما لا یفید الدخول فی الطرق ، مضافا إلی أنّ الظاهر إسناد القول إلیهم کما فی النسخة المنقول منها ، 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 وعلی هذا یکون من قبیل الخبر المضمر وإن کان الحق أنّه لا یضرّ بالحال لو سلم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التحریم ، غیر أنّ المشهور الکراهة </w:t>
      </w:r>
      <w:r>
        <w:rPr>
          <w:rStyle w:val="FootnoteAnchor"/>
          <w:rtl w:val="true"/>
        </w:rPr>
        <w:footnoteReference w:id="831"/>
      </w:r>
      <w:r>
        <w:rPr>
          <w:rFonts w:ascii="IRNazanin" w:hAnsi="IRNazanin" w:eastAsia="IRNazanin"/>
          <w:color w:val="111111"/>
          <w:sz w:val="28"/>
          <w:sz w:val="28"/>
          <w:szCs w:val="28"/>
          <w:rtl w:val="true"/>
          <w:lang w:bidi="fa-IR"/>
        </w:rPr>
        <w:t>، والصدوق</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4" w:name="__RefHeading___Toc348006_2142443653"/>
      <w:bookmarkStart w:id="605" w:name="_Toc234"/>
      <w:bookmarkEnd w:id="604"/>
      <w:r>
        <w:rPr>
          <w:rtl w:val="true"/>
        </w:rPr>
        <w:t>کلمة حول طرق الشیخ إلی معاویة بن عمّار وابن مسلم والحلبی</w:t>
      </w:r>
      <w:bookmarkEnd w:id="605"/>
    </w:p>
    <w:p>
      <w:pPr>
        <w:pStyle w:val="BookText"/>
        <w:rPr/>
      </w:pPr>
      <w:r>
        <w:rPr>
          <w:rFonts w:ascii="IRNazanin" w:hAnsi="IRNazanin" w:eastAsia="IRNazanin"/>
          <w:color w:val="111111"/>
          <w:sz w:val="28"/>
          <w:sz w:val="28"/>
          <w:szCs w:val="28"/>
          <w:rtl w:val="true"/>
          <w:lang w:bidi="fa-IR"/>
        </w:rPr>
        <w:t xml:space="preserve">فی الفقیه ظاهره عدم الجواز حال التشهد ، ونفی البأس بین السجدتین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بالإقعاء بین السجدتین ، ولا بأس به بین الاولی والثانیة ، وبین الثالثة والرابعة ، ولا یجوز الإقعاء فی موضع التشهد </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بالأولی والثانیة الرکعة الاولی والثانیة ، وهکذا الثالثة والرابعة ، فیدل </w:t>
      </w:r>
      <w:r>
        <w:rPr>
          <w:rStyle w:val="FootnoteAnchor"/>
          <w:rtl w:val="true"/>
        </w:rPr>
        <w:footnoteReference w:id="833"/>
      </w:r>
      <w:r>
        <w:rPr>
          <w:rFonts w:ascii="IRNazanin" w:hAnsi="IRNazanin" w:eastAsia="IRNazanin"/>
          <w:color w:val="111111"/>
          <w:sz w:val="28"/>
          <w:sz w:val="28"/>
          <w:szCs w:val="28"/>
          <w:rtl w:val="true"/>
          <w:lang w:bidi="fa-IR"/>
        </w:rPr>
        <w:t xml:space="preserve">علی نفی البأس بعد السجدة الثانیة من الاولی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إدریس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بین السجدتین ولا یجوز فی التشهدین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الشیخ فی المبسوط </w:t>
      </w:r>
      <w:r>
        <w:rPr>
          <w:rStyle w:val="FootnoteAnchor"/>
          <w:rtl w:val="true"/>
        </w:rPr>
        <w:footnoteReference w:id="836"/>
      </w:r>
      <w:r>
        <w:rPr>
          <w:rFonts w:ascii="IRNazanin" w:hAnsi="IRNazanin" w:eastAsia="IRNazanin"/>
          <w:color w:val="111111"/>
          <w:sz w:val="28"/>
          <w:sz w:val="28"/>
          <w:szCs w:val="28"/>
          <w:rtl w:val="true"/>
          <w:lang w:bidi="fa-IR"/>
        </w:rPr>
        <w:t xml:space="preserve">والمرتضی </w:t>
      </w:r>
      <w:r>
        <w:rPr>
          <w:rStyle w:val="FootnoteAnchor"/>
          <w:rtl w:val="true"/>
        </w:rPr>
        <w:footnoteReference w:id="837"/>
      </w:r>
      <w:r>
        <w:rPr>
          <w:rFonts w:ascii="IRNazanin" w:hAnsi="IRNazanin" w:eastAsia="IRNazanin"/>
          <w:color w:val="111111"/>
          <w:sz w:val="28"/>
          <w:sz w:val="28"/>
          <w:szCs w:val="28"/>
          <w:rtl w:val="true"/>
          <w:lang w:bidi="fa-IR"/>
        </w:rPr>
        <w:t>عدم الکراهة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نفی البأس من الصدوق محتمل لأن یکون المراد به نفی عدم الجواز بقرینة ذکره فی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علّل النفی فی التشهد بأنّ المقعی لیس بجالس ، إنّما یکون بعضه قد جلس علی بعض فلا یصبر للدعاء </w:t>
      </w:r>
      <w:r>
        <w:rPr>
          <w:rStyle w:val="FootnoteAnchor"/>
          <w:rtl w:val="true"/>
        </w:rPr>
        <w:footnoteReference w:id="838"/>
      </w:r>
      <w:r>
        <w:rPr>
          <w:rFonts w:ascii="IRNazanin" w:hAnsi="IRNazanin" w:eastAsia="IRNazanin"/>
          <w:color w:val="111111"/>
          <w:sz w:val="28"/>
          <w:sz w:val="28"/>
          <w:szCs w:val="28"/>
          <w:rtl w:val="true"/>
          <w:lang w:bidi="fa-IR"/>
        </w:rPr>
        <w:t>والتشهد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التعلیل موجود فی روایة زرارة فی التهذیب ، وهی صحیحة ،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وإیّاک والقعود علی قدمیک فتتأذّی بذلک ، ولا تکن قاعدا علی الأرض فتکون إنّما قعد بعضک علی بعض فلا تصبر للتشهد والدعاء </w:t>
      </w:r>
      <w:r>
        <w:rPr>
          <w:rFonts w:eastAsia="IRNazanin" w:cs="IRNazanin"/>
          <w:color w:val="111111"/>
          <w:sz w:val="28"/>
          <w:szCs w:val="28"/>
          <w:rtl w:val="true"/>
          <w:lang w:bidi="fa-IR"/>
        </w:rPr>
        <w:t xml:space="preserve">» </w:t>
      </w:r>
      <w:r>
        <w:rPr>
          <w:rStyle w:val="FootnoteAnchor"/>
          <w:rtl w:val="true"/>
        </w:rPr>
        <w:footnoteReference w:id="839"/>
      </w:r>
      <w:bookmarkStart w:id="606" w:name="pg15037_163837"/>
    </w:p>
    <w:p>
      <w:pPr>
        <w:pStyle w:val="BookText"/>
        <w:rPr/>
      </w:pPr>
      <w:bookmarkEnd w:id="606"/>
      <w:r>
        <w:rPr>
          <w:rFonts w:ascii="IRNazanin" w:hAnsi="IRNazanin" w:eastAsia="IRNazanin"/>
          <w:color w:val="111111"/>
          <w:sz w:val="28"/>
          <w:sz w:val="28"/>
          <w:szCs w:val="28"/>
          <w:rtl w:val="true"/>
          <w:lang w:bidi="fa-IR"/>
        </w:rPr>
        <w:t>وکأنّ الصدوق رحمه الله فهم منها الاختصاص بالتشهد ، ویکون الدعاء ما یذکر فی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أنّ قبل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قعدت فی تشهدک فألصق رکبتیک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الجواز ربما یستفاد من ظاهرها ، إلاّ أن یعارض بأنّ الأوامر فیها أکثرها للاستحباب فیبعد الدلالة علی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الوجوب ما لم یخرج الدلیل بعض الأحکام ، والموجود هنا ممّا یصلح للإخراج غیر موجود ، فإنّ الثانی من الأخبار المبحوث عنها تضمن جواز الإقعاء بین السجدتین فیبقی حکم التشهد علی أصله من الخبر ، غیر أنّ کثرة الأوامر الواردة فی الخبر للاستحباب مع الشهرة تؤیّد عدم التحریم ، مضافا إلی ظاهر التعلیل وإن احتمل أن یراد منه کون الجلوس للتشهد لا یتحقق إلاّ علی الأرض ، إلاّ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یوافق عدم الجواز ، فربما یقرب أن یکون مراد الصدوق الکراهة من عدم الجواز ، ومن نفی البأس عدم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المستفاد من الروایة أنّ الإقعاء المأمور بترکه هو الجلوس علی العقبین مع الاعتماد علی صدور القدمین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التفسیر هو المشهور بین الفقهاء </w:t>
      </w:r>
      <w:r>
        <w:rPr>
          <w:rStyle w:val="FootnoteAnchor"/>
          <w:rtl w:val="true"/>
        </w:rPr>
        <w:footnoteReference w:id="840"/>
      </w:r>
      <w:r>
        <w:rPr>
          <w:rFonts w:ascii="IRNazanin" w:hAnsi="IRNazanin" w:eastAsia="IRNazanin"/>
          <w:color w:val="111111"/>
          <w:sz w:val="28"/>
          <w:sz w:val="28"/>
          <w:szCs w:val="28"/>
          <w:rtl w:val="true"/>
          <w:lang w:bidi="fa-IR"/>
        </w:rPr>
        <w:t xml:space="preserve">، ونقل جماعة من الأصحاب عن بعض أهل اللغة أنّه الجلوس علی الألیتین ناصبا الفخذین کإقعاء الکلب </w:t>
      </w:r>
      <w:r>
        <w:rPr>
          <w:rStyle w:val="FootnoteAnchor"/>
          <w:rtl w:val="true"/>
        </w:rPr>
        <w:footnoteReference w:id="841"/>
      </w:r>
      <w:r>
        <w:rPr>
          <w:rFonts w:ascii="IRNazanin" w:hAnsi="IRNazanin" w:eastAsia="IRNazanin"/>
          <w:color w:val="111111"/>
          <w:sz w:val="28"/>
          <w:sz w:val="28"/>
          <w:szCs w:val="28"/>
          <w:rtl w:val="true"/>
          <w:lang w:bidi="fa-IR"/>
        </w:rPr>
        <w:t xml:space="preserve">، وهو مدلول الخبر الأخیر ، ویمکن أن یقال بتقدیر العمل بالخبر الأخیر والأوّل أنّ النهی عن الإقعاء بین السجدتین کإقعاء الکلب ، وما تضمن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الجلوس علی صدور القدمین ، إلاّ أنّه غیر خفی عدم</w:t>
      </w:r>
    </w:p>
    <w:p>
      <w:pPr>
        <w:pStyle w:val="Heading4"/>
        <w:numPr>
          <w:ilvl w:val="3"/>
          <w:numId w:val="1"/>
        </w:numPr>
        <w:rPr/>
      </w:pPr>
      <w:bookmarkStart w:id="607" w:name="__RefHeading___Toc348008_2142443653"/>
      <w:bookmarkStart w:id="608" w:name="_Toc235"/>
      <w:bookmarkEnd w:id="607"/>
      <w:r>
        <w:rPr>
          <w:rtl w:val="true"/>
        </w:rPr>
        <w:t>حکم الإقعاء بین السجدتین</w:t>
      </w:r>
      <w:bookmarkEnd w:id="60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9" w:name="__RefHeading___Toc348010_2142443653"/>
      <w:bookmarkStart w:id="610" w:name="_Toc236"/>
      <w:bookmarkEnd w:id="609"/>
      <w:r>
        <w:rPr>
          <w:rtl w:val="true"/>
        </w:rPr>
        <w:t>معنی الإقعاء</w:t>
      </w:r>
      <w:bookmarkStart w:id="611" w:name="pg15037_163838"/>
      <w:bookmarkEnd w:id="610"/>
    </w:p>
    <w:p>
      <w:pPr>
        <w:pStyle w:val="BookText"/>
        <w:rPr/>
      </w:pPr>
      <w:bookmarkEnd w:id="611"/>
      <w:r>
        <w:rPr>
          <w:rFonts w:ascii="IRNazanin" w:hAnsi="IRNazanin" w:eastAsia="IRNazanin"/>
          <w:color w:val="111111"/>
          <w:sz w:val="28"/>
          <w:sz w:val="28"/>
          <w:szCs w:val="28"/>
          <w:rtl w:val="true"/>
          <w:lang w:bidi="fa-IR"/>
        </w:rPr>
        <w:t xml:space="preserve">موافقته لخبر زرارة ، ویمکن أن یکون الإقعاء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مکروها </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والإقعاء المخصوص فی روایة زرارة غیر جائز ، وفیه ما لا یخفی ، لکن الأمر سهل بعد ما سمعته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یقوم من السجدة الثانیة إلی الرکعة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الصفّار ، عن أحمد بن محمّد بن عیسی ، عن علی بن الحکم ، عن أبی أیوب الخزّاز ، عن عبد الحمید بن عواض </w:t>
      </w:r>
      <w:r>
        <w:rPr>
          <w:rStyle w:val="FootnoteAnchor"/>
          <w:rtl w:val="true"/>
        </w:rPr>
        <w:footnoteReference w:id="843"/>
      </w:r>
      <w:r>
        <w:rPr>
          <w:rFonts w:ascii="IRNazanin" w:hAnsi="IRNazanin" w:eastAsia="IRNazanin"/>
          <w:color w:val="111111"/>
          <w:sz w:val="28"/>
          <w:sz w:val="28"/>
          <w:szCs w:val="28"/>
          <w:rtl w:val="true"/>
          <w:lang w:bidi="fa-IR"/>
        </w:rPr>
        <w:t xml:space="preserve">،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إذا رفع رأسه من السجدة الثانیة من الرکعة الأولی جلس حتی یطمئن ثم یقوم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سماعة ، عن أبی بصیر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رفعت رأسک من السجدة الثانیة من الرکعة الأولی حین ترید أن تقوم فاستو جالسا ثم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الحکم ، عن رحیم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 إذا صلّیت فرفعت رأسک من السجود فی الرکعة الاولی والثالثة فتستوی جالسا ثم تقوم ، فنصنع کما تصنع؟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تنظروا إلی ما أصنع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وافعلوا </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ما تؤمرون </w:t>
      </w:r>
      <w:r>
        <w:rPr>
          <w:rFonts w:eastAsia="IRNazanin" w:cs="IRNazanin"/>
          <w:color w:val="111111"/>
          <w:sz w:val="28"/>
          <w:szCs w:val="28"/>
          <w:rtl w:val="true"/>
          <w:lang w:bidi="fa-IR"/>
        </w:rPr>
        <w:t>».</w:t>
      </w:r>
    </w:p>
    <w:p>
      <w:pPr>
        <w:pStyle w:val="Heading3"/>
        <w:numPr>
          <w:ilvl w:val="2"/>
          <w:numId w:val="1"/>
        </w:numPr>
        <w:rPr/>
      </w:pPr>
      <w:bookmarkStart w:id="612" w:name="__RefHeading___Toc348012_2142443653"/>
      <w:bookmarkStart w:id="613" w:name="_Toc237"/>
      <w:bookmarkEnd w:id="612"/>
      <w:r>
        <w:rPr>
          <w:rtl w:val="true"/>
        </w:rPr>
        <w:t>من یقوم من السجدة الثانیة إلی الرکعة الثانیة</w:t>
      </w:r>
      <w:bookmarkEnd w:id="61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4" w:name="__RefHeading___Toc348014_2142443653"/>
      <w:bookmarkStart w:id="615" w:name="_Toc238"/>
      <w:bookmarkEnd w:id="614"/>
      <w:r>
        <w:rPr>
          <w:rtl w:val="true"/>
        </w:rPr>
        <w:t>اشارة</w:t>
      </w:r>
      <w:bookmarkStart w:id="616" w:name="pg15037_163839"/>
      <w:bookmarkEnd w:id="615"/>
    </w:p>
    <w:p>
      <w:pPr>
        <w:pStyle w:val="BookText"/>
        <w:rPr/>
      </w:pPr>
      <w:bookmarkEnd w:id="616"/>
      <w:r>
        <w:rPr>
          <w:rFonts w:ascii="IRNazanin" w:hAnsi="IRNazanin" w:eastAsia="IRNazanin"/>
          <w:color w:val="111111"/>
          <w:sz w:val="28"/>
          <w:sz w:val="28"/>
          <w:szCs w:val="28"/>
          <w:rtl w:val="true"/>
          <w:lang w:bidi="fa-IR"/>
        </w:rPr>
        <w:t xml:space="preserve">إنّما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تنظروا إلی ما أصنع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یعتقدوا أنّ ذلک یلزمهم علی طریقة الفرض ، دون أن یکون قد منعه أن یقتدی بفعله علی جهة الفضل والکمال ، وهذه الجلسة من آداب الصلاة لا من فرائضها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أحمد بن محمّد بن عیسی ، عن الحجّال ، عن عبد الله بن بکیر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وأبا عبد الله علیهماالسلام إذا رفعا رؤوسهما من السجدة الثانیة نهضا ولم یجلسا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بعد ما قدّمناه </w:t>
      </w:r>
      <w:r>
        <w:rPr>
          <w:rStyle w:val="FootnoteAnchor"/>
          <w:rtl w:val="true"/>
        </w:rPr>
        <w:footnoteReference w:id="845"/>
      </w:r>
      <w:r>
        <w:rPr>
          <w:rFonts w:ascii="IRNazanin" w:hAnsi="IRNazanin" w:eastAsia="IRNazanin"/>
          <w:color w:val="111111"/>
          <w:sz w:val="28"/>
          <w:sz w:val="28"/>
          <w:szCs w:val="28"/>
          <w:rtl w:val="true"/>
          <w:lang w:bidi="fa-IR"/>
        </w:rPr>
        <w:t xml:space="preserve">فی 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 وعبد الحمید </w:t>
      </w:r>
      <w:r>
        <w:rPr>
          <w:rFonts w:eastAsia="IRNazanin" w:cs="IRNazanin"/>
          <w:color w:val="111111"/>
          <w:sz w:val="28"/>
          <w:szCs w:val="28"/>
          <w:rtl w:val="true"/>
          <w:lang w:bidi="fa-IR"/>
        </w:rPr>
        <w:t xml:space="preserve">] </w:t>
      </w:r>
      <w:r>
        <w:rPr>
          <w:rStyle w:val="FootnoteAnchor"/>
          <w:rtl w:val="true"/>
        </w:rPr>
        <w:footnoteReference w:id="846"/>
      </w:r>
      <w:r>
        <w:rPr>
          <w:rFonts w:ascii="Amiri" w:hAnsi="Amiri" w:eastAsia="Amiri" w:cs="Amiri"/>
          <w:color w:val="111111"/>
          <w:sz w:val="28"/>
          <w:sz w:val="28"/>
          <w:szCs w:val="28"/>
          <w:rtl w:val="true"/>
          <w:lang w:bidi="ar-SA"/>
        </w:rPr>
        <w:t>بن عواض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الطریق إلی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 جهالة الطریق إلی علی بن الحکم جهالة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 غیر أنّه مقبول للإجماع علی تصحیح ما یصح عن عبد الله بن بکیر </w:t>
      </w:r>
      <w:r>
        <w:rPr>
          <w:rStyle w:val="FootnoteAnchor"/>
          <w:rtl w:val="true"/>
        </w:rPr>
        <w:footnoteReference w:id="847"/>
      </w:r>
      <w:r>
        <w:rPr>
          <w:rFonts w:ascii="IRNazanin" w:hAnsi="IRNazanin" w:eastAsia="IRNazanin"/>
          <w:color w:val="111111"/>
          <w:sz w:val="28"/>
          <w:sz w:val="28"/>
          <w:szCs w:val="28"/>
          <w:rtl w:val="true"/>
          <w:lang w:bidi="fa-IR"/>
        </w:rPr>
        <w:t xml:space="preserve">،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قدّمناه فی أوّل الکتاب من معنی الإجماع </w:t>
      </w:r>
      <w:r>
        <w:rPr>
          <w:rStyle w:val="FootnoteAnchor"/>
          <w:rtl w:val="true"/>
        </w:rPr>
        <w:footnoteReference w:id="848"/>
      </w:r>
      <w:r>
        <w:rPr>
          <w:rFonts w:ascii="IRNazanin" w:hAnsi="IRNazanin" w:eastAsia="IRNazanin"/>
          <w:color w:val="111111"/>
          <w:sz w:val="28"/>
          <w:sz w:val="28"/>
          <w:szCs w:val="28"/>
          <w:rtl w:val="true"/>
          <w:lang w:bidi="fa-IR"/>
        </w:rPr>
        <w:t>لا یقتضی الصحة المصطلح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عدّ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w:t>
      </w:r>
    </w:p>
    <w:p>
      <w:pPr>
        <w:pStyle w:val="Heading4"/>
        <w:numPr>
          <w:ilvl w:val="3"/>
          <w:numId w:val="1"/>
        </w:numPr>
        <w:rPr/>
      </w:pPr>
      <w:bookmarkStart w:id="617" w:name="__RefHeading___Toc348016_2142443653"/>
      <w:bookmarkStart w:id="618" w:name="_Toc239"/>
      <w:bookmarkEnd w:id="617"/>
      <w:r>
        <w:rPr>
          <w:rtl w:val="true"/>
        </w:rPr>
        <w:t>عبدالحمید بن عواض ثقة</w:t>
      </w:r>
      <w:bookmarkEnd w:id="618"/>
    </w:p>
    <w:p>
      <w:pPr>
        <w:pStyle w:val="Heading4"/>
        <w:numPr>
          <w:ilvl w:val="3"/>
          <w:numId w:val="1"/>
        </w:numPr>
        <w:rPr/>
      </w:pPr>
      <w:bookmarkStart w:id="619" w:name="__RefHeading___Toc348018_2142443653"/>
      <w:bookmarkStart w:id="620" w:name="_Toc240"/>
      <w:bookmarkEnd w:id="619"/>
      <w:r>
        <w:rPr>
          <w:rtl w:val="true"/>
        </w:rPr>
        <w:t>عدم الطریق للشیخ إلی سماعة</w:t>
      </w:r>
      <w:bookmarkEnd w:id="620"/>
    </w:p>
    <w:p>
      <w:pPr>
        <w:pStyle w:val="Heading4"/>
        <w:numPr>
          <w:ilvl w:val="3"/>
          <w:numId w:val="1"/>
        </w:numPr>
        <w:rPr/>
      </w:pPr>
      <w:bookmarkStart w:id="621" w:name="__RefHeading___Toc348020_2142443653"/>
      <w:bookmarkStart w:id="622" w:name="_Toc241"/>
      <w:bookmarkEnd w:id="621"/>
      <w:r>
        <w:rPr>
          <w:rtl w:val="true"/>
        </w:rPr>
        <w:t>جهالة طریق الشیخ إلی علی بن الحکم</w:t>
      </w:r>
      <w:bookmarkEnd w:id="622"/>
    </w:p>
    <w:p>
      <w:pPr>
        <w:pStyle w:val="Heading4"/>
        <w:numPr>
          <w:ilvl w:val="3"/>
          <w:numId w:val="1"/>
        </w:numPr>
        <w:rPr/>
      </w:pPr>
      <w:bookmarkStart w:id="623" w:name="__RefHeading___Toc348022_2142443653"/>
      <w:bookmarkStart w:id="624" w:name="_Toc242"/>
      <w:bookmarkEnd w:id="623"/>
      <w:r>
        <w:rPr>
          <w:rtl w:val="true"/>
        </w:rPr>
        <w:t>رحیم مجهول</w:t>
      </w:r>
      <w:bookmarkEnd w:id="62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5" w:name="__RefHeading___Toc348024_2142443653"/>
      <w:bookmarkStart w:id="626" w:name="_Toc243"/>
      <w:bookmarkEnd w:id="625"/>
      <w:r>
        <w:rPr>
          <w:rtl w:val="true"/>
        </w:rPr>
        <w:t>کلمة حول حدیث عبدالله بن بکیر</w:t>
      </w:r>
      <w:bookmarkStart w:id="627" w:name="pg15037_163840"/>
      <w:bookmarkEnd w:id="626"/>
    </w:p>
    <w:p>
      <w:pPr>
        <w:pStyle w:val="BookText"/>
        <w:rPr/>
      </w:pPr>
      <w:bookmarkEnd w:id="627"/>
      <w:r>
        <w:rPr>
          <w:rFonts w:ascii="IRNazanin" w:hAnsi="IRNazanin" w:eastAsia="IRNazanin"/>
          <w:color w:val="111111"/>
          <w:sz w:val="28"/>
          <w:sz w:val="28"/>
          <w:szCs w:val="28"/>
          <w:rtl w:val="true"/>
          <w:lang w:bidi="fa-IR"/>
        </w:rPr>
        <w:t xml:space="preserve">من الموثق مع عدّه خبر أبان بن عثمان من الصحیح </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القول فیه </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الاشتراک فی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فعل الإمام علیه السلام الجلوس ، لکن التأسّی لما کان مستحبا عند محقّقی الأصحاب </w:t>
      </w:r>
      <w:r>
        <w:rPr>
          <w:rStyle w:val="FootnoteAnchor"/>
          <w:rtl w:val="true"/>
        </w:rPr>
        <w:footnoteReference w:id="851"/>
      </w:r>
      <w:r>
        <w:rPr>
          <w:rFonts w:ascii="IRNazanin" w:hAnsi="IRNazanin" w:eastAsia="IRNazanin"/>
          <w:color w:val="111111"/>
          <w:sz w:val="28"/>
          <w:sz w:val="28"/>
          <w:szCs w:val="28"/>
          <w:rtl w:val="true"/>
          <w:lang w:bidi="fa-IR"/>
        </w:rPr>
        <w:t>فیما لم یعلم فیه الوجوب حکم باستحباب الجلسة لغیره ، وربما یقال ما قدّمناه عن قریب من أنّ فعله علیه السلام یجوز أن یکون لا للاستحباب بل للإباحة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الاستحباب من حیث الأمر ، إن اکتفینا فی السنن بمثل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علیه السلام فی الأوّل لا بدّ من کونه راجحا ، وهو معنی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فعل یفعله علیه السلام فی الصلاة یکون راجحا رجحان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یقال 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الجلوس أمر زائد علی القیام من السجدة ، فلا بدّ أن یکون له رجحان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فعله علیه السلام لو کان فیه تکرار ربما یفید الاستحباب ، أمّا فعل المرّة فیجوز أن یکون لغرض من الأغراض أو لعذر ، ولعلّ الاستحباب بالإجماع المنقول مع الخبر فیسهل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8" w:name="__RefHeading___Toc348026_2142443653"/>
      <w:bookmarkStart w:id="629" w:name="_Toc244"/>
      <w:bookmarkEnd w:id="628"/>
      <w:r>
        <w:rPr>
          <w:rtl w:val="true"/>
        </w:rPr>
        <w:t>بیان ما دل علی استحباب جلسة الاستراحة وتوجیه ما یعارضه</w:t>
      </w:r>
      <w:bookmarkStart w:id="630" w:name="pg15037_163841"/>
      <w:bookmarkEnd w:id="629"/>
    </w:p>
    <w:p>
      <w:pPr>
        <w:pStyle w:val="BookText"/>
        <w:rPr/>
      </w:pPr>
      <w:bookmarkEnd w:id="630"/>
      <w:r>
        <w:rPr>
          <w:rFonts w:ascii="IRNazanin" w:hAnsi="IRNazanin" w:eastAsia="IRNazanin"/>
          <w:color w:val="111111"/>
          <w:sz w:val="28"/>
          <w:sz w:val="28"/>
          <w:szCs w:val="28"/>
          <w:rtl w:val="true"/>
          <w:lang w:bidi="fa-IR"/>
        </w:rPr>
        <w:t xml:space="preserve">الخطب ، والإجماع حکاه بعض المتأخرین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ما یظهر من أنّ الخلاف إنّما هو فی الوجوب والاستحباب والأوّل منقول عن السید المرتضی رضی الله عنه وأنّه ادّعی علیه الإجماع </w:t>
      </w:r>
      <w:r>
        <w:rPr>
          <w:rStyle w:val="FootnoteAnchor"/>
          <w:rtl w:val="true"/>
        </w:rPr>
        <w:footnoteReference w:id="853"/>
      </w:r>
      <w:r>
        <w:rPr>
          <w:rFonts w:ascii="IRNazanin" w:hAnsi="IRNazanin" w:eastAsia="IRNazanin"/>
          <w:color w:val="111111"/>
          <w:sz w:val="28"/>
          <w:sz w:val="28"/>
          <w:szCs w:val="28"/>
          <w:rtl w:val="true"/>
          <w:lang w:bidi="fa-IR"/>
        </w:rPr>
        <w:t xml:space="preserve">، ولا یخلو من غرابة ، ولا یبعد أن یرید بالوجوب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تأکّد </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الاستحباب کما یستعمل فی کلام المتقدمین ، مثل الصدوق والمفید ، بل فی الأخبار وجوده بکثرة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الشیخ فی تأویل الثالث فلا بأس به ، ولولاه لانتفی استحباب التأسّی عند من یعمل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فالاستدلال به علی الاستحباب لا یخلو من إشکال ؛ لأنّ ترک المستحب وإن ذکر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جوازه لبیان الجواز </w:t>
      </w:r>
      <w:r>
        <w:rPr>
          <w:rStyle w:val="FootnoteAnchor"/>
          <w:rtl w:val="true"/>
        </w:rPr>
        <w:footnoteReference w:id="855"/>
      </w:r>
      <w:r>
        <w:rPr>
          <w:rFonts w:ascii="IRNazanin" w:hAnsi="IRNazanin" w:eastAsia="IRNazanin"/>
          <w:color w:val="111111"/>
          <w:sz w:val="28"/>
          <w:sz w:val="28"/>
          <w:szCs w:val="28"/>
          <w:rtl w:val="true"/>
          <w:lang w:bidi="fa-IR"/>
        </w:rPr>
        <w:t xml:space="preserve">، إلاّ أنّ فی البال بعد ذلک ، لأنّ بیان الجواز فیما لم یظن وجوبه غیر ظاهر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وجوب التأسی لمّا کان ممکنا احتیج إلی دفعه بالترک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وضع الإبهام فی حال السجود</w:t>
      </w:r>
    </w:p>
    <w:p>
      <w:pPr>
        <w:pStyle w:val="BookText"/>
        <w:rPr/>
      </w:pPr>
      <w:r>
        <w:rPr>
          <w:rFonts w:ascii="IRNazanin" w:hAnsi="IRNazanin" w:eastAsia="IRNazanin"/>
          <w:color w:val="111111"/>
          <w:sz w:val="28"/>
          <w:sz w:val="28"/>
          <w:szCs w:val="28"/>
          <w:rtl w:val="true"/>
          <w:lang w:bidi="fa-IR"/>
        </w:rPr>
        <w:t>أخبرنی الحسین بن عبید الله ، عن أحمد بن محمّد بن یحیی ، عن أبیه ، عن محمّد بن علی بن محبوب ، عن أحمد بن محمّد ، عن ابن</w:t>
      </w:r>
    </w:p>
    <w:p>
      <w:pPr>
        <w:pStyle w:val="Heading3"/>
        <w:numPr>
          <w:ilvl w:val="2"/>
          <w:numId w:val="1"/>
        </w:numPr>
        <w:rPr/>
      </w:pPr>
      <w:bookmarkStart w:id="631" w:name="__RefHeading___Toc348028_2142443653"/>
      <w:bookmarkStart w:id="632" w:name="_Toc245"/>
      <w:bookmarkEnd w:id="631"/>
      <w:r>
        <w:rPr>
          <w:rtl w:val="true"/>
        </w:rPr>
        <w:t>وضع الإبهام فی حال السجود</w:t>
      </w:r>
      <w:bookmarkEnd w:id="63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3" w:name="__RefHeading___Toc348030_2142443653"/>
      <w:bookmarkStart w:id="634" w:name="_Toc246"/>
      <w:bookmarkEnd w:id="633"/>
      <w:r>
        <w:rPr>
          <w:rtl w:val="true"/>
        </w:rPr>
        <w:t>اشارة</w:t>
      </w:r>
      <w:bookmarkStart w:id="635" w:name="pg15037_163842"/>
      <w:bookmarkEnd w:id="634"/>
    </w:p>
    <w:p>
      <w:pPr>
        <w:pStyle w:val="BookText"/>
        <w:rPr/>
      </w:pPr>
      <w:bookmarkEnd w:id="635"/>
      <w:r>
        <w:rPr>
          <w:rFonts w:ascii="IRNazanin" w:hAnsi="IRNazanin" w:eastAsia="IRNazanin"/>
          <w:color w:val="111111"/>
          <w:sz w:val="28"/>
          <w:sz w:val="28"/>
          <w:szCs w:val="28"/>
          <w:rtl w:val="true"/>
          <w:lang w:bidi="fa-IR"/>
        </w:rPr>
        <w:t xml:space="preserve">أبی نجران ، عن حمّاد بن عیسی ، عن حریز ، عن زرارة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 والیدین ، والرکبتین ، والإبهامین ، وترغم بأنفک إرغاما ، أمّا الفرض فهذه السبعة ، وأمّا الإرغام فسنّة من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محمّد بن إسماعیل بن بزیغ ، عن أبی إسماعیل السرّاج ، عن هارون بن خارجة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 الله علیه السلام وهو ساجد وقد رفع قدمیه من الأرض وإحدی قدمیه علی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هو أنّه یجوز أن یکون علیه السلام إنّما فعل ذلک لضرورة دعته إلی ذلک دون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بعد ما قدمناه فی أحمد بن محمّد بن یحیی من عدم توقف مشایخنا فیه </w:t>
      </w:r>
      <w:r>
        <w:rPr>
          <w:rStyle w:val="FootnoteAnchor"/>
          <w:rtl w:val="true"/>
        </w:rPr>
        <w:footnoteReference w:id="856"/>
      </w:r>
      <w:r>
        <w:rPr>
          <w:rFonts w:ascii="IRNazanin" w:hAnsi="IRNazanin" w:eastAsia="IRNazanin"/>
          <w:color w:val="111111"/>
          <w:sz w:val="28"/>
          <w:sz w:val="28"/>
          <w:szCs w:val="28"/>
          <w:rtl w:val="true"/>
          <w:lang w:bidi="fa-IR"/>
        </w:rPr>
        <w:t xml:space="preserve">، وأحمد بن محمّد الراوی عنه ابن محبوب هو ابن عیسی ، وابن أبی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إسماعیل السرّاج ، وفی الکافی فی صلاة الحوائج صرح بأنّ اسمه عبد الله بن عثمان بن عمرو الفزاری </w:t>
      </w:r>
      <w:r>
        <w:rPr>
          <w:rStyle w:val="FootnoteAnchor"/>
          <w:rtl w:val="true"/>
        </w:rPr>
        <w:footnoteReference w:id="857"/>
      </w:r>
      <w:r>
        <w:rPr>
          <w:rFonts w:ascii="IRNazanin" w:hAnsi="IRNazanin" w:eastAsia="IRNazanin"/>
          <w:color w:val="111111"/>
          <w:sz w:val="28"/>
          <w:sz w:val="28"/>
          <w:szCs w:val="28"/>
          <w:rtl w:val="true"/>
          <w:lang w:bidi="fa-IR"/>
        </w:rPr>
        <w:t xml:space="preserve">، وفی الرجال عبد الله بن عثمان بن عمرو بن خالد الفزاری أخو حمّاد بن عثمان </w:t>
      </w:r>
      <w:r>
        <w:rPr>
          <w:rStyle w:val="FootnoteAnchor"/>
          <w:rtl w:val="true"/>
        </w:rPr>
        <w:footnoteReference w:id="858"/>
      </w:r>
      <w:r>
        <w:rPr>
          <w:rFonts w:ascii="IRNazanin" w:hAnsi="IRNazanin" w:eastAsia="IRNazanin"/>
          <w:color w:val="111111"/>
          <w:sz w:val="28"/>
          <w:sz w:val="28"/>
          <w:szCs w:val="28"/>
          <w:rtl w:val="true"/>
          <w:lang w:bidi="fa-IR"/>
        </w:rPr>
        <w:t xml:space="preserve">، وقد وثّقه النجاشی فی ترجمة حمّاد بن عثمان </w:t>
      </w:r>
      <w:r>
        <w:rPr>
          <w:rStyle w:val="FootnoteAnchor"/>
          <w:rtl w:val="true"/>
        </w:rPr>
        <w:footnoteReference w:id="859"/>
      </w:r>
      <w:r>
        <w:rPr>
          <w:rFonts w:ascii="IRNazanin" w:hAnsi="IRNazanin" w:eastAsia="IRNazanin"/>
          <w:color w:val="111111"/>
          <w:sz w:val="28"/>
          <w:sz w:val="28"/>
          <w:szCs w:val="28"/>
          <w:rtl w:val="true"/>
          <w:lang w:bidi="fa-IR"/>
        </w:rPr>
        <w:t xml:space="preserve">، ولم ینقل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w:t>
      </w:r>
    </w:p>
    <w:p>
      <w:pPr>
        <w:pStyle w:val="Heading4"/>
        <w:numPr>
          <w:ilvl w:val="3"/>
          <w:numId w:val="1"/>
        </w:numPr>
        <w:rPr/>
      </w:pPr>
      <w:bookmarkStart w:id="636" w:name="__RefHeading___Toc348032_2142443653"/>
      <w:bookmarkStart w:id="637" w:name="_Toc247"/>
      <w:bookmarkEnd w:id="636"/>
      <w:r>
        <w:rPr>
          <w:rtl w:val="true"/>
        </w:rPr>
        <w:t>إشارة إلی عدم توقّف المشایخ فی احمد بن محمد بن یحیی</w:t>
      </w:r>
      <w:bookmarkEnd w:id="63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8" w:name="__RefHeading___Toc348034_2142443653"/>
      <w:bookmarkStart w:id="639" w:name="_Toc248"/>
      <w:bookmarkEnd w:id="638"/>
      <w:r>
        <w:rPr>
          <w:rtl w:val="true"/>
        </w:rPr>
        <w:t>بحث حول أبی اسماعیل السراج</w:t>
      </w:r>
      <w:bookmarkStart w:id="640" w:name="pg15037_163843"/>
      <w:bookmarkEnd w:id="639"/>
    </w:p>
    <w:p>
      <w:pPr>
        <w:pStyle w:val="BookText"/>
        <w:rPr/>
      </w:pPr>
      <w:bookmarkEnd w:id="640"/>
      <w:r>
        <w:rPr>
          <w:rFonts w:ascii="IRNazanin" w:hAnsi="IRNazanin" w:eastAsia="IRNazanin"/>
          <w:color w:val="111111"/>
          <w:sz w:val="28"/>
          <w:sz w:val="28"/>
          <w:szCs w:val="28"/>
          <w:rtl w:val="true"/>
          <w:lang w:bidi="fa-IR"/>
        </w:rPr>
        <w:t xml:space="preserve">فی کتاب الرجال أنّ کنیته أبو إسماعیل السراج عن النجاشی </w:t>
      </w:r>
      <w:r>
        <w:rPr>
          <w:rStyle w:val="FootnoteAnchor"/>
          <w:rtl w:val="true"/>
        </w:rPr>
        <w:footnoteReference w:id="860"/>
      </w:r>
      <w:r>
        <w:rPr>
          <w:rFonts w:ascii="IRNazanin" w:hAnsi="IRNazanin" w:eastAsia="IRNazanin"/>
          <w:color w:val="111111"/>
          <w:sz w:val="28"/>
          <w:sz w:val="28"/>
          <w:szCs w:val="28"/>
          <w:rtl w:val="true"/>
          <w:lang w:bidi="fa-IR"/>
        </w:rPr>
        <w:t xml:space="preserve">، لکن فی کتاب بعض المعاصرین الجامعین للرجال رأیت فیه الکنیة نقلا عن النجاشی </w:t>
      </w:r>
      <w:r>
        <w:rPr>
          <w:rStyle w:val="FootnoteAnchor"/>
          <w:rtl w:val="true"/>
        </w:rPr>
        <w:footnoteReference w:id="861"/>
      </w:r>
      <w:r>
        <w:rPr>
          <w:rFonts w:ascii="IRNazanin" w:hAnsi="IRNazanin" w:eastAsia="IRNazanin"/>
          <w:color w:val="111111"/>
          <w:sz w:val="28"/>
          <w:sz w:val="28"/>
          <w:szCs w:val="28"/>
          <w:rtl w:val="true"/>
          <w:lang w:bidi="fa-IR"/>
        </w:rPr>
        <w:t xml:space="preserve">، ولو لا ظنّ أنّ الزیادة من تصرفه لکان الوثوق بأنّه الأخ لحماد ابن عثمان الموصوف بالثقة حاصلا ، ولم یحضرنی الآن نسخة النجاشی فینبغی المراجعة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هارون بن خارجة ففی النجاشی ذکره مفردا ووثّقه </w:t>
      </w:r>
      <w:r>
        <w:rPr>
          <w:rStyle w:val="FootnoteAnchor"/>
          <w:rtl w:val="true"/>
        </w:rPr>
        <w:footnoteReference w:id="863"/>
      </w:r>
      <w:r>
        <w:rPr>
          <w:rFonts w:ascii="IRNazanin" w:hAnsi="IRNazanin" w:eastAsia="IRNazanin"/>
          <w:color w:val="111111"/>
          <w:sz w:val="28"/>
          <w:sz w:val="28"/>
          <w:szCs w:val="28"/>
          <w:rtl w:val="true"/>
          <w:lang w:bidi="fa-IR"/>
        </w:rPr>
        <w:t xml:space="preserve">، والشیخ ذکر فی أصحاب الصادق علیه السلام من کتابه هارون بن خارجة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مهملا </w:t>
      </w:r>
      <w:r>
        <w:rPr>
          <w:rStyle w:val="FootnoteAnchor"/>
          <w:rtl w:val="true"/>
        </w:rPr>
        <w:footnoteReference w:id="864"/>
      </w:r>
      <w:r>
        <w:rPr>
          <w:rFonts w:ascii="IRNazanin" w:hAnsi="IRNazanin" w:eastAsia="IRNazanin"/>
          <w:color w:val="111111"/>
          <w:sz w:val="28"/>
          <w:sz w:val="28"/>
          <w:szCs w:val="28"/>
          <w:rtl w:val="true"/>
          <w:lang w:bidi="fa-IR"/>
        </w:rPr>
        <w:t xml:space="preserve">، وفیهم أیضا هارون بن خارجة </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 xml:space="preserve">الصیرفی مهملا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خارجة 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الراوی عنه الحسن بن محمّد بن سماعة ، ولم یوثقه </w:t>
      </w:r>
      <w:r>
        <w:rPr>
          <w:rStyle w:val="FootnoteAnchor"/>
          <w:rtl w:val="true"/>
        </w:rPr>
        <w:footnoteReference w:id="867"/>
      </w:r>
      <w:r>
        <w:rPr>
          <w:rFonts w:ascii="IRNazanin" w:hAnsi="IRNazanin" w:eastAsia="IRNazanin"/>
          <w:color w:val="111111"/>
          <w:sz w:val="28"/>
          <w:sz w:val="28"/>
          <w:szCs w:val="28"/>
          <w:rtl w:val="true"/>
          <w:lang w:bidi="fa-IR"/>
        </w:rPr>
        <w:t xml:space="preserve">، والنجاشی ذکر أنّ الراوی عنه محمّد بن إسماعیل بن بزیع عن علی بن النعمان </w:t>
      </w:r>
      <w:r>
        <w:rPr>
          <w:rStyle w:val="FootnoteAnchor"/>
          <w:rtl w:val="true"/>
        </w:rPr>
        <w:footnoteReference w:id="868"/>
      </w:r>
      <w:r>
        <w:rPr>
          <w:rFonts w:ascii="IRNazanin" w:hAnsi="IRNazanin" w:eastAsia="IRNazanin"/>
          <w:color w:val="111111"/>
          <w:sz w:val="28"/>
          <w:sz w:val="28"/>
          <w:szCs w:val="28"/>
          <w:rtl w:val="true"/>
          <w:lang w:bidi="fa-IR"/>
        </w:rPr>
        <w:t>، والظاهر من الشیخ کما تری التعدد لکن إثبات التعدد من الشیخ مشکل ، غیر أنّ ذکر الأنصاری والصیرفی یؤذن بالتعدد ، وغیر بعید الجمع ؛ لأنّ الأنصاری لا ینافی کونه صیرفیا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لا یخلو من ارتیاب ؛ لاحتمال الاشتراک ، وإن کان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1" w:name="__RefHeading___Toc348036_2142443653"/>
      <w:bookmarkStart w:id="642" w:name="_Toc249"/>
      <w:bookmarkEnd w:id="641"/>
      <w:r>
        <w:rPr>
          <w:rtl w:val="true"/>
        </w:rPr>
        <w:t>بحث حول هارون بن خارجة</w:t>
      </w:r>
      <w:bookmarkStart w:id="643" w:name="pg15037_163844"/>
      <w:bookmarkEnd w:id="642"/>
    </w:p>
    <w:p>
      <w:pPr>
        <w:pStyle w:val="BookText"/>
        <w:rPr/>
      </w:pPr>
      <w:bookmarkEnd w:id="643"/>
      <w:r>
        <w:rPr>
          <w:rFonts w:ascii="IRNazanin" w:hAnsi="IRNazanin" w:eastAsia="IRNazanin"/>
          <w:color w:val="111111"/>
          <w:sz w:val="28"/>
          <w:sz w:val="28"/>
          <w:szCs w:val="28"/>
          <w:rtl w:val="true"/>
          <w:lang w:bidi="fa-IR"/>
        </w:rPr>
        <w:t>فی المقام هیّن الأثر ، لکن فی غیره تظهر ثمرته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قدمنا فیه کلاما من جهة الجبهة والیدین </w:t>
      </w:r>
      <w:r>
        <w:rPr>
          <w:rStyle w:val="FootnoteAnchor"/>
          <w:rtl w:val="true"/>
        </w:rPr>
        <w:footnoteReference w:id="869"/>
      </w:r>
      <w:r>
        <w:rPr>
          <w:rFonts w:ascii="IRNazanin" w:hAnsi="IRNazanin" w:eastAsia="IRNazanin"/>
          <w:color w:val="111111"/>
          <w:sz w:val="28"/>
          <w:sz w:val="28"/>
          <w:szCs w:val="28"/>
          <w:rtl w:val="true"/>
          <w:lang w:bidi="fa-IR"/>
        </w:rPr>
        <w:t xml:space="preserve">ویبقی </w:t>
      </w:r>
      <w:r>
        <w:rPr>
          <w:rStyle w:val="FootnoteAnchor"/>
          <w:rtl w:val="true"/>
        </w:rPr>
        <w:footnoteReference w:id="870"/>
      </w:r>
      <w:r>
        <w:rPr>
          <w:rFonts w:ascii="IRNazanin" w:hAnsi="IRNazanin" w:eastAsia="IRNazanin"/>
          <w:color w:val="111111"/>
          <w:sz w:val="28"/>
          <w:sz w:val="28"/>
          <w:szCs w:val="28"/>
          <w:rtl w:val="true"/>
          <w:lang w:bidi="fa-IR"/>
        </w:rPr>
        <w:t xml:space="preserve">هنا بیان ما لا بدّ منه فی الرکبتین والإبهامین ، فالذی یقتضیه الخبر وجوب السجود علی الرکبتین ، لکن فی خبر زرارة المذکور فی التهذیب صحیحا فی ذکر الرکوع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وتضع یدک الیمنی علی رکبتک الیمنی قبل الیسری وبلّغ بأطراف أصابعک عین الرکبة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تری محتمل من جهة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الرکبة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بالعین نفس الرکبة ، وحینئذ یفید أنّ الرکبة أسفل من المتعارف منها ، لأنّ تبلیغ الأصابع إلی العین یقتضی ذلک ، فلا بدّ فی السجود من عدم زیادة مدّ الرجل إلی وراء لئلاّ تخرج عن الوضع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یراد بالعین غیر الرکبة فتکون الرکبة فوق العین ، وحینئذ لا بدّ من زیادة مدّ الرجل إلی وراء لیتحقّق وضع الرکبة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الاحتمال الثانی له نوع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وقع فی کلام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زرارة بالعین المهملة وأنّ غیر ذلک تصحیف </w:t>
      </w:r>
      <w:r>
        <w:rPr>
          <w:rStyle w:val="FootnoteAnchor"/>
          <w:rtl w:val="true"/>
        </w:rPr>
        <w:footnoteReference w:id="872"/>
      </w:r>
      <w:r>
        <w:rPr>
          <w:rFonts w:ascii="IRNazanin" w:hAnsi="IRNazanin" w:eastAsia="IRNazanin"/>
          <w:color w:val="111111"/>
          <w:sz w:val="28"/>
          <w:sz w:val="28"/>
          <w:szCs w:val="28"/>
          <w:rtl w:val="true"/>
          <w:lang w:bidi="fa-IR"/>
        </w:rPr>
        <w:t>، فلا یخلو من غرابة کما یعلم ممّا کتبناه فی مواضع منها فی فوائد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الإبهامان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المبحوث عنه کما تری تضمّن ذلک ، وفی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4" w:name="__RefHeading___Toc348038_2142443653"/>
      <w:bookmarkStart w:id="645" w:name="_Toc250"/>
      <w:bookmarkEnd w:id="644"/>
      <w:r>
        <w:rPr>
          <w:rtl w:val="true"/>
        </w:rPr>
        <w:t>وضع الرکبتین فی حال السجود</w:t>
      </w:r>
      <w:bookmarkStart w:id="646" w:name="pg15037_163845"/>
      <w:bookmarkEnd w:id="645"/>
    </w:p>
    <w:p>
      <w:pPr>
        <w:pStyle w:val="BookText"/>
        <w:rPr/>
      </w:pPr>
      <w:bookmarkEnd w:id="646"/>
      <w:r>
        <w:rPr>
          <w:rFonts w:ascii="IRNazanin" w:hAnsi="IRNazanin" w:eastAsia="IRNazanin"/>
          <w:color w:val="111111"/>
          <w:sz w:val="28"/>
          <w:sz w:val="28"/>
          <w:szCs w:val="28"/>
          <w:rtl w:val="true"/>
          <w:lang w:bidi="fa-IR"/>
        </w:rPr>
        <w:t xml:space="preserve">خبر حمّاد بن عیسی المشهور أنّه علیه السلام سجد علی ثمانیة أعظم وعدّ منها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أنامل إبهامی الرجلین ، وقال عنه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منها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 علیه السلام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والإبهامان </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یظن حمل مطلق هذا الخبر المبحوث عنه علی مقید ذلک ، فیراد بالإبهامین أناملهما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حمادا روی ما رأی ، وسجوده علیه السلام علی الأنامل إمّا لکونه أحد جزئیات الفعل وإمّا لتعیّنه ، ومع الاحتمال لا یتقید به الخبر المبحوث عنه ، ویؤیّده ما نقله حمّاد عنه علیه السلام أنّه ذکر الإبهامین فی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الفروض ، فلو </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کانت الأنامل معتبرة لذکرها ، علی أنّه یحتمل أن یکون وضع الأنامل لکونه أفضل ، والاحتیاط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الشیخ فیه لا یخلو من وجه ، غیر أنّ الروایة کما تری تدل علی أنّه رآه وهو ساجد ولم یعلم أنّ الوضع قبل الذکر الواجب </w:t>
      </w:r>
      <w:r>
        <w:rPr>
          <w:rStyle w:val="FootnoteAnchor"/>
          <w:rtl w:val="true"/>
        </w:rPr>
        <w:footnoteReference w:id="875"/>
      </w:r>
      <w:r>
        <w:rPr>
          <w:rFonts w:ascii="IRNazanin" w:hAnsi="IRNazanin" w:eastAsia="IRNazanin"/>
          <w:color w:val="111111"/>
          <w:sz w:val="28"/>
          <w:sz w:val="28"/>
          <w:szCs w:val="28"/>
          <w:rtl w:val="true"/>
          <w:lang w:bidi="fa-IR"/>
        </w:rPr>
        <w:t>أو بعده أو فی أثنائه ، وعلی التقدیرین الأوّلین إنّما یحتاج إلی التأویل بعد إثبات استحباب البقاء علی هیئة الواجب إلی أن یرفع من السجود ، أمّا التقدیر الأخیر فالحمل علی الضرورة یتعیّن ، وعلی جمیع التقادیر یمکن الحمل علی الضرورة أیضا ، لکن یتفاوت بالنسبة إلی الواجب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7" w:name="__RefHeading___Toc348040_2142443653"/>
      <w:bookmarkStart w:id="648" w:name="_Toc251"/>
      <w:bookmarkEnd w:id="647"/>
      <w:r>
        <w:rPr>
          <w:rtl w:val="true"/>
        </w:rPr>
        <w:t>وضع الابهامین فی حال السجود</w:t>
      </w:r>
      <w:bookmarkStart w:id="649" w:name="pg15037_163846"/>
      <w:bookmarkEnd w:id="648"/>
    </w:p>
    <w:p>
      <w:pPr>
        <w:pStyle w:val="BookText"/>
        <w:rPr/>
      </w:pPr>
      <w:bookmarkEnd w:id="64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النفخ فی موضع السجود فی حال الصلاة</w:t>
      </w:r>
    </w:p>
    <w:p>
      <w:pPr>
        <w:pStyle w:val="BookText"/>
        <w:rPr/>
      </w:pPr>
      <w:r>
        <w:rPr>
          <w:rFonts w:ascii="IRNazanin" w:hAnsi="IRNazanin" w:eastAsia="IRNazanin"/>
          <w:color w:val="111111"/>
          <w:sz w:val="28"/>
          <w:sz w:val="28"/>
          <w:szCs w:val="28"/>
          <w:rtl w:val="true"/>
          <w:lang w:bidi="fa-IR"/>
        </w:rPr>
        <w:t xml:space="preserve">الحسین بن سعید ، عن صفوان ، عن إسحاق بن عمّار ، عن رجل من بنی عجل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المکان یکون علیه الغبار فأنفخه إذا أردت السجود؟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الفضل ، عن حمّاد بن عیسی ، عن حریز ، عن محمّد بن مسلم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ینفخ فی الصلاة موضع جبهته؟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الروایة ضرب من الکراهیة دون الحظر ، ویجوز أن یکون إنّما کره ذلک إذا کان ممّا یتأذّی به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أحمد بن محمّد ، عن أبی محمّد الحجّال ، عن أبی إسحاق ، عن أبی بکر الحضرمی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بالنفخ فی الصلاة فی موضع السجود ما لم یؤذ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شیخنا قدس سره فی فوائده علی الکتاب أنّ الشیخ فی التهذیب روی قبل هذه الروایة روایة عن محمّد بن إسماعیل ، عن الفضل ابن شاذان ، ثم قال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عن الفضل ، عن حمّاد بن عیسی </w:t>
      </w:r>
      <w:r>
        <w:rPr>
          <w:rStyle w:val="FootnoteAnchor"/>
          <w:rtl w:val="true"/>
        </w:rPr>
        <w:footnoteReference w:id="876"/>
      </w:r>
      <w:r>
        <w:rPr>
          <w:rFonts w:ascii="IRNazanin" w:hAnsi="IRNazanin" w:eastAsia="IRNazanin"/>
          <w:color w:val="111111"/>
          <w:sz w:val="28"/>
          <w:sz w:val="28"/>
          <w:szCs w:val="28"/>
          <w:rtl w:val="true"/>
          <w:lang w:bidi="fa-IR"/>
        </w:rPr>
        <w:t>،</w:t>
      </w:r>
    </w:p>
    <w:p>
      <w:pPr>
        <w:pStyle w:val="Heading3"/>
        <w:numPr>
          <w:ilvl w:val="2"/>
          <w:numId w:val="1"/>
        </w:numPr>
        <w:rPr/>
      </w:pPr>
      <w:bookmarkStart w:id="650" w:name="__RefHeading___Toc348042_2142443653"/>
      <w:bookmarkStart w:id="651" w:name="_Toc252"/>
      <w:bookmarkEnd w:id="650"/>
      <w:r>
        <w:rPr>
          <w:rtl w:val="true"/>
        </w:rPr>
        <w:t>النفخ فی موضع السجود فی حال الصلاة</w:t>
      </w:r>
      <w:bookmarkEnd w:id="65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2" w:name="__RefHeading___Toc348044_2142443653"/>
      <w:bookmarkStart w:id="653" w:name="_Toc253"/>
      <w:bookmarkEnd w:id="652"/>
      <w:r>
        <w:rPr>
          <w:rtl w:val="true"/>
        </w:rPr>
        <w:t>بحث حول روایة محمّد عن الفضل وتمییزهما</w:t>
      </w:r>
      <w:bookmarkStart w:id="654" w:name="pg15037_163847"/>
      <w:bookmarkEnd w:id="653"/>
    </w:p>
    <w:p>
      <w:pPr>
        <w:pStyle w:val="BookText"/>
        <w:rPr/>
      </w:pPr>
      <w:bookmarkEnd w:id="654"/>
      <w:r>
        <w:rPr>
          <w:rFonts w:ascii="IRNazanin" w:hAnsi="IRNazanin" w:eastAsia="IRNazanin"/>
          <w:color w:val="111111"/>
          <w:sz w:val="28"/>
          <w:sz w:val="28"/>
          <w:szCs w:val="28"/>
          <w:rtl w:val="true"/>
          <w:lang w:bidi="fa-IR"/>
        </w:rPr>
        <w:t>ومعلوم أنّ محمّدا هو ابن إسماعیل ، وهذا هو الصواب ، وذکر محمّد بن علی بن محبوب من غلط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کما قال قدس سره من جهة التهذیب فی زیادات الصلاة ؛ إلاّ أنّه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الرجال الفضل بن إسماعیل الکندی یروی عنه محمّد بن علی بن محبوب کما فی الفهرست </w:t>
      </w:r>
      <w:r>
        <w:rPr>
          <w:rStyle w:val="FootnoteAnchor"/>
          <w:rtl w:val="true"/>
        </w:rPr>
        <w:footnoteReference w:id="877"/>
      </w:r>
      <w:r>
        <w:rPr>
          <w:rFonts w:ascii="IRNazanin" w:hAnsi="IRNazanin" w:eastAsia="IRNazanin"/>
          <w:color w:val="111111"/>
          <w:sz w:val="28"/>
          <w:sz w:val="28"/>
          <w:szCs w:val="28"/>
          <w:rtl w:val="true"/>
          <w:lang w:bidi="fa-IR"/>
        </w:rPr>
        <w:t>؛ فلا یبعد أن یکون الفضل هذا ولا یتعین کونه ابن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وقع فی الفهرست موهوم ؛ لأنّ النجاشی ذکر الفضل بن إسماعیل وأنّ الراوی لکتابة محمّد بن علی بن أیوب </w:t>
      </w:r>
      <w:r>
        <w:rPr>
          <w:rStyle w:val="FootnoteAnchor"/>
          <w:rtl w:val="true"/>
        </w:rPr>
        <w:footnoteReference w:id="878"/>
      </w:r>
      <w:r>
        <w:rPr>
          <w:rFonts w:ascii="IRNazanin" w:hAnsi="IRNazanin" w:eastAsia="IRNazanin"/>
          <w:color w:val="111111"/>
          <w:sz w:val="28"/>
          <w:sz w:val="28"/>
          <w:szCs w:val="28"/>
          <w:rtl w:val="true"/>
          <w:lang w:bidi="fa-IR"/>
        </w:rPr>
        <w:t xml:space="preserve">، فما فی الفهرست إمّا من قلم الشیخ أو الناسخ ، واحتمال کون ما فی النجاشی سهوا بعید ، ویؤیّد البعد ما وقع فی التهذیب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من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یتعرض فی کتاب الرجال لما وقع فی الفهرست والنجاشی من الاختلاف فیما ذکرناه من جهة الراوی عن الفضل بن إسماعیل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فیه هو ثعلبة بن میمون ؛ لأنّ الراوی عنه فی الرجال الحجال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الحضرمی تکرر القول فیه </w:t>
      </w:r>
      <w:r>
        <w:rPr>
          <w:rStyle w:val="FootnoteAnchor"/>
          <w:rtl w:val="true"/>
        </w:rPr>
        <w:footnoteReference w:id="883"/>
      </w:r>
      <w:r>
        <w:rPr>
          <w:rFonts w:ascii="IRNazanin" w:hAnsi="IRNazanin" w:eastAsia="IRNazanin"/>
          <w:color w:val="111111"/>
          <w:sz w:val="28"/>
          <w:sz w:val="28"/>
          <w:szCs w:val="28"/>
          <w:rtl w:val="true"/>
          <w:lang w:bidi="fa-IR"/>
        </w:rPr>
        <w:t xml:space="preserve">کثعلبة </w:t>
      </w:r>
      <w:r>
        <w:rPr>
          <w:rStyle w:val="FootnoteAnchor"/>
          <w:rtl w:val="true"/>
        </w:rPr>
        <w:footnoteReference w:id="88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5" w:name="__RefHeading___Toc348046_2142443653"/>
      <w:bookmarkStart w:id="656" w:name="_Toc254"/>
      <w:bookmarkEnd w:id="655"/>
      <w:r>
        <w:rPr>
          <w:rtl w:val="true"/>
        </w:rPr>
        <w:t>أبو اسحاق الذی روی عنه الحجّال هو ثعلبة بن میمون</w:t>
      </w:r>
      <w:bookmarkStart w:id="657" w:name="pg15037_163848"/>
      <w:bookmarkEnd w:id="656"/>
    </w:p>
    <w:p>
      <w:pPr>
        <w:pStyle w:val="BookText"/>
        <w:rPr/>
      </w:pPr>
      <w:bookmarkEnd w:id="657"/>
      <w:r>
        <w:rPr>
          <w:rFonts w:ascii="IRNazanin" w:hAnsi="IRNazanin" w:eastAsia="IRNazanin"/>
          <w:color w:val="111111"/>
          <w:sz w:val="28"/>
          <w:sz w:val="28"/>
          <w:szCs w:val="28"/>
          <w:rtl w:val="true"/>
          <w:lang w:bidi="fa-IR"/>
        </w:rPr>
        <w:t xml:space="preserve">والحجال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الخبرین ظاهر غیر أنّ الإیذاء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قد یستغرب ، ولو صحّ الخبر دلّ علی مطلق الإیذاء والعموم لکل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تنفخ فی موضع سجودک ، فإذا أردت النفخ فلیکن قبل دخولک فی الصلاة ، فإنّه یکره ثلاث نفخات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السجود ، وعلی الرّقی ، وعلی طعام الحار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إرادة الکراهة الأصولیة بمعونة ذکر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النفخ لو تضمن حرفین یلزم الإبطال بتقدیر التعمد ؛ لأنّه صرّح بأنّ من أنّ فی صلاته فقد تکلم </w:t>
      </w:r>
      <w:r>
        <w:rPr>
          <w:rStyle w:val="FootnoteAnchor"/>
          <w:rtl w:val="true"/>
        </w:rPr>
        <w:footnoteReference w:id="888"/>
      </w:r>
      <w:r>
        <w:rPr>
          <w:rFonts w:ascii="IRNazanin" w:hAnsi="IRNazanin" w:eastAsia="IRNazanin"/>
          <w:color w:val="111111"/>
          <w:sz w:val="28"/>
          <w:sz w:val="28"/>
          <w:szCs w:val="28"/>
          <w:rtl w:val="true"/>
          <w:lang w:bidi="fa-IR"/>
        </w:rPr>
        <w:t xml:space="preserve">، وهو یدل علی أنّ الکلام لا یشترط فیه الصدق عرفا حیث لم یثبت اللغة والشرع ، أو أنّه فی اللغة ثابت عنده ، والفرق بین الأنین وبین النفخ غیر واضح ، إلاّ من جهة الروایة المرویة فی الأنین فی التهذیب </w:t>
      </w:r>
      <w:r>
        <w:rPr>
          <w:rStyle w:val="FootnoteAnchor"/>
          <w:rtl w:val="true"/>
        </w:rPr>
        <w:footnoteReference w:id="889"/>
      </w:r>
      <w:r>
        <w:rPr>
          <w:rFonts w:ascii="IRNazanin" w:hAnsi="IRNazanin" w:eastAsia="IRNazanin"/>
          <w:color w:val="111111"/>
          <w:sz w:val="28"/>
          <w:sz w:val="28"/>
          <w:szCs w:val="28"/>
          <w:rtl w:val="true"/>
          <w:lang w:bidi="fa-IR"/>
        </w:rPr>
        <w:t xml:space="preserve">، والسند غیر سلیم ؛ لاشتماله علی طلحة بن زید </w:t>
      </w:r>
      <w:r>
        <w:rPr>
          <w:rStyle w:val="FootnoteAnchor"/>
          <w:rtl w:val="true"/>
        </w:rPr>
        <w:footnoteReference w:id="890"/>
      </w:r>
      <w:r>
        <w:rPr>
          <w:rFonts w:ascii="IRNazanin" w:hAnsi="IRNazanin" w:eastAsia="IRNazanin"/>
          <w:color w:val="111111"/>
          <w:sz w:val="28"/>
          <w:sz w:val="28"/>
          <w:szCs w:val="28"/>
          <w:rtl w:val="true"/>
          <w:lang w:bidi="fa-IR"/>
        </w:rPr>
        <w:t xml:space="preserve">ومحمّد بن یحیی المشترک </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إیراد مضمونها من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8" w:name="__RefHeading___Toc348048_2142443653"/>
      <w:bookmarkStart w:id="659" w:name="_Toc255"/>
      <w:bookmarkEnd w:id="658"/>
      <w:r>
        <w:rPr>
          <w:rtl w:val="true"/>
        </w:rPr>
        <w:t>حکم الأنین والنفخ فی حال الصلاة</w:t>
      </w:r>
      <w:bookmarkStart w:id="660" w:name="pg15037_163849"/>
      <w:bookmarkEnd w:id="659"/>
    </w:p>
    <w:p>
      <w:pPr>
        <w:pStyle w:val="BookText"/>
        <w:rPr/>
      </w:pPr>
      <w:bookmarkEnd w:id="660"/>
      <w:r>
        <w:rPr>
          <w:rFonts w:ascii="IRNazanin" w:hAnsi="IRNazanin" w:eastAsia="IRNazanin"/>
          <w:color w:val="111111"/>
          <w:sz w:val="28"/>
          <w:sz w:val="28"/>
          <w:szCs w:val="28"/>
          <w:rtl w:val="true"/>
          <w:lang w:bidi="fa-IR"/>
        </w:rPr>
        <w:t xml:space="preserve">الصدوق </w:t>
      </w:r>
      <w:r>
        <w:rPr>
          <w:rStyle w:val="FootnoteAnchor"/>
          <w:rtl w:val="true"/>
        </w:rPr>
        <w:footnoteReference w:id="892"/>
      </w:r>
      <w:r>
        <w:rPr>
          <w:rFonts w:ascii="IRNazanin" w:hAnsi="IRNazanin" w:eastAsia="IRNazanin"/>
          <w:color w:val="111111"/>
          <w:sz w:val="28"/>
          <w:sz w:val="28"/>
          <w:szCs w:val="28"/>
          <w:rtl w:val="true"/>
          <w:lang w:bidi="fa-IR"/>
        </w:rPr>
        <w:t>یؤیّد اعتبارها ، وربما یستفاد حینئذ أنّ مجرد النطق بحرفین کلام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المنتهی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نفخ موضع السجود تبطل مع حصول الحرفین ، ونقل الخلاف عن بعض العامة </w:t>
      </w:r>
      <w:r>
        <w:rPr>
          <w:rStyle w:val="FootnoteAnchor"/>
          <w:rtl w:val="true"/>
        </w:rPr>
        <w:footnoteReference w:id="893"/>
      </w:r>
      <w:r>
        <w:rPr>
          <w:rFonts w:ascii="IRNazanin" w:hAnsi="IRNazanin" w:eastAsia="IRNazanin"/>
          <w:color w:val="111111"/>
          <w:sz w:val="28"/>
          <w:sz w:val="28"/>
          <w:szCs w:val="28"/>
          <w:rtl w:val="true"/>
          <w:lang w:bidi="fa-IR"/>
        </w:rPr>
        <w:t>، وظاهره عدم الخلاف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یسمّی فی العرف کلاما </w:t>
      </w:r>
      <w:r>
        <w:rPr>
          <w:rStyle w:val="FootnoteAnchor"/>
          <w:rtl w:val="true"/>
        </w:rPr>
        <w:footnoteReference w:id="894"/>
      </w:r>
      <w:r>
        <w:rPr>
          <w:rFonts w:ascii="IRNazanin" w:hAnsi="IRNazanin" w:eastAsia="IRNazanin"/>
          <w:color w:val="111111"/>
          <w:sz w:val="28"/>
          <w:sz w:val="28"/>
          <w:szCs w:val="28"/>
          <w:rtl w:val="true"/>
          <w:lang w:bidi="fa-IR"/>
        </w:rPr>
        <w:t xml:space="preserve">، وأیّده بجواز التنحنح مطلقا الوارد فی خبر عمّار عن الصادق علیه السلام ، وقد سأله عن الرجل یسمع صوتا علی الباب وهو فی الصلاة فیتنحنح لتسمع الجاریة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وفی البین کلام یأتی فی محلّه إن شاء الله تعالی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یعلم ما ذکره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بعد ذکر 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محمول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ذلک بشرط عدم اشتمال النفخ علی حرفین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المعلومیة المذکورة تدل علی عدم الارتیاب فی إبطال الحرفین مطلقا ، مع أنّ البحث فیه واسع المجال ، واعتقاده البطلان لا یفید المعلومیة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یسجد فتقع جبهته علی موضع مرتفع</w:t>
      </w:r>
    </w:p>
    <w:p>
      <w:pPr>
        <w:pStyle w:val="BookText"/>
        <w:rPr/>
      </w:pPr>
      <w:r>
        <w:rPr>
          <w:rFonts w:ascii="IRNazanin" w:hAnsi="IRNazanin" w:eastAsia="IRNazanin"/>
          <w:color w:val="111111"/>
          <w:sz w:val="28"/>
          <w:sz w:val="28"/>
          <w:szCs w:val="28"/>
          <w:rtl w:val="true"/>
          <w:lang w:bidi="fa-IR"/>
        </w:rPr>
        <w:t>أحمد بن محمّد ، عن معاویة بن حکیم ، عن أبی مالک</w:t>
      </w:r>
    </w:p>
    <w:p>
      <w:pPr>
        <w:pStyle w:val="Heading3"/>
        <w:numPr>
          <w:ilvl w:val="2"/>
          <w:numId w:val="1"/>
        </w:numPr>
        <w:rPr/>
      </w:pPr>
      <w:bookmarkStart w:id="661" w:name="__RefHeading___Toc348050_2142443653"/>
      <w:bookmarkStart w:id="662" w:name="_Toc256"/>
      <w:bookmarkEnd w:id="661"/>
      <w:r>
        <w:rPr>
          <w:rtl w:val="true"/>
        </w:rPr>
        <w:t>من یسجد فتقع جبهته علی موضع مرتفع</w:t>
      </w:r>
      <w:bookmarkEnd w:id="66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3" w:name="__RefHeading___Toc348052_2142443653"/>
      <w:bookmarkStart w:id="664" w:name="_Toc257"/>
      <w:bookmarkEnd w:id="663"/>
      <w:r>
        <w:rPr>
          <w:rtl w:val="true"/>
        </w:rPr>
        <w:t>اشارة</w:t>
      </w:r>
      <w:bookmarkEnd w:id="664"/>
    </w:p>
    <w:p>
      <w:pPr>
        <w:pStyle w:val="BookText"/>
        <w:rPr/>
      </w:pPr>
      <w:r>
        <w:rPr>
          <w:rFonts w:ascii="IRNazanin" w:hAnsi="IRNazanin" w:eastAsia="IRNazanin"/>
          <w:color w:val="111111"/>
          <w:sz w:val="28"/>
          <w:sz w:val="28"/>
          <w:szCs w:val="28"/>
          <w:rtl w:val="true"/>
          <w:lang w:bidi="fa-IR"/>
        </w:rPr>
        <w:t xml:space="preserve">الحضرمی ، عن الحسن بن 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أسجد فتقع جبهتی علی الموضع المرتفع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ارفع رأسک ثم 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یعقوب ، عن محمّد بن إسماعیل ، عن الفضل بن شاذان ، عن صفوان بن یحیی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وضعت جبهتک علی نبکة </w:t>
      </w:r>
      <w:r>
        <w:rPr>
          <w:rStyle w:val="FootnoteAnchor"/>
          <w:rtl w:val="true"/>
        </w:rPr>
        <w:footnoteReference w:id="898"/>
      </w:r>
      <w:r>
        <w:rPr>
          <w:rFonts w:ascii="IRNazanin" w:hAnsi="IRNazanin" w:eastAsia="IRNazanin"/>
          <w:color w:val="111111"/>
          <w:sz w:val="28"/>
          <w:sz w:val="28"/>
          <w:szCs w:val="28"/>
          <w:rtl w:val="true"/>
          <w:lang w:bidi="fa-IR"/>
        </w:rPr>
        <w:t xml:space="preserve">فلا ترفعها ولکن جرّها علی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أحمد بن محمّد ، عن عبد الله بن المغیرة ، عن ابن مسکان ، عن حسین بن حمّاد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أضع وجهی للسجود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فیقع وجهی </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 xml:space="preserve">علی حجر أو علی موضع مرتفع ، أحوّل وجهی إلی مکان مستو؟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جرّ وجهک علی الأرض من غیر أن ترفعه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 عن موسی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یسجد علی الحصی </w:t>
      </w:r>
      <w:r>
        <w:rPr>
          <w:rStyle w:val="FootnoteAnchor"/>
          <w:rtl w:val="true"/>
        </w:rPr>
        <w:footnoteReference w:id="900"/>
      </w:r>
      <w:r>
        <w:rPr>
          <w:rFonts w:ascii="IRNazanin" w:hAnsi="IRNazanin" w:eastAsia="IRNazanin"/>
          <w:color w:val="111111"/>
          <w:sz w:val="28"/>
          <w:sz w:val="28"/>
          <w:szCs w:val="28"/>
          <w:rtl w:val="true"/>
          <w:lang w:bidi="fa-IR"/>
        </w:rPr>
        <w:t xml:space="preserve">فلا یمکّن جبهته من الأرض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یحرک جبهته حتی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فینحی الحصی </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 xml:space="preserve">عن جبهته ولا یرفع رأسه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فالوجه فی هذه الأخبار أن نحملها علی الحالة التی یتمکن الإنسان من أن یضع جبهته مستویا من غیر أن یرفع رأسه ، لأنّه إذا رفع رأسه یکون قد زاد سجدة فی الصلاة ، وذلک لا یجوز ، والخبر الأوّل محمول علی حال الاضطرار التی لا یتأتّی ذلک إلاّ مع رفع الرأس</w:t>
      </w:r>
      <w:r>
        <w:rPr>
          <w:rFonts w:eastAsia="IRNazanin" w:cs="IRNazanin"/>
          <w:color w:val="111111"/>
          <w:sz w:val="28"/>
          <w:szCs w:val="28"/>
          <w:rtl w:val="true"/>
          <w:lang w:bidi="fa-IR"/>
        </w:rPr>
        <w:t xml:space="preserve">. </w:t>
      </w:r>
      <w:bookmarkStart w:id="665" w:name="pg15037_163851"/>
    </w:p>
    <w:p>
      <w:pPr>
        <w:pStyle w:val="BookText"/>
        <w:rPr/>
      </w:pPr>
      <w:bookmarkEnd w:id="665"/>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مالک الحضرمی وهو الضحّاک الموثق من النجاشی مرّتین </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ومعاویة بن حکیم مضی القول فیه أنّ النجاشی وثّقه من غیر ذکر الفطحیة </w:t>
      </w:r>
      <w:r>
        <w:rPr>
          <w:rStyle w:val="FootnoteAnchor"/>
          <w:rtl w:val="true"/>
        </w:rPr>
        <w:footnoteReference w:id="903"/>
      </w:r>
      <w:r>
        <w:rPr>
          <w:rFonts w:ascii="IRNazanin" w:hAnsi="IRNazanin" w:eastAsia="IRNazanin"/>
          <w:color w:val="111111"/>
          <w:sz w:val="28"/>
          <w:sz w:val="28"/>
          <w:szCs w:val="28"/>
          <w:rtl w:val="true"/>
          <w:lang w:bidi="fa-IR"/>
        </w:rPr>
        <w:t xml:space="preserve">، والکشی ذکرها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یستبعد روایة أحمد بن محمّد بن عیسی عن معاویة بن حکیم ، مع أنّ الشیخ قال فی رجال من لم یرو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الراوی عنه الصفار </w:t>
      </w:r>
      <w:r>
        <w:rPr>
          <w:rStyle w:val="FootnoteAnchor"/>
          <w:rtl w:val="true"/>
        </w:rPr>
        <w:footnoteReference w:id="905"/>
      </w:r>
      <w:r>
        <w:rPr>
          <w:rFonts w:ascii="IRNazanin" w:hAnsi="IRNazanin" w:eastAsia="IRNazanin"/>
          <w:color w:val="111111"/>
          <w:sz w:val="28"/>
          <w:sz w:val="28"/>
          <w:szCs w:val="28"/>
          <w:rtl w:val="true"/>
          <w:lang w:bidi="fa-IR"/>
        </w:rPr>
        <w:t xml:space="preserve">، وکذلک النجاشی </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محلّه </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لإمکان الجواب بعدم بعد المرتبة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حماد هو الموجود فیما وقفت علیه من النسخة ، وفی التهذیب الحسین بن حماد </w:t>
      </w:r>
      <w:r>
        <w:rPr>
          <w:rStyle w:val="FootnoteAnchor"/>
          <w:rtl w:val="true"/>
        </w:rPr>
        <w:footnoteReference w:id="908"/>
      </w:r>
      <w:r>
        <w:rPr>
          <w:rFonts w:ascii="IRNazanin" w:hAnsi="IRNazanin" w:eastAsia="IRNazanin"/>
          <w:color w:val="111111"/>
          <w:sz w:val="28"/>
          <w:sz w:val="28"/>
          <w:szCs w:val="28"/>
          <w:rtl w:val="true"/>
          <w:lang w:bidi="fa-IR"/>
        </w:rPr>
        <w:t xml:space="preserve">، وکلاهما فی الرجال ، ولا یزیدان عن الإهمال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بعد ما کرّرنا القول فیه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الثالث </w:t>
      </w:r>
      <w:r>
        <w:rPr>
          <w:rStyle w:val="FootnoteAnchor"/>
          <w:rtl w:val="true"/>
        </w:rPr>
        <w:footnoteReference w:id="911"/>
      </w:r>
      <w:r>
        <w:rPr>
          <w:rFonts w:ascii="IRNazanin" w:hAnsi="IRNazanin" w:eastAsia="IRNazanin"/>
          <w:color w:val="111111"/>
          <w:sz w:val="28"/>
          <w:sz w:val="28"/>
          <w:szCs w:val="28"/>
          <w:rtl w:val="true"/>
          <w:lang w:bidi="fa-IR"/>
        </w:rPr>
        <w:t>، والحسین بن حمّاد قد عرفت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هو الموجود فیما نقلت منه ، وفی التهذیب رواه</w:t>
      </w:r>
    </w:p>
    <w:p>
      <w:pPr>
        <w:pStyle w:val="Heading4"/>
        <w:numPr>
          <w:ilvl w:val="3"/>
          <w:numId w:val="1"/>
        </w:numPr>
        <w:rPr/>
      </w:pPr>
      <w:bookmarkStart w:id="666" w:name="__RefHeading___Toc348054_2142443653"/>
      <w:bookmarkStart w:id="667" w:name="_Toc258"/>
      <w:bookmarkEnd w:id="666"/>
      <w:r>
        <w:rPr>
          <w:rtl w:val="true"/>
        </w:rPr>
        <w:t>أبو مالک الحضرمی ثقة</w:t>
      </w:r>
      <w:bookmarkEnd w:id="667"/>
    </w:p>
    <w:p>
      <w:pPr>
        <w:pStyle w:val="Heading4"/>
        <w:numPr>
          <w:ilvl w:val="3"/>
          <w:numId w:val="1"/>
        </w:numPr>
        <w:rPr/>
      </w:pPr>
      <w:bookmarkStart w:id="668" w:name="__RefHeading___Toc348056_2142443653"/>
      <w:bookmarkStart w:id="669" w:name="_Toc259"/>
      <w:bookmarkEnd w:id="668"/>
      <w:r>
        <w:rPr>
          <w:rtl w:val="true"/>
        </w:rPr>
        <w:t>بحث حول معاویة بن حکیم</w:t>
      </w:r>
      <w:bookmarkEnd w:id="66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0" w:name="__RefHeading___Toc348058_2142443653"/>
      <w:bookmarkStart w:id="671" w:name="_Toc260"/>
      <w:bookmarkEnd w:id="670"/>
      <w:r>
        <w:rPr>
          <w:rtl w:val="true"/>
        </w:rPr>
        <w:t>الحسن بن حماد والحسین بن حماد مهملان</w:t>
      </w:r>
      <w:bookmarkStart w:id="672" w:name="pg15037_163852"/>
      <w:bookmarkEnd w:id="671"/>
    </w:p>
    <w:p>
      <w:pPr>
        <w:pStyle w:val="BookText"/>
        <w:rPr/>
      </w:pPr>
      <w:bookmarkEnd w:id="672"/>
      <w:r>
        <w:rPr>
          <w:rFonts w:ascii="IRNazanin" w:hAnsi="IRNazanin" w:eastAsia="IRNazanin"/>
          <w:color w:val="111111"/>
          <w:sz w:val="28"/>
          <w:sz w:val="28"/>
          <w:szCs w:val="28"/>
          <w:rtl w:val="true"/>
          <w:lang w:bidi="fa-IR"/>
        </w:rPr>
        <w:t xml:space="preserve">عن محمّد بن علی بن محبوب ، عن أحمد ، عن موسی بن القاسم وأبی قتادة جمیعا ، عن علی بن جعفر ، عن أخیه موسی بن جعفر علیهماالسلام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ما هنا سهو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یتوقف الکلام فیه علی مقدمة ، وهی أنّ المذکور فی عبارات جماعة من المتأخرین اغتفار ارتفاع مسجد المصلّی عن موقفه بمقدار لبنة </w:t>
      </w:r>
      <w:r>
        <w:rPr>
          <w:rStyle w:val="FootnoteAnchor"/>
          <w:rtl w:val="true"/>
        </w:rPr>
        <w:footnoteReference w:id="913"/>
      </w:r>
      <w:r>
        <w:rPr>
          <w:rFonts w:ascii="IRNazanin" w:hAnsi="IRNazanin" w:eastAsia="IRNazanin"/>
          <w:color w:val="111111"/>
          <w:sz w:val="28"/>
          <w:sz w:val="28"/>
          <w:szCs w:val="28"/>
          <w:rtl w:val="true"/>
          <w:lang w:bidi="fa-IR"/>
        </w:rPr>
        <w:t xml:space="preserve">،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مشهور بین الأصحاب </w:t>
      </w:r>
      <w:r>
        <w:rPr>
          <w:rStyle w:val="FootnoteAnchor"/>
          <w:rtl w:val="true"/>
        </w:rPr>
        <w:footnoteReference w:id="914"/>
      </w:r>
      <w:r>
        <w:rPr>
          <w:rFonts w:ascii="IRNazanin" w:hAnsi="IRNazanin" w:eastAsia="IRNazanin"/>
          <w:color w:val="111111"/>
          <w:sz w:val="28"/>
          <w:sz w:val="28"/>
          <w:szCs w:val="28"/>
          <w:rtl w:val="true"/>
          <w:lang w:bidi="fa-IR"/>
        </w:rPr>
        <w:t xml:space="preserve">، وادعی بعض عدم ظهور الخلاف ، وأُیّد بالأصل والأوامر المطلقة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زیادات التهذیب روی الشیخ بطریق فیه النهدی ما یدل علی أنّ قدر اللبنة لا بأس به </w:t>
      </w:r>
      <w:r>
        <w:rPr>
          <w:rStyle w:val="FootnoteAnchor"/>
          <w:rtl w:val="true"/>
        </w:rPr>
        <w:footnoteReference w:id="916"/>
      </w:r>
      <w:r>
        <w:rPr>
          <w:rFonts w:ascii="IRNazanin" w:hAnsi="IRNazanin" w:eastAsia="IRNazanin"/>
          <w:color w:val="111111"/>
          <w:sz w:val="28"/>
          <w:sz w:val="28"/>
          <w:szCs w:val="28"/>
          <w:rtl w:val="true"/>
          <w:lang w:bidi="fa-IR"/>
        </w:rPr>
        <w:t>، لکن فی السند کلام ، والمتن فیه نوع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الشهرة تؤیّده إن کانت من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الشیخ فی التهذیب فی غیر الزیادات عن الحسین ، عن النضر بن سوید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موضع جبهة الساجد أیکون أرفع من مقامه؟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ولیکن مستویا </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وهو یدل علی المساواة ظاهرا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3" w:name="__RefHeading___Toc348060_2142443653"/>
      <w:bookmarkStart w:id="674" w:name="_Toc261"/>
      <w:bookmarkEnd w:id="673"/>
      <w:r>
        <w:rPr>
          <w:rtl w:val="true"/>
        </w:rPr>
        <w:t>حکم ارتفاع موضع السجود عن موقف المصلّی</w:t>
      </w:r>
      <w:bookmarkStart w:id="675" w:name="pg15037_163853"/>
      <w:bookmarkEnd w:id="674"/>
    </w:p>
    <w:p>
      <w:pPr>
        <w:pStyle w:val="BookText"/>
        <w:rPr/>
      </w:pPr>
      <w:bookmarkEnd w:id="675"/>
      <w:r>
        <w:rPr>
          <w:rFonts w:ascii="IRNazanin" w:hAnsi="IRNazanin" w:eastAsia="IRNazanin"/>
          <w:color w:val="111111"/>
          <w:sz w:val="28"/>
          <w:sz w:val="28"/>
          <w:szCs w:val="28"/>
          <w:rtl w:val="true"/>
          <w:lang w:bidi="fa-IR"/>
        </w:rPr>
        <w:t xml:space="preserve">وقول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الظاهر کون مراده علیه السلام مساواة موضع الجبهة ، علی معنی أن یکون خالیا من الارتفاع والانخفاض </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الظاهر کما ذکرناه فی حواشی التهذیب ، غیر أنّ التأویل بما ذکر ممکن ، ولو حمل علی الاستحباب أمکن علی تقدیر ثبوت الحکم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فالأوّل من الأخبار یدل علی أنّ من تقع جبهته علی الموضع المرتفع یرفع رأسه ثم یضعه ، وهذا کما تری یتناول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المرتفع قدر اللبنة وما زاد ، وعلی تقدیر قدر اللبنة </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قد یشکل الرفع باستلزامه زیادة السجود ، فلا بدّ من حمله علی الزائد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الثانی المتضمن لأنّ من وضع جبهته علی النبکة لا یرفع جبهته بل یجرّها لا بدّ من حمله علی ما یتحقق به السجود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 والرابع نحوه ، غیر أنّ الظاهر من الأخبار لا یعطی هذا إلاّ بتکلف ، ولو لا ظن عدم القائل بخلاف ما نقلناه لأمکن حمل ما دل علی جرّ الجبهة علی الاستحباب ، وما دل علی النهی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حمل الشیخ فالذی یظهر عدم تمامیته بناء علی ما ادعاه بعض المتأخرین من الشهرة ، بل عدم الخلاف </w:t>
      </w:r>
      <w:r>
        <w:rPr>
          <w:rStyle w:val="FootnoteAnchor"/>
          <w:rtl w:val="true"/>
        </w:rPr>
        <w:footnoteReference w:id="920"/>
      </w:r>
      <w:r>
        <w:rPr>
          <w:rFonts w:ascii="IRNazanin" w:hAnsi="IRNazanin" w:eastAsia="IRNazanin"/>
          <w:color w:val="111111"/>
          <w:sz w:val="28"/>
          <w:sz w:val="28"/>
          <w:szCs w:val="28"/>
          <w:rtl w:val="true"/>
          <w:lang w:bidi="fa-IR"/>
        </w:rPr>
        <w:t>، لأنّ التمکن وعدمه إن کان مع تحقق السجود فالعبارة لا تدل علیه ، وإن کان مطلقا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والتعلیل من الشیخ بزیادة السجود یقتضی عدم اعتبار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المتأخرون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6" w:name="__RefHeading___Toc348062_2142443653"/>
      <w:bookmarkStart w:id="677" w:name="_Toc262"/>
      <w:bookmarkEnd w:id="676"/>
      <w:r>
        <w:rPr>
          <w:rtl w:val="true"/>
        </w:rPr>
        <w:t>بیان ما دلّ علی لزوم رفع الرأس من الموضع المرتفع وما دل علی لزوم جرّ الجبهة والجمع بینهما</w:t>
      </w:r>
      <w:bookmarkEnd w:id="677"/>
    </w:p>
    <w:p>
      <w:pPr>
        <w:pStyle w:val="BookText"/>
        <w:rPr/>
      </w:pPr>
      <w:r>
        <w:rPr>
          <w:rFonts w:ascii="IRNazanin" w:hAnsi="IRNazanin" w:eastAsia="IRNazanin"/>
          <w:color w:val="111111"/>
          <w:sz w:val="28"/>
          <w:sz w:val="28"/>
          <w:szCs w:val="28"/>
          <w:rtl w:val="true"/>
          <w:lang w:bidi="fa-IR"/>
        </w:rPr>
        <w:t xml:space="preserve">وقد حکی بعض محققی </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 xml:space="preserve">المتأخرین رحمه الله عن بعض الأصحاب أنّهم کما أوجبوا عدم العلو بالمقدار المذکور أوجبوا عدم الانخفاض </w:t>
      </w:r>
      <w:r>
        <w:rPr>
          <w:rStyle w:val="FootnoteAnchor"/>
          <w:rtl w:val="true"/>
        </w:rPr>
        <w:footnoteReference w:id="922"/>
      </w:r>
      <w:r>
        <w:rPr>
          <w:rFonts w:ascii="IRNazanin" w:hAnsi="IRNazanin" w:eastAsia="IRNazanin"/>
          <w:color w:val="111111"/>
          <w:sz w:val="28"/>
          <w:sz w:val="28"/>
          <w:szCs w:val="28"/>
          <w:rtl w:val="true"/>
          <w:lang w:bidi="fa-IR"/>
        </w:rPr>
        <w:t>، ثم إنّه تکلم فی المستند بما هو متوجه ، غیر أنّه ردّ روایة عبد الله بن سنان الدالة علی المساواة بالحسن ، ولا یظهر وجهه من التهذیب ، والاحتیاط فی المقام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مفاد ظاهر الأخبار المتضمنة للجرّ یتناول ما إذا سبق بعض أجزاء الجبهة إلی الأرض قبل أن تنتقل جمیع الجبهة عن المرتفع ، کما یتناول إذا لم یسبق جزء من الجبهة مع الانتقال عن 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أرید بالرفع فی الأخبار المعنی الثانی کان خلاف الظاهر ، ولو أرید به عدم الخروج عن مساواة العالی إلی الزائد علوا بقی الحکم فی تقدیر المساواة مع اتصال الجزء ، وعلی تقدیر کون الاعتبار بصدق السجود وعدمه یشکل ما یقتضیه ظاهر الأخبار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وجهک علی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التأمّل فی هذا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من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اکتفی بالإجمال فی بیان الأخبار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الجمع بحمل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دل علی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مرتفع لا یتحقق السجود الشرعی بوضع الجبهة علیه ، لمجاوزة ارتفاعه قدر اللبنة ، وما دل علی الجرّ یحمل علی ما لم یبلغ ذلک القدر </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خبیر بما فی هذا من الإجمال ، مضافا إلی أنّ السجود الشرعی إن اعتبر فیه ما یصح السجود علیه لزم أنّه لو حصل علی </w:t>
      </w:r>
      <w:bookmarkStart w:id="678" w:name="pg15037_163855"/>
    </w:p>
    <w:p>
      <w:pPr>
        <w:pStyle w:val="BookText"/>
        <w:rPr/>
      </w:pPr>
      <w:bookmarkEnd w:id="678"/>
      <w:r>
        <w:rPr>
          <w:rFonts w:ascii="IRNazanin" w:hAnsi="IRNazanin" w:eastAsia="IRNazanin"/>
          <w:color w:val="111111"/>
          <w:sz w:val="28"/>
          <w:sz w:val="28"/>
          <w:szCs w:val="28"/>
          <w:rtl w:val="true"/>
          <w:lang w:bidi="fa-IR"/>
        </w:rPr>
        <w:t>ما لا یصح علیه السجود لا یضر الارتفاع وإن کان علی أقل من لبنة ، وإن لم یعتبر لزم أنّه لو حصل الهویّ إلی أقل من لبنة لا یصح الارتفاع لزیادة السجود ،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النبکة التلّ الصغیر ، النباک التلال الصغار ، ومکان نابک أی مرتفع </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النبکة أکمة محدّدة الرأس </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وتسکن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أکمة محدّدة الرأس وربما کانت حمراء ، وأرض فیها صعود وهبوط ، والتلّ الصغیر </w:t>
      </w:r>
      <w:r>
        <w:rPr>
          <w:rStyle w:val="FootnoteAnchor"/>
          <w:rtl w:val="true"/>
        </w:rPr>
        <w:footnoteReference w:id="926"/>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السجود علی القطن والکتان</w:t>
      </w:r>
    </w:p>
    <w:p>
      <w:pPr>
        <w:pStyle w:val="BookText"/>
        <w:rPr/>
      </w:pPr>
      <w:r>
        <w:rPr>
          <w:rFonts w:ascii="IRNazanin" w:hAnsi="IRNazanin" w:eastAsia="IRNazanin"/>
          <w:color w:val="111111"/>
          <w:sz w:val="28"/>
          <w:sz w:val="28"/>
          <w:szCs w:val="28"/>
          <w:rtl w:val="true"/>
          <w:lang w:bidi="fa-IR"/>
        </w:rPr>
        <w:t xml:space="preserve">أحمد بن محمّد ، عن محمّد بن خالد ، عن القاسم بن عروة ، عن أبی العباس الفضل بن عبد الملک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تسجد إلاّ علی الأرض أو ما أنبتت الأرض ، إلاّ القطن والکتان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 عن أبیه ، عن حمّاد بن عیسی ، عن حریز ، عن زرارة ، عن أبی جعفر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أسجد علی الزفت</w:t>
      </w:r>
    </w:p>
    <w:p>
      <w:pPr>
        <w:pStyle w:val="Heading3"/>
        <w:numPr>
          <w:ilvl w:val="2"/>
          <w:numId w:val="1"/>
        </w:numPr>
        <w:rPr/>
      </w:pPr>
      <w:bookmarkStart w:id="679" w:name="__RefHeading___Toc348064_2142443653"/>
      <w:bookmarkStart w:id="680" w:name="_Toc263"/>
      <w:bookmarkEnd w:id="679"/>
      <w:r>
        <w:rPr>
          <w:rtl w:val="true"/>
        </w:rPr>
        <w:t>السجود علی القطن والکتان</w:t>
      </w:r>
      <w:bookmarkEnd w:id="68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1" w:name="__RefHeading___Toc348066_2142443653"/>
      <w:bookmarkStart w:id="682" w:name="_Toc264"/>
      <w:bookmarkEnd w:id="681"/>
      <w:r>
        <w:rPr>
          <w:rtl w:val="true"/>
        </w:rPr>
        <w:t>اشارة</w:t>
      </w:r>
      <w:bookmarkEnd w:id="6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القیر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 ولا علی الکرسف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ولا علی الصوف ، ولا علی شی‌ء من الحیوان ، ولا علی طعام ، ولا علی شی‌ء من ثمار الأرض ، ولا علی شی‌ء من الریاش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أحمد بن إسحاق ، عن یاسر الخادم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بی أبو الحسن علیه السلام وأنا أصلّی علی الطبری وقد ألقیت شیئا علیه أسجد علیه ،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لا تسجد علیه ، ألیس هو من نبات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فالوجه فی هذا الخبر أن نحمله علی حال التقیة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أحمد بن محمّد ، عن الحسن بن علی بن یقطین ، عن أخیه الحسین ، عن أبیه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الماضی علیه السلام عن الرجل یسجد علی المسح والبساط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إذا کان فی حال 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 عن محمّد بن الحسین بن أبی الخطاب ، عن وهب </w:t>
      </w:r>
      <w:r>
        <w:rPr>
          <w:rStyle w:val="FootnoteAnchor"/>
          <w:rtl w:val="true"/>
        </w:rPr>
        <w:footnoteReference w:id="929"/>
      </w:r>
      <w:r>
        <w:rPr>
          <w:rFonts w:ascii="IRNazanin" w:hAnsi="IRNazanin" w:eastAsia="IRNazanin"/>
          <w:color w:val="111111"/>
          <w:sz w:val="28"/>
          <w:sz w:val="28"/>
          <w:szCs w:val="28"/>
          <w:rtl w:val="true"/>
          <w:lang w:bidi="fa-IR"/>
        </w:rPr>
        <w:t xml:space="preserve">بن حفص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یسجد علی المسح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فی تقیّة فلا بأس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 عن داود الصرمی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الثالث علیه السلام ، هل یجوز السجود علی الکتان والقطن من غیر تقیة؟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فالمعنی فی هذا الخبر أنّه یجوز السجود علی هذین الجنسین إذا لم یکن هناک تقیة بشرط أن تحصل ضرورة أخری من حرّ أو برد وما یجری مجراهما ، ولم یقل إنّه یجوز ذلک من غیر تقیة ولا ما یقوم مقامها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أحمد بن یحیی ، عن محمّد بن عبد الحمید ، عن سیف بن عمیرة ، عن منصور بن حازم ، عن غیر واحد من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نکون بأرض باردة یکون فیها الثلج أسجد علی الثلج؟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اجعل بینک وبینه شیئا قطنا أو کتانا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أحمد بن محمّد بن </w:t>
      </w:r>
      <w:r>
        <w:rPr>
          <w:rStyle w:val="FootnoteAnchor"/>
          <w:rtl w:val="true"/>
        </w:rPr>
        <w:footnoteReference w:id="930"/>
      </w:r>
      <w:r>
        <w:rPr>
          <w:rFonts w:ascii="IRNazanin" w:hAnsi="IRNazanin" w:eastAsia="IRNazanin"/>
          <w:color w:val="111111"/>
          <w:sz w:val="28"/>
          <w:sz w:val="28"/>
          <w:szCs w:val="28"/>
          <w:rtl w:val="true"/>
          <w:lang w:bidi="fa-IR"/>
        </w:rPr>
        <w:t xml:space="preserve">أبی نصر ، عن مثنی الحناط ، عن عتیبة </w:t>
      </w:r>
      <w:r>
        <w:rPr>
          <w:rStyle w:val="FootnoteAnchor"/>
          <w:rtl w:val="true"/>
        </w:rPr>
        <w:footnoteReference w:id="931"/>
      </w:r>
      <w:r>
        <w:rPr>
          <w:rFonts w:ascii="IRNazanin" w:hAnsi="IRNazanin" w:eastAsia="IRNazanin"/>
          <w:color w:val="111111"/>
          <w:sz w:val="28"/>
          <w:sz w:val="28"/>
          <w:szCs w:val="28"/>
          <w:rtl w:val="true"/>
          <w:lang w:bidi="fa-IR"/>
        </w:rPr>
        <w:t xml:space="preserve">بیّاع القصب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المسجد فی الیوم الشدید الحرّ وأکره أن أصلی علی الحصی فأبسط ثوبی وأسجد علیه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لیس به بأس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 عن القاسم بن محمّد ، عن علی بن أبی حمزة ، عن أبی بصیر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فی السفر فتحضر الصلاة وأخاف الرمضاء علی وجهی ، کیف أصنع؟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تسجد علی بعض ثوبک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کل ثوب یمکننی أن </w:t>
      </w:r>
    </w:p>
    <w:p>
      <w:pPr>
        <w:pStyle w:val="BookText"/>
        <w:rPr/>
      </w:pPr>
      <w:r>
        <w:rPr>
          <w:rFonts w:ascii="IRNazanin" w:hAnsi="IRNazanin" w:eastAsia="IRNazanin"/>
          <w:color w:val="111111"/>
          <w:sz w:val="28"/>
          <w:sz w:val="28"/>
          <w:szCs w:val="28"/>
          <w:rtl w:val="true"/>
          <w:lang w:bidi="fa-IR"/>
        </w:rPr>
        <w:t xml:space="preserve">أسجد علی طرفه ولا علی ذیله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أسجد علی ظهر کفّک ، فإنّها أحد المساجد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أبی طالب عبد الله بن الصلت ، عن القاسم ابن الفضیل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الرجل یسجد علی کمّه من أذی الحرّ والبرد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عبّاد بن سلیمان ، عن سعد بن سعد ، عن محمّد بن القاسم بن الفضیل ، عن أحمد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یسجد علی کمّه لیقیه من أذی الحرّ أو البرد ، أو علی ردائه إذا کان تحته مسح أو غیره ممّا لا یسجد علیه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عبّاد بن سلیمان ، عن سعد بن سعد ، عن محمّد بن القاسم بن الفضیل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رجل إلی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یسجد الرجل علی الثوب یقی به وجهه من الحرّ والبرد ، ومن الشی‌ء یکره السجود علیه؟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عبد الله بن جعفر ، عن الحسین ابن علی بن کیسان الصنعانی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الثالث علیه السلام أسأله عن السجود علی القطن والکتان من غیر تقیة ولا ضرورة ، فکتب إلیّ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جائز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ینافی ما جمعنا علیه الأخبار الأوّلة ، لأنّه یجوز أن یکون إنّما أجاب </w:t>
      </w:r>
      <w:r>
        <w:rPr>
          <w:rStyle w:val="FootnoteAnchor"/>
          <w:rtl w:val="true"/>
        </w:rPr>
        <w:footnoteReference w:id="932"/>
      </w:r>
      <w:r>
        <w:rPr>
          <w:rFonts w:ascii="IRNazanin" w:hAnsi="IRNazanin" w:eastAsia="IRNazanin"/>
          <w:color w:val="111111"/>
          <w:sz w:val="28"/>
          <w:sz w:val="28"/>
          <w:szCs w:val="28"/>
          <w:rtl w:val="true"/>
          <w:lang w:bidi="fa-IR"/>
        </w:rPr>
        <w:t>مع نفی ضرورة تبلغ هلاک النفس وإن کان هناک ضرورة دون ذلک من حرّ أو برد وما أشبه ذلک علی ما بیناه</w:t>
      </w:r>
      <w:r>
        <w:rPr>
          <w:rFonts w:eastAsia="IRNazanin" w:cs="IRNazanin"/>
          <w:color w:val="111111"/>
          <w:sz w:val="28"/>
          <w:szCs w:val="28"/>
          <w:rtl w:val="true"/>
          <w:lang w:bidi="fa-IR"/>
        </w:rPr>
        <w:t xml:space="preserve">. </w:t>
      </w:r>
      <w:bookmarkStart w:id="683" w:name="pg15037_163859"/>
    </w:p>
    <w:p>
      <w:pPr>
        <w:pStyle w:val="BookText"/>
        <w:rPr/>
      </w:pPr>
      <w:bookmarkEnd w:id="683"/>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عروة ، وقد مضی القول فی الرجلین </w:t>
      </w:r>
      <w:r>
        <w:rPr>
          <w:rStyle w:val="FootnoteAnchor"/>
          <w:rtl w:val="true"/>
        </w:rPr>
        <w:footnoteReference w:id="933"/>
      </w:r>
      <w:r>
        <w:rPr>
          <w:rFonts w:ascii="IRNazanin" w:hAnsi="IRNazanin" w:eastAsia="IRNazanin"/>
          <w:color w:val="111111"/>
          <w:sz w:val="28"/>
          <w:sz w:val="28"/>
          <w:szCs w:val="28"/>
          <w:rtl w:val="true"/>
          <w:lang w:bidi="fa-IR"/>
        </w:rPr>
        <w:t xml:space="preserve">، والفضل لا ارتیاب فیه بعد ما أسلفناه فی حریز بن عبد الله ، حیث إنّ أبا العباس استأذن لحریز علی أبی عبد الله علیه السلام فأبی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لأبی العباس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ویحک إنّ حریزا جرّد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یاسر الخادم ، وحاله لا یزید علی کونه خادما للرضا علیه السلام ، وهی لا تفید المدح المعتدّ به فی الرجال ، وثبوت کونه خادما یستفاد من جزم النجاشی به حیث نقله من غیر توقف </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أحمد بن إسحاق ففیه کلام یعرف من کتاب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الرجال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w:t>
      </w:r>
      <w:r>
        <w:rPr>
          <w:rStyle w:val="FootnoteAnchor"/>
          <w:rtl w:val="true"/>
        </w:rPr>
        <w:footnoteReference w:id="937"/>
      </w:r>
      <w:r>
        <w:rPr>
          <w:rFonts w:ascii="IRNazanin" w:hAnsi="IRNazanin" w:eastAsia="IRNazanin"/>
          <w:color w:val="111111"/>
          <w:sz w:val="28"/>
          <w:sz w:val="28"/>
          <w:szCs w:val="28"/>
          <w:rtl w:val="true"/>
          <w:lang w:bidi="fa-IR"/>
        </w:rPr>
        <w:t xml:space="preserve">أنّ الشیخ فی رجال الهادی علیه السلام من کتابه ذکر أحمد بن إسحاق الرازی ووثقه </w:t>
      </w:r>
      <w:r>
        <w:rPr>
          <w:rStyle w:val="FootnoteAnchor"/>
          <w:rtl w:val="true"/>
        </w:rPr>
        <w:footnoteReference w:id="938"/>
      </w:r>
      <w:r>
        <w:rPr>
          <w:rFonts w:ascii="IRNazanin" w:hAnsi="IRNazanin" w:eastAsia="IRNazanin"/>
          <w:color w:val="111111"/>
          <w:sz w:val="28"/>
          <w:sz w:val="28"/>
          <w:szCs w:val="28"/>
          <w:rtl w:val="true"/>
          <w:lang w:bidi="fa-IR"/>
        </w:rPr>
        <w:t xml:space="preserve">، والعلاّمة ذکر أحمد بن إسحاق الأشعری ووثقه </w:t>
      </w:r>
      <w:r>
        <w:rPr>
          <w:rStyle w:val="FootnoteAnchor"/>
          <w:rtl w:val="true"/>
        </w:rPr>
        <w:footnoteReference w:id="939"/>
      </w:r>
      <w:r>
        <w:rPr>
          <w:rFonts w:ascii="IRNazanin" w:hAnsi="IRNazanin" w:eastAsia="IRNazanin"/>
          <w:color w:val="111111"/>
          <w:sz w:val="28"/>
          <w:sz w:val="28"/>
          <w:szCs w:val="28"/>
          <w:rtl w:val="true"/>
          <w:lang w:bidi="fa-IR"/>
        </w:rPr>
        <w:t xml:space="preserve">، والنجاشی لم یوثّقه علی ما رأینا من النسخ </w:t>
      </w:r>
      <w:r>
        <w:rPr>
          <w:rStyle w:val="FootnoteAnchor"/>
          <w:rtl w:val="true"/>
        </w:rPr>
        <w:footnoteReference w:id="940"/>
      </w:r>
      <w:r>
        <w:rPr>
          <w:rFonts w:ascii="IRNazanin" w:hAnsi="IRNazanin" w:eastAsia="IRNazanin"/>
          <w:color w:val="111111"/>
          <w:sz w:val="28"/>
          <w:sz w:val="28"/>
          <w:szCs w:val="28"/>
          <w:rtl w:val="true"/>
          <w:lang w:bidi="fa-IR"/>
        </w:rPr>
        <w:t>، وفی الکشی</w:t>
      </w:r>
    </w:p>
    <w:p>
      <w:pPr>
        <w:pStyle w:val="Heading4"/>
        <w:numPr>
          <w:ilvl w:val="3"/>
          <w:numId w:val="1"/>
        </w:numPr>
        <w:rPr/>
      </w:pPr>
      <w:bookmarkStart w:id="684" w:name="__RefHeading___Toc348068_2142443653"/>
      <w:bookmarkStart w:id="685" w:name="_Toc265"/>
      <w:bookmarkEnd w:id="684"/>
      <w:r>
        <w:rPr>
          <w:rtl w:val="true"/>
        </w:rPr>
        <w:t>إشارة إلی حال أبی العباس الفضل بن عبدالملک</w:t>
      </w:r>
      <w:bookmarkEnd w:id="685"/>
    </w:p>
    <w:p>
      <w:pPr>
        <w:pStyle w:val="Heading4"/>
        <w:numPr>
          <w:ilvl w:val="3"/>
          <w:numId w:val="1"/>
        </w:numPr>
        <w:rPr/>
      </w:pPr>
      <w:bookmarkStart w:id="686" w:name="__RefHeading___Toc348070_2142443653"/>
      <w:bookmarkStart w:id="687" w:name="_Toc266"/>
      <w:bookmarkEnd w:id="686"/>
      <w:r>
        <w:rPr>
          <w:rtl w:val="true"/>
        </w:rPr>
        <w:t>بحث حول یاسر الخادم</w:t>
      </w:r>
      <w:bookmarkEnd w:id="68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8" w:name="__RefHeading___Toc348072_2142443653"/>
      <w:bookmarkStart w:id="689" w:name="_Toc267"/>
      <w:bookmarkEnd w:id="688"/>
      <w:r>
        <w:rPr>
          <w:rtl w:val="true"/>
        </w:rPr>
        <w:t>بحث حول أحمد بن اسحاق</w:t>
      </w:r>
      <w:bookmarkStart w:id="690" w:name="pg15037_163860"/>
      <w:bookmarkEnd w:id="689"/>
    </w:p>
    <w:p>
      <w:pPr>
        <w:pStyle w:val="BookText"/>
        <w:rPr/>
      </w:pPr>
      <w:bookmarkEnd w:id="690"/>
      <w:r>
        <w:rPr>
          <w:rFonts w:ascii="IRNazanin" w:hAnsi="IRNazanin" w:eastAsia="IRNazanin"/>
          <w:color w:val="111111"/>
          <w:sz w:val="28"/>
          <w:sz w:val="28"/>
          <w:szCs w:val="28"/>
          <w:rtl w:val="true"/>
          <w:lang w:bidi="fa-IR"/>
        </w:rPr>
        <w:t xml:space="preserve">روایات لا یسع ذکرها المقام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وهیب </w:t>
      </w:r>
      <w:r>
        <w:rPr>
          <w:rStyle w:val="FootnoteAnchor"/>
          <w:rtl w:val="true"/>
        </w:rPr>
        <w:footnoteReference w:id="942"/>
      </w:r>
      <w:r>
        <w:rPr>
          <w:rFonts w:ascii="IRNazanin" w:hAnsi="IRNazanin" w:eastAsia="IRNazanin"/>
          <w:color w:val="111111"/>
          <w:sz w:val="28"/>
          <w:sz w:val="28"/>
          <w:szCs w:val="28"/>
          <w:rtl w:val="true"/>
          <w:lang w:bidi="fa-IR"/>
        </w:rPr>
        <w:t xml:space="preserve">بن حفص ، وفی النجاشی إنّه واقفی ثقة </w:t>
      </w:r>
      <w:r>
        <w:rPr>
          <w:rStyle w:val="FootnoteAnchor"/>
          <w:rtl w:val="true"/>
        </w:rPr>
        <w:footnoteReference w:id="943"/>
      </w:r>
      <w:r>
        <w:rPr>
          <w:rFonts w:ascii="IRNazanin" w:hAnsi="IRNazanin" w:eastAsia="IRNazanin"/>
          <w:color w:val="111111"/>
          <w:sz w:val="28"/>
          <w:sz w:val="28"/>
          <w:szCs w:val="28"/>
          <w:rtl w:val="true"/>
          <w:lang w:bidi="fa-IR"/>
        </w:rPr>
        <w:t xml:space="preserve">، وفی النجاشی وهیب </w:t>
      </w:r>
      <w:r>
        <w:rPr>
          <w:rStyle w:val="FootnoteAnchor"/>
          <w:rtl w:val="true"/>
        </w:rPr>
        <w:footnoteReference w:id="944"/>
      </w:r>
      <w:r>
        <w:rPr>
          <w:rFonts w:ascii="IRNazanin" w:hAnsi="IRNazanin" w:eastAsia="IRNazanin"/>
          <w:color w:val="111111"/>
          <w:sz w:val="28"/>
          <w:sz w:val="28"/>
          <w:szCs w:val="28"/>
          <w:rtl w:val="true"/>
          <w:lang w:bidi="fa-IR"/>
        </w:rPr>
        <w:t xml:space="preserve">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النحاس وهو مهمل </w:t>
      </w:r>
      <w:r>
        <w:rPr>
          <w:rStyle w:val="FootnoteAnchor"/>
          <w:rtl w:val="true"/>
        </w:rPr>
        <w:footnoteReference w:id="945"/>
      </w:r>
      <w:r>
        <w:rPr>
          <w:rFonts w:ascii="IRNazanin" w:hAnsi="IRNazanin" w:eastAsia="IRNazanin"/>
          <w:color w:val="111111"/>
          <w:sz w:val="28"/>
          <w:sz w:val="28"/>
          <w:szCs w:val="28"/>
          <w:rtl w:val="true"/>
          <w:lang w:bidi="fa-IR"/>
        </w:rPr>
        <w:t xml:space="preserve">، لکن المراد الأوّل ، لأنّ الراوی عنه فی الفهرست محمّد بن الحسین </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بصیر معلوم الحال بما تکرر من المقال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داود الصرمی ، وهو مهمل فی الرجال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عبد الحمید ، وقد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عدم </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 xml:space="preserve">توثیقه من النجاشی ، لأنّ عبارته </w:t>
      </w:r>
      <w:r>
        <w:rPr>
          <w:rStyle w:val="FootnoteAnchor"/>
          <w:rtl w:val="true"/>
        </w:rPr>
        <w:footnoteReference w:id="950"/>
      </w:r>
      <w:r>
        <w:rPr>
          <w:rFonts w:ascii="IRNazanin" w:hAnsi="IRNazanin" w:eastAsia="IRNazanin"/>
          <w:color w:val="111111"/>
          <w:sz w:val="28"/>
          <w:sz w:val="28"/>
          <w:szCs w:val="28"/>
          <w:rtl w:val="true"/>
          <w:lang w:bidi="fa-IR"/>
        </w:rPr>
        <w:t xml:space="preserve">غیر صریحة ، بل محتملة لکون التوثیق لأبیه کما ذکره جدی قدس سره وقد قدمنا بعده </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والإرسال فیه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مثنّی الحنّاط ، وقد ورد فیه أنّه لا بأس به ، والقائل علی ابن الحسن بن فضال ، بنقل محمّد بن مسعود فی الکشی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عتیبة</w:t>
      </w:r>
    </w:p>
    <w:p>
      <w:pPr>
        <w:pStyle w:val="Heading4"/>
        <w:numPr>
          <w:ilvl w:val="3"/>
          <w:numId w:val="1"/>
        </w:numPr>
        <w:rPr/>
      </w:pPr>
      <w:bookmarkStart w:id="691" w:name="__RefHeading___Toc348074_2142443653"/>
      <w:bookmarkStart w:id="692" w:name="_Toc268"/>
      <w:bookmarkEnd w:id="691"/>
      <w:r>
        <w:rPr>
          <w:rtl w:val="true"/>
        </w:rPr>
        <w:t>بحث حول وهیب بن حفص</w:t>
      </w:r>
      <w:bookmarkEnd w:id="692"/>
    </w:p>
    <w:p>
      <w:pPr>
        <w:pStyle w:val="Heading4"/>
        <w:numPr>
          <w:ilvl w:val="3"/>
          <w:numId w:val="1"/>
        </w:numPr>
        <w:rPr/>
      </w:pPr>
      <w:bookmarkStart w:id="693" w:name="__RefHeading___Toc348076_2142443653"/>
      <w:bookmarkStart w:id="694" w:name="_Toc269"/>
      <w:bookmarkEnd w:id="693"/>
      <w:r>
        <w:rPr>
          <w:rtl w:val="true"/>
        </w:rPr>
        <w:t>داود الصرمی مهمل</w:t>
      </w:r>
      <w:bookmarkEnd w:id="694"/>
    </w:p>
    <w:p>
      <w:pPr>
        <w:pStyle w:val="Heading4"/>
        <w:numPr>
          <w:ilvl w:val="3"/>
          <w:numId w:val="1"/>
        </w:numPr>
        <w:rPr/>
      </w:pPr>
      <w:bookmarkStart w:id="695" w:name="__RefHeading___Toc348078_2142443653"/>
      <w:bookmarkStart w:id="696" w:name="_Toc270"/>
      <w:bookmarkEnd w:id="695"/>
      <w:r>
        <w:rPr>
          <w:rtl w:val="true"/>
        </w:rPr>
        <w:t>إشارة إلی حال محمد بن عبدالحمید</w:t>
      </w:r>
      <w:bookmarkEnd w:id="69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7" w:name="__RefHeading___Toc348080_2142443653"/>
      <w:bookmarkStart w:id="698" w:name="_Toc271"/>
      <w:bookmarkEnd w:id="697"/>
      <w:r>
        <w:rPr>
          <w:rtl w:val="true"/>
        </w:rPr>
        <w:t>مثنّی الحناط لا بأس به</w:t>
      </w:r>
      <w:bookmarkStart w:id="699" w:name="pg15037_163861"/>
      <w:bookmarkEnd w:id="698"/>
    </w:p>
    <w:p>
      <w:pPr>
        <w:pStyle w:val="BookText"/>
        <w:rPr/>
      </w:pPr>
      <w:bookmarkEnd w:id="699"/>
      <w:r>
        <w:rPr>
          <w:rFonts w:ascii="IRNazanin" w:hAnsi="IRNazanin" w:eastAsia="IRNazanin"/>
          <w:color w:val="111111"/>
          <w:sz w:val="28"/>
          <w:sz w:val="28"/>
          <w:szCs w:val="28"/>
          <w:rtl w:val="true"/>
          <w:lang w:bidi="fa-IR"/>
        </w:rPr>
        <w:t xml:space="preserve">فهو بضم العین والتاء المثناة الفوقانیة علی ما فی الخلاصة </w:t>
      </w:r>
      <w:r>
        <w:rPr>
          <w:rStyle w:val="FootnoteAnchor"/>
          <w:rtl w:val="true"/>
        </w:rPr>
        <w:footnoteReference w:id="953"/>
      </w:r>
      <w:r>
        <w:rPr>
          <w:rFonts w:ascii="IRNazanin" w:hAnsi="IRNazanin" w:eastAsia="IRNazanin"/>
          <w:color w:val="111111"/>
          <w:sz w:val="28"/>
          <w:sz w:val="28"/>
          <w:szCs w:val="28"/>
          <w:rtl w:val="true"/>
          <w:lang w:bidi="fa-IR"/>
        </w:rPr>
        <w:t xml:space="preserve">، وقد وثّقه النجاشی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ابن میمون </w:t>
      </w:r>
      <w:r>
        <w:rPr>
          <w:rStyle w:val="FootnoteAnchor"/>
          <w:rtl w:val="true"/>
        </w:rPr>
        <w:footnoteReference w:id="954"/>
      </w:r>
      <w:r>
        <w:rPr>
          <w:rFonts w:ascii="IRNazanin" w:hAnsi="IRNazanin" w:eastAsia="IRNazanin"/>
          <w:color w:val="111111"/>
          <w:sz w:val="28"/>
          <w:sz w:val="28"/>
          <w:szCs w:val="28"/>
          <w:rtl w:val="true"/>
          <w:lang w:bidi="fa-IR"/>
        </w:rPr>
        <w:t xml:space="preserve">، وفی رجال الصادق علیه السلام من کتاب الشیخ عتیبة بن عبد الرحمن بیّاع القصب مهملا </w:t>
      </w:r>
      <w:r>
        <w:rPr>
          <w:rStyle w:val="FootnoteAnchor"/>
          <w:rtl w:val="true"/>
        </w:rPr>
        <w:footnoteReference w:id="955"/>
      </w:r>
      <w:r>
        <w:rPr>
          <w:rFonts w:ascii="IRNazanin" w:hAnsi="IRNazanin" w:eastAsia="IRNazanin"/>
          <w:color w:val="111111"/>
          <w:sz w:val="28"/>
          <w:sz w:val="28"/>
          <w:szCs w:val="28"/>
          <w:rtl w:val="true"/>
          <w:lang w:bidi="fa-IR"/>
        </w:rPr>
        <w:t xml:space="preserve">، وفیهم عتیبة بن میمون البجلیّ مولاهم القصبانی مهملا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التغایر یشکل الحال ، لکن قد قدّمنا من أمر الشیخ اضطرابه فی الرجال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القاسم بن محمّد ، وهو الجوهری ، وعلی بن أبی حمزة البطائنی ؛ وأبو بصیر وهو الضعیف هنا ، لروایة علی بن أبی حمزة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القاسم بن الفضیل مذکور فی رجال الصادق علیه السلام مهملا ، بصورة ابن الفضیل مولی بنی سعد کوفی </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الفضیل بن یسار النهدی البصری أبو محمّد ثقة ، روی عن أبی عبد الله علیه السلام ، له کتاب یرویه فضالة بن أیوّب </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رجال الصادق علیه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فضیل بن یسار البصری مهملا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عباد بن سلیمان ، وفی الرجال عباد بن سلیمان ،</w:t>
      </w:r>
    </w:p>
    <w:p>
      <w:pPr>
        <w:pStyle w:val="Heading4"/>
        <w:numPr>
          <w:ilvl w:val="3"/>
          <w:numId w:val="1"/>
        </w:numPr>
        <w:rPr/>
      </w:pPr>
      <w:bookmarkStart w:id="700" w:name="__RefHeading___Toc348082_2142443653"/>
      <w:bookmarkStart w:id="701" w:name="_Toc272"/>
      <w:bookmarkEnd w:id="700"/>
      <w:r>
        <w:rPr>
          <w:rtl w:val="true"/>
        </w:rPr>
        <w:t>بحث حول عتیبة بیّاع القصب</w:t>
      </w:r>
      <w:bookmarkEnd w:id="701"/>
    </w:p>
    <w:p>
      <w:pPr>
        <w:pStyle w:val="Heading4"/>
        <w:numPr>
          <w:ilvl w:val="3"/>
          <w:numId w:val="1"/>
        </w:numPr>
        <w:rPr/>
      </w:pPr>
      <w:bookmarkStart w:id="702" w:name="__RefHeading___Toc348084_2142443653"/>
      <w:bookmarkStart w:id="703" w:name="_Toc273"/>
      <w:bookmarkEnd w:id="702"/>
      <w:r>
        <w:rPr>
          <w:rtl w:val="true"/>
        </w:rPr>
        <w:t>بحث حول القاسم بن الفضیل</w:t>
      </w:r>
      <w:bookmarkEnd w:id="70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4" w:name="__RefHeading___Toc348086_2142443653"/>
      <w:bookmarkStart w:id="705" w:name="_Toc274"/>
      <w:bookmarkEnd w:id="704"/>
      <w:r>
        <w:rPr>
          <w:rtl w:val="true"/>
        </w:rPr>
        <w:t>بحث حول عباد بن سلیمان</w:t>
      </w:r>
      <w:bookmarkStart w:id="706" w:name="pg15037_163862"/>
      <w:bookmarkEnd w:id="705"/>
    </w:p>
    <w:p>
      <w:pPr>
        <w:pStyle w:val="BookText"/>
        <w:rPr/>
      </w:pPr>
      <w:bookmarkEnd w:id="706"/>
      <w:r>
        <w:rPr>
          <w:rFonts w:ascii="IRNazanin" w:hAnsi="IRNazanin" w:eastAsia="IRNazanin"/>
          <w:color w:val="111111"/>
          <w:sz w:val="28"/>
          <w:sz w:val="28"/>
          <w:szCs w:val="28"/>
          <w:rtl w:val="true"/>
          <w:lang w:bidi="fa-IR"/>
        </w:rPr>
        <w:t xml:space="preserve">یروی عنه أحمد بن محمّد بن عیسی عن محمّد بن خالد فی النجاشی </w:t>
      </w:r>
      <w:r>
        <w:rPr>
          <w:rStyle w:val="FootnoteAnchor"/>
          <w:rtl w:val="true"/>
        </w:rPr>
        <w:footnoteReference w:id="961"/>
      </w:r>
      <w:r>
        <w:rPr>
          <w:rFonts w:ascii="IRNazanin" w:hAnsi="IRNazanin" w:eastAsia="IRNazanin"/>
          <w:color w:val="111111"/>
          <w:sz w:val="28"/>
          <w:sz w:val="28"/>
          <w:szCs w:val="28"/>
          <w:rtl w:val="true"/>
          <w:lang w:bidi="fa-IR"/>
        </w:rPr>
        <w:t>، وهو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رجال من لم یرو عن الأئمة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سلیمان یروی عن محمّد بن سلیمان الدیلمی روی عنه الصفار </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بعد المرتبة التی ذکرها النجاشی والتی فی کتاب الشیخ ، إلاّ أنّ الجمع ممکن ، وأظن فی کلام الشیخ نوع تأمّل ، کما أنّ فی جعله ممّن لم یرو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السند کما تری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لأحمد بن محمّد ، والظاهر منه ابن عیسی ، فیکون الراوی عن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والصفار یروی عن أحمد ، ولا مانع منه ، إلاّ أنّ هذا یؤیّد عدم تعین الواسطة بین أحمد بن محمّد وعباد کما فی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963"/>
      </w:r>
      <w:r>
        <w:rPr>
          <w:rFonts w:ascii="IRNazanin" w:hAnsi="IRNazanin" w:eastAsia="IRNazanin"/>
          <w:color w:val="111111"/>
          <w:sz w:val="28"/>
          <w:sz w:val="28"/>
          <w:szCs w:val="28"/>
          <w:rtl w:val="true"/>
          <w:lang w:bidi="fa-IR"/>
        </w:rPr>
        <w:t>محمّد بن القاسم فیه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بن عمر مشترک بین ثقة بلا ارتیاب وهو الحلبی ، وبین من فیه ارتیاب وهو الحلاّل </w:t>
      </w:r>
      <w:r>
        <w:rPr>
          <w:rStyle w:val="FootnoteAnchor"/>
          <w:rtl w:val="true"/>
        </w:rPr>
        <w:footnoteReference w:id="964"/>
      </w:r>
      <w:r>
        <w:rPr>
          <w:rFonts w:ascii="IRNazanin" w:hAnsi="IRNazanin" w:eastAsia="IRNazanin"/>
          <w:color w:val="111111"/>
          <w:sz w:val="28"/>
          <w:sz w:val="28"/>
          <w:szCs w:val="28"/>
          <w:rtl w:val="true"/>
          <w:lang w:bidi="fa-IR"/>
        </w:rPr>
        <w:t xml:space="preserve">، وقد بیّنّا وجهه فیما مضی مفصلا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عشر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عبّاد واحتمال الإرسال قد یدفعه أنّ الظاهر من الخبر سماع محمّد بن القاسم من الإمام علیه السلام ، إلاّ أنّ غیره فی حیّز الإمکان ، والأمر سهل</w:t>
      </w:r>
      <w:r>
        <w:rPr>
          <w:rFonts w:eastAsia="IRNazanin" w:cs="IRNazanin"/>
          <w:color w:val="111111"/>
          <w:sz w:val="28"/>
          <w:szCs w:val="28"/>
          <w:rtl w:val="true"/>
          <w:lang w:bidi="fa-IR"/>
        </w:rPr>
        <w:t>.</w:t>
      </w:r>
    </w:p>
    <w:p>
      <w:pPr>
        <w:pStyle w:val="Heading4"/>
        <w:numPr>
          <w:ilvl w:val="3"/>
          <w:numId w:val="1"/>
        </w:numPr>
        <w:rPr/>
      </w:pPr>
      <w:bookmarkStart w:id="707" w:name="__RefHeading___Toc348088_2142443653"/>
      <w:bookmarkStart w:id="708" w:name="_Toc275"/>
      <w:bookmarkEnd w:id="707"/>
      <w:r>
        <w:rPr>
          <w:rtl w:val="true"/>
        </w:rPr>
        <w:t>محمد بن القاسم بن الفضیل ثقة</w:t>
      </w:r>
      <w:bookmarkEnd w:id="70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9" w:name="__RefHeading___Toc348090_2142443653"/>
      <w:bookmarkStart w:id="710" w:name="_Toc276"/>
      <w:bookmarkEnd w:id="709"/>
      <w:r>
        <w:rPr>
          <w:rtl w:val="true"/>
        </w:rPr>
        <w:t>أحمد بن عمر مشترک</w:t>
      </w:r>
      <w:bookmarkStart w:id="711" w:name="pg15037_163863"/>
      <w:bookmarkEnd w:id="710"/>
    </w:p>
    <w:p>
      <w:pPr>
        <w:pStyle w:val="BookText"/>
        <w:rPr/>
      </w:pPr>
      <w:bookmarkEnd w:id="711"/>
      <w:r>
        <w:rPr>
          <w:rFonts w:ascii="IRNazanin" w:hAnsi="IRNazanin" w:eastAsia="IRNazanin"/>
          <w:color w:val="111111"/>
          <w:sz w:val="28"/>
          <w:sz w:val="28"/>
          <w:szCs w:val="28"/>
          <w:rtl w:val="true"/>
          <w:lang w:bidi="fa-IR"/>
        </w:rPr>
        <w:t xml:space="preserve">والثالث عشر </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الحسین بن علی بن کیسان ، ولم أقف علیه فی الرجال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العلاّمة فی المختلف أنّ المشهور بین علمائنا تحریم السجود علی الثوب المعمول من القطن والکتان ، وهو اختیار المرتضی فی الجمل والانتصار والمسائل المصریة الثالثة ، وله قول آخر فی المسائل المصریة الثانیة أنّه مکروه ، ثم استدل العلاّمة بالإجماع علی المنع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خلاف السیّد المرتضی لا یعتدّ به مع فتواه بالموافقة ؛ لأنّ الخلاف الصادر منه إن وقع قبل موافقته اعتبرت موافقته ، لأنّه یکون قد انعقد الإجماع بعد الخلاف ، وإن وقع بعد الموافقة لم یعتدّ به ، لأنّه صدر بعد الإجماع ، وقول علمائنا حجة لأنّه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الخبر الأوّل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الطریق القاسم بن عروة ، فإن کان ثقة فالحدیث صحیح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الثانی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الصلاة التی فعلها النبی صلی الله علیه و آله بیانا للأمر إن وقعت علی هذا الوجه کان واجبا والثانی باطل فالمقدم مثله ، وإن وقعت علی ما ادّعیناه ثبت المطلوب ، لأنّ بیان الواجب واجب </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کیف یصدر من مثله هذا الکلام الذی أظهر ما یتوجه</w:t>
      </w:r>
    </w:p>
    <w:p>
      <w:pPr>
        <w:pStyle w:val="Heading4"/>
        <w:numPr>
          <w:ilvl w:val="3"/>
          <w:numId w:val="1"/>
        </w:numPr>
        <w:rPr/>
      </w:pPr>
      <w:bookmarkStart w:id="712" w:name="__RefHeading___Toc348092_2142443653"/>
      <w:bookmarkStart w:id="713" w:name="_Toc277"/>
      <w:bookmarkEnd w:id="712"/>
      <w:r>
        <w:rPr>
          <w:rtl w:val="true"/>
        </w:rPr>
        <w:t>الحسین بن علی بن کیسان غیر مذکور فی الرجال</w:t>
      </w:r>
      <w:bookmarkEnd w:id="71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4" w:name="__RefHeading___Toc348094_2142443653"/>
      <w:bookmarkStart w:id="715" w:name="_Toc278"/>
      <w:bookmarkEnd w:id="714"/>
      <w:r>
        <w:rPr>
          <w:rtl w:val="true"/>
        </w:rPr>
        <w:t>کلام العلّامة فی مسألة السجود علی القطن والکتان ، والمناقشة فیه</w:t>
      </w:r>
      <w:bookmarkStart w:id="716" w:name="pg15037_163864"/>
      <w:bookmarkEnd w:id="715"/>
    </w:p>
    <w:p>
      <w:pPr>
        <w:pStyle w:val="BookText"/>
        <w:rPr/>
      </w:pPr>
      <w:bookmarkEnd w:id="716"/>
      <w:r>
        <w:rPr>
          <w:rFonts w:ascii="IRNazanin" w:hAnsi="IRNazanin" w:eastAsia="IRNazanin"/>
          <w:color w:val="111111"/>
          <w:sz w:val="28"/>
          <w:sz w:val="28"/>
          <w:szCs w:val="28"/>
          <w:rtl w:val="true"/>
          <w:lang w:bidi="fa-IR"/>
        </w:rPr>
        <w:t xml:space="preserve">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علمائنا ، فی أوّل المسألة یؤذن بعدم الإجماع ثم دعواه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کیف یعلمه هو والسیّد لا یعلمه مع أنّه أقرب إلیه منه ، فکیف یلیق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إن کان قبله ، ومتی یتصور ثبوت الإجماع فی عصر العلاّمة ولم یعلمه السید فی عصره ، علی أنّ الإجماع لا یشترط فیه جمیع الأعصار فیکفی عصر العلاّمة إن تم الإجماع ، ولا حاجة إلی القول بأنّ الإجماع إن کان بعده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القاسم بن عروة ثقة فهو کذا ، کیف یلیق ذکره فی کتب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الصلاة الواقعة بیانا متی تحققت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التحقق إذا وقعت علی ما ادعاه إن أراد به وقوعها علی غیر القطن والکتان جمیعا فی حالة واحدة فهذا ممّا لا یتصور ، وإن کان المراد وقوعها علی شی‌ء ما غیر هما فوجوبه أیّ نفع له؟</w:t>
      </w:r>
    </w:p>
    <w:p>
      <w:pPr>
        <w:pStyle w:val="BookText"/>
        <w:rPr/>
      </w:pPr>
      <w:r>
        <w:rPr>
          <w:rFonts w:ascii="IRNazanin" w:hAnsi="IRNazanin" w:eastAsia="IRNazanin"/>
          <w:color w:val="111111"/>
          <w:sz w:val="28"/>
          <w:sz w:val="28"/>
          <w:szCs w:val="28"/>
          <w:rtl w:val="true"/>
          <w:lang w:bidi="fa-IR"/>
        </w:rPr>
        <w:t xml:space="preserve">إذا عرفت هذا فاعلم أنّ الخبر الأوّل تضمن القطن والکتان ، وهو شامل للمنسوج وغیره ، لکن أصل الخلاف علی ما ذکره العلاّمة فی المنسوج المعبر عنه بالمعمول ، وکلام السید فی حجته یقتضی المنسوج ، والخبر حینئذ یدل علی أزید من مراد العلاّمة وغیره ، فلو حمل علی المنسوج لموافقة المشهور وحمل ما تضمن الجواز علی غیره أمکن کما احتمله شیخنا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سماعا منه </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 إلاّ أنّ الثانی تضمن الکرسف ، وربّما کان إرادة غیر المنسوج منه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الثانی کما تری تضمن النهی عن السجود علی شی‌ء من</w:t>
      </w:r>
    </w:p>
    <w:p>
      <w:pPr>
        <w:pStyle w:val="Heading4"/>
        <w:numPr>
          <w:ilvl w:val="3"/>
          <w:numId w:val="1"/>
        </w:numPr>
        <w:rPr/>
      </w:pPr>
      <w:bookmarkStart w:id="717" w:name="__RefHeading___Toc348096_2142443653"/>
      <w:bookmarkStart w:id="718" w:name="_Toc279"/>
      <w:bookmarkEnd w:id="717"/>
      <w:r>
        <w:rPr>
          <w:rtl w:val="true"/>
        </w:rPr>
        <w:t>بیان ما دل علی عدم جواز السجود علی القطن والکتان</w:t>
      </w:r>
      <w:bookmarkEnd w:id="71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9" w:name="__RefHeading___Toc348098_2142443653"/>
      <w:bookmarkStart w:id="720" w:name="_Toc280"/>
      <w:bookmarkEnd w:id="719"/>
      <w:r>
        <w:rPr>
          <w:rtl w:val="true"/>
        </w:rPr>
        <w:t>بیان ما دل علی عدم جواز السجود علی الحیوان والطعام</w:t>
      </w:r>
      <w:bookmarkEnd w:id="720"/>
    </w:p>
    <w:p>
      <w:pPr>
        <w:pStyle w:val="BookText"/>
        <w:rPr/>
      </w:pPr>
      <w:r>
        <w:rPr>
          <w:rFonts w:ascii="IRNazanin" w:hAnsi="IRNazanin" w:eastAsia="IRNazanin"/>
          <w:color w:val="111111"/>
          <w:sz w:val="28"/>
          <w:sz w:val="28"/>
          <w:szCs w:val="28"/>
          <w:rtl w:val="true"/>
          <w:lang w:bidi="fa-IR"/>
        </w:rPr>
        <w:t xml:space="preserve">الحیوان ، وهو شامل لجمیع أجزائه وما یخرج منه ، کما تضمن الطعام وثمار الأرض ، والأوّل واضح بتقدیر أن یراد بالشی‌ء جزء منه ، ولو أرید بمن البیانیة لا یضر بالحال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لدخول </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الجزء فی الجملة ، أمّا ما یخرج منه إذا لم یکن مأکولا لبنی آدم فالخبر قد یستفاد منه عدم الجواز ، وکونه مأکولا أوّلا لکن بعد خروجه انتفی أکله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من رأینا کلامه من الأصحاب من أنّ ما تنبت الأرض غیر المأکول والملبوس یجوز السجود علیه </w:t>
      </w:r>
      <w:r>
        <w:rPr>
          <w:rStyle w:val="FootnoteAnchor"/>
          <w:rtl w:val="true"/>
        </w:rPr>
        <w:footnoteReference w:id="971"/>
      </w:r>
      <w:r>
        <w:rPr>
          <w:rFonts w:ascii="IRNazanin" w:hAnsi="IRNazanin" w:eastAsia="IRNazanin"/>
          <w:color w:val="111111"/>
          <w:sz w:val="28"/>
          <w:sz w:val="28"/>
          <w:szCs w:val="28"/>
          <w:rtl w:val="true"/>
          <w:lang w:bidi="fa-IR"/>
        </w:rPr>
        <w:t>، کأنّه محمول علی غیر ما یخرج من الحیوان ، واحتمال القول بالاستحالة بعد الخروج یشکل بأنّ الخروج لا ینحصر فی المستحیل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الطعام فمحتمل لأن یراد به ما أعدّ للأکل فعلا أو قوّة کما ذکره البعض </w:t>
      </w:r>
      <w:r>
        <w:rPr>
          <w:rStyle w:val="FootnoteAnchor"/>
          <w:rtl w:val="true"/>
        </w:rPr>
        <w:footnoteReference w:id="972"/>
      </w:r>
      <w:r>
        <w:rPr>
          <w:rFonts w:ascii="IRNazanin" w:hAnsi="IRNazanin" w:eastAsia="IRNazanin"/>
          <w:color w:val="111111"/>
          <w:sz w:val="28"/>
          <w:sz w:val="28"/>
          <w:szCs w:val="28"/>
          <w:rtl w:val="true"/>
          <w:lang w:bidi="fa-IR"/>
        </w:rPr>
        <w:t xml:space="preserve">، لکن فی الخبر الصحیح عن حمّاد بن عثمان فی الفقیه وغیره </w:t>
      </w:r>
      <w:r>
        <w:rPr>
          <w:rStyle w:val="FootnoteAnchor"/>
          <w:rtl w:val="true"/>
        </w:rPr>
        <w:footnoteReference w:id="973"/>
      </w:r>
      <w:r>
        <w:rPr>
          <w:rFonts w:ascii="IRNazanin" w:hAnsi="IRNazanin" w:eastAsia="IRNazanin"/>
          <w:color w:val="111111"/>
          <w:sz w:val="28"/>
          <w:sz w:val="28"/>
          <w:szCs w:val="28"/>
          <w:rtl w:val="true"/>
          <w:lang w:bidi="fa-IR"/>
        </w:rPr>
        <w:t xml:space="preserve">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علی ما أنبتت الأرض إلاّ ما أکل أو 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دلالة علی ما قرب من الفعل کما أوضحناه فی معاهد التنبیه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أکل ولبس بالفعل ، و</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لمّا امتنع الحمل علیه ینبغی الحمل علی أقرب المجازات ، وهو ما قرب من الفعل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وإیراد بعض علی کلام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اقتضی اعتبار القوة القریبة لتجویزه السجود علی الحنطة والشعیر معللا بأنّهما غیر مأکولین فی </w:t>
      </w:r>
    </w:p>
    <w:p>
      <w:pPr>
        <w:pStyle w:val="BookText"/>
        <w:rPr/>
      </w:pPr>
      <w:r>
        <w:rPr>
          <w:rFonts w:ascii="IRNazanin" w:hAnsi="IRNazanin" w:eastAsia="IRNazanin"/>
          <w:color w:val="111111"/>
          <w:sz w:val="28"/>
          <w:sz w:val="28"/>
          <w:szCs w:val="28"/>
          <w:rtl w:val="true"/>
          <w:lang w:bidi="fa-IR"/>
        </w:rPr>
        <w:t xml:space="preserve">تلک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خروج المأکول عن کونه مأکولا بالاحتیاج إلی العلاج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واعتراضه أیضا </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 xml:space="preserve">بأنّ إطلاق الصفة علی ما سیتصف بمبدإ الاشتقاق مجاز اتفاقا ، ثم جوابه بأنّ إطلاق المأکول والملبوس علی ما یؤکل ویلبس بالقوة القریبة من الفعل قد صار حقیقة عرفیة وإلاّ لم یجز فی العرف إطلاق اسم المأکول علی الخبز قبل المضغ والازدراد إلاّ مجازا ، وکذا اسم الملبوس علی الجبّة قبل لبسها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أجبنا عن الجمیع فی الکتاب بأنّ الخروج عن الحقیقة إلی بعض أفراد المجاز لإجماع ونحوه لا ضرورة فیه ، وکون بعض الأفراد أقرب لا ینکر ، واحتمال اختصاص العرف بالمأکول القریب ؛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إذا تعذر العمل بظاهر النص یعمل بالأقرب إلیه ، والخبر المبحوث عنه تضمن الطعام ، وغیر بعید تناوله للحنطة ونحوها قبل أن یقرب إلی الأکل کما یعرف من إطلاق الشارع فی بیع الطعام قبل کیله وقبضه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عموم ثمار الأرض فالتقیید لها بالمأکول لا بدّ منه عند الأصحاب </w:t>
      </w:r>
      <w:r>
        <w:rPr>
          <w:rStyle w:val="FootnoteAnchor"/>
          <w:rtl w:val="true"/>
        </w:rPr>
        <w:footnoteReference w:id="977"/>
      </w:r>
      <w:r>
        <w:rPr>
          <w:rFonts w:ascii="IRNazanin" w:hAnsi="IRNazanin" w:eastAsia="IRNazanin"/>
          <w:color w:val="111111"/>
          <w:sz w:val="28"/>
          <w:sz w:val="28"/>
          <w:szCs w:val="28"/>
          <w:rtl w:val="true"/>
          <w:lang w:bidi="fa-IR"/>
        </w:rPr>
        <w:t>، بل الأکل أیضا مقید کما لا یخفی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الریاش فستسمع فی اللغة معناها ، وبه یتضح ما یراد فی الروایة</w:t>
      </w:r>
      <w:r>
        <w:rPr>
          <w:rFonts w:eastAsia="IRNazanin" w:cs="IRNazanin"/>
          <w:color w:val="111111"/>
          <w:sz w:val="28"/>
          <w:szCs w:val="28"/>
          <w:rtl w:val="true"/>
          <w:lang w:bidi="fa-IR"/>
        </w:rPr>
        <w:t xml:space="preserve">. </w:t>
      </w:r>
      <w:bookmarkStart w:id="721" w:name="pg15037_163867"/>
    </w:p>
    <w:p>
      <w:pPr>
        <w:pStyle w:val="BookText"/>
        <w:rPr/>
      </w:pPr>
      <w:bookmarkEnd w:id="721"/>
      <w:r>
        <w:rPr>
          <w:rFonts w:ascii="IRNazanin" w:hAnsi="IRNazanin" w:eastAsia="IRNazanin"/>
          <w:color w:val="111111"/>
          <w:sz w:val="28"/>
          <w:sz w:val="28"/>
          <w:szCs w:val="28"/>
          <w:rtl w:val="true"/>
          <w:lang w:bidi="fa-IR"/>
        </w:rPr>
        <w:t xml:space="preserve">ثم إنّ الثالث کما تری لا یوافق ما قدمناه من الحمل </w:t>
      </w:r>
      <w:r>
        <w:rPr>
          <w:rStyle w:val="FootnoteAnchor"/>
          <w:rtl w:val="true"/>
        </w:rPr>
        <w:footnoteReference w:id="978"/>
      </w:r>
      <w:r>
        <w:rPr>
          <w:rFonts w:ascii="IRNazanin" w:hAnsi="IRNazanin" w:eastAsia="IRNazanin"/>
          <w:color w:val="111111"/>
          <w:sz w:val="28"/>
          <w:sz w:val="28"/>
          <w:szCs w:val="28"/>
          <w:rtl w:val="true"/>
          <w:lang w:bidi="fa-IR"/>
        </w:rPr>
        <w:t>، لأنّ الطبری علی ما قیل هو الثوب القطن ، وحَمل الشیخ له وجه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الاستدلال علیه بالرابع والخامس ففیه تأمّل ؛ لما یأتی من تفسیر المسح والبساط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فصریح فی جواز السجود علی القطن والکتان من غیر تقیة ، والحمل علی ما قدّمناه </w:t>
      </w:r>
      <w:r>
        <w:rPr>
          <w:rStyle w:val="FootnoteAnchor"/>
          <w:rtl w:val="true"/>
        </w:rPr>
        <w:footnoteReference w:id="980"/>
      </w:r>
      <w:r>
        <w:rPr>
          <w:rFonts w:ascii="IRNazanin" w:hAnsi="IRNazanin" w:eastAsia="IRNazanin"/>
          <w:color w:val="111111"/>
          <w:sz w:val="28"/>
          <w:sz w:val="28"/>
          <w:szCs w:val="28"/>
          <w:rtl w:val="true"/>
          <w:lang w:bidi="fa-IR"/>
        </w:rPr>
        <w:t>من کون المذکورین غیر منسوجین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ما قدّمناه أیضا من خبر حمّاد بن عثمان </w:t>
      </w:r>
      <w:r>
        <w:rPr>
          <w:rStyle w:val="FootnoteAnchor"/>
          <w:rtl w:val="true"/>
        </w:rPr>
        <w:footnoteReference w:id="981"/>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منه ما لبس بالفعل ، لکن لما انتفت الحقیقة بما سبق یراد أقرب المجازات ، ولا ریب أنّ المنسوج أقرب وإن کان ما خیط منه أقرب من غیره ، هذا بتقدیر العمل بالخبر المبحوث عنه ، أمّا حمل الشیخ </w:t>
      </w:r>
      <w:r>
        <w:rPr>
          <w:rStyle w:val="FootnoteAnchor"/>
          <w:rtl w:val="true"/>
        </w:rPr>
        <w:footnoteReference w:id="982"/>
      </w:r>
      <w:r>
        <w:rPr>
          <w:rFonts w:ascii="IRNazanin" w:hAnsi="IRNazanin" w:eastAsia="IRNazanin"/>
          <w:color w:val="111111"/>
          <w:sz w:val="28"/>
          <w:sz w:val="28"/>
          <w:szCs w:val="28"/>
          <w:rtl w:val="true"/>
          <w:lang w:bidi="fa-IR"/>
        </w:rPr>
        <w:t>فبعده ظاهر ، لکنه وجه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بالسابع لا یخلو من تأمّل ؛ لأنّ مفاد جمع الشیخ حصول الضرورة من البرد ، ومقتضی الروایة تعذّر ما یسجد علیه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یظن أنّه لا یدل علی ما قاله رَحمَه الله لاحتماله کراهة الصلاة علی الحصی من جهة عدم تمکن الجبهة ، وذکر الیوم الشدید الحرّ لا یدل علی أنّ الکراهة لأجل الحرارة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کون العلّة هی الحرارة ، غایة الأمر أنّ الضرورة فی مثل هذا غیر منضبطة ، ثم إنّ الثوب لا یبعد أن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2" w:name="__RefHeading___Toc348100_2142443653"/>
      <w:bookmarkStart w:id="723" w:name="_Toc281"/>
      <w:bookmarkEnd w:id="722"/>
      <w:r>
        <w:rPr>
          <w:rtl w:val="true"/>
        </w:rPr>
        <w:t>توجیه ما دل علی جواز السجود علی الطبری</w:t>
      </w:r>
      <w:bookmarkStart w:id="724" w:name="pg15037_163868"/>
      <w:bookmarkEnd w:id="723"/>
    </w:p>
    <w:p>
      <w:pPr>
        <w:pStyle w:val="BookText"/>
        <w:rPr/>
      </w:pPr>
      <w:bookmarkEnd w:id="724"/>
      <w:r>
        <w:rPr>
          <w:rFonts w:ascii="IRNazanin" w:hAnsi="IRNazanin" w:eastAsia="IRNazanin"/>
          <w:color w:val="111111"/>
          <w:sz w:val="28"/>
          <w:sz w:val="28"/>
          <w:szCs w:val="28"/>
          <w:rtl w:val="true"/>
          <w:lang w:bidi="fa-IR"/>
        </w:rPr>
        <w:t>یکون من القطن أو الکتان ، واحتمال غیرهما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دلالة علی خوف الحرّ ، إلاّ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اسجد علی ظهر کفّک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إجمال ، کما أنّ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ثوب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فإنّ الأوّل کما یحتمل أن یراد به کون ظهر الکف أحد المساجد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 جواز السجود علی ظهر الکف ، ویؤیّده إطلاق الخبرین السابقین </w:t>
      </w:r>
      <w:r>
        <w:rPr>
          <w:rStyle w:val="FootnoteAnchor"/>
          <w:rtl w:val="true"/>
        </w:rPr>
        <w:footnoteReference w:id="983"/>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 المساجد ، وإن کان بعض الأصحاب حملهما علی البطن لأنّه المعهود </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یراد أنّ ظهر الکف أحد المساجد التی یسجد علیها عند الضرورة فیدل علی جواز السجود علی الظهر مع الضرورة ، لکن لا یخفی أنّ السؤال تضمن عدم إمکان الثوب ، وحمل الجواب علیه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فی أوّل الخبر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 علی ثوبک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أنّه مقدّم علی ظهر الکف ؛ لجواز أن یکون أحد الأفراد ، وعلی هذا فاحتمال الاجتزاء بظهر الکف یمکن لو صحّ الخبر ؛ وفی عبارة بعض إلیّ </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ظهر الکف أولی ، جمعا بین وظیفتی السجود بباطن الکف وعلی ظاهره ، والأمر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فالإجمال حاصل فیه من حیث إنّ عدم الإمکان محتمل لأن یکون من جهة عدم کونه من القطن والکتان ، ویحتمل أن یراد عدم إمکان وضعه علی الأرض ، وکأنّ الثانی له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دلالة علی مطلوب الشیخ ، لکن الکمّ یتناول غیر القطن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5" w:name="__RefHeading___Toc348102_2142443653"/>
      <w:bookmarkStart w:id="726" w:name="_Toc282"/>
      <w:bookmarkEnd w:id="725"/>
      <w:r>
        <w:rPr>
          <w:rtl w:val="true"/>
        </w:rPr>
        <w:t>توجیه ما دل علی جواز السجود علی القطن والکتان من غیر تقیة</w:t>
      </w:r>
      <w:bookmarkStart w:id="727" w:name="pg15037_163869"/>
      <w:bookmarkEnd w:id="726"/>
    </w:p>
    <w:p>
      <w:pPr>
        <w:pStyle w:val="BookText"/>
        <w:rPr/>
      </w:pPr>
      <w:bookmarkEnd w:id="727"/>
      <w:r>
        <w:rPr>
          <w:rFonts w:ascii="IRNazanin" w:hAnsi="IRNazanin" w:eastAsia="IRNazanin"/>
          <w:color w:val="111111"/>
          <w:sz w:val="28"/>
          <w:sz w:val="28"/>
          <w:szCs w:val="28"/>
          <w:rtl w:val="true"/>
          <w:lang w:bidi="fa-IR"/>
        </w:rPr>
        <w:t>والکتان ، ویحتمل أن یقید بوضع الکمّ علی ظهر الکف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والحادی عشر کالعاشر ، والثانی عشر مثلهما </w:t>
      </w:r>
      <w:r>
        <w:rPr>
          <w:rFonts w:eastAsia="IRNazanin" w:cs="IRNazanin"/>
          <w:color w:val="111111"/>
          <w:sz w:val="28"/>
          <w:szCs w:val="28"/>
          <w:rtl w:val="true"/>
          <w:lang w:bidi="fa-IR"/>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الثالث عشر </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 xml:space="preserve">فهو صریح فی الجواز مع عدم التقیة والضرورة ، وحمل الشیخ </w:t>
      </w:r>
      <w:r>
        <w:rPr>
          <w:rStyle w:val="FootnoteAnchor"/>
          <w:rtl w:val="true"/>
        </w:rPr>
        <w:footnoteReference w:id="988"/>
      </w:r>
      <w:r>
        <w:rPr>
          <w:rFonts w:ascii="IRNazanin" w:hAnsi="IRNazanin" w:eastAsia="IRNazanin"/>
          <w:color w:val="111111"/>
          <w:sz w:val="28"/>
          <w:sz w:val="28"/>
          <w:szCs w:val="28"/>
          <w:rtl w:val="true"/>
          <w:lang w:bidi="fa-IR"/>
        </w:rPr>
        <w:t xml:space="preserve">فی أعلی مراتب التکلف ، ولو حمل ما تضمن النهی علی الکراهة إن لم یثبت الإجماع علی المنع أمکن ، والمحقق فی المعتبر استحسن حمل السیّد المرتضی علی الکراهة </w:t>
      </w:r>
      <w:r>
        <w:rPr>
          <w:rStyle w:val="FootnoteAnchor"/>
          <w:rtl w:val="true"/>
        </w:rPr>
        <w:footnoteReference w:id="989"/>
      </w:r>
      <w:r>
        <w:rPr>
          <w:rFonts w:ascii="IRNazanin" w:hAnsi="IRNazanin" w:eastAsia="IRNazanin"/>
          <w:color w:val="111111"/>
          <w:sz w:val="28"/>
          <w:sz w:val="28"/>
          <w:szCs w:val="28"/>
          <w:rtl w:val="true"/>
          <w:lang w:bidi="fa-IR"/>
        </w:rPr>
        <w:t>، کما ذکرناه ، وظاهره عدم الاعتداد بخیال الإجماع ، والحال غیر خفیة ، لکن الاحتیاط 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وإسکان السین المهملة وآخره 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لا خمل له ، ویقال له البلاس بفتح الباء وکسرها </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المثناة من تحت والشین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ریش ، کشعب وشعاب ، وهو لباس الزینة ، أستعیر من ریش الطائر لأنّه لباسه ، ولعل المراد هنا مطلق اللباس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348104_2142443653"/>
      <w:bookmarkStart w:id="729" w:name="_Toc283"/>
      <w:bookmarkEnd w:id="728"/>
      <w:r>
        <w:rPr>
          <w:rtl w:val="true"/>
        </w:rPr>
        <w:t>بیان ما دل علی السجود علی ظهر الکفّ والکُمّ</w:t>
      </w:r>
      <w:bookmarkEnd w:id="729"/>
    </w:p>
    <w:p>
      <w:pPr>
        <w:pStyle w:val="Heading4"/>
        <w:numPr>
          <w:ilvl w:val="3"/>
          <w:numId w:val="1"/>
        </w:numPr>
        <w:rPr/>
      </w:pPr>
      <w:bookmarkStart w:id="730" w:name="__RefHeading___Toc348106_2142443653"/>
      <w:bookmarkStart w:id="731" w:name="_Toc284"/>
      <w:bookmarkEnd w:id="730"/>
      <w:r>
        <w:rPr>
          <w:rtl w:val="true"/>
        </w:rPr>
        <w:t>توجیه ما دل علی جواز السجود علی القطن والکتان من غیر تقیة ولا ضرورة</w:t>
      </w:r>
      <w:bookmarkEnd w:id="73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2" w:name="__RefHeading___Toc348108_2142443653"/>
      <w:bookmarkStart w:id="733" w:name="_Toc285"/>
      <w:bookmarkEnd w:id="732"/>
      <w:r>
        <w:rPr>
          <w:rtl w:val="true"/>
        </w:rPr>
        <w:t>معنی المسح والریاش</w:t>
      </w:r>
      <w:bookmarkStart w:id="734" w:name="pg15037_163870"/>
      <w:bookmarkEnd w:id="733"/>
    </w:p>
    <w:p>
      <w:pPr>
        <w:pStyle w:val="BookText"/>
        <w:rPr/>
      </w:pPr>
      <w:bookmarkEnd w:id="73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السجود علی القیر والقفر</w:t>
      </w:r>
    </w:p>
    <w:p>
      <w:pPr>
        <w:pStyle w:val="BookText"/>
        <w:rPr/>
      </w:pPr>
      <w:r>
        <w:rPr>
          <w:rFonts w:ascii="IRNazanin" w:hAnsi="IRNazanin" w:eastAsia="IRNazanin"/>
          <w:color w:val="111111"/>
          <w:sz w:val="28"/>
          <w:sz w:val="28"/>
          <w:szCs w:val="28"/>
          <w:rtl w:val="true"/>
          <w:lang w:bidi="fa-IR"/>
        </w:rPr>
        <w:t xml:space="preserve">أحمد بن محمّد ، عن علی بن إسماعیل ، عن محمّد بن عمرو بن سعید ، عن أبی الحسن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تسجد علی القیر ولا علی القفر ولا علی الصاروج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النضر ، عن محمّد بن أبی حمزة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المعلّی بن خنیس أبا عبد الله علیه السلام وأنا عنده عن السجود علی القفر وعلی القیر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الروایة أن نحملها علی حال الضرورة أو التقیة دون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إسماعیل ، وهو یقال لجماعة </w:t>
      </w:r>
      <w:r>
        <w:rPr>
          <w:rStyle w:val="FootnoteAnchor"/>
          <w:rtl w:val="true"/>
        </w:rPr>
        <w:footnoteReference w:id="992"/>
      </w:r>
      <w:r>
        <w:rPr>
          <w:rFonts w:ascii="IRNazanin" w:hAnsi="IRNazanin" w:eastAsia="IRNazanin"/>
          <w:color w:val="111111"/>
          <w:sz w:val="28"/>
          <w:sz w:val="28"/>
          <w:szCs w:val="28"/>
          <w:rtl w:val="true"/>
          <w:lang w:bidi="fa-IR"/>
        </w:rPr>
        <w:t xml:space="preserve">لیس فیهم من وصف بالثقة لیفید البحث فی تعیّنه ، غیر أنّا قدمنا </w:t>
      </w:r>
      <w:r>
        <w:rPr>
          <w:rStyle w:val="FootnoteAnchor"/>
          <w:rtl w:val="true"/>
        </w:rPr>
        <w:footnoteReference w:id="993"/>
      </w:r>
      <w:r>
        <w:rPr>
          <w:rFonts w:ascii="IRNazanin" w:hAnsi="IRNazanin" w:eastAsia="IRNazanin"/>
          <w:color w:val="111111"/>
          <w:sz w:val="28"/>
          <w:sz w:val="28"/>
          <w:szCs w:val="28"/>
          <w:rtl w:val="true"/>
          <w:lang w:bidi="fa-IR"/>
        </w:rPr>
        <w:t xml:space="preserve">ما اتفق فی علی بن السندی الواقع فی الکشی حیث قال فی علی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إسماعیل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السندی ، فلقب إسماعیل بالسندی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وقدمنا أنّ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أن یکون لفظ ثقة موهوما ، وإنّما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جری فی العادة للکتّاب أن یأتوا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w:t>
      </w:r>
    </w:p>
    <w:p>
      <w:pPr>
        <w:pStyle w:val="Heading3"/>
        <w:numPr>
          <w:ilvl w:val="2"/>
          <w:numId w:val="1"/>
        </w:numPr>
        <w:rPr/>
      </w:pPr>
      <w:bookmarkStart w:id="735" w:name="__RefHeading___Toc348110_2142443653"/>
      <w:bookmarkStart w:id="736" w:name="_Toc286"/>
      <w:bookmarkEnd w:id="735"/>
      <w:r>
        <w:rPr>
          <w:rtl w:val="true"/>
        </w:rPr>
        <w:t>السجود علی القیر والقفر</w:t>
      </w:r>
      <w:bookmarkEnd w:id="73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7" w:name="__RefHeading___Toc348112_2142443653"/>
      <w:bookmarkStart w:id="738" w:name="_Toc287"/>
      <w:bookmarkEnd w:id="737"/>
      <w:r>
        <w:rPr>
          <w:rtl w:val="true"/>
        </w:rPr>
        <w:t>بحث حول علی بن اسماعیل</w:t>
      </w:r>
      <w:bookmarkStart w:id="739" w:name="pg15037_163871"/>
      <w:bookmarkEnd w:id="738"/>
    </w:p>
    <w:p>
      <w:pPr>
        <w:pStyle w:val="BookText"/>
        <w:rPr/>
      </w:pPr>
      <w:bookmarkEnd w:id="739"/>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جعله علی بن السری </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اختیار الکشی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السدی </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السندی ، قال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الذی ینبغی ، وهو إسماعیل بن عبد الرحمن بن أبی کریمة السدی </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تحققته الآن أن علی بن إسماعیل هو علی بن السندی ، لأنّ الروایة کما تری عن علی بن إسماعیل عن محمّد بن عمرو بن سعید ، وفی الرجال محمّد بن عمرو بن سعید یروی عنه علی بن السندی فی الفهرست </w:t>
      </w:r>
      <w:r>
        <w:rPr>
          <w:rStyle w:val="FootnoteAnchor"/>
          <w:rtl w:val="true"/>
        </w:rPr>
        <w:footnoteReference w:id="997"/>
      </w:r>
      <w:r>
        <w:rPr>
          <w:rFonts w:ascii="IRNazanin" w:hAnsi="IRNazanin" w:eastAsia="IRNazanin"/>
          <w:color w:val="111111"/>
          <w:sz w:val="28"/>
          <w:sz w:val="28"/>
          <w:szCs w:val="28"/>
          <w:rtl w:val="true"/>
          <w:lang w:bidi="fa-IR"/>
        </w:rPr>
        <w:t xml:space="preserve">، وفی رجال من لم یرو عن الأئمّة علیهم السلام من کتاب الشیخ </w:t>
      </w:r>
      <w:r>
        <w:rPr>
          <w:rStyle w:val="FootnoteAnchor"/>
          <w:rtl w:val="true"/>
        </w:rPr>
        <w:footnoteReference w:id="998"/>
      </w:r>
      <w:r>
        <w:rPr>
          <w:rFonts w:ascii="IRNazanin" w:hAnsi="IRNazanin" w:eastAsia="IRNazanin"/>
          <w:color w:val="111111"/>
          <w:sz w:val="28"/>
          <w:sz w:val="28"/>
          <w:szCs w:val="28"/>
          <w:rtl w:val="true"/>
          <w:lang w:bidi="fa-IR"/>
        </w:rPr>
        <w:t xml:space="preserve">،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لما ظن أنّ علی بن إسماعیل هو ابن السندی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بأنّ الراوی عنه علی بن السندی ، وفیه من البعد ما لا یخفی ؛ لأنّ النجاشی ذکر أنّ الراوی علی بن السندی </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عن محمّد بن عمرو بن سعید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وقع فی الخلاصة من علی بن السری وفی الاختیار من ابن السدی وتوجیه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یندفع بما ذکرناه ، غیر أن الأثر هیّن بعد ما تقدم من احتمال تصحیف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أبی حمزة ، وقد تکرر القول فیه من اشتراکه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0" w:name="__RefHeading___Toc348114_2142443653"/>
      <w:bookmarkStart w:id="741" w:name="_Toc288"/>
      <w:bookmarkEnd w:id="740"/>
      <w:r>
        <w:rPr>
          <w:rtl w:val="true"/>
        </w:rPr>
        <w:t>محمد بن أبی حمزة مشترک بین ثقة ومهمل</w:t>
      </w:r>
      <w:bookmarkStart w:id="742" w:name="pg15037_163872"/>
      <w:bookmarkEnd w:id="741"/>
    </w:p>
    <w:p>
      <w:pPr>
        <w:pStyle w:val="BookText"/>
        <w:rPr/>
      </w:pPr>
      <w:bookmarkEnd w:id="742"/>
      <w:r>
        <w:rPr>
          <w:rFonts w:ascii="IRNazanin" w:hAnsi="IRNazanin" w:eastAsia="IRNazanin"/>
          <w:color w:val="111111"/>
          <w:sz w:val="28"/>
          <w:sz w:val="28"/>
          <w:szCs w:val="28"/>
          <w:rtl w:val="true"/>
          <w:lang w:bidi="fa-IR"/>
        </w:rPr>
        <w:t xml:space="preserve">بین ثقة ، ومهمل ، واحتمال الانصراف للثقة </w:t>
      </w:r>
      <w:r>
        <w:rPr>
          <w:rStyle w:val="FootnoteAnchor"/>
          <w:rtl w:val="true"/>
        </w:rPr>
        <w:footnoteReference w:id="1001"/>
      </w:r>
      <w:r>
        <w:rPr>
          <w:rFonts w:ascii="IRNazanin" w:hAnsi="IRNazanin" w:eastAsia="IRNazanin"/>
          <w:color w:val="111111"/>
          <w:sz w:val="28"/>
          <w:sz w:val="28"/>
          <w:szCs w:val="28"/>
          <w:rtl w:val="true"/>
          <w:lang w:bidi="fa-IR"/>
        </w:rPr>
        <w:t xml:space="preserve">أو الاتحاد </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النضر فهو ابن سوید کما لا یخفی علی الممارس ، والکلام فی المعلی بن خنیس لا یضر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النهی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المذکورات بناء علی کونه حقیقة فیه </w:t>
      </w:r>
      <w:r>
        <w:rPr>
          <w:rFonts w:eastAsia="IRNazanin" w:cs="IRNazanin"/>
          <w:color w:val="111111"/>
          <w:sz w:val="28"/>
          <w:szCs w:val="28"/>
          <w:rtl w:val="true"/>
          <w:lang w:bidi="fa-IR"/>
        </w:rPr>
        <w:t xml:space="preserve">) </w:t>
      </w:r>
      <w:r>
        <w:rPr>
          <w:rStyle w:val="FootnoteAnchor"/>
          <w:rtl w:val="true"/>
        </w:rPr>
        <w:footnoteReference w:id="1003"/>
      </w:r>
      <w:r>
        <w:rPr>
          <w:rFonts w:ascii="Amiri" w:hAnsi="Amiri" w:eastAsia="Amiri" w:cs="Amiri"/>
          <w:color w:val="111111"/>
          <w:sz w:val="28"/>
          <w:sz w:val="28"/>
          <w:szCs w:val="28"/>
          <w:rtl w:val="true"/>
          <w:lang w:bidi="ar-SA"/>
        </w:rPr>
        <w:t>لو صحّ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الجواز علی الأمرین ، فالحمل علی الکراهة فی النهی ممکن لو عمل بالخبرین ، بل کان الوالد قدس سره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یکاد أن یکون حقیقة فی الکراهة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حمل الشیخ علی الضرورة فهو وإن بعد ربّما قربه أنّ الصاروج علی تقدیر حمل النهی علی الکراهة </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یقتضی الخبر جواز السجود علیه ، ولا أعلم القائل به ، فربما یؤید حمل النهی علی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شیخنا قدس سره یمیل إلی جواز السجود علیه </w:t>
      </w:r>
      <w:r>
        <w:rPr>
          <w:rStyle w:val="FootnoteAnchor"/>
          <w:rtl w:val="true"/>
        </w:rPr>
        <w:footnoteReference w:id="1006"/>
      </w:r>
      <w:r>
        <w:rPr>
          <w:rFonts w:ascii="IRNazanin" w:hAnsi="IRNazanin" w:eastAsia="IRNazanin"/>
          <w:color w:val="111111"/>
          <w:sz w:val="28"/>
          <w:sz w:val="28"/>
          <w:szCs w:val="28"/>
          <w:rtl w:val="true"/>
          <w:lang w:bidi="fa-IR"/>
        </w:rPr>
        <w:t>؛ للخبر الصحیح المتضمن للسؤال عن الجص یوقد علیه بالعذرة وعظام الموتی ثم یجصص به المسجد ، أیسجد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3" w:name="__RefHeading___Toc348116_2142443653"/>
      <w:bookmarkStart w:id="744" w:name="_Toc289"/>
      <w:bookmarkEnd w:id="743"/>
      <w:r>
        <w:rPr>
          <w:rtl w:val="true"/>
        </w:rPr>
        <w:t>بیان ما دل علی النهی عن السجود علی القیر والقفر والصاروج وتوجیه ما یعارضه</w:t>
      </w:r>
      <w:bookmarkEnd w:id="744"/>
    </w:p>
    <w:p>
      <w:pPr>
        <w:pStyle w:val="BookText"/>
        <w:rPr/>
      </w:pPr>
      <w:r>
        <w:rPr>
          <w:rFonts w:ascii="IRNazanin" w:hAnsi="IRNazanin" w:eastAsia="IRNazanin"/>
          <w:color w:val="111111"/>
          <w:sz w:val="28"/>
          <w:sz w:val="28"/>
          <w:szCs w:val="28"/>
          <w:rtl w:val="true"/>
          <w:lang w:bidi="fa-IR"/>
        </w:rPr>
        <w:t xml:space="preserve">علیه؟ فکتب علیه السلام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الماء والنار قد طهّراه </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وهذا الخبر قد تکلمت فیه بما لا مزید علیه فی کتاب معاهد التنبیه ، وحاصل الأمر أنّ الخبر لا یخلو من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الاستدلال بهذه الروایة علی الطهارة بالاستحالة رمادا إشکالا من 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الماء الذی یحلّ به الجصّ غیر مطهّر إجماعا ،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حکم بنجاسة الجصّ ثم بتطهیره ، وفی نجاسته بدخان الأعیان النجسة إشکال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علیه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بالماء ماء المطر الذی یصیب أرض المسجد ؛ إذ لیس فی الخبر أنّ المسجد کان مسقّفا ، وأنّ المراد بالوقد علیه اختلاط تلک الأعیان التی یوقد بها من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ویبقی إشکال آخر وهو أنّ النار إذا طهّرته أوّلا کیف یحکم بتطهیر الماء ثانیا؟ إلاّ أن یحمل التطهیر علی المعنی الشامل للشرعیة واللغویة </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وللوالد قدس سره کلام فی الحدیث ذکرته فی محل آخر ، إلاّ أنّ فی آخر الکلام المنقول إشارة إلی ما ذکره الوالد قدس سره من إرادة الأعم من الشرعیة واللغویة </w:t>
      </w:r>
      <w:r>
        <w:rPr>
          <w:rStyle w:val="FootnoteAnchor"/>
          <w:rtl w:val="true"/>
        </w:rPr>
        <w:footnoteReference w:id="1010"/>
      </w:r>
      <w:r>
        <w:rPr>
          <w:rFonts w:ascii="IRNazanin" w:hAnsi="IRNazanin" w:eastAsia="IRNazanin"/>
          <w:color w:val="111111"/>
          <w:sz w:val="28"/>
          <w:sz w:val="28"/>
          <w:szCs w:val="28"/>
          <w:rtl w:val="true"/>
          <w:lang w:bidi="fa-IR"/>
        </w:rPr>
        <w:t>، والذی یقتضیه النظر أنّ الجواب المذکور فی أعلی المراتب من البعد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الروایة تضمنت الوقد بعظام الموتی ، وتنجیس ما تلاقیه إنّما </w:t>
      </w:r>
      <w:bookmarkStart w:id="745" w:name="pg15037_163874"/>
    </w:p>
    <w:p>
      <w:pPr>
        <w:pStyle w:val="BookText"/>
        <w:rPr/>
      </w:pPr>
      <w:bookmarkEnd w:id="745"/>
      <w:r>
        <w:rPr>
          <w:rFonts w:ascii="IRNazanin" w:hAnsi="IRNazanin" w:eastAsia="IRNazanin"/>
          <w:color w:val="111111"/>
          <w:sz w:val="28"/>
          <w:sz w:val="28"/>
          <w:szCs w:val="28"/>
          <w:rtl w:val="true"/>
          <w:lang w:bidi="fa-IR"/>
        </w:rPr>
        <w:t xml:space="preserve">یکون مع الرطوبة ، واحتراق الجص لو ظهر بمقتضی النص لا یتحقق کونه رمادا ، والاعتبار فی الطهارة بالرماد والدخان ، ولو أرید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اتصال الأجزاء من العظام المذکورة </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وأنّ الطهارة إنّما هی للعذرة والعظام نفی إشکال العلاّمة ، فلا بدّ حینئذ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السؤال من جهة إدخال النجاسة المسجد حیث أوقد بالعذرة وعظام الموتی ، فالجواب یتضمن الطهارة باستحالة العذرة رمادا ، 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 الماء </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غیر ظاهر الثمرة ، إلاّ أن یکون تقریبا لاستبعاد طهارة النار ، أو یراد التنظیف لضرورة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ظاهر الخبر جواز السجود ، حیث کان المسئول عنه هو السجود ، فلو کان الجواب خالیا عن ذلک لما أفاد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مجملا فالخبر الثانی الدال علی جواز السجود علی القیر له مؤیّدات من الأخبار فی التهذیب </w:t>
      </w:r>
      <w:r>
        <w:rPr>
          <w:rStyle w:val="FootnoteAnchor"/>
          <w:rtl w:val="true"/>
        </w:rPr>
        <w:footnoteReference w:id="1013"/>
      </w:r>
      <w:r>
        <w:rPr>
          <w:rFonts w:ascii="IRNazanin" w:hAnsi="IRNazanin" w:eastAsia="IRNazanin"/>
          <w:color w:val="111111"/>
          <w:sz w:val="28"/>
          <w:sz w:val="28"/>
          <w:szCs w:val="28"/>
          <w:rtl w:val="true"/>
          <w:lang w:bidi="fa-IR"/>
        </w:rPr>
        <w:t xml:space="preserve">، وفی باب الصلاة فی السفینة ما یدل علی الجواز </w:t>
      </w:r>
      <w:r>
        <w:rPr>
          <w:rStyle w:val="FootnoteAnchor"/>
          <w:rtl w:val="true"/>
        </w:rPr>
        <w:footnoteReference w:id="1014"/>
      </w:r>
      <w:r>
        <w:rPr>
          <w:rFonts w:ascii="IRNazanin" w:hAnsi="IRNazanin" w:eastAsia="IRNazanin"/>
          <w:color w:val="111111"/>
          <w:sz w:val="28"/>
          <w:sz w:val="28"/>
          <w:szCs w:val="28"/>
          <w:rtl w:val="true"/>
          <w:lang w:bidi="fa-IR"/>
        </w:rPr>
        <w:t>، لکن احتمال الضرورة ممکن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جدّی قدس سره فی فوائد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القفر ضرب من القیر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الصاروج النورة وأخلاطها ، فارسی معرب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6" w:name="__RefHeading___Toc348118_2142443653"/>
      <w:bookmarkStart w:id="747" w:name="_Toc290"/>
      <w:bookmarkEnd w:id="746"/>
      <w:r>
        <w:rPr>
          <w:rtl w:val="true"/>
        </w:rPr>
        <w:t>معنی القفر والصاروج</w:t>
      </w:r>
      <w:bookmarkStart w:id="748" w:name="pg15037_163875"/>
      <w:bookmarkEnd w:id="747"/>
    </w:p>
    <w:p>
      <w:pPr>
        <w:pStyle w:val="BookText"/>
        <w:rPr/>
      </w:pPr>
      <w:bookmarkEnd w:id="748"/>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السجود علی القرطاس فیه کتابة</w:t>
      </w:r>
    </w:p>
    <w:p>
      <w:pPr>
        <w:pStyle w:val="BookText"/>
        <w:rPr/>
      </w:pPr>
      <w:r>
        <w:rPr>
          <w:rFonts w:ascii="IRNazanin" w:hAnsi="IRNazanin" w:eastAsia="IRNazanin"/>
          <w:color w:val="111111"/>
          <w:sz w:val="28"/>
          <w:sz w:val="28"/>
          <w:szCs w:val="28"/>
          <w:rtl w:val="true"/>
          <w:lang w:bidi="fa-IR"/>
        </w:rPr>
        <w:t xml:space="preserve">الحسین بن سعید ، عن فضالة ، عن جمیل بن دراج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کره أن یسجد علی قرطاس علیه 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داود بن فرقد أبا الحسن علیه السلام عن القراطیس والکواغذ المکتوب </w:t>
      </w:r>
      <w:r>
        <w:rPr>
          <w:rStyle w:val="FootnoteAnchor"/>
          <w:rtl w:val="true"/>
        </w:rPr>
        <w:footnoteReference w:id="1016"/>
      </w:r>
      <w:r>
        <w:rPr>
          <w:rFonts w:ascii="IRNazanin" w:hAnsi="IRNazanin" w:eastAsia="IRNazanin"/>
          <w:color w:val="111111"/>
          <w:sz w:val="28"/>
          <w:sz w:val="28"/>
          <w:szCs w:val="28"/>
          <w:rtl w:val="true"/>
          <w:lang w:bidi="fa-IR"/>
        </w:rPr>
        <w:t xml:space="preserve">علیها ، هل یجوز السجود علیها أم لا؟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عبد الرحمن بن أبی نجران ، 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فی المحمل یسجد </w:t>
      </w:r>
      <w:r>
        <w:rPr>
          <w:rStyle w:val="FootnoteAnchor"/>
          <w:rtl w:val="true"/>
        </w:rPr>
        <w:footnoteReference w:id="1017"/>
      </w:r>
      <w:r>
        <w:rPr>
          <w:rFonts w:ascii="IRNazanin" w:hAnsi="IRNazanin" w:eastAsia="IRNazanin"/>
          <w:color w:val="111111"/>
          <w:sz w:val="28"/>
          <w:sz w:val="28"/>
          <w:szCs w:val="28"/>
          <w:rtl w:val="true"/>
          <w:lang w:bidi="fa-IR"/>
        </w:rPr>
        <w:t>علی القرطاس وأکثر ذلک یومئ 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تنافی بین هذین الخبرین والخبر الأوّل ؛ لأنّ الوجه فی الخبر الأوّل ضرب من الکراهیة ، وقد صرح بذلک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کره أن یسجد علی قرطاس علیه کتابة ، ویکون الخبران محمولین علی الجواز ، علی أنّ خبر صفوان الجمّال الذی حکی فیه فعل أبی عبد الله علیه السلام لیس فیه أنّ القرطاس الذی کان یسجد علیه کان فیه کتابة ، والکراهة إنّما توجهت إلی ما </w:t>
      </w:r>
      <w:r>
        <w:rPr>
          <w:rStyle w:val="FootnoteAnchor"/>
          <w:rtl w:val="true"/>
        </w:rPr>
        <w:footnoteReference w:id="1018"/>
      </w:r>
      <w:r>
        <w:rPr>
          <w:rFonts w:ascii="IRNazanin" w:hAnsi="IRNazanin" w:eastAsia="IRNazanin"/>
          <w:color w:val="111111"/>
          <w:sz w:val="28"/>
          <w:sz w:val="28"/>
          <w:szCs w:val="28"/>
          <w:rtl w:val="true"/>
          <w:lang w:bidi="fa-IR"/>
        </w:rPr>
        <w:t>هذه صفته ، ویجوز أن یکون بلا کتابة فیطابق الخبر الأوّل</w:t>
      </w:r>
      <w:r>
        <w:rPr>
          <w:rFonts w:eastAsia="IRNazanin" w:cs="IRNazanin"/>
          <w:color w:val="111111"/>
          <w:sz w:val="28"/>
          <w:szCs w:val="28"/>
          <w:rtl w:val="true"/>
          <w:lang w:bidi="fa-IR"/>
        </w:rPr>
        <w:t>.</w:t>
      </w:r>
    </w:p>
    <w:p>
      <w:pPr>
        <w:pStyle w:val="Heading3"/>
        <w:numPr>
          <w:ilvl w:val="2"/>
          <w:numId w:val="1"/>
        </w:numPr>
        <w:rPr/>
      </w:pPr>
      <w:bookmarkStart w:id="749" w:name="__RefHeading___Toc348120_2142443653"/>
      <w:bookmarkStart w:id="750" w:name="_Toc291"/>
      <w:bookmarkEnd w:id="749"/>
      <w:r>
        <w:rPr>
          <w:rtl w:val="true"/>
        </w:rPr>
        <w:t>السجود علی القرطاس فیه کتابة</w:t>
      </w:r>
      <w:bookmarkEnd w:id="75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1" w:name="__RefHeading___Toc348122_2142443653"/>
      <w:bookmarkStart w:id="752" w:name="_Toc292"/>
      <w:bookmarkEnd w:id="751"/>
      <w:r>
        <w:rPr>
          <w:rtl w:val="true"/>
        </w:rPr>
        <w:t>اشارة</w:t>
      </w:r>
      <w:bookmarkStart w:id="753" w:name="pg15037_163876"/>
      <w:bookmarkEnd w:id="752"/>
    </w:p>
    <w:p>
      <w:pPr>
        <w:pStyle w:val="BookText"/>
        <w:rPr/>
      </w:pPr>
      <w:bookmarkEnd w:id="753"/>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داود بن فرقد وقد مضی فیه القول وأنّه ثقة </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بعض الأصحاب الإجماع علی جواز السجود علی القرطاس </w:t>
      </w:r>
      <w:r>
        <w:rPr>
          <w:rStyle w:val="FootnoteAnchor"/>
          <w:rtl w:val="true"/>
        </w:rPr>
        <w:footnoteReference w:id="1020"/>
      </w:r>
      <w:r>
        <w:rPr>
          <w:rFonts w:ascii="IRNazanin" w:hAnsi="IRNazanin" w:eastAsia="IRNazanin"/>
          <w:color w:val="111111"/>
          <w:sz w:val="28"/>
          <w:sz w:val="28"/>
          <w:szCs w:val="28"/>
          <w:rtl w:val="true"/>
          <w:lang w:bidi="fa-IR"/>
        </w:rPr>
        <w:t xml:space="preserve">، والخبر الثانی صریح فیه ، والأوّل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قد قدّمنا أنّها تستعمل فیما یتناول الحرام ، لکن مع الاشتراک أو التناول المخصص موجودٌ فیها وهو الکتابة کما قاله الشیخ ، غایة الأمر أنّ مع الکتابة یحتمل الکراهة والتحریم ، غیر أنّ الاشتراک یبقی الأصل علی حاله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دلّ علی عدم السجود علی </w:t>
      </w:r>
      <w:r>
        <w:rPr>
          <w:rStyle w:val="FootnoteAnchor"/>
          <w:rtl w:val="true"/>
        </w:rPr>
        <w:footnoteReference w:id="1021"/>
      </w:r>
      <w:r>
        <w:rPr>
          <w:rFonts w:ascii="IRNazanin" w:hAnsi="IRNazanin" w:eastAsia="IRNazanin"/>
          <w:color w:val="111111"/>
          <w:sz w:val="28"/>
          <w:sz w:val="28"/>
          <w:szCs w:val="28"/>
          <w:rtl w:val="true"/>
          <w:lang w:bidi="fa-IR"/>
        </w:rPr>
        <w:t>المأکول والملبوس عام فإذا خرج غیر المکتوب بقی هو ،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الشهید رحمه الله فی الذکری عدم تحقق الإجماع ؛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النفس من القرطاس شی‌ء من حیث اشتماله علی النورة ، إلاّ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جوهر القرطاس ، أو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 النورة یردّ إلیها اسم الأرض </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ولجدّی قدس سره علیه کلام فی الروضة </w:t>
      </w:r>
      <w:r>
        <w:rPr>
          <w:rStyle w:val="FootnoteAnchor"/>
          <w:rtl w:val="true"/>
        </w:rPr>
        <w:footnoteReference w:id="1023"/>
      </w:r>
      <w:r>
        <w:rPr>
          <w:rFonts w:ascii="IRNazanin" w:hAnsi="IRNazanin" w:eastAsia="IRNazanin"/>
          <w:color w:val="111111"/>
          <w:sz w:val="28"/>
          <w:sz w:val="28"/>
          <w:szCs w:val="28"/>
          <w:rtl w:val="true"/>
          <w:lang w:bidi="fa-IR"/>
        </w:rPr>
        <w:t>ذکرناه فی حواشیها ، وکذلک المحقّق</w:t>
      </w:r>
    </w:p>
    <w:p>
      <w:pPr>
        <w:pStyle w:val="Heading4"/>
        <w:numPr>
          <w:ilvl w:val="3"/>
          <w:numId w:val="1"/>
        </w:numPr>
        <w:rPr/>
      </w:pPr>
      <w:bookmarkStart w:id="754" w:name="__RefHeading___Toc348124_2142443653"/>
      <w:bookmarkStart w:id="755" w:name="_Toc293"/>
      <w:bookmarkEnd w:id="754"/>
      <w:r>
        <w:rPr>
          <w:rtl w:val="true"/>
        </w:rPr>
        <w:t>داود بن فرقد ثقة</w:t>
      </w:r>
      <w:bookmarkEnd w:id="75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6" w:name="__RefHeading___Toc348126_2142443653"/>
      <w:bookmarkStart w:id="757" w:name="_Toc294"/>
      <w:bookmarkEnd w:id="756"/>
      <w:r>
        <w:rPr>
          <w:rtl w:val="true"/>
        </w:rPr>
        <w:t>بیان ما دل علی کراهة السجود علی القرطاس المکتوب علیه</w:t>
      </w:r>
      <w:bookmarkEnd w:id="757"/>
    </w:p>
    <w:p>
      <w:pPr>
        <w:pStyle w:val="BookText"/>
        <w:rPr/>
      </w:pPr>
      <w:r>
        <w:rPr>
          <w:rFonts w:ascii="IRNazanin" w:hAnsi="IRNazanin" w:eastAsia="IRNazanin"/>
          <w:color w:val="111111"/>
          <w:sz w:val="28"/>
          <w:sz w:val="28"/>
          <w:szCs w:val="28"/>
          <w:rtl w:val="true"/>
          <w:lang w:bidi="fa-IR"/>
        </w:rPr>
        <w:t xml:space="preserve">الشیخ علی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أنّ الأخبار حجّة علیه مؤیّدة بدعوی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استشکال الشهید رحمه الله فی الذکری حکم القراطیس المکتوبة بأنّ أجرام الحبر مشتملة غالبا علی شی‌ء من المعادن ، 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هناک بیاض یصدق علیه الاسم ، 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یخیّل أن لون الحبر عرض والسجود إنّما هو علی القرطاس ، ولیس بشی‌ء ؛ لأنّ العرض لا یقوم بغیر حامله والمداد أجسام محسوسة مشتملة علی اللون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دلّ علی کراهة السجود علی المکتوب إمّا أن یحمله علی الکراهة الأصولیة أو علی التحریم ، فإن حمله علی الأوّل لا وجه للإشکال ، ولو حمله علی التحریم استغنی عن التوجیه ، ولو کان مشترکا أمکن توجیه المنع بما دل علی اشتراط غیر الملبوس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الکواغذ غیر ملبوسة بالعادة وإن کان أصلها من الملبوسة ، وفیه نوع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نعمل بالخبر الأخیر ؛ لاحتماله الضرورة من حیث کونه علیه السلام فی المحمل ، مضافا إلی تضمنه الإیماء فإنّه یشعر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الإیماء لغیر السجود لا یضر بالحال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قلنا إنّ خبر علی بن مهزیار یتناول بإطلاقه المکتوب زال الإشکال أیضا </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خبر علی بن مهزیار مکاتبة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ضرورة هذا لا وجه لها بعد عدالة الراوی والأمن من اشتباه الخط ، نعم </w:t>
      </w:r>
      <w:bookmarkStart w:id="758" w:name="pg15037_163878"/>
    </w:p>
    <w:p>
      <w:pPr>
        <w:pStyle w:val="BookText"/>
        <w:rPr/>
      </w:pPr>
      <w:bookmarkEnd w:id="758"/>
      <w:r>
        <w:rPr>
          <w:rFonts w:ascii="IRNazanin" w:hAnsi="IRNazanin" w:eastAsia="IRNazanin"/>
          <w:color w:val="111111"/>
          <w:sz w:val="28"/>
          <w:sz w:val="28"/>
          <w:szCs w:val="28"/>
          <w:rtl w:val="true"/>
          <w:lang w:bidi="fa-IR"/>
        </w:rPr>
        <w:t>ربّما یدّعی أنّ المتبادر من القراطیس کونها من حیث هی ، والمکتوبة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إنّ العرض لا یقوم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به ما ذکره الحکماء من استحالة انتقال الأعراض فهو صحیح ، لکن التزامه یقتضی عدم صحة الصلاة علی الأرض المشتملة علی صبغ من المعادن ، وکذلک غیر الأرض ، وأظنّ أنّ التزامه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أنّ عرض الحبر لا ینفک عن الجرم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متوجه إلاّ أنّ العرض قد ینتفی فی الحبر بغیر جرم ، وبتقدیر التسلیم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 لا یقوم بغیر حامله والمداد أجسام ، إلی آخره ، لا یخلو من 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تخیّله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الأحکام المتعلّقة بالذوات لا تنتقل إلی عوارضها کالإنسان المتصف بالنطق لا یتصف به عوارضه ، فالمعدن إذا اتصف بعدم جواز السجود لا یتصف به عوارضه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بتقدیر امتناع انفکاک العرض الذات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إیراد الشکوک مع العمل بالأخبار لا وجه له ، وبدون العمل قد یتحقق الإشکال ، نظرا إلی ما ذکرناه فی أثناء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القراطیس والکواغد من باب عطف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القرطاس الکاغذ </w:t>
      </w:r>
      <w:r>
        <w:rPr>
          <w:rFonts w:eastAsia="IRNazanin" w:cs="IRNazanin"/>
          <w:color w:val="111111"/>
          <w:sz w:val="28"/>
          <w:szCs w:val="28"/>
          <w:rtl w:val="true"/>
          <w:lang w:bidi="fa-IR"/>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9" w:name="__RefHeading___Toc348128_2142443653"/>
      <w:bookmarkStart w:id="760" w:name="_Toc295"/>
      <w:bookmarkEnd w:id="759"/>
      <w:r>
        <w:rPr>
          <w:rtl w:val="true"/>
        </w:rPr>
        <w:t>معنی القرطاس</w:t>
      </w:r>
      <w:bookmarkStart w:id="761" w:name="pg15037_163879"/>
      <w:bookmarkEnd w:id="760"/>
    </w:p>
    <w:p>
      <w:pPr>
        <w:pStyle w:val="BookText"/>
        <w:rPr/>
      </w:pPr>
      <w:bookmarkEnd w:id="76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السجود علی شی‌ء لیس علیه سائر البدن</w:t>
      </w:r>
    </w:p>
    <w:p>
      <w:pPr>
        <w:pStyle w:val="BookText"/>
        <w:rPr/>
      </w:pPr>
      <w:r>
        <w:rPr>
          <w:rFonts w:ascii="IRNazanin" w:hAnsi="IRNazanin" w:eastAsia="IRNazanin"/>
          <w:color w:val="111111"/>
          <w:sz w:val="28"/>
          <w:sz w:val="28"/>
          <w:szCs w:val="28"/>
          <w:rtl w:val="true"/>
          <w:lang w:bidi="fa-IR"/>
        </w:rPr>
        <w:t xml:space="preserve">أخبرنی الشیخ رحمه الله ، عن أحمد بن محمّد ، عن أبیه ، عن الحسین بن الحسن بن أبان ، عن الحسین بن سعید ، عن فضالة ، عن جمیل بن دراج ، عن أبان ، عن عبد الرحمن بن أبی عقبة ، عن حمران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یصلّی علی الخمرة یجعلها علی الطنفسة ویسجد علیها ، فإذا لم یکن خمرة جعل حصا علی الطنفسة حیث یسجد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 عن أبیه ، عن ابن أبی عمیر ، عن ابن أذینة ، عن الفضیل بن یسار وبرید </w:t>
      </w:r>
      <w:r>
        <w:rPr>
          <w:rStyle w:val="FootnoteAnchor"/>
          <w:rtl w:val="true"/>
        </w:rPr>
        <w:footnoteReference w:id="1028"/>
      </w:r>
      <w:r>
        <w:rPr>
          <w:rFonts w:ascii="IRNazanin" w:hAnsi="IRNazanin" w:eastAsia="IRNazanin"/>
          <w:color w:val="111111"/>
          <w:sz w:val="28"/>
          <w:sz w:val="28"/>
          <w:szCs w:val="28"/>
          <w:rtl w:val="true"/>
          <w:lang w:bidi="fa-IR"/>
        </w:rPr>
        <w:t xml:space="preserve">بن معاویة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بالمقام علی المصلّی من الشعر والصوف إذا کان یسجد علی الأرض ، فإن کان من نبات الأرض فلا بأس بالقیام علیه والسجود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إبراهیم ، عن أبیه ، عن محمّد بن یحیی ، عن غیاث بن إبراهیم ، عن جعفر ، عن أبیه ، عن علی علیهم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یسجد الرجل علی شی‌ء لیس علیه سائر جسده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ینافی الخبرین الأوّلین ؛ لأنّ هذا الخبر موافق للعامة ، والوجه فیه التقیّة دون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من لم یقدم بیان حاله </w:t>
      </w:r>
      <w:r>
        <w:rPr>
          <w:rStyle w:val="FootnoteAnchor"/>
          <w:rtl w:val="true"/>
        </w:rPr>
        <w:footnoteReference w:id="1029"/>
      </w:r>
      <w:r>
        <w:rPr>
          <w:rFonts w:ascii="IRNazanin" w:hAnsi="IRNazanin" w:eastAsia="IRNazanin"/>
          <w:color w:val="111111"/>
          <w:sz w:val="28"/>
          <w:sz w:val="28"/>
          <w:szCs w:val="28"/>
          <w:rtl w:val="true"/>
          <w:lang w:bidi="fa-IR"/>
        </w:rPr>
        <w:t>إلاّ عبد الرحمن بن</w:t>
      </w:r>
    </w:p>
    <w:p>
      <w:pPr>
        <w:pStyle w:val="Heading3"/>
        <w:numPr>
          <w:ilvl w:val="2"/>
          <w:numId w:val="1"/>
        </w:numPr>
        <w:rPr/>
      </w:pPr>
      <w:bookmarkStart w:id="762" w:name="__RefHeading___Toc348130_2142443653"/>
      <w:bookmarkStart w:id="763" w:name="_Toc296"/>
      <w:bookmarkEnd w:id="762"/>
      <w:r>
        <w:rPr>
          <w:rtl w:val="true"/>
        </w:rPr>
        <w:t>السجود علی شی‌ء لیس علیه سائر البدن</w:t>
      </w:r>
      <w:bookmarkEnd w:id="76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4" w:name="__RefHeading___Toc348132_2142443653"/>
      <w:bookmarkStart w:id="765" w:name="_Toc297"/>
      <w:bookmarkEnd w:id="764"/>
      <w:r>
        <w:rPr>
          <w:rtl w:val="true"/>
        </w:rPr>
        <w:t>عبدالرحمان بن أبی عقبة مجهول الحال</w:t>
      </w:r>
      <w:bookmarkStart w:id="766" w:name="pg15037_163880"/>
      <w:bookmarkEnd w:id="765"/>
    </w:p>
    <w:p>
      <w:pPr>
        <w:pStyle w:val="BookText"/>
        <w:rPr/>
      </w:pPr>
      <w:bookmarkEnd w:id="766"/>
      <w:r>
        <w:rPr>
          <w:rFonts w:ascii="IRNazanin" w:hAnsi="IRNazanin" w:eastAsia="IRNazanin"/>
          <w:color w:val="111111"/>
          <w:sz w:val="28"/>
          <w:sz w:val="28"/>
          <w:szCs w:val="28"/>
          <w:rtl w:val="true"/>
          <w:lang w:bidi="fa-IR"/>
        </w:rPr>
        <w:t>أبی عقبة ، وهو مجهول الحال ؛ إذ لم أقف علیه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یحیی ، والمستفاد من الرجال روایة محمّد بن یحیی الخزّاز عن غیاث بن إبراهیم </w:t>
      </w:r>
      <w:r>
        <w:rPr>
          <w:rStyle w:val="FootnoteAnchor"/>
          <w:rtl w:val="true"/>
        </w:rPr>
        <w:footnoteReference w:id="1030"/>
      </w:r>
      <w:r>
        <w:rPr>
          <w:rFonts w:ascii="Amiri" w:hAnsi="Amiri" w:eastAsia="Amiri" w:cs="Amiri"/>
          <w:color w:val="111111"/>
          <w:sz w:val="28"/>
          <w:sz w:val="28"/>
          <w:szCs w:val="28"/>
          <w:rtl w:val="true"/>
          <w:lang w:bidi="ar-SA"/>
        </w:rPr>
        <w:t xml:space="preserve">، والخزّاز ثقة </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غیاث فالشیخ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بتری </w:t>
      </w:r>
      <w:r>
        <w:rPr>
          <w:rStyle w:val="FootnoteAnchor"/>
          <w:rtl w:val="true"/>
        </w:rPr>
        <w:footnoteReference w:id="1032"/>
      </w:r>
      <w:r>
        <w:rPr>
          <w:rFonts w:ascii="IRNazanin" w:hAnsi="IRNazanin" w:eastAsia="IRNazanin"/>
          <w:color w:val="111111"/>
          <w:sz w:val="28"/>
          <w:sz w:val="28"/>
          <w:szCs w:val="28"/>
          <w:rtl w:val="true"/>
          <w:lang w:bidi="fa-IR"/>
        </w:rPr>
        <w:t xml:space="preserve">، والنجاشی وثقه </w:t>
      </w:r>
      <w:r>
        <w:rPr>
          <w:rStyle w:val="FootnoteAnchor"/>
          <w:rtl w:val="true"/>
        </w:rPr>
        <w:footnoteReference w:id="1033"/>
      </w:r>
      <w:r>
        <w:rPr>
          <w:rFonts w:ascii="IRNazanin" w:hAnsi="IRNazanin" w:eastAsia="IRNazanin"/>
          <w:color w:val="111111"/>
          <w:sz w:val="28"/>
          <w:sz w:val="28"/>
          <w:szCs w:val="28"/>
          <w:rtl w:val="true"/>
          <w:lang w:bidi="fa-IR"/>
        </w:rPr>
        <w:t xml:space="preserve">، وقد مضی عن شیخنا قدس سره فی الجزء الأوّل </w:t>
      </w:r>
      <w:r>
        <w:rPr>
          <w:rStyle w:val="FootnoteAnchor"/>
          <w:rtl w:val="true"/>
        </w:rPr>
        <w:footnoteReference w:id="1034"/>
      </w:r>
      <w:r>
        <w:rPr>
          <w:rFonts w:ascii="IRNazanin" w:hAnsi="IRNazanin" w:eastAsia="IRNazanin"/>
          <w:color w:val="111111"/>
          <w:sz w:val="28"/>
          <w:sz w:val="28"/>
          <w:szCs w:val="28"/>
          <w:rtl w:val="true"/>
          <w:lang w:bidi="fa-IR"/>
        </w:rPr>
        <w:t xml:space="preserve">النقل عن الکشی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بتری روایة عن غیر معلوم ، ولم نقف علیه فی الکشی ، وفی الظن روایة محمّد بن یحیی الخثعمی عن غیاث فی الأخبار ، والشیخ قال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الخثعمی عامی ، والجمیع مضی مفصلا </w:t>
      </w:r>
      <w:r>
        <w:rPr>
          <w:rStyle w:val="FootnoteAnchor"/>
          <w:rtl w:val="true"/>
        </w:rPr>
        <w:footnoteReference w:id="1035"/>
      </w:r>
      <w:r>
        <w:rPr>
          <w:rFonts w:ascii="IRNazanin" w:hAnsi="IRNazanin" w:eastAsia="IRNazanin"/>
          <w:color w:val="111111"/>
          <w:sz w:val="28"/>
          <w:sz w:val="28"/>
          <w:szCs w:val="28"/>
          <w:rtl w:val="true"/>
          <w:lang w:bidi="fa-IR"/>
        </w:rPr>
        <w:t>،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 غیر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حصا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دلالة علی أنّ اعتبار مقدار الدرهم لا یشترط فیه اتصال الأجزاء فی المسجد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من قبیل المجمل ، إذا لم یعلم قدر الحصا ، نعم ربّما دل الحصا علی أنّه علیه السلام لم یکتف بالمسمّی فی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یدل علی التعیین کما لا یخفی </w:t>
      </w:r>
      <w:r>
        <w:rPr>
          <w:rFonts w:eastAsia="IRNazanin" w:cs="IRNazanin"/>
          <w:color w:val="111111"/>
          <w:sz w:val="28"/>
          <w:szCs w:val="28"/>
          <w:rtl w:val="true"/>
          <w:lang w:bidi="fa-IR"/>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7" w:name="__RefHeading___Toc348134_2142443653"/>
      <w:bookmarkStart w:id="768" w:name="_Toc298"/>
      <w:bookmarkEnd w:id="767"/>
      <w:r>
        <w:rPr>
          <w:rtl w:val="true"/>
        </w:rPr>
        <w:t>محمد بن یحیی الخزاز ثقة</w:t>
      </w:r>
      <w:bookmarkEnd w:id="76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9" w:name="__RefHeading___Toc348136_2142443653"/>
      <w:bookmarkStart w:id="770" w:name="_Toc299"/>
      <w:bookmarkEnd w:id="769"/>
      <w:r>
        <w:rPr>
          <w:rtl w:val="true"/>
        </w:rPr>
        <w:t>بحث حول غیاث بن ابراهیم</w:t>
      </w:r>
      <w:bookmarkStart w:id="771" w:name="pg15037_163881"/>
      <w:bookmarkEnd w:id="770"/>
    </w:p>
    <w:p>
      <w:pPr>
        <w:pStyle w:val="BookText"/>
        <w:rPr/>
      </w:pPr>
      <w:bookmarkEnd w:id="771"/>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دلالة علی ما قاله السید المرتضی رحمه الله من جواز السجود علی المنسوج من القطن والکتان </w:t>
      </w:r>
      <w:r>
        <w:rPr>
          <w:rStyle w:val="FootnoteAnchor"/>
          <w:rtl w:val="true"/>
        </w:rPr>
        <w:footnoteReference w:id="1037"/>
      </w:r>
      <w:r>
        <w:rPr>
          <w:rFonts w:ascii="IRNazanin" w:hAnsi="IRNazanin" w:eastAsia="IRNazanin"/>
          <w:color w:val="111111"/>
          <w:sz w:val="28"/>
          <w:sz w:val="28"/>
          <w:szCs w:val="28"/>
          <w:rtl w:val="true"/>
          <w:lang w:bidi="fa-IR"/>
        </w:rPr>
        <w:t xml:space="preserve">، کما ذکره بعض الأصحاب </w:t>
      </w:r>
      <w:r>
        <w:rPr>
          <w:rStyle w:val="FootnoteAnchor"/>
          <w:rtl w:val="true"/>
        </w:rPr>
        <w:footnoteReference w:id="1038"/>
      </w:r>
      <w:r>
        <w:rPr>
          <w:rFonts w:ascii="IRNazanin" w:hAnsi="IRNazanin" w:eastAsia="IRNazanin"/>
          <w:color w:val="111111"/>
          <w:sz w:val="28"/>
          <w:sz w:val="28"/>
          <w:szCs w:val="28"/>
          <w:rtl w:val="true"/>
          <w:lang w:bidi="fa-IR"/>
        </w:rPr>
        <w:t xml:space="preserve">وإن کان فیه نوع تأمّل ، لاحتمال أن یراد بالنبات من نحو القنّب </w:t>
      </w:r>
      <w:r>
        <w:rPr>
          <w:rStyle w:val="FootnoteAnchor"/>
          <w:rtl w:val="true"/>
        </w:rPr>
        <w:footnoteReference w:id="1039"/>
      </w:r>
      <w:r>
        <w:rPr>
          <w:rFonts w:ascii="IRNazanin" w:hAnsi="IRNazanin" w:eastAsia="IRNazanin"/>
          <w:color w:val="111111"/>
          <w:sz w:val="28"/>
          <w:sz w:val="28"/>
          <w:szCs w:val="28"/>
          <w:rtl w:val="true"/>
          <w:lang w:bidi="fa-IR"/>
        </w:rPr>
        <w:t>الغیر المعتاد لبسه ، وعلی تقدیر العموم فالتخصیص ممکن لو تم الدلیل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فالتقیة فیه غیر خفیة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الخاء المعجمة وإسکان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سجّادة صغیرة تعمل من سعف النخل وترمل بالخیوط ، قاله فی الصحاح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السجود علی الثلج</w:t>
      </w:r>
    </w:p>
    <w:p>
      <w:pPr>
        <w:pStyle w:val="BookText"/>
        <w:rPr/>
      </w:pPr>
      <w:r>
        <w:rPr>
          <w:rFonts w:ascii="IRNazanin" w:hAnsi="IRNazanin" w:eastAsia="IRNazanin"/>
          <w:color w:val="111111"/>
          <w:sz w:val="28"/>
          <w:sz w:val="28"/>
          <w:szCs w:val="28"/>
          <w:rtl w:val="true"/>
          <w:lang w:bidi="fa-IR"/>
        </w:rPr>
        <w:t xml:space="preserve">أحمد بن محمّد ، 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السجود علی الثلج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تسجد فی </w:t>
      </w:r>
      <w:r>
        <w:rPr>
          <w:rStyle w:val="FootnoteAnchor"/>
          <w:rtl w:val="true"/>
        </w:rPr>
        <w:footnoteReference w:id="1041"/>
      </w:r>
      <w:r>
        <w:rPr>
          <w:rFonts w:ascii="IRNazanin" w:hAnsi="IRNazanin" w:eastAsia="IRNazanin"/>
          <w:color w:val="111111"/>
          <w:sz w:val="28"/>
          <w:sz w:val="28"/>
          <w:szCs w:val="28"/>
          <w:rtl w:val="true"/>
          <w:lang w:bidi="fa-IR"/>
        </w:rPr>
        <w:t xml:space="preserve">السبخة ولا علی الثلج </w:t>
      </w:r>
      <w:r>
        <w:rPr>
          <w:rFonts w:eastAsia="IRNazanin" w:cs="IRNazanin"/>
          <w:color w:val="111111"/>
          <w:sz w:val="28"/>
          <w:szCs w:val="28"/>
          <w:rtl w:val="true"/>
          <w:lang w:bidi="fa-IR"/>
        </w:rPr>
        <w:t>».</w:t>
      </w:r>
    </w:p>
    <w:p>
      <w:pPr>
        <w:pStyle w:val="Heading4"/>
        <w:numPr>
          <w:ilvl w:val="3"/>
          <w:numId w:val="1"/>
        </w:numPr>
        <w:rPr/>
      </w:pPr>
      <w:bookmarkStart w:id="772" w:name="__RefHeading___Toc348138_2142443653"/>
      <w:bookmarkStart w:id="773" w:name="_Toc300"/>
      <w:bookmarkEnd w:id="772"/>
      <w:r>
        <w:rPr>
          <w:rtl w:val="true"/>
        </w:rPr>
        <w:t>بیان ما دل علی جواز السجود علی شیء لیس علیه سائر البدن</w:t>
      </w:r>
      <w:bookmarkEnd w:id="773"/>
    </w:p>
    <w:p>
      <w:pPr>
        <w:pStyle w:val="Heading4"/>
        <w:numPr>
          <w:ilvl w:val="3"/>
          <w:numId w:val="1"/>
        </w:numPr>
        <w:rPr/>
      </w:pPr>
      <w:bookmarkStart w:id="774" w:name="__RefHeading___Toc348140_2142443653"/>
      <w:bookmarkStart w:id="775" w:name="_Toc301"/>
      <w:bookmarkEnd w:id="774"/>
      <w:r>
        <w:rPr>
          <w:rtl w:val="true"/>
        </w:rPr>
        <w:t>معنی الخُمرة</w:t>
      </w:r>
      <w:bookmarkEnd w:id="775"/>
    </w:p>
    <w:p>
      <w:pPr>
        <w:pStyle w:val="Heading3"/>
        <w:numPr>
          <w:ilvl w:val="2"/>
          <w:numId w:val="1"/>
        </w:numPr>
        <w:rPr/>
      </w:pPr>
      <w:bookmarkStart w:id="776" w:name="__RefHeading___Toc348142_2142443653"/>
      <w:bookmarkStart w:id="777" w:name="_Toc302"/>
      <w:bookmarkEnd w:id="776"/>
      <w:r>
        <w:rPr>
          <w:rtl w:val="true"/>
        </w:rPr>
        <w:t>السجود علی الثلج</w:t>
      </w:r>
      <w:bookmarkEnd w:id="77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8" w:name="__RefHeading___Toc348144_2142443653"/>
      <w:bookmarkStart w:id="779" w:name="_Toc303"/>
      <w:bookmarkEnd w:id="778"/>
      <w:r>
        <w:rPr>
          <w:rtl w:val="true"/>
        </w:rPr>
        <w:t>اشارة</w:t>
      </w:r>
      <w:bookmarkStart w:id="780" w:name="pg15037_163882"/>
      <w:bookmarkEnd w:id="779"/>
    </w:p>
    <w:p>
      <w:pPr>
        <w:pStyle w:val="BookText"/>
        <w:rPr/>
      </w:pPr>
      <w:bookmarkEnd w:id="780"/>
      <w:r>
        <w:rPr>
          <w:rFonts w:ascii="IRNazanin" w:hAnsi="IRNazanin" w:eastAsia="IRNazanin"/>
          <w:color w:val="111111"/>
          <w:sz w:val="28"/>
          <w:sz w:val="28"/>
          <w:szCs w:val="28"/>
          <w:rtl w:val="true"/>
          <w:lang w:bidi="fa-IR"/>
        </w:rPr>
        <w:t xml:space="preserve">فأمّا ما رواه أحمد بن محمّد ، عن داود الصرمی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أخرج فی هذا الوجه وربّما لم یکن موضع أصلّی فیه من الثلج فکیف أصنع؟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أمکنک أن لا تسجد علی الثلج فلا تسجد علیه ، وإن لم یمکنک فسوّه واسجد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حال الضرورة حسب ما قدمناه فی الخبر الأوّل ، وبیّنه أیضا </w:t>
      </w:r>
      <w:r>
        <w:rPr>
          <w:rStyle w:val="FootnoteAnchor"/>
          <w:rtl w:val="true"/>
        </w:rPr>
        <w:footnoteReference w:id="1042"/>
      </w:r>
      <w:r>
        <w:rPr>
          <w:rFonts w:ascii="IRNazanin" w:hAnsi="IRNazanin" w:eastAsia="IRNazanin"/>
          <w:color w:val="111111"/>
          <w:sz w:val="28"/>
          <w:sz w:val="28"/>
          <w:szCs w:val="28"/>
          <w:rtl w:val="true"/>
          <w:lang w:bidi="fa-IR"/>
        </w:rPr>
        <w:t>خبر منصور بن حازم ، وقد قدمناه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معمّر بن خلاّد ،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داود الصرمی ، وقد مضی عن قریب أنّه مهمل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یدل بمعونة ذکر السبخة علی الکراهة فی الثلج ؛ إذ المشهور بین الأصحاب المتأخرین الکراهة فی السبخة </w:t>
      </w:r>
      <w:r>
        <w:rPr>
          <w:rStyle w:val="FootnoteAnchor"/>
          <w:rtl w:val="true"/>
        </w:rPr>
        <w:footnoteReference w:id="1044"/>
      </w:r>
      <w:r>
        <w:rPr>
          <w:rFonts w:ascii="IRNazanin" w:hAnsi="IRNazanin" w:eastAsia="IRNazanin"/>
          <w:color w:val="111111"/>
          <w:sz w:val="28"/>
          <w:sz w:val="28"/>
          <w:szCs w:val="28"/>
          <w:rtl w:val="true"/>
          <w:lang w:bidi="fa-IR"/>
        </w:rPr>
        <w:t xml:space="preserve">، وإن کان یظهر من الصدوق فی الفقیه المنع من السبخة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الدال علی الجواز موثق سماعة فیما نقل </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أبی بصیر حین سأل عن کراهة الصلاة فی السبخة جاء الجواب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الجبهة</w:t>
      </w:r>
    </w:p>
    <w:p>
      <w:pPr>
        <w:pStyle w:val="Heading4"/>
        <w:numPr>
          <w:ilvl w:val="3"/>
          <w:numId w:val="1"/>
        </w:numPr>
        <w:rPr/>
      </w:pPr>
      <w:bookmarkStart w:id="781" w:name="__RefHeading___Toc348146_2142443653"/>
      <w:bookmarkStart w:id="782" w:name="_Toc304"/>
      <w:bookmarkEnd w:id="781"/>
      <w:r>
        <w:rPr>
          <w:rtl w:val="true"/>
        </w:rPr>
        <w:t>معمّر بن خلّاد ثقة</w:t>
      </w:r>
      <w:bookmarkEnd w:id="782"/>
    </w:p>
    <w:p>
      <w:pPr>
        <w:pStyle w:val="Heading4"/>
        <w:numPr>
          <w:ilvl w:val="3"/>
          <w:numId w:val="1"/>
        </w:numPr>
        <w:rPr/>
      </w:pPr>
      <w:bookmarkStart w:id="783" w:name="__RefHeading___Toc348148_2142443653"/>
      <w:bookmarkStart w:id="784" w:name="_Toc305"/>
      <w:bookmarkEnd w:id="783"/>
      <w:r>
        <w:rPr>
          <w:rtl w:val="true"/>
        </w:rPr>
        <w:t>داود الصرمی مهمل</w:t>
      </w:r>
      <w:bookmarkEnd w:id="78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5" w:name="__RefHeading___Toc348150_2142443653"/>
      <w:bookmarkStart w:id="786" w:name="_Toc306"/>
      <w:bookmarkEnd w:id="785"/>
      <w:r>
        <w:rPr>
          <w:rtl w:val="true"/>
        </w:rPr>
        <w:t>بیان ما دلّ علی النهی عن السجود علی الثلج والسبخة والجواز عند الضرورة</w:t>
      </w:r>
      <w:bookmarkEnd w:id="786"/>
    </w:p>
    <w:p>
      <w:pPr>
        <w:pStyle w:val="BookText"/>
        <w:rPr/>
      </w:pPr>
      <w:r>
        <w:rPr>
          <w:rFonts w:ascii="IRNazanin" w:hAnsi="IRNazanin" w:eastAsia="IRNazanin"/>
          <w:color w:val="111111"/>
          <w:sz w:val="28"/>
          <w:sz w:val="28"/>
          <w:szCs w:val="28"/>
          <w:rtl w:val="true"/>
          <w:lang w:bidi="fa-IR"/>
        </w:rPr>
        <w:t xml:space="preserve">لا تقع مستویة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البأس إذا کانت مستویة </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الأصل لا یخرج عنه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الخبر المبحوث عنه فالنهی فیه یقتضی التحریم ، وحینئذ یتّجه قول الصدوق إن لم یعمل بالموثق ، والعجب من عدم تعرض بعض محقّقی المعاصرین للخبر المذکور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حمل النهی علی الکراهة بعد التحریم فی الثلج لکن یقربه کونه مأکولا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من الضرورة له وجه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اعتقاده ، والخبر السابق عن منصور دل علی </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وضع القطن أو الکتان علیه ، وهو یقتضی أنّ الضرورة لو اندفعت بما ذکر فعل مقدما علی الثلج ، والشیخ هنا أطلق الحکم ، والأمر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القاموس السبخة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ومسکّنة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ذات نزّ وملح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bookmarkStart w:id="787" w:name="pg15037_163884"/>
    </w:p>
    <w:p>
      <w:pPr>
        <w:pStyle w:val="BookText"/>
        <w:rPr/>
      </w:pPr>
      <w:bookmarkEnd w:id="78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القنوت وأحکامه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رفع الیدین بالتکبیر إلی القنوت فی الصلوات الخمس</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بن یعقوب ، عن علی بن إبراهیم ، عن أبیه ، عن ابن أبی عمیر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التکبیر فی صلاة الفرض فی الخمس صلوات خمس وتسعون تکبیرة ، منها تکبیرة القنوت 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بن إبراهیم ، عن أبیه ، عن عبد الله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وفسرهنّ فی الظهر إحدی وعشرون تکبیرة ، وفی العصر إحدی وعشرون تکبیرة ، وفی المغرب ست عشرة تکبیرة ، وفی العشاء الآخرة إحدی وعشرون تکبیرة ، وفی الفجر إحدی عشرة تکبیرة </w:t>
      </w:r>
      <w:r>
        <w:rPr>
          <w:rStyle w:val="FootnoteAnchor"/>
          <w:rtl w:val="true"/>
        </w:rPr>
        <w:footnoteReference w:id="1051"/>
      </w:r>
      <w:r>
        <w:rPr>
          <w:rFonts w:ascii="IRNazanin" w:hAnsi="IRNazanin" w:eastAsia="IRNazanin"/>
          <w:color w:val="111111"/>
          <w:sz w:val="28"/>
          <w:sz w:val="28"/>
          <w:szCs w:val="28"/>
          <w:rtl w:val="true"/>
          <w:lang w:bidi="fa-IR"/>
        </w:rPr>
        <w:t>، وخمس تکبیرات فی القنوت فی خمس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 عن موسی بن عمر ، عن عبد الله بن المغیرة ، عن أبی الصباح المزنی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052"/>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وتسعون تکبیرة فی الیوم واللیلة للصلوات ، منها تکبیر القنوت </w:t>
      </w:r>
      <w:r>
        <w:rPr>
          <w:rFonts w:eastAsia="IRNazanin" w:cs="IRNazanin"/>
          <w:color w:val="111111"/>
          <w:sz w:val="28"/>
          <w:szCs w:val="28"/>
          <w:rtl w:val="true"/>
          <w:lang w:bidi="fa-IR"/>
        </w:rPr>
        <w:t>».</w:t>
      </w:r>
    </w:p>
    <w:p>
      <w:pPr>
        <w:pStyle w:val="Heading2"/>
        <w:numPr>
          <w:ilvl w:val="1"/>
          <w:numId w:val="1"/>
        </w:numPr>
        <w:rPr/>
      </w:pPr>
      <w:bookmarkStart w:id="788" w:name="__RefHeading___Toc348152_2142443653"/>
      <w:bookmarkStart w:id="789" w:name="_Toc307"/>
      <w:bookmarkEnd w:id="788"/>
      <w:r>
        <w:rPr>
          <w:rtl w:val="true"/>
        </w:rPr>
        <w:t>أبواب القنوت وأحکامه</w:t>
      </w:r>
      <w:bookmarkEnd w:id="789"/>
    </w:p>
    <w:p>
      <w:pPr>
        <w:pStyle w:val="Heading3"/>
        <w:numPr>
          <w:ilvl w:val="2"/>
          <w:numId w:val="1"/>
        </w:numPr>
        <w:rPr/>
      </w:pPr>
      <w:bookmarkStart w:id="790" w:name="__RefHeading___Toc348154_2142443653"/>
      <w:bookmarkStart w:id="791" w:name="_Toc308"/>
      <w:bookmarkEnd w:id="790"/>
      <w:r>
        <w:rPr>
          <w:rtl w:val="true"/>
        </w:rPr>
        <w:t>رفع الیدین بالتکبیر إلی القنوت فی الصلوات الخمس</w:t>
      </w:r>
      <w:bookmarkEnd w:id="79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2" w:name="__RefHeading___Toc348156_2142443653"/>
      <w:bookmarkStart w:id="793" w:name="_Toc309"/>
      <w:bookmarkEnd w:id="792"/>
      <w:r>
        <w:rPr>
          <w:rtl w:val="true"/>
        </w:rPr>
        <w:t>اشارة</w:t>
      </w:r>
      <w:bookmarkEnd w:id="793"/>
    </w:p>
    <w:p>
      <w:pPr>
        <w:pStyle w:val="BookText"/>
        <w:rPr/>
      </w:pP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الروایات التی ذکرناها ینبغی أن یکون العمل علیها ، وبها کان یفتی شیخنا المفید قدیما ، ثم عنّ له فی آخر عمره ترک العمل بها والعمل علی رفع الیدین بغیر تکبیر ، والقول الأوّل أولی ؛ لوجود الروایات بها ، وما عدا هذا لست أری </w:t>
      </w:r>
      <w:r>
        <w:rPr>
          <w:rStyle w:val="FootnoteAnchor"/>
          <w:rtl w:val="true"/>
        </w:rPr>
        <w:footnoteReference w:id="1053"/>
      </w:r>
      <w:r>
        <w:rPr>
          <w:rFonts w:ascii="IRNazanin" w:hAnsi="IRNazanin" w:eastAsia="IRNazanin"/>
          <w:color w:val="111111"/>
          <w:sz w:val="28"/>
          <w:sz w:val="28"/>
          <w:szCs w:val="28"/>
          <w:rtl w:val="true"/>
          <w:lang w:bidi="fa-IR"/>
        </w:rPr>
        <w:t xml:space="preserve">به حدیثا أصلا ، ولیس لأحد أن یتأوّل هذه الأخبار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 علی التسعین تکبیرة أحمله علی أنّه إذا نهض من التشهّد الأوّل إلی الثالثة یقوم بتکبیر ،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تتأوّل الأخبار ویترک ظواهرها إذا تعارضت وکان ینافی بعضها بعضا ، ولیس ها هنا ما ینافی هذه الروایات فلا یجوز العدول عن ظواهرها بضرب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کل الصلوات فیها نهوض من الثانیة إلی الثالثة وإنّما هو موجود فی أربع صلوات ، فلو کان المراد ذلک لکان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وتسعون 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المفصّل تضمن ذکر إحدی عشرة تکبیرة فی صلاة الغداة وتکبیرة بعد ذلک للقنوت مضافا إلیها ، فلو کان الأمر علی ما تأوّل علیه لکان التکبیر فیها إحدی عشرة تکبیرة فقط</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وردت روایات مفردة بأنّه ینبغی أن یقوم الإنسان من التشهد الأوّل إلی الثالثة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التکبیر ، فلو کان یجب القیام بالتکبیر لکان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ویقوم إلی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أنّهم لمّا ذکروا الرکوع والسجود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یکبّر </w:t>
      </w:r>
      <w:bookmarkStart w:id="794" w:name="pg15037_163886"/>
    </w:p>
    <w:p>
      <w:pPr>
        <w:pStyle w:val="BookText"/>
        <w:rPr/>
      </w:pPr>
      <w:bookmarkEnd w:id="794"/>
      <w:r>
        <w:rPr>
          <w:rFonts w:ascii="IRNazanin" w:hAnsi="IRNazanin" w:eastAsia="IRNazanin"/>
          <w:color w:val="111111"/>
          <w:sz w:val="28"/>
          <w:sz w:val="28"/>
          <w:szCs w:val="28"/>
          <w:rtl w:val="true"/>
          <w:lang w:bidi="fa-IR"/>
        </w:rPr>
        <w:t>ویرکع ویکبّر ویسجد ویرفع رأسه من السجود ویکبّر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ها هنا تکبیر لکان یقول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ذلک الحسین بن سعید ، عن حماد بن عیسی ، عن حریز ، عن محمّد بن مسلم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جلست فی الرکعتین الأوّلتین فتشهدت ثم قمت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وقوته أقوم وأقعد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فضالة ، عن رفاعة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علیه السلام إذا نهض من الرکعتین الأوّلتین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بحولک وقوتک أقوم وأقعد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فضالة ، عن سیف ، عن أبی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من الرکعتین </w:t>
      </w:r>
      <w:r>
        <w:rPr>
          <w:rStyle w:val="FootnoteAnchor"/>
          <w:rtl w:val="true"/>
        </w:rPr>
        <w:footnoteReference w:id="1054"/>
      </w:r>
      <w:r>
        <w:rPr>
          <w:rFonts w:ascii="IRNazanin" w:hAnsi="IRNazanin" w:eastAsia="IRNazanin"/>
          <w:color w:val="111111"/>
          <w:sz w:val="28"/>
          <w:sz w:val="28"/>
          <w:szCs w:val="28"/>
          <w:rtl w:val="true"/>
          <w:lang w:bidi="fa-IR"/>
        </w:rPr>
        <w:t xml:space="preserve">فاعتمد علی کفیک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وقوته أقوم وأقعد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علی قول النجاشی من عدم ذکر الوقف </w:t>
      </w:r>
      <w:r>
        <w:rPr>
          <w:rStyle w:val="FootnoteAnchor"/>
          <w:rtl w:val="true"/>
        </w:rPr>
        <w:footnoteReference w:id="1055"/>
      </w:r>
      <w:r>
        <w:rPr>
          <w:rFonts w:ascii="IRNazanin" w:hAnsi="IRNazanin" w:eastAsia="IRNazanin"/>
          <w:color w:val="111111"/>
          <w:sz w:val="28"/>
          <w:sz w:val="28"/>
          <w:szCs w:val="28"/>
          <w:rtl w:val="true"/>
          <w:lang w:bidi="fa-IR"/>
        </w:rPr>
        <w:t xml:space="preserve">، وموثق علی قول غیره </w:t>
      </w:r>
      <w:r>
        <w:rPr>
          <w:rStyle w:val="FootnoteAnchor"/>
          <w:rtl w:val="true"/>
        </w:rPr>
        <w:footnoteReference w:id="1056"/>
      </w:r>
      <w:r>
        <w:rPr>
          <w:rFonts w:ascii="IRNazanin" w:hAnsi="IRNazanin" w:eastAsia="IRNazanin"/>
          <w:color w:val="111111"/>
          <w:sz w:val="28"/>
          <w:sz w:val="28"/>
          <w:szCs w:val="28"/>
          <w:rtl w:val="true"/>
          <w:lang w:bidi="fa-IR"/>
        </w:rPr>
        <w:t xml:space="preserve">، وقد قدّمنا وجه ذلک </w:t>
      </w:r>
      <w:r>
        <w:rPr>
          <w:rStyle w:val="FootnoteAnchor"/>
          <w:rtl w:val="true"/>
        </w:rPr>
        <w:footnoteReference w:id="1057"/>
      </w:r>
      <w:r>
        <w:rPr>
          <w:rFonts w:ascii="IRNazanin" w:hAnsi="IRNazanin" w:eastAsia="IRNazanin"/>
          <w:color w:val="111111"/>
          <w:sz w:val="28"/>
          <w:sz w:val="28"/>
          <w:szCs w:val="28"/>
          <w:rtl w:val="true"/>
          <w:lang w:bidi="fa-IR"/>
        </w:rPr>
        <w:t xml:space="preserve">،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المدح فی بعض الرجال لا ینافی کون الخبر موثقا فی ظاهر کلام بعض الأصحاب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5" w:name="__RefHeading___Toc348158_2142443653"/>
      <w:bookmarkStart w:id="796" w:name="_Toc310"/>
      <w:bookmarkEnd w:id="795"/>
      <w:r>
        <w:rPr>
          <w:rtl w:val="true"/>
        </w:rPr>
        <w:t>أشارة إلی حال عبدالله بن المغیرة</w:t>
      </w:r>
      <w:bookmarkStart w:id="797" w:name="pg15037_163887"/>
      <w:bookmarkEnd w:id="796"/>
    </w:p>
    <w:p>
      <w:pPr>
        <w:pStyle w:val="BookText"/>
        <w:rPr/>
      </w:pPr>
      <w:bookmarkEnd w:id="797"/>
      <w:r>
        <w:rPr>
          <w:rFonts w:ascii="IRNazanin" w:hAnsi="IRNazanin" w:eastAsia="IRNazanin"/>
          <w:color w:val="111111"/>
          <w:sz w:val="28"/>
          <w:sz w:val="28"/>
          <w:szCs w:val="28"/>
          <w:rtl w:val="true"/>
          <w:lang w:bidi="fa-IR"/>
        </w:rPr>
        <w:t xml:space="preserve">ثم إنّ ظاهره الإسناد إلی غیر الإمام ، وغیر بعید أنّ المراد عین الروایة الاولی ، أعنی عن أبی عبد الله علیه السلام </w:t>
      </w:r>
      <w:r>
        <w:rPr>
          <w:rStyle w:val="FootnoteAnchor"/>
          <w:rtl w:val="true"/>
        </w:rPr>
        <w:footnoteReference w:id="1058"/>
      </w:r>
      <w:r>
        <w:rPr>
          <w:rFonts w:ascii="IRNazanin" w:hAnsi="IRNazanin" w:eastAsia="IRNazanin"/>
          <w:color w:val="111111"/>
          <w:sz w:val="28"/>
          <w:sz w:val="28"/>
          <w:szCs w:val="28"/>
          <w:rtl w:val="true"/>
          <w:lang w:bidi="fa-IR"/>
        </w:rPr>
        <w:t xml:space="preserve">أنّه علیه السلام فسّرهن ؛ إذ لو لا ذلک لکان التفسیر من عبد الله بن المغیرة فلا یفید حکما من جهة الروایة ، إلاّ بتقدیر کون التفسیر من عبد الله لأنّ الإمام علیه السلام فسّر ذلک له ، وفیه ما لا یخفی ؛ وفی التهذیب کما هنا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عمر ، وفیه اشتراک </w:t>
      </w:r>
      <w:r>
        <w:rPr>
          <w:rStyle w:val="FootnoteAnchor"/>
          <w:rtl w:val="true"/>
        </w:rPr>
        <w:footnoteReference w:id="1060"/>
      </w:r>
      <w:r>
        <w:rPr>
          <w:rFonts w:ascii="IRNazanin" w:hAnsi="IRNazanin" w:eastAsia="IRNazanin"/>
          <w:color w:val="111111"/>
          <w:sz w:val="28"/>
          <w:sz w:val="28"/>
          <w:szCs w:val="28"/>
          <w:rtl w:val="true"/>
          <w:lang w:bidi="fa-IR"/>
        </w:rPr>
        <w:t>بین ثقة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الصباح المزنی فی النسخة التی نقلت منها وهو مجهول ، لکن فی التهذیب الصباح المزنی </w:t>
      </w:r>
      <w:r>
        <w:rPr>
          <w:rStyle w:val="FootnoteAnchor"/>
          <w:rtl w:val="true"/>
        </w:rPr>
        <w:footnoteReference w:id="1061"/>
      </w:r>
      <w:r>
        <w:rPr>
          <w:rFonts w:ascii="IRNazanin" w:hAnsi="IRNazanin" w:eastAsia="IRNazanin"/>
          <w:color w:val="111111"/>
          <w:sz w:val="28"/>
          <w:sz w:val="28"/>
          <w:szCs w:val="28"/>
          <w:rtl w:val="true"/>
          <w:lang w:bidi="fa-IR"/>
        </w:rPr>
        <w:t xml:space="preserve">، والظاهر أنّه الصواب ؛ لأنّ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بن یحیی أبو محمّد المزنی ثقة فی النجاشی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الخلاصة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بن قیس بن یحیی المزنی أبو محمد کوفی زیدی قاله ابن الغضائری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فی حدیث أصحابنا ضعیف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أنّ العلاّمة توهّم کونه ابن قیس من ابن طاوس فی کتابه حیث نقل عن ابن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بن یحیی من ولد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أن قیسا أبوه ، لکن ابن طاوس قال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عدّه فی القسم الثانی من الخلاصة ، وقد قدّمنا </w:t>
      </w:r>
      <w:r>
        <w:rPr>
          <w:rStyle w:val="FootnoteAnchor"/>
          <w:rtl w:val="true"/>
        </w:rPr>
        <w:footnoteReference w:id="1064"/>
      </w:r>
      <w:r>
        <w:rPr>
          <w:rFonts w:ascii="IRNazanin" w:hAnsi="IRNazanin" w:eastAsia="IRNazanin"/>
          <w:color w:val="111111"/>
          <w:sz w:val="28"/>
          <w:sz w:val="28"/>
          <w:szCs w:val="28"/>
          <w:rtl w:val="true"/>
          <w:lang w:bidi="fa-IR"/>
        </w:rPr>
        <w:t>فی</w:t>
      </w:r>
    </w:p>
    <w:p>
      <w:pPr>
        <w:pStyle w:val="Heading4"/>
        <w:numPr>
          <w:ilvl w:val="3"/>
          <w:numId w:val="1"/>
        </w:numPr>
        <w:rPr/>
      </w:pPr>
      <w:bookmarkStart w:id="798" w:name="__RefHeading___Toc348160_2142443653"/>
      <w:bookmarkStart w:id="799" w:name="_Toc311"/>
      <w:bookmarkEnd w:id="798"/>
      <w:r>
        <w:rPr>
          <w:rtl w:val="true"/>
        </w:rPr>
        <w:t xml:space="preserve">بحث حول إسناد عبارة عبدالله بن المغیرة المبدوّة بقوله </w:t>
      </w:r>
      <w:r>
        <w:rPr>
          <w:rtl w:val="true"/>
        </w:rPr>
        <w:t xml:space="preserve">: </w:t>
      </w:r>
      <w:r>
        <w:rPr>
          <w:rtl w:val="true"/>
        </w:rPr>
        <w:t xml:space="preserve">وفسّرهنّ </w:t>
      </w:r>
      <w:r>
        <w:rPr>
          <w:rtl w:val="true"/>
        </w:rPr>
        <w:t xml:space="preserve">... </w:t>
      </w:r>
      <w:r>
        <w:rPr>
          <w:rtl w:val="true"/>
        </w:rPr>
        <w:t>، إلی الامام علیه السلام</w:t>
      </w:r>
      <w:bookmarkEnd w:id="799"/>
    </w:p>
    <w:p>
      <w:pPr>
        <w:pStyle w:val="Heading4"/>
        <w:numPr>
          <w:ilvl w:val="3"/>
          <w:numId w:val="1"/>
        </w:numPr>
        <w:rPr/>
      </w:pPr>
      <w:bookmarkStart w:id="800" w:name="__RefHeading___Toc348162_2142443653"/>
      <w:bookmarkStart w:id="801" w:name="_Toc312"/>
      <w:bookmarkEnd w:id="800"/>
      <w:r>
        <w:rPr>
          <w:rtl w:val="true"/>
        </w:rPr>
        <w:t>موسی بن عمر مشترک</w:t>
      </w:r>
      <w:bookmarkEnd w:id="80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2" w:name="__RefHeading___Toc348164_2142443653"/>
      <w:bookmarkStart w:id="803" w:name="_Toc313"/>
      <w:bookmarkEnd w:id="802"/>
      <w:r>
        <w:rPr>
          <w:rtl w:val="true"/>
        </w:rPr>
        <w:t>بحث حول الصباح المزنی</w:t>
      </w:r>
      <w:bookmarkStart w:id="804" w:name="pg15037_163888"/>
      <w:bookmarkEnd w:id="803"/>
    </w:p>
    <w:p>
      <w:pPr>
        <w:pStyle w:val="BookText"/>
        <w:rPr/>
      </w:pPr>
      <w:bookmarkEnd w:id="804"/>
      <w:r>
        <w:rPr>
          <w:rFonts w:ascii="IRNazanin" w:hAnsi="IRNazanin" w:eastAsia="IRNazanin"/>
          <w:color w:val="111111"/>
          <w:sz w:val="28"/>
          <w:sz w:val="28"/>
          <w:szCs w:val="28"/>
          <w:rtl w:val="true"/>
          <w:lang w:bidi="fa-IR"/>
        </w:rPr>
        <w:t xml:space="preserve">أوّل الکتاب أنّ الظاهر من العلاّمة الاعتماد علی قول ابن الغضائری ، وهذا من المواضع الدالة علی ذلک ؛ لأنّ ترجیح الجارح لا یتم لو لا قبول قوله ، وحینئذ فاللاّزم من هذا قبول قول ابن الغضائری علی تقدیر قبول قول العلاّمة فی الرجال ، فقول جماعة من مشایخنا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الغضائری مجهول الحال </w:t>
      </w:r>
      <w:r>
        <w:rPr>
          <w:rStyle w:val="FootnoteAnchor"/>
          <w:rtl w:val="true"/>
        </w:rPr>
        <w:footnoteReference w:id="1065"/>
      </w:r>
      <w:r>
        <w:rPr>
          <w:rFonts w:ascii="IRNazanin" w:hAnsi="IRNazanin" w:eastAsia="IRNazanin"/>
          <w:color w:val="111111"/>
          <w:sz w:val="28"/>
          <w:sz w:val="28"/>
          <w:szCs w:val="28"/>
          <w:rtl w:val="true"/>
          <w:lang w:bidi="fa-IR"/>
        </w:rPr>
        <w:t>، مع ما ذکرناه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التعجب من العلاّمة لا وجه له بعد الحکم بقبول قول ابن الغضائری ،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النجاشی وابن الغضائری کما یشهد به الاعتبار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کالخامس بعد ما قدّمناه </w:t>
      </w:r>
      <w:r>
        <w:rPr>
          <w:rStyle w:val="FootnoteAnchor"/>
          <w:rtl w:val="true"/>
        </w:rPr>
        <w:footnoteReference w:id="1066"/>
      </w:r>
      <w:r>
        <w:rPr>
          <w:rFonts w:ascii="IRNazanin" w:hAnsi="IRNazanin" w:eastAsia="IRNazanin"/>
          <w:color w:val="111111"/>
          <w:sz w:val="28"/>
          <w:sz w:val="28"/>
          <w:szCs w:val="28"/>
          <w:rtl w:val="true"/>
          <w:lang w:bidi="fa-IR"/>
        </w:rPr>
        <w:t>فی روایة الحسین عن فضالة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عمیرة ، وأبو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الحضرمی ؛ لکثرة مثل هذه الروایة ، والأوّل تقدم </w:t>
      </w:r>
      <w:r>
        <w:rPr>
          <w:rStyle w:val="FootnoteAnchor"/>
          <w:rtl w:val="true"/>
        </w:rPr>
        <w:footnoteReference w:id="1067"/>
      </w:r>
      <w:r>
        <w:rPr>
          <w:rFonts w:ascii="IRNazanin" w:hAnsi="IRNazanin" w:eastAsia="IRNazanin"/>
          <w:color w:val="111111"/>
          <w:sz w:val="28"/>
          <w:sz w:val="28"/>
          <w:szCs w:val="28"/>
          <w:rtl w:val="true"/>
          <w:lang w:bidi="fa-IR"/>
        </w:rPr>
        <w:t xml:space="preserve">أنّه ثقة ، وأنّ قول ابن شهرآشوب بالوقف فیه </w:t>
      </w:r>
      <w:r>
        <w:rPr>
          <w:rStyle w:val="FootnoteAnchor"/>
          <w:rtl w:val="true"/>
        </w:rPr>
        <w:footnoteReference w:id="1068"/>
      </w:r>
      <w:r>
        <w:rPr>
          <w:rFonts w:ascii="IRNazanin" w:hAnsi="IRNazanin" w:eastAsia="IRNazanin"/>
          <w:color w:val="111111"/>
          <w:sz w:val="28"/>
          <w:sz w:val="28"/>
          <w:szCs w:val="28"/>
          <w:rtl w:val="true"/>
          <w:lang w:bidi="fa-IR"/>
        </w:rPr>
        <w:t>موقوف علی العلم بحال الجارح ، والثانی لم یتحقّق حاله بمدح أو 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عدد التکبیرات وأنّ تکبیرات القنوت منها ، فیکون غیرها ما عدا الخمسة وتکبیرة الإحرام من غیرها ، فلا مجال</w:t>
      </w:r>
    </w:p>
    <w:p>
      <w:pPr>
        <w:pStyle w:val="Heading4"/>
        <w:numPr>
          <w:ilvl w:val="3"/>
          <w:numId w:val="1"/>
        </w:numPr>
        <w:rPr/>
      </w:pPr>
      <w:bookmarkStart w:id="805" w:name="__RefHeading___Toc348166_2142443653"/>
      <w:bookmarkStart w:id="806" w:name="_Toc314"/>
      <w:bookmarkEnd w:id="805"/>
      <w:r>
        <w:rPr>
          <w:rtl w:val="true"/>
        </w:rPr>
        <w:t>اشارة الی حال سیف بن عمیرة وابی بکر الحضرمی</w:t>
      </w:r>
      <w:bookmarkEnd w:id="80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7" w:name="__RefHeading___Toc348168_2142443653"/>
      <w:bookmarkStart w:id="808" w:name="_Toc315"/>
      <w:bookmarkEnd w:id="807"/>
      <w:r>
        <w:rPr>
          <w:rtl w:val="true"/>
        </w:rPr>
        <w:t>بیان ما دلّ علی عدد التکبیرات فی الصلوات الخمس</w:t>
      </w:r>
      <w:bookmarkEnd w:id="808"/>
    </w:p>
    <w:p>
      <w:pPr>
        <w:pStyle w:val="BookText"/>
        <w:rPr/>
      </w:pPr>
      <w:r>
        <w:rPr>
          <w:rFonts w:ascii="IRNazanin" w:hAnsi="IRNazanin" w:eastAsia="IRNazanin"/>
          <w:color w:val="111111"/>
          <w:sz w:val="28"/>
          <w:sz w:val="28"/>
          <w:szCs w:val="28"/>
          <w:rtl w:val="true"/>
          <w:lang w:bidi="fa-IR"/>
        </w:rPr>
        <w:t>لاحتمال کون التکبیر بعد التشهد منها بوجه من الوجوه ، إلاّ علی تقدیر وجود المعارض ، فیحتاج إلی التأویل المخالف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التفصیل ، غیر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وخمس تکبیرات فی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التکبیرات المذکورة غیر تکبیرات القنوت فی الظاهر ، لکن قوله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ظاهر الحال العود إلی الخمسة والتسعین ، وحینئذ یقتضی 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وخمس تکبیرات فی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من جملة الخمسة والتسعین فتکون تکبیرات الإحرام مسکوتا عنها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الشیخ تطویل من غیر طائل ؛ إذ لا ارتیاب فی أنّ إثبات الحکم الشرعی موقوف علی الدلیل ، والتکبیر بعد التشهد لا تدل الأخبار علیه بعد التصریح فی الأوّل بأنّ الخمسة والتسعین منها تکبیرات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فی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بعد التصریح بتکبیرات القنوت تکون تسعة وتسعین ، ولو أراد الشیخ أنّ تکبیرات القنوت غیر الخمسة والتسعین لیکون عدولا عن ظاهر الأخبار أمکن التوجیه بأنّ فی الصبح أحد عشر نظرا إلی تکبیرة الإحرام ، لکن لا یخفی أنّ البحث مع عدم المعارض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فی الوجه الرابع قد ینظر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المعارض إذا وجد لا مانع من التقیید ، کما یقید ما دل علی أنّ من قام إلی الثانیة أو الرابعة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ثبوت التکبیر بعد السجود ، فالأولی الاقتصار علی طلب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تضمنه الثالث فکالأوّل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 ومخالفة الخامس له فی الظاهر والمضمر </w:t>
      </w:r>
      <w:bookmarkStart w:id="809" w:name="pg15037_163890"/>
    </w:p>
    <w:p>
      <w:pPr>
        <w:pStyle w:val="BookText"/>
        <w:rPr/>
      </w:pPr>
      <w:bookmarkEnd w:id="809"/>
      <w:r>
        <w:rPr>
          <w:rFonts w:ascii="IRNazanin" w:hAnsi="IRNazanin" w:eastAsia="IRNazanin"/>
          <w:color w:val="111111"/>
          <w:sz w:val="28"/>
          <w:sz w:val="28"/>
          <w:szCs w:val="28"/>
          <w:rtl w:val="true"/>
          <w:lang w:bidi="fa-IR"/>
        </w:rPr>
        <w:t>یقتضی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دل علی الدعاء بعد القیام من السجود للثانیة والرابعة مختلف ، ففی بعض الأخبار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وقوته ، وفی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ربی بحولک وقوتک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شرّاح حدیث المخالفین أنّ الحول والقوة لا ترادف بینهما ، بل القوة معروفة ، والحول الاحتیال فی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السنّة فی القنوت</w:t>
      </w:r>
    </w:p>
    <w:p>
      <w:pPr>
        <w:pStyle w:val="BookText"/>
        <w:rPr/>
      </w:pPr>
      <w:r>
        <w:rPr>
          <w:rFonts w:ascii="IRNazanin" w:hAnsi="IRNazanin" w:eastAsia="IRNazanin"/>
          <w:color w:val="111111"/>
          <w:sz w:val="28"/>
          <w:sz w:val="28"/>
          <w:szCs w:val="28"/>
          <w:rtl w:val="true"/>
          <w:lang w:bidi="fa-IR"/>
        </w:rPr>
        <w:t xml:space="preserve">الحسین بن سعید ، عن ابن أبی نجران ، 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أبی عبد الله علیه السلام أیّاما ، وکان یقنت فی کل صلاة یجهر فیها أو لا یجهر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ابن أبی عمیر ، عن عمر بن أذینة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فی کل صلاة فی الرکعة الثانیة قبل الرکوع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صفوان وابن أبی عمیر ، عن عبد الله بن بکیر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القنوت فی الصلوات الخمس جمیعا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اقنت فیهنّ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أبا عبد الله علیه السلام بعد </w:t>
      </w:r>
      <w:r>
        <w:rPr>
          <w:rStyle w:val="FootnoteAnchor"/>
          <w:rtl w:val="true"/>
        </w:rPr>
        <w:footnoteReference w:id="1069"/>
      </w:r>
      <w:r>
        <w:rPr>
          <w:rFonts w:ascii="IRNazanin" w:hAnsi="IRNazanin" w:eastAsia="IRNazanin"/>
          <w:color w:val="111111"/>
          <w:sz w:val="28"/>
          <w:sz w:val="28"/>
          <w:szCs w:val="28"/>
          <w:rtl w:val="true"/>
          <w:lang w:bidi="fa-IR"/>
        </w:rPr>
        <w:t xml:space="preserve">ذلک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جهرت فیه فلا تشک </w:t>
      </w:r>
      <w:r>
        <w:rPr>
          <w:rFonts w:eastAsia="IRNazanin" w:cs="IRNazanin"/>
          <w:color w:val="111111"/>
          <w:sz w:val="28"/>
          <w:szCs w:val="28"/>
          <w:rtl w:val="true"/>
          <w:lang w:bidi="fa-IR"/>
        </w:rPr>
        <w:t>».</w:t>
      </w:r>
    </w:p>
    <w:p>
      <w:pPr>
        <w:pStyle w:val="Heading4"/>
        <w:numPr>
          <w:ilvl w:val="3"/>
          <w:numId w:val="1"/>
        </w:numPr>
        <w:rPr/>
      </w:pPr>
      <w:bookmarkStart w:id="810" w:name="__RefHeading___Toc348170_2142443653"/>
      <w:bookmarkStart w:id="811" w:name="_Toc316"/>
      <w:bookmarkEnd w:id="810"/>
      <w:r>
        <w:rPr>
          <w:rtl w:val="true"/>
        </w:rPr>
        <w:t>معنی الحول والقوّة</w:t>
      </w:r>
      <w:bookmarkEnd w:id="811"/>
    </w:p>
    <w:p>
      <w:pPr>
        <w:pStyle w:val="Heading3"/>
        <w:numPr>
          <w:ilvl w:val="2"/>
          <w:numId w:val="1"/>
        </w:numPr>
        <w:rPr/>
      </w:pPr>
      <w:bookmarkStart w:id="812" w:name="__RefHeading___Toc348172_2142443653"/>
      <w:bookmarkStart w:id="813" w:name="_Toc317"/>
      <w:bookmarkEnd w:id="812"/>
      <w:r>
        <w:rPr>
          <w:rtl w:val="true"/>
        </w:rPr>
        <w:t>السنّة فی القنوت</w:t>
      </w:r>
      <w:bookmarkEnd w:id="81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4" w:name="__RefHeading___Toc348174_2142443653"/>
      <w:bookmarkStart w:id="815" w:name="_Toc318"/>
      <w:bookmarkEnd w:id="814"/>
      <w:r>
        <w:rPr>
          <w:rtl w:val="true"/>
        </w:rPr>
        <w:t>اشارة</w:t>
      </w:r>
      <w:bookmarkEnd w:id="815"/>
    </w:p>
    <w:p>
      <w:pPr>
        <w:pStyle w:val="BookText"/>
        <w:rPr/>
      </w:pPr>
      <w:r>
        <w:rPr>
          <w:rFonts w:ascii="IRNazanin" w:hAnsi="IRNazanin" w:eastAsia="IRNazanin"/>
          <w:color w:val="111111"/>
          <w:sz w:val="28"/>
          <w:sz w:val="28"/>
          <w:szCs w:val="28"/>
          <w:rtl w:val="true"/>
          <w:lang w:bidi="fa-IR"/>
        </w:rPr>
        <w:t xml:space="preserve">عنه ، عن فضالة ، عن ابن مسکان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فی المغرب فی الرکعة الثانیة ، وفی العشاء والغداة مثل ذلک ، وفی الوتر فی الرکعة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الحسن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القنوت فی أیّ صلاة هو؟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تجهر </w:t>
      </w:r>
      <w:r>
        <w:rPr>
          <w:rStyle w:val="FootnoteAnchor"/>
          <w:rtl w:val="true"/>
        </w:rPr>
        <w:footnoteReference w:id="1070"/>
      </w:r>
      <w:r>
        <w:rPr>
          <w:rFonts w:ascii="IRNazanin" w:hAnsi="IRNazanin" w:eastAsia="IRNazanin"/>
          <w:color w:val="111111"/>
          <w:sz w:val="28"/>
          <w:sz w:val="28"/>
          <w:szCs w:val="28"/>
          <w:rtl w:val="true"/>
          <w:lang w:bidi="fa-IR"/>
        </w:rPr>
        <w:t xml:space="preserve">فیه بالقراءة فیه قنوت ، والقنوت قبل الرکوع وبعد 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 عن علی بن الحکم ، عن أبی أیوب الخزاز ، عن أبی بصیر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القنوت فی الجمعة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الرکعة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حدّثنا بعض أصحابک 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غفلة الناس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محمّد فی الاولی والأخیرة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بصیر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الرکوع </w:t>
      </w:r>
      <w:r>
        <w:rPr>
          <w:rStyle w:val="FootnoteAnchor"/>
          <w:rtl w:val="true"/>
        </w:rPr>
        <w:footnoteReference w:id="1071"/>
      </w:r>
      <w:r>
        <w:rPr>
          <w:rFonts w:ascii="IRNazanin" w:hAnsi="IRNazanin" w:eastAsia="IRNazanin"/>
          <w:color w:val="111111"/>
          <w:sz w:val="28"/>
          <w:sz w:val="28"/>
          <w:szCs w:val="28"/>
          <w:rtl w:val="true"/>
          <w:lang w:bidi="fa-IR"/>
        </w:rPr>
        <w:t xml:space="preserve">أو بعده؟ فقال له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قنوت قبل الرکوع إلاّ الجمعة ، فإنّ الرکعة الأولی فیها قبل الرکوع والأخیرة بعد الرکوع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ابن أذینة ، عن وهب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فی الجمعة والعشاء والعتمة والوتر والغداة ، فمن ترک القنوت رغبة </w:t>
      </w:r>
      <w:r>
        <w:rPr>
          <w:rStyle w:val="FootnoteAnchor"/>
          <w:rtl w:val="true"/>
        </w:rPr>
        <w:footnoteReference w:id="1072"/>
      </w:r>
      <w:r>
        <w:rPr>
          <w:rFonts w:ascii="Amiri" w:hAnsi="Amiri" w:eastAsia="Amiri" w:cs="Amiri"/>
          <w:color w:val="111111"/>
          <w:sz w:val="28"/>
          <w:sz w:val="28"/>
          <w:szCs w:val="28"/>
          <w:rtl w:val="true"/>
          <w:lang w:bidi="ar-SA"/>
        </w:rPr>
        <w:t xml:space="preserve">فلا صلاة له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الحسن بن علی بن فضّال ، عن عبد الله بن بکیر ، عن 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فی کل رکعتین </w:t>
      </w:r>
      <w:bookmarkStart w:id="816" w:name="pg15037_163892"/>
    </w:p>
    <w:p>
      <w:pPr>
        <w:pStyle w:val="BookText"/>
        <w:rPr/>
      </w:pPr>
      <w:bookmarkEnd w:id="816"/>
      <w:r>
        <w:rPr>
          <w:rFonts w:ascii="IRNazanin" w:hAnsi="IRNazanin" w:eastAsia="IRNazanin"/>
          <w:color w:val="111111"/>
          <w:sz w:val="28"/>
          <w:sz w:val="28"/>
          <w:szCs w:val="28"/>
          <w:rtl w:val="true"/>
          <w:lang w:bidi="fa-IR"/>
        </w:rPr>
        <w:t xml:space="preserve">من التطوع أو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عبد الله بن بکیر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فی کل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لأبی عبد الله علیه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لا شک فیه ما </w:t>
      </w:r>
      <w:r>
        <w:rPr>
          <w:rStyle w:val="FootnoteAnchor"/>
          <w:rtl w:val="true"/>
        </w:rPr>
        <w:footnoteReference w:id="1073"/>
      </w:r>
      <w:r>
        <w:rPr>
          <w:rFonts w:ascii="IRNazanin" w:hAnsi="IRNazanin" w:eastAsia="IRNazanin"/>
          <w:color w:val="111111"/>
          <w:sz w:val="28"/>
          <w:sz w:val="28"/>
          <w:szCs w:val="28"/>
          <w:rtl w:val="true"/>
          <w:lang w:bidi="fa-IR"/>
        </w:rPr>
        <w:t xml:space="preserve">جهر فیها بالقراءة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 کالثانی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بعبد الله بن بکیر علی ما مضی القول فیه </w:t>
      </w:r>
      <w:r>
        <w:rPr>
          <w:rStyle w:val="FootnoteAnchor"/>
          <w:rtl w:val="true"/>
        </w:rPr>
        <w:footnoteReference w:id="1074"/>
      </w:r>
      <w:r>
        <w:rPr>
          <w:rFonts w:ascii="IRNazanin" w:hAnsi="IRNazanin" w:eastAsia="IRNazanin"/>
          <w:color w:val="111111"/>
          <w:sz w:val="28"/>
          <w:sz w:val="28"/>
          <w:szCs w:val="28"/>
          <w:rtl w:val="true"/>
          <w:lang w:bidi="fa-IR"/>
        </w:rPr>
        <w:t>، غیر أنّه ینبغی أن یعلم أنّ ظاهر السند روایة الحسین بن سعید عن ابن أبی عمیر وصفوان ، والأوّل یروی فیه الحسین بن سعید عن ابن أبی نجران عن صفوان ، ولا مانع منه ؛ لجواز الروایة بواسطة تارة وبعدمها اخری ، کما فی ابن أبی عمیر ، فإنّ الحسین بن سعید یروی عنه وأحمد بن محمّد بن عیسی یروی عنه مع أنّ أحمد بن محمّد بن عیسی یروی عن الحسین بن سعید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الوالد قدس سره یرتاب فی مثل هذا </w:t>
      </w:r>
      <w:r>
        <w:rPr>
          <w:rStyle w:val="FootnoteAnchor"/>
          <w:rtl w:val="true"/>
        </w:rPr>
        <w:footnoteReference w:id="1075"/>
      </w:r>
      <w:r>
        <w:rPr>
          <w:rFonts w:ascii="IRNazanin" w:hAnsi="IRNazanin" w:eastAsia="IRNazanin"/>
          <w:color w:val="111111"/>
          <w:sz w:val="28"/>
          <w:sz w:val="28"/>
          <w:szCs w:val="28"/>
          <w:rtl w:val="true"/>
          <w:lang w:bidi="fa-IR"/>
        </w:rPr>
        <w:t>، ودفعه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روایة ابن مسکان عن أبی عبد الله ، وقد ذکرنا فیما مضی قول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مسکان لم یرو عن الصادق علیه السلام إلاّ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أدرک المشعر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وجود کثیر من الروایات بخلاف ذلک </w:t>
      </w:r>
      <w:r>
        <w:rPr>
          <w:rStyle w:val="FootnoteAnchor"/>
          <w:rtl w:val="true"/>
        </w:rPr>
        <w:footnoteReference w:id="1076"/>
      </w:r>
      <w:r>
        <w:rPr>
          <w:rFonts w:ascii="IRNazanin" w:hAnsi="IRNazanin" w:eastAsia="IRNazanin"/>
          <w:color w:val="111111"/>
          <w:sz w:val="28"/>
          <w:sz w:val="28"/>
          <w:szCs w:val="28"/>
          <w:rtl w:val="true"/>
          <w:lang w:bidi="fa-IR"/>
        </w:rPr>
        <w:t>، وهذا من</w:t>
      </w:r>
    </w:p>
    <w:p>
      <w:pPr>
        <w:pStyle w:val="Heading4"/>
        <w:numPr>
          <w:ilvl w:val="3"/>
          <w:numId w:val="1"/>
        </w:numPr>
        <w:rPr/>
      </w:pPr>
      <w:bookmarkStart w:id="817" w:name="__RefHeading___Toc348176_2142443653"/>
      <w:bookmarkStart w:id="818" w:name="_Toc319"/>
      <w:bookmarkEnd w:id="817"/>
      <w:r>
        <w:rPr>
          <w:rtl w:val="true"/>
        </w:rPr>
        <w:t>إشارة حال عبدالله بن بکیر</w:t>
      </w:r>
      <w:bookmarkEnd w:id="818"/>
    </w:p>
    <w:p>
      <w:pPr>
        <w:pStyle w:val="Heading4"/>
        <w:numPr>
          <w:ilvl w:val="3"/>
          <w:numId w:val="1"/>
        </w:numPr>
        <w:rPr/>
      </w:pPr>
      <w:bookmarkStart w:id="819" w:name="__RefHeading___Toc348178_2142443653"/>
      <w:bookmarkStart w:id="820" w:name="_Toc320"/>
      <w:bookmarkEnd w:id="819"/>
      <w:r>
        <w:rPr>
          <w:rtl w:val="true"/>
        </w:rPr>
        <w:t>کلمة حول روایة الحسین بن سعید عن صفوان</w:t>
      </w:r>
      <w:bookmarkEnd w:id="82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1" w:name="__RefHeading___Toc348180_2142443653"/>
      <w:bookmarkStart w:id="822" w:name="_Toc321"/>
      <w:bookmarkEnd w:id="821"/>
      <w:r>
        <w:rPr>
          <w:rtl w:val="true"/>
        </w:rPr>
        <w:t xml:space="preserve">بحث حول ما قیل </w:t>
      </w:r>
      <w:r>
        <w:rPr>
          <w:rtl w:val="true"/>
        </w:rPr>
        <w:t xml:space="preserve">: </w:t>
      </w:r>
      <w:r>
        <w:rPr>
          <w:rtl w:val="true"/>
        </w:rPr>
        <w:t>إنّ عبدالله بن مسکان لم یرو عن أبی عبدالله علیه السلام إلّا حدیثاً واحداً</w:t>
      </w:r>
      <w:bookmarkStart w:id="823" w:name="pg15037_163893"/>
      <w:bookmarkEnd w:id="822"/>
    </w:p>
    <w:p>
      <w:pPr>
        <w:pStyle w:val="BookText"/>
        <w:rPr/>
      </w:pPr>
      <w:bookmarkEnd w:id="823"/>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الکشی فی عبد الله بن مسکان ، ومعلومیة أنّ ابن مسکان هو عبد الله هنا لا دلیل علیها ؛ إذ لم یذکر فی الرجال فضالة راویا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 أنّ ابن مسکان غیر عبد الله المذکور فی الرجال وهو الحسین ومحمّد ، بعیدان عن الإطلاق ، وإن کان باب الاحتمال واسعا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مرتبة فضالة مرتبة ابن أبی عمیر الراوی عن عبد الله بن مسکان فی الرجال </w:t>
      </w:r>
      <w:r>
        <w:rPr>
          <w:rStyle w:val="FootnoteAnchor"/>
          <w:rtl w:val="true"/>
        </w:rPr>
        <w:footnoteReference w:id="1077"/>
      </w:r>
      <w:r>
        <w:rPr>
          <w:rFonts w:ascii="IRNazanin" w:hAnsi="IRNazanin" w:eastAsia="IRNazanin"/>
          <w:color w:val="111111"/>
          <w:sz w:val="28"/>
          <w:sz w:val="28"/>
          <w:szCs w:val="28"/>
          <w:rtl w:val="true"/>
          <w:lang w:bidi="fa-IR"/>
        </w:rPr>
        <w:t>، والمذکوران غیر معلومی المرتبة ، فاحتمالهما لا یمکن نفیه ولا إثباته إلاّ من حیث احتمال التبادر ، حیث ینتفی القرائن المذکورة سابقا کروایته عن الحلبی وأشباه ذلک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فیه ابن سعید ؛ لما تقدم من أنّ الحسین یروی عن زرعة بواسطة أخیه الحسن </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وسماعة تکرر القول فیه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الحکم بتقدیر الاشتراک هو الثقة ؛ لروایة أحمد بن محمّد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یستفاد من الرجال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یظن صحة الخبر فی الجملة من حیث 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الحاکی أبو أیوب ، فیکون سامعا لکلّ ما قاله أبو عبد الله علیه السلام لا بالنقل عن أبی بصیر ، وحینئذ یتم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مانع من الروایة عن أبی بصیر ، والإثبات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p>
    <w:p>
      <w:pPr>
        <w:pStyle w:val="Heading4"/>
        <w:numPr>
          <w:ilvl w:val="3"/>
          <w:numId w:val="1"/>
        </w:numPr>
        <w:rPr/>
      </w:pPr>
      <w:bookmarkStart w:id="824" w:name="__RefHeading___Toc348182_2142443653"/>
      <w:bookmarkStart w:id="825" w:name="_Toc322"/>
      <w:bookmarkEnd w:id="824"/>
      <w:r>
        <w:rPr>
          <w:rtl w:val="true"/>
        </w:rPr>
        <w:t>تمییز علی بن الحکم</w:t>
      </w:r>
      <w:bookmarkEnd w:id="82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6" w:name="__RefHeading___Toc348184_2142443653"/>
      <w:bookmarkStart w:id="827" w:name="_Toc323"/>
      <w:bookmarkEnd w:id="826"/>
      <w:r>
        <w:rPr>
          <w:rtl w:val="true"/>
        </w:rPr>
        <w:t>توضیح حول روایة أبی أیوب الخزاز عن أبی بصیر</w:t>
      </w:r>
      <w:bookmarkStart w:id="828" w:name="pg15037_163894"/>
      <w:bookmarkEnd w:id="827"/>
    </w:p>
    <w:p>
      <w:pPr>
        <w:pStyle w:val="BookText"/>
        <w:rPr/>
      </w:pPr>
      <w:bookmarkEnd w:id="828"/>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علی أن یکون أبو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أیوب أتی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الظن أنّ الوالد قدس سره ذکر ذلک فی المنتقی ، لکن لم یحضرنی الآن وقد خطر فی البال ، والجواب کما سمعته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الحاکی أبو بصیر سهل الأمر علی ما یستفاد من الرجال ، فإنّه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وأبو بصیر ، ویجوز المغایرة لکنها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وهب وهو مشترک ؛ إذ فی الرجال وهب بن عبد الرحمن من أصحاب الصادق علیه السلام فی کتاب الشیخ مهملا </w:t>
      </w:r>
      <w:r>
        <w:rPr>
          <w:rStyle w:val="FootnoteAnchor"/>
          <w:rtl w:val="true"/>
        </w:rPr>
        <w:footnoteReference w:id="1081"/>
      </w:r>
      <w:r>
        <w:rPr>
          <w:rFonts w:ascii="IRNazanin" w:hAnsi="IRNazanin" w:eastAsia="IRNazanin"/>
          <w:color w:val="111111"/>
          <w:sz w:val="28"/>
          <w:sz w:val="28"/>
          <w:szCs w:val="28"/>
          <w:rtl w:val="true"/>
          <w:lang w:bidi="fa-IR"/>
        </w:rPr>
        <w:t xml:space="preserve">، ووهب ابن عبد ربه الثقة ، ووهب بن وهب العامی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علی ما مضی فی الحسن </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بکیر تقدم القول فیه أیضا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تضمّنته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من أحمد بن محمّد بن عیسی فیکون موثقا ، ویحتمل أن یکون من الشیخ فیکون مرسلا ، لکن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أن یکون من الشیخ ، إذ لا یروی عنه أحمد بن محمّد بن عیسی إلاّ أن یکون علی سبیل الإرسال من أحمد ، ویحتمل أن یکون من الحسن عن ابن بکیر ، فیکون ابن بکیر حکی عن زرارة وحکی عن محمّد بن مسلم ، ولا بعد فی روایة ابن بکیر</w:t>
      </w:r>
    </w:p>
    <w:p>
      <w:pPr>
        <w:pStyle w:val="Heading4"/>
        <w:numPr>
          <w:ilvl w:val="3"/>
          <w:numId w:val="1"/>
        </w:numPr>
        <w:rPr/>
      </w:pPr>
      <w:bookmarkStart w:id="829" w:name="__RefHeading___Toc348186_2142443653"/>
      <w:bookmarkStart w:id="830" w:name="_Toc324"/>
      <w:bookmarkEnd w:id="829"/>
      <w:r>
        <w:rPr>
          <w:rtl w:val="true"/>
        </w:rPr>
        <w:t>وهب مشترک بین مهمل وثقة وعامی</w:t>
      </w:r>
      <w:bookmarkEnd w:id="83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1" w:name="__RefHeading___Toc348188_2142443653"/>
      <w:bookmarkStart w:id="832" w:name="_Toc325"/>
      <w:bookmarkEnd w:id="831"/>
      <w:r>
        <w:rPr>
          <w:rtl w:val="true"/>
        </w:rPr>
        <w:t xml:space="preserve">توضیح عبارة </w:t>
      </w:r>
      <w:r>
        <w:rPr>
          <w:rtl w:val="true"/>
        </w:rPr>
        <w:t xml:space="preserve">: </w:t>
      </w:r>
      <w:r>
        <w:rPr>
          <w:rtl w:val="true"/>
        </w:rPr>
        <w:t>قال الحسن ، فی ذیل روایة محمد بن مسلم</w:t>
      </w:r>
      <w:bookmarkStart w:id="833" w:name="pg15037_163895"/>
      <w:bookmarkEnd w:id="832"/>
    </w:p>
    <w:p>
      <w:pPr>
        <w:pStyle w:val="BookText"/>
        <w:rPr/>
      </w:pPr>
      <w:bookmarkEnd w:id="833"/>
      <w:r>
        <w:rPr>
          <w:rFonts w:ascii="IRNazanin" w:hAnsi="IRNazanin" w:eastAsia="IRNazanin"/>
          <w:color w:val="111111"/>
          <w:sz w:val="28"/>
          <w:sz w:val="28"/>
          <w:szCs w:val="28"/>
          <w:rtl w:val="true"/>
          <w:lang w:bidi="fa-IR"/>
        </w:rPr>
        <w:t xml:space="preserve">عن محمّد بن مسلم کما مضی فی الثالث ، وعلی کل حال المجزوم بکونه موثقا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الثالث یدل علی أنّ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مقول عبد الله بن بکیر فیکون موثقا بلا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أنّه من أحمد بن محمّد بن عیسی أو من غیره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عند علمائنا استحباب القنوت ، 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ترکه معتمدا بطلت صلاته وعلیه الإعادة ، ومن ترکه ناسیا لم یکن علیه شی‌ء ، وقال أبو جعفر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سنّة واجبة ، من ترکها متعمدا فی کل صلاة فلا صلاة له </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بعض الأصحاب عن ابن أبی عقیل الوجوب فی الجهریة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الوجوب ، والتأسّی یعطی الاستحباب فی کل صلاة جهریة أو إخفاتیة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شک فی رجحانه وإنّما الخلاف فی وجوبه واستحبابه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محتمل لأن یراد الإخبار عن رجحان القنوت فی کل صلاة علی سبیل الاستحباب أو الوجوب ، ویحتمل أن یراد الإخبار عن محله مع غیر نظر إلی الرجحان والوجوب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الاحتمال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دالّ</w:t>
      </w:r>
    </w:p>
    <w:p>
      <w:pPr>
        <w:pStyle w:val="Heading4"/>
        <w:numPr>
          <w:ilvl w:val="3"/>
          <w:numId w:val="1"/>
        </w:numPr>
        <w:rPr/>
      </w:pPr>
      <w:bookmarkStart w:id="834" w:name="__RefHeading___Toc348190_2142443653"/>
      <w:bookmarkStart w:id="835" w:name="_Toc326"/>
      <w:bookmarkEnd w:id="834"/>
      <w:r>
        <w:rPr>
          <w:rtl w:val="true"/>
        </w:rPr>
        <w:t>اختلاف العلماء فی وجوب القنوت واستحبابه</w:t>
      </w:r>
      <w:bookmarkEnd w:id="83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6" w:name="__RefHeading___Toc348192_2142443653"/>
      <w:bookmarkStart w:id="837" w:name="_Toc327"/>
      <w:bookmarkEnd w:id="836"/>
      <w:r>
        <w:rPr>
          <w:rtl w:val="true"/>
        </w:rPr>
        <w:t>بیان ما دل علی رجحان القنوت</w:t>
      </w:r>
      <w:bookmarkStart w:id="838" w:name="pg15037_163896"/>
      <w:bookmarkEnd w:id="837"/>
    </w:p>
    <w:p>
      <w:pPr>
        <w:pStyle w:val="BookText"/>
        <w:rPr/>
      </w:pPr>
      <w:bookmarkEnd w:id="838"/>
      <w:r>
        <w:rPr>
          <w:rFonts w:ascii="IRNazanin" w:hAnsi="IRNazanin" w:eastAsia="IRNazanin"/>
          <w:color w:val="111111"/>
          <w:sz w:val="28"/>
          <w:sz w:val="28"/>
          <w:szCs w:val="28"/>
          <w:rtl w:val="true"/>
          <w:lang w:bidi="fa-IR"/>
        </w:rPr>
        <w:t>علی الوجوب بفحواه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یدل علی الوجوب بناء علی القول بذلک فی الأمر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جهرت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أظن أنّ المراد به نفی الشک بالنسبة إلی أهل الخلاف ؛ لما یأتی فی روایة أبی بصیر </w:t>
      </w:r>
      <w:r>
        <w:rPr>
          <w:rStyle w:val="FootnoteAnchor"/>
          <w:rtl w:val="true"/>
        </w:rPr>
        <w:footnoteReference w:id="1088"/>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أتونی شکاکا فأخبرتهم بالتقیة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علی تقدیر العمل بالخبر الآتی ، وبدونه یمکن أن یستفاد الاستدلال بالخبر المبحوث عنه علی قول ابن أبی عقیل المنقول من اختصاص الوجوب بالجهریة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أنّ نفی الشک فی الجهریة یقتضی الشک فی الوجوب فی الإخفاتیة ، والحال أنّ القائل بالجهریة جازم بالاستحباب فی غیرها ، فتمام الشک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الشک فی الوجوب کما یتحقق نفیه بالشک فی الوجوب یتحقق بالاستحباب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الوجوب یقتضی نفی الوجوب ، والاستحباب یتحقق حینئذ بالدلیل من الأخبار مع الشهرة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ذکره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عند القائل بوجوب القنوت فی الجهریة محمول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الشک </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 xml:space="preserve">فی وجوبه ، إذ لا یمکن حمله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 xml:space="preserve">الشک فی استحبابه ، لاقتضائه بمعونة المقام وذکر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التفصیلیة عدم استحباب القنوت فی الإخفاتیة ، وهو خلاف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خبیر بأنّ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9" w:name="__RefHeading___Toc348194_2142443653"/>
      <w:bookmarkStart w:id="840" w:name="_Toc328"/>
      <w:bookmarkEnd w:id="839"/>
      <w:r>
        <w:rPr>
          <w:rtl w:val="true"/>
        </w:rPr>
        <w:t>بیان ما دل علی وجوب القنوت فی الجهریة أو مطلقاً</w:t>
      </w:r>
      <w:bookmarkEnd w:id="840"/>
    </w:p>
    <w:p>
      <w:pPr>
        <w:pStyle w:val="BookText"/>
        <w:rPr/>
      </w:pPr>
      <w:r>
        <w:rPr>
          <w:rFonts w:ascii="IRNazanin" w:hAnsi="IRNazanin" w:eastAsia="IRNazanin"/>
          <w:color w:val="111111"/>
          <w:sz w:val="28"/>
          <w:sz w:val="28"/>
          <w:szCs w:val="28"/>
          <w:rtl w:val="true"/>
          <w:lang w:bidi="fa-IR"/>
        </w:rPr>
        <w:t xml:space="preserve">الحمل علی النهی عن الشک فی تأکّد الاستحباب لا محذور فیه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أنّ ذکر الشک من الإمام علیه السلام لو لا الحمل علی التقیة لا یخلو من غموض ، فإنّ أحکامهم علیهم السلام صادرة عن الوحی ، فربما یتأیّد الحمل علی التقیة ، غایة الأمر أنّ المعروف من أهل الخلاف خلاف ذلک ، وهذا لا یضرّ بالحال ؛ لاختلافهم فی المقام کما یظهر من آثارهم </w:t>
      </w:r>
      <w:r>
        <w:rPr>
          <w:rStyle w:val="FootnoteAnchor"/>
          <w:rtl w:val="true"/>
        </w:rPr>
        <w:footnoteReference w:id="1092"/>
      </w:r>
      <w:r>
        <w:rPr>
          <w:rFonts w:ascii="IRNazanin" w:hAnsi="IRNazanin" w:eastAsia="IRNazanin"/>
          <w:color w:val="111111"/>
          <w:sz w:val="28"/>
          <w:sz w:val="28"/>
          <w:szCs w:val="28"/>
          <w:rtl w:val="true"/>
          <w:lang w:bidi="fa-IR"/>
        </w:rPr>
        <w:t>، علی أنّ ما یجهر فیه فی الجملة کاف فی التقیة ، وهو عندهم محقق فی بعض ما یجهر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دلالة علی الجهریة ، لکن احتمال إرادة بیان المحل کما قدمناه ، والحمل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ما یتأکد الجهر فیه ممکن لو کان المقصود بیان القنوت لا محله ، أو هما علی تقدیر ثبوت ما یدل علی الاستحباب وستسمعه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تضمنه من أنّ القنوت فی الوتر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لإرادة الاختصاص بالثالثة احتمالا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کونه فی الثالثة مع کونه فی الثانیة أیضا للخبر الأخیر الدالّ علی أنّه فی کل رکعتین من الفریضة والتطوع ، لا یخلو من بعد ؛ ویؤیّد ذلک أنّ الوتر اسم للثلاث رکعات فی الأخبار ، لا ما ظنه الشیخ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اسم للواحدة </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اسما للثلاث فما دل علی الرکعتین من التطوع یستفاد منه غیر الوتر ؛ لأنّ الوتر إذا کان اسما للثلاث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قنوته فی الثالثة ، وإلاّ لقیل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bookmarkStart w:id="841" w:name="pg15037_163898"/>
    </w:p>
    <w:p>
      <w:pPr>
        <w:pStyle w:val="BookText"/>
        <w:rPr/>
      </w:pPr>
      <w:bookmarkEnd w:id="841"/>
      <w:r>
        <w:rPr>
          <w:rFonts w:ascii="IRNazanin" w:hAnsi="IRNazanin" w:eastAsia="IRNazanin"/>
          <w:color w:val="111111"/>
          <w:sz w:val="28"/>
          <w:sz w:val="28"/>
          <w:szCs w:val="28"/>
          <w:rtl w:val="true"/>
          <w:lang w:bidi="fa-IR"/>
        </w:rPr>
        <w:t>قنوتان ، فلیتأمّل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القنوت فی الجهریة وربّما دل علی الانحصار لکن قد علمت نقل الإجماع علی عدمه ، ودلالته علی الوجوب محتملة </w:t>
      </w:r>
      <w:r>
        <w:rPr>
          <w:rFonts w:eastAsia="IRNazanin" w:cs="IRNazanin"/>
          <w:color w:val="111111"/>
          <w:sz w:val="28"/>
          <w:szCs w:val="28"/>
          <w:rtl w:val="true"/>
          <w:lang w:bidi="fa-IR"/>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فی الجمعة قنوتین ، لکن قد سمعت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الخبر التقیة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معلومیة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بالدلالة علی ثبوت القنوت فی الجهریة أولی منه علی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یستدل علی التعدد فی الجمعة بما ذکرناه فی کتاب معاهد التنبیه من أنّ الصدوق </w:t>
      </w:r>
      <w:r>
        <w:rPr>
          <w:rStyle w:val="FootnoteAnchor"/>
          <w:rtl w:val="true"/>
        </w:rPr>
        <w:footnoteReference w:id="1096"/>
      </w:r>
      <w:r>
        <w:rPr>
          <w:rFonts w:ascii="IRNazanin" w:hAnsi="IRNazanin" w:eastAsia="IRNazanin"/>
          <w:color w:val="111111"/>
          <w:sz w:val="28"/>
          <w:sz w:val="28"/>
          <w:szCs w:val="28"/>
          <w:rtl w:val="true"/>
          <w:lang w:bidi="fa-IR"/>
        </w:rPr>
        <w:t xml:space="preserve">روی ما یدل علی التعدد صحیحا ، لکن لم یعمل به لتفرد حریز به عن زرارة کما هی عادة المتقدمین من عدم العمل بالخبر الخالی من القرائن ، وهذا لا یضر بحال المتأخرین المکتفین بالخبر الصحیح ؛ إذ الطریق إلی حریز لا ریب فیه ، غایة الأمر أنّ فی متن الخبر نوع شک وضرورة </w:t>
      </w:r>
      <w:r>
        <w:rPr>
          <w:rStyle w:val="FootnoteAnchor"/>
          <w:rtl w:val="true"/>
        </w:rPr>
        <w:footnoteReference w:id="1097"/>
      </w:r>
      <w:r>
        <w:rPr>
          <w:rFonts w:ascii="IRNazanin" w:hAnsi="IRNazanin" w:eastAsia="IRNazanin"/>
          <w:color w:val="111111"/>
          <w:sz w:val="28"/>
          <w:sz w:val="28"/>
          <w:szCs w:val="28"/>
          <w:rtl w:val="true"/>
          <w:lang w:bidi="fa-IR"/>
        </w:rPr>
        <w:t>محلّ تأمّل ، ویتضح الأمر بمراجعته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ما نقل عن ابن أبی عقیل ، لکن فیه زیادة الوتر ؛ ویمکن أن یوجّه عدم نفیها للوجوب بخروجها بالإجماع علی نفی الوجوب فی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استبعاد تغایر الأحکام فی الخبر الواحد ، لکنه محلّ تأمّل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2" w:name="__RefHeading___Toc348196_2142443653"/>
      <w:bookmarkStart w:id="843" w:name="_Toc329"/>
      <w:bookmarkEnd w:id="842"/>
      <w:r>
        <w:rPr>
          <w:rtl w:val="true"/>
        </w:rPr>
        <w:t>بیان ما دل علی تعدّد القنوت فی الجمعة</w:t>
      </w:r>
      <w:bookmarkStart w:id="844" w:name="pg15037_163899"/>
      <w:bookmarkEnd w:id="843"/>
    </w:p>
    <w:p>
      <w:pPr>
        <w:pStyle w:val="BookText"/>
        <w:rPr/>
      </w:pPr>
      <w:bookmarkEnd w:id="844"/>
      <w:r>
        <w:rPr>
          <w:rFonts w:ascii="IRNazanin" w:hAnsi="IRNazanin" w:eastAsia="IRNazanin"/>
          <w:color w:val="111111"/>
          <w:sz w:val="28"/>
          <w:sz w:val="28"/>
          <w:szCs w:val="28"/>
          <w:rtl w:val="true"/>
          <w:lang w:bidi="fa-IR"/>
        </w:rPr>
        <w:t xml:space="preserve">نعم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بتقدیر صحته یدل علی أنّ من ترک القنوت رغبة عنه لا مجرد الترک لکونه مستحبا ، وحینئذ یراد بالرغبة هجر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الرغبة عن الشی‌ء لا تدل علی الهجر المذکور ، غیر أنّ عدم الصحة یسهل الخطب بالنسبة إلی الخبر ، وأمّا غیره فقد علمت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الشهید رحمه الله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استدل للقائل بوجوب القنوت بصحیح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فرض الله من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الوقت والطهور والرکوع </w:t>
      </w:r>
      <w:r>
        <w:rPr>
          <w:rStyle w:val="FootnoteAnchor"/>
          <w:rtl w:val="true"/>
        </w:rPr>
        <w:footnoteReference w:id="1098"/>
      </w:r>
      <w:r>
        <w:rPr>
          <w:rFonts w:ascii="IRNazanin" w:hAnsi="IRNazanin" w:eastAsia="IRNazanin"/>
          <w:color w:val="111111"/>
          <w:sz w:val="28"/>
          <w:sz w:val="28"/>
          <w:szCs w:val="28"/>
          <w:rtl w:val="true"/>
          <w:lang w:bidi="fa-IR"/>
        </w:rPr>
        <w:t xml:space="preserve">والسجود والقبلة والدعاء والتوجّه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سوی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فی فریضة </w:t>
      </w:r>
      <w:r>
        <w:rPr>
          <w:rFonts w:eastAsia="IRNazanin" w:cs="IRNazanin"/>
          <w:color w:val="111111"/>
          <w:sz w:val="28"/>
          <w:szCs w:val="28"/>
          <w:rtl w:val="true"/>
          <w:lang w:bidi="fa-IR"/>
        </w:rPr>
        <w:t xml:space="preserve">» </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قائل بوجوب دعاء فی الصلاة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وبموثق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نسی الرجل القنوت فی شی‌ء من الصلوات حتی یرکع فقد جازت صلاته ولیس له شی‌ء ، ولیس علیه أن یدعه متعمّدا </w:t>
      </w:r>
      <w:r>
        <w:rPr>
          <w:rFonts w:eastAsia="IRNazanin" w:cs="IRNazanin"/>
          <w:color w:val="111111"/>
          <w:sz w:val="28"/>
          <w:szCs w:val="28"/>
          <w:rtl w:val="true"/>
          <w:lang w:bidi="fa-IR"/>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وبروایة وهب السابقة ، وبقوله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لِلّهِ قانِتِینَ </w:t>
      </w:r>
      <w:r>
        <w:rPr>
          <w:rFonts w:eastAsia="Amiri" w:cs="Amiri" w:ascii="Amiri" w:hAnsi="Amiri"/>
          <w:color w:val="111111"/>
          <w:sz w:val="28"/>
          <w:szCs w:val="28"/>
          <w:rtl w:val="true"/>
          <w:lang w:bidi="ar-SA"/>
        </w:rPr>
        <w:t xml:space="preserve">) </w:t>
      </w:r>
      <w:r>
        <w:rPr>
          <w:rStyle w:val="FootnoteAnchor"/>
          <w:rtl w:val="true"/>
        </w:rPr>
        <w:footnoteReference w:id="1101"/>
      </w:r>
      <w:r>
        <w:rPr>
          <w:rFonts w:ascii="IRNazanin" w:hAnsi="IRNazanin" w:eastAsia="IRNazanin"/>
          <w:color w:val="111111"/>
          <w:sz w:val="28"/>
          <w:sz w:val="28"/>
          <w:szCs w:val="28"/>
          <w:rtl w:val="true"/>
          <w:lang w:bidi="fa-IR"/>
        </w:rPr>
        <w:t xml:space="preserve">وقد ذکر جماعة أنّ 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أجاب قدس سره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حمل الدعاء علی القراءة وباقی الأذکار الواجبة فإنّ فیها معنی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علی المبالغة فی تأکد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المنفی کمال الصلاة ، والرغبة عنه أخص</w:t>
      </w:r>
    </w:p>
    <w:p>
      <w:pPr>
        <w:pStyle w:val="Heading4"/>
        <w:numPr>
          <w:ilvl w:val="3"/>
          <w:numId w:val="1"/>
        </w:numPr>
        <w:rPr/>
      </w:pPr>
      <w:bookmarkStart w:id="845" w:name="__RefHeading___Toc348198_2142443653"/>
      <w:bookmarkStart w:id="846" w:name="_Toc330"/>
      <w:bookmarkEnd w:id="845"/>
      <w:r>
        <w:rPr>
          <w:rtl w:val="true"/>
        </w:rPr>
        <w:t>بیان ما دل علی أنّ من ترک القنوت رغبة عنه لا صلاة له</w:t>
      </w:r>
      <w:bookmarkEnd w:id="84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7" w:name="__RefHeading___Toc348200_2142443653"/>
      <w:bookmarkStart w:id="848" w:name="_Toc331"/>
      <w:bookmarkEnd w:id="847"/>
      <w:r>
        <w:rPr>
          <w:rtl w:val="true"/>
        </w:rPr>
        <w:t>أدلّة القائلین بوجوب القنوت وما فیها من النقض والابرام</w:t>
      </w:r>
      <w:bookmarkEnd w:id="848"/>
    </w:p>
    <w:p>
      <w:pPr>
        <w:pStyle w:val="BookText"/>
        <w:rPr/>
      </w:pPr>
      <w:r>
        <w:rPr>
          <w:rFonts w:ascii="IRNazanin" w:hAnsi="IRNazanin" w:eastAsia="IRNazanin"/>
          <w:color w:val="111111"/>
          <w:sz w:val="28"/>
          <w:sz w:val="28"/>
          <w:szCs w:val="28"/>
          <w:rtl w:val="true"/>
          <w:lang w:bidi="fa-IR"/>
        </w:rPr>
        <w:t>من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مطیعین ، ولو سلّم أنّه بمعنی القنوت فلا دلالة فیه علی الوجوب لأنّه أمر مطلق ، ولو دل لم یدل علی التکرار ؛ ولأنّ الصلاة مشتملة علی القراءة والأذکار وفیها معنی الدعاء فیتحقق الامتثال بدون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علیه الناقل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ذکرناه فی فوائد التهذیب ، وما ذکرناه قد یتوجه فی المقام ، وحاصل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Style w:val="FootnoteAnchor"/>
          <w:rtl w:val="true"/>
        </w:rPr>
        <w:footnoteReference w:id="1104"/>
      </w:r>
      <w:r>
        <w:rPr>
          <w:rFonts w:ascii="IRNazanin" w:hAnsi="IRNazanin" w:eastAsia="IRNazanin"/>
          <w:color w:val="111111"/>
          <w:sz w:val="28"/>
          <w:sz w:val="28"/>
          <w:szCs w:val="28"/>
          <w:rtl w:val="true"/>
          <w:lang w:bidi="fa-IR"/>
        </w:rPr>
        <w:t>الاعتراض فلأنّ شیئا من القراءة وأذکار الرکوع والسجود لا یسمّی فی العرف دعاء ، وأیضا فقد دل الحدیث علی أنّ الدعاء الواجب فی الصلاة ثبت فی القرآن ووجوب القراءة وذکر الرکوع والسجود لم یثبت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والثالث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یمکن أن یقال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دل علی تضمن القرآن الأمر بالدعاء فی الصلاة أعنی القنوت ، ولا دلالة فی شی‌ء من الآیات علی وجوب القنوت سوی هذه الآیة فیکون القنوت فیها بمعنی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ما فیه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یدل علی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قال بالوجوب قال بالتکرار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ما خطر فی البال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الصحیح عن عبید بن زرارة دل علی أنّ الفاتحة تحمید ودعاء </w:t>
      </w:r>
      <w:r>
        <w:rPr>
          <w:rStyle w:val="FootnoteAnchor"/>
          <w:rtl w:val="true"/>
        </w:rPr>
        <w:footnoteReference w:id="1105"/>
      </w:r>
      <w:r>
        <w:rPr>
          <w:rFonts w:ascii="IRNazanin" w:hAnsi="IRNazanin" w:eastAsia="IRNazanin"/>
          <w:color w:val="111111"/>
          <w:sz w:val="28"/>
          <w:sz w:val="28"/>
          <w:szCs w:val="28"/>
          <w:rtl w:val="true"/>
          <w:lang w:bidi="fa-IR"/>
        </w:rPr>
        <w:t xml:space="preserve">، والأصل فی الإطلاق الحقیقة ، علی أن منع کون أذکار السجود والرکوع دعاء لا یضر بالحال ؛ لأنّ المجیب مانع ، فیکفیه جواز إرادة الدعاء من القراءة والأذکار ولا یحتاج إلی </w:t>
      </w:r>
    </w:p>
    <w:p>
      <w:pPr>
        <w:pStyle w:val="BookText"/>
        <w:rPr/>
      </w:pPr>
      <w:r>
        <w:rPr>
          <w:rFonts w:ascii="IRNazanin" w:hAnsi="IRNazanin" w:eastAsia="IRNazanin"/>
          <w:color w:val="111111"/>
          <w:sz w:val="28"/>
          <w:sz w:val="28"/>
          <w:szCs w:val="28"/>
          <w:rtl w:val="true"/>
          <w:lang w:bidi="fa-IR"/>
        </w:rPr>
        <w:t>المعلومیة لیطلب منه إثباتها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الصدق عرفا فکذا فی الشرع واللغة ؛ لأصالة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النقل إنّما تثمر الظن وهو لا ینافی التجویز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کاف فی الأحکام الشرعیة ، ولو منع التجویز لم یتم دلیل فالتجویز لا یضر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الظن </w:t>
      </w:r>
      <w:r>
        <w:rPr>
          <w:rStyle w:val="FootnoteAnchor"/>
          <w:rtl w:val="true"/>
        </w:rPr>
        <w:footnoteReference w:id="1106"/>
      </w:r>
      <w:r>
        <w:rPr>
          <w:rFonts w:ascii="IRNazanin" w:hAnsi="IRNazanin" w:eastAsia="IRNazanin"/>
          <w:color w:val="111111"/>
          <w:sz w:val="28"/>
          <w:sz w:val="28"/>
          <w:szCs w:val="28"/>
          <w:rtl w:val="true"/>
          <w:lang w:bidi="fa-IR"/>
        </w:rPr>
        <w:t>حینئذ مرجعه إلی الاستصحاب فهو استدلال غیر مناف لکلام المجیب ، وفیه شی‌ء یطلب من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العرف فی المقام غیر واضح الاطراد ، لکن الجواب عنه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 من دلالة الخبر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الثبوت عندنا لا ینفی </w:t>
      </w:r>
      <w:r>
        <w:rPr>
          <w:rStyle w:val="FootnoteAnchor"/>
          <w:rtl w:val="true"/>
        </w:rPr>
        <w:footnoteReference w:id="1107"/>
      </w:r>
      <w:r>
        <w:rPr>
          <w:rFonts w:ascii="Amiri" w:hAnsi="Amiri" w:eastAsia="Amiri" w:cs="Amiri"/>
          <w:color w:val="111111"/>
          <w:sz w:val="28"/>
          <w:sz w:val="28"/>
          <w:szCs w:val="28"/>
          <w:rtl w:val="true"/>
          <w:lang w:bidi="ar-SA"/>
        </w:rPr>
        <w:t xml:space="preserve">الثبوت مطلقا إلاّ بأصالة </w:t>
      </w:r>
      <w:r>
        <w:rPr>
          <w:rStyle w:val="FootnoteAnchor"/>
          <w:rtl w:val="true"/>
        </w:rPr>
        <w:footnoteReference w:id="1108"/>
      </w:r>
      <w:r>
        <w:rPr>
          <w:rFonts w:ascii="IRNazanin" w:hAnsi="IRNazanin" w:eastAsia="IRNazanin"/>
          <w:color w:val="111111"/>
          <w:sz w:val="28"/>
          <w:sz w:val="28"/>
          <w:szCs w:val="28"/>
          <w:rtl w:val="true"/>
          <w:lang w:bidi="fa-IR"/>
        </w:rPr>
        <w:t>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خبر صحیح أنّ القراءة سنّة </w:t>
      </w:r>
      <w:r>
        <w:rPr>
          <w:rStyle w:val="FootnoteAnchor"/>
          <w:rtl w:val="true"/>
        </w:rPr>
        <w:footnoteReference w:id="1109"/>
      </w:r>
      <w:r>
        <w:rPr>
          <w:rFonts w:ascii="IRNazanin" w:hAnsi="IRNazanin" w:eastAsia="IRNazanin"/>
          <w:color w:val="111111"/>
          <w:sz w:val="28"/>
          <w:sz w:val="28"/>
          <w:szCs w:val="28"/>
          <w:rtl w:val="true"/>
          <w:lang w:bidi="fa-IR"/>
        </w:rPr>
        <w:t>، فالأولی التعلق به ، وعدم التنبیه له مع ذکره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التکلف فغیر ظاهر ، وبتقدیره مع المعارض لا مانع منه ، والرغبة عن الشی‌ء ینبئ عن الظهور المذکور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 من أنّه لا دلالة فی شی‌ء من الآیات علی وجوب القنوت ، یشکل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 من جهة الأمر وإطلاقه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الشهید رحمه الله لا یخفی علیه مثل هذا ، بل مراده علی الظاهر أنّ الأمر </w:t>
      </w:r>
    </w:p>
    <w:p>
      <w:pPr>
        <w:pStyle w:val="BookText"/>
        <w:rPr/>
      </w:pPr>
      <w:r>
        <w:rPr>
          <w:rFonts w:ascii="IRNazanin" w:hAnsi="IRNazanin" w:eastAsia="IRNazanin"/>
          <w:color w:val="111111"/>
          <w:sz w:val="28"/>
          <w:sz w:val="28"/>
          <w:szCs w:val="28"/>
          <w:rtl w:val="true"/>
          <w:lang w:bidi="fa-IR"/>
        </w:rPr>
        <w:t xml:space="preserve">بالقیام لله غیر </w:t>
      </w:r>
      <w:r>
        <w:rPr>
          <w:rStyle w:val="FootnoteAnchor"/>
          <w:rtl w:val="true"/>
        </w:rPr>
        <w:footnoteReference w:id="1110"/>
      </w:r>
      <w:r>
        <w:rPr>
          <w:rFonts w:ascii="IRNazanin" w:hAnsi="IRNazanin" w:eastAsia="IRNazanin"/>
          <w:color w:val="111111"/>
          <w:sz w:val="28"/>
          <w:sz w:val="28"/>
          <w:szCs w:val="28"/>
          <w:rtl w:val="true"/>
          <w:lang w:bidi="fa-IR"/>
        </w:rPr>
        <w:t>مقید بالصلاة الواجبة ، وإذا لم یقید لا یدل علی الوجوب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 من عدم دلالة القرآن علی أذکار السجود والرکوع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الأخبار السابقة فی الأذکار دالّة علی أنّها فرض ، وهو یعطی ثبوته من القرآن</w:t>
      </w:r>
      <w:r>
        <w:rPr>
          <w:rFonts w:eastAsia="IRNazanin" w:cs="IRNazanin"/>
          <w:color w:val="111111"/>
          <w:sz w:val="28"/>
          <w:szCs w:val="28"/>
          <w:rtl w:val="true"/>
          <w:lang w:bidi="fa-IR"/>
        </w:rPr>
        <w:t>.</w:t>
      </w:r>
    </w:p>
    <w:p>
      <w:pPr>
        <w:pStyle w:val="BookText"/>
        <w:rPr/>
      </w:pPr>
      <w:r>
        <w:rPr>
          <w:rStyle w:val="FootnoteAnchor"/>
          <w:rtl w:val="true"/>
        </w:rPr>
        <w:footnoteReference w:id="1111"/>
      </w:r>
      <w:r>
        <w:rPr>
          <w:rFonts w:ascii="IRNazanin" w:hAnsi="IRNazanin" w:eastAsia="IRNazanin"/>
          <w:color w:val="111111"/>
          <w:sz w:val="28"/>
          <w:sz w:val="28"/>
          <w:szCs w:val="28"/>
          <w:rtl w:val="true"/>
          <w:lang w:bidi="fa-IR"/>
        </w:rPr>
        <w:t xml:space="preserve">وما ذکر من أنّ القراءة لم تثبت من القرآن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نفیه لما تضمنه الحدیث الصحیح من أنّ القراءة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فی المقام أمور مذکورة فی الفوائد المشار إلیها من أرادها وقف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من الصدوق فی الفقیه الاستدلال بالآیة الشریفة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والقنوت سنّة واجبة ، فمن ترکها معتمدا فی کل صلاة فلا صلاة له ،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وَقُومُوا لِلّهِ قانِتِینَ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مطیعین داعین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لا مجال لإنکار معنی الدعاء فی القنوت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 یدل علی الجزم ، والاشتراک لغة ینافی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اجتهاد ، 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ما ذکره الشهید رحمه الله من أنّ معنی الآیة مطیعین فقط محل کلام ، لأنّ الصدوق ثبت فی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ذکره الشهید رحمه الله من احتمال الدعاء لغیر القنوت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یکون الصدوق وقف علی تفسیر الآیة بوجه کاف ، إلاّ أنّ فی الاکتفاء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کلاما </w:t>
      </w:r>
      <w:r>
        <w:rPr>
          <w:rFonts w:eastAsia="IRNazanin" w:cs="IRNazanin"/>
          <w:color w:val="111111"/>
          <w:sz w:val="28"/>
          <w:szCs w:val="28"/>
          <w:rtl w:val="true"/>
          <w:lang w:bidi="fa-IR"/>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المختلف نقل احتجاج ابن بابویه بالآیة ، وأجاب بالمنع من إرادة صورة النزاع ، إذ لیس فیه دلالة علی وجوب القنوت فی الصلاة ، أقصی ما فی الباب وجوب الأمر بالقیام لله إن قلنا بوجوب المأمور به ، وکما یتناول الصلاة کذا غیرها ، سلّمنا وجوب القیام فی الصلاة لکنّها یحتمل وجوب القنوت ویحتمل وجوب القیام حال القنوت وهو الظاهر من مفهوم الآیة ، ولیس دلالة الآیة علی وجوب القیام الموصوف بالقنوت بأولی من دلالتها علی تخصیص الوجوب بحالة القیام ، بل دلالتها علی الثانی أولی لموافقتها بالبراءة الأصلیة </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إذا کان للوجوب دلّت الآیة علی وجوب القیام حال الدعاء ، ولا یجب إلاّ فی الصلاة فیکون الدعاء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الدعاء لا یتعین فی القنوت لما سبق من احتمال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فی الصلاة لا یتعین وجوب القیام 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الوجوب فی الأمر محل تأمّل ، لما ذکرناه فی فوائد التهذیب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سیاق الآیة یقتضی إمّا الندب أو الاشتراک بینه وبین الوجوب ، والترجیح للوجوب مشکل ، فأصالة البراءة لا مخرج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العلاّمة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القیام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فقریب ، إذ لا قائل بالوجوب فی غیر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تسلیمه وتجویز القیام الواجب مع عدم وجوب القنوت مشکل ، فإنّ المستحب کیف یجب له القیام إلاّ علی سبیل الشرطیة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دلالة الآیة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یظهر لی دلالته علی </w:t>
      </w:r>
    </w:p>
    <w:p>
      <w:pPr>
        <w:pStyle w:val="BookText"/>
        <w:rPr/>
      </w:pPr>
      <w:r>
        <w:rPr>
          <w:rFonts w:ascii="IRNazanin" w:hAnsi="IRNazanin" w:eastAsia="IRNazanin"/>
          <w:color w:val="111111"/>
          <w:sz w:val="28"/>
          <w:sz w:val="28"/>
          <w:szCs w:val="28"/>
          <w:rtl w:val="true"/>
          <w:lang w:bidi="fa-IR"/>
        </w:rPr>
        <w:t xml:space="preserve">مطلوبه إلاّ بتکلف إرادة نفس القیام من القنوت لا الدعاء ، فیراد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الوجوب بحالة القیام ، الخضوع لله حالة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الموصوف بالقنوت ، یرید به المشتمل علی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أنّ الکلام الواقع عقیب التسلیم یقتضی أنّ القیام لله فی الصلاة واجب ، لکنّه یحتمل وجوب القنوت ویحتمل وجوب القیام حال القنوت ، وهذا کما تری یدل علی إرادة الدعاء لا مجرد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دلالة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 تتمة السابق ففیه منافاة له من حیث دلالة الأخیر علی أنّ نفس القیام قنوت بمعنی الخضوع ، ولو أرید الدعاء فی الأخیر لم یتم الفرق إلاّ بأن یراد بالتخصیص کون القیام قنوتا بمعنی الخضوع ، وسیجی‌ء من کلام اللغة ما یعطی أنّه یقال علی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حمل کلامه علی القیام ، إلاّ أنّه لا یتم علی الإطلاق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علی بن الحکم ، عن ابن أبی عمیر ، عن جمیل بن صالح ، عن عبد الملک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القنوت قبل الرکوع أو بعده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قبله ولا بعده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البرقی ، عن سعد بن سعد الأشعری ،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القنوت ، هل یقنت فی الصلاة کلّها أم </w:t>
      </w:r>
    </w:p>
    <w:p>
      <w:pPr>
        <w:pStyle w:val="BookText"/>
        <w:rPr/>
      </w:pPr>
      <w:r>
        <w:rPr>
          <w:rFonts w:ascii="IRNazanin" w:hAnsi="IRNazanin" w:eastAsia="IRNazanin"/>
          <w:color w:val="111111"/>
          <w:sz w:val="28"/>
          <w:sz w:val="28"/>
          <w:szCs w:val="28"/>
          <w:rtl w:val="true"/>
          <w:lang w:bidi="fa-IR"/>
        </w:rPr>
        <w:t xml:space="preserve">فیما یجهر فیها بالقراءة؟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القنوت إلاّ فی الغداة والوتر والجمعة والمغرب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سعد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 xml:space="preserve">، عن الحسن بن علی بن فضّال ، 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القنوت فی أیّ الصلوات أقنت؟ قال </w:t>
      </w:r>
      <w:r>
        <w:rPr>
          <w:rStyle w:val="FootnoteAnchor"/>
          <w:rtl w:val="true"/>
        </w:rPr>
        <w:footnoteReference w:id="11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تقنت إلاّ فی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الأخبار أن نحملها علی أنّه لیس فی هذه الصلوات القنوت علی جهة الفضل وتأکد الندب علی الحد الذی ثبت فی غیرها من الصلوات التی یجهر فیها ثم بعد ذلک فی الفرائض ، لأنّ القنوت فی الصلوات یترتّب فضله ، فالقنوت </w:t>
      </w:r>
      <w:r>
        <w:rPr>
          <w:rStyle w:val="FootnoteAnchor"/>
          <w:rtl w:val="true"/>
        </w:rPr>
        <w:footnoteReference w:id="1118"/>
      </w:r>
      <w:r>
        <w:rPr>
          <w:rFonts w:ascii="IRNazanin" w:hAnsi="IRNazanin" w:eastAsia="IRNazanin"/>
          <w:color w:val="111111"/>
          <w:sz w:val="28"/>
          <w:sz w:val="28"/>
          <w:szCs w:val="28"/>
          <w:rtl w:val="true"/>
          <w:lang w:bidi="fa-IR"/>
        </w:rPr>
        <w:t>فی الفرائض أفضل منه فی النوافل ، وفیما یجهر فیه من الفرائض أفضل ممّا لا یجهر فیه ، وصلاة المغرب والفجر من بین ما یجهر فیه أشد تأکیدا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حملنا الأخبار علی هذه الوجوه ثبت لکل واحد منها وجه صحیح لا ینافی ما عداه ، ویجوز أن یکون أنّ ما نفوا عن بعض الصلوات القنوت وخصّوا به </w:t>
      </w:r>
      <w:r>
        <w:rPr>
          <w:rStyle w:val="FootnoteAnchor"/>
          <w:rtl w:val="true"/>
        </w:rPr>
        <w:footnoteReference w:id="1119"/>
      </w:r>
      <w:r>
        <w:rPr>
          <w:rFonts w:ascii="IRNazanin" w:hAnsi="IRNazanin" w:eastAsia="IRNazanin"/>
          <w:color w:val="111111"/>
          <w:sz w:val="28"/>
          <w:sz w:val="28"/>
          <w:szCs w:val="28"/>
          <w:rtl w:val="true"/>
          <w:lang w:bidi="fa-IR"/>
        </w:rPr>
        <w:t>بعضا لضرب من التقیة والاستصلاح ، لأنّ من العامّة من یذهب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علی بن مهزیار ، عن أحمد بن محمّد ، عن أبی الحسن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علیه السلام فی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فاقنت وإن </w:t>
      </w:r>
      <w:bookmarkStart w:id="849" w:name="pg15037_163906"/>
    </w:p>
    <w:p>
      <w:pPr>
        <w:pStyle w:val="BookText"/>
        <w:rPr/>
      </w:pPr>
      <w:bookmarkEnd w:id="849"/>
      <w:r>
        <w:rPr>
          <w:rFonts w:ascii="IRNazanin" w:hAnsi="IRNazanin" w:eastAsia="IRNazanin"/>
          <w:color w:val="111111"/>
          <w:sz w:val="28"/>
          <w:sz w:val="28"/>
          <w:szCs w:val="28"/>
          <w:rtl w:val="true"/>
          <w:lang w:bidi="fa-IR"/>
        </w:rPr>
        <w:t xml:space="preserve">شئت فلا تقنت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کانت التقیة فلا تقنت ، وأنا أتقلد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محمّد بن یعقوب ، عن علی بن إبراهیم ، عن أبیه ، عن ابن فضّال ، عن ابن بکیر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القنوت؟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یجهر فیه </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سألت أباک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الخمس کلها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أبی ، إنّ أصحاب أبی أتوه فسألوه فأخبرهم بالحق ، ثم أتونی شکّاکا فأخبرتهم بالتقیة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القاسم بن محمّد الجوهری ، عن أبان بن عثمان ، عن إسماعیل الجعفی ومعمر بن یحیی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قبل الرکوع وإن شئت فبعده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شئت فبعده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نحمله علی حال القضاء لمن فاته فی موضعه ، أو حال التقیة لأنّه مذهب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عبد الملک بن عمرو ، ولم نقف علی ما یقتضی مدحه فضلا عن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الکشی عن حمدویه ، عن یعقوب بن یزید ، عن ابن أبی عمیر ، عن جمیل بن صالح ، عن عبد الملک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لأدعو لک حتی اسمّی دابتک </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ینتهی فی الشهادة إلی نفسه ، وقول جدّی قدس سره فی فوائد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ملحق</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0" w:name="__RefHeading___Toc348202_2142443653"/>
      <w:bookmarkStart w:id="851" w:name="_Toc332"/>
      <w:bookmarkEnd w:id="850"/>
      <w:r>
        <w:rPr>
          <w:rtl w:val="true"/>
        </w:rPr>
        <w:t>بحث حول عبدالملک بن عمرو</w:t>
      </w:r>
      <w:bookmarkStart w:id="852" w:name="pg15037_163907"/>
      <w:bookmarkEnd w:id="851"/>
    </w:p>
    <w:p>
      <w:pPr>
        <w:pStyle w:val="BookText"/>
        <w:rPr/>
      </w:pPr>
      <w:bookmarkEnd w:id="852"/>
      <w:r>
        <w:rPr>
          <w:rFonts w:ascii="IRNazanin" w:hAnsi="IRNazanin" w:eastAsia="IRNazanin"/>
          <w:color w:val="111111"/>
          <w:sz w:val="28"/>
          <w:sz w:val="28"/>
          <w:szCs w:val="28"/>
          <w:rtl w:val="true"/>
          <w:lang w:bidi="fa-IR"/>
        </w:rPr>
        <w:t xml:space="preserve">بالحسن </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وجهه بعد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شهادة لنفسه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فهو مرجّح بسبب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رجال الصادق علیه السلام من کتاب الشیخ مذکور مهملا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جمیل بن صالح فالذی 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بن صالح الأسدی ثقة وجه ، روی عن أبی عبد الله وأبی الحسن علیهماالسلام ، ذکره أبو العباس فی کتاب الرجال </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تری قد یحتمل أنّ الذکر من أبی العباس للجمیع من التوثیق والروایة ، کما یحتمل العود للروایة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العباس یقال لابن عقدة وابن نوح کما سبق ذکره من جدّی قدس سره فی موضع آخر اتفق مثله ، وابن عقدة معلوم الحال ، وکان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کونه ابن نوح ، لأنّه شیخ النجاشی </w:t>
      </w:r>
      <w:r>
        <w:rPr>
          <w:rStyle w:val="FootnoteAnchor"/>
          <w:rtl w:val="true"/>
        </w:rPr>
        <w:footnoteReference w:id="1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فالاعتناء بقوله أظهر ، وفیه نوع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وبتقدیره فی ابن نوح کلام یعرف من الرجال </w:t>
      </w:r>
      <w:r>
        <w:rPr>
          <w:rStyle w:val="FootnoteAnchor"/>
          <w:rtl w:val="true"/>
        </w:rPr>
        <w:footnoteReference w:id="1126"/>
      </w:r>
      <w:r>
        <w:rPr>
          <w:rFonts w:ascii="IRNazanin" w:hAnsi="IRNazanin" w:eastAsia="IRNazanin"/>
          <w:color w:val="111111"/>
          <w:sz w:val="28"/>
          <w:sz w:val="28"/>
          <w:szCs w:val="28"/>
          <w:rtl w:val="true"/>
          <w:lang w:bidi="fa-IR"/>
        </w:rPr>
        <w:t>، غیر أنّ الظاهر من العبارة العود إلی الروایة للقرب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البرقی ، وقد تکرر القول فیه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علی ما مضی </w:t>
      </w:r>
      <w:r>
        <w:rPr>
          <w:rStyle w:val="FootnoteAnchor"/>
          <w:rtl w:val="true"/>
        </w:rPr>
        <w:footnoteReference w:id="1128"/>
      </w:r>
      <w:r>
        <w:rPr>
          <w:rFonts w:ascii="IRNazanin" w:hAnsi="IRNazanin" w:eastAsia="IRNazanin"/>
          <w:color w:val="111111"/>
          <w:sz w:val="28"/>
          <w:sz w:val="28"/>
          <w:szCs w:val="28"/>
          <w:rtl w:val="true"/>
          <w:lang w:bidi="fa-IR"/>
        </w:rPr>
        <w:t xml:space="preserve">فی ابن فضال وابن یعقوب ، وفیه دلالة علی أنّ أبا جعفر أحمد بن محمّد بن عیسی کما سبق نقله عن العلاّمة فی الخلاصة </w:t>
      </w:r>
      <w:r>
        <w:rPr>
          <w:rStyle w:val="FootnoteAnchor"/>
          <w:rtl w:val="true"/>
        </w:rPr>
        <w:footnoteReference w:id="1129"/>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کلما رواه الشیخ عن سعد عن أبی جعفر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3" w:name="__RefHeading___Toc348204_2142443653"/>
      <w:bookmarkStart w:id="854" w:name="_Toc333"/>
      <w:bookmarkEnd w:id="853"/>
      <w:r>
        <w:rPr>
          <w:rtl w:val="true"/>
        </w:rPr>
        <w:t>بحث حول جمیل بن صالح</w:t>
      </w:r>
      <w:bookmarkStart w:id="855" w:name="pg15037_163908"/>
      <w:bookmarkEnd w:id="854"/>
    </w:p>
    <w:p>
      <w:pPr>
        <w:pStyle w:val="BookText"/>
        <w:rPr/>
      </w:pPr>
      <w:bookmarkEnd w:id="855"/>
      <w:r>
        <w:rPr>
          <w:rFonts w:ascii="IRNazanin" w:hAnsi="IRNazanin" w:eastAsia="IRNazanin"/>
          <w:color w:val="111111"/>
          <w:sz w:val="28"/>
          <w:sz w:val="28"/>
          <w:szCs w:val="28"/>
          <w:rtl w:val="true"/>
          <w:lang w:bidi="fa-IR"/>
        </w:rPr>
        <w:t xml:space="preserve">فهو أحمد بن محمّد </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ما نحن فیه لیس بکلی إلاّ أنّه مؤید ، وذکرنا سابقا </w:t>
      </w:r>
      <w:r>
        <w:rPr>
          <w:rStyle w:val="FootnoteAnchor"/>
          <w:rtl w:val="true"/>
        </w:rPr>
        <w:footnoteReference w:id="1131"/>
      </w:r>
      <w:r>
        <w:rPr>
          <w:rFonts w:ascii="IRNazanin" w:hAnsi="IRNazanin" w:eastAsia="IRNazanin"/>
          <w:color w:val="111111"/>
          <w:sz w:val="28"/>
          <w:sz w:val="28"/>
          <w:szCs w:val="28"/>
          <w:rtl w:val="true"/>
          <w:lang w:bidi="fa-IR"/>
        </w:rPr>
        <w:t>أنّ فی الکافی ما یدل علی أنّ أبا جعفر إذا روی عنه سعد لا یتعین کونه أحمد بن محمّد لتفسیره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 وأحمد بن محمّد هو ابن أبی نصر لما صرح به فی التهذیب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الرجال بما تکرر من المقال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القاسم بن محمّد الجوهری وهو معروف الحال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إسماعیل الجعفی فهو وإن کان مشترکا </w:t>
      </w:r>
      <w:r>
        <w:rPr>
          <w:rStyle w:val="FootnoteAnchor"/>
          <w:rtl w:val="true"/>
        </w:rPr>
        <w:footnoteReference w:id="1134"/>
      </w:r>
      <w:r>
        <w:rPr>
          <w:rFonts w:ascii="IRNazanin" w:hAnsi="IRNazanin" w:eastAsia="IRNazanin"/>
          <w:color w:val="111111"/>
          <w:sz w:val="28"/>
          <w:sz w:val="28"/>
          <w:szCs w:val="28"/>
          <w:rtl w:val="true"/>
          <w:lang w:bidi="fa-IR"/>
        </w:rPr>
        <w:t xml:space="preserve">بین ابن عبد الرحمن وبین ابن جابر ، والأوّل لا أعلم توثیقه والمدح ربّما یستفاد من الرجال فی الجملة ، وابن جابر فیه کلام تقدم </w:t>
      </w:r>
      <w:r>
        <w:rPr>
          <w:rStyle w:val="FootnoteAnchor"/>
          <w:rtl w:val="true"/>
        </w:rPr>
        <w:footnoteReference w:id="1135"/>
      </w:r>
      <w:r>
        <w:rPr>
          <w:rFonts w:ascii="IRNazanin" w:hAnsi="IRNazanin" w:eastAsia="IRNazanin"/>
          <w:color w:val="111111"/>
          <w:sz w:val="28"/>
          <w:sz w:val="28"/>
          <w:szCs w:val="28"/>
          <w:rtl w:val="true"/>
          <w:lang w:bidi="fa-IR"/>
        </w:rPr>
        <w:t xml:space="preserve">، والحاصل أنّ الشیخ وثقه فی رجال الباقر علیه السلام من کتابه </w:t>
      </w:r>
      <w:r>
        <w:rPr>
          <w:rStyle w:val="FootnoteAnchor"/>
          <w:rtl w:val="true"/>
        </w:rPr>
        <w:footnoteReference w:id="1136"/>
      </w:r>
      <w:r>
        <w:rPr>
          <w:rFonts w:ascii="IRNazanin" w:hAnsi="IRNazanin" w:eastAsia="IRNazanin"/>
          <w:color w:val="111111"/>
          <w:sz w:val="28"/>
          <w:sz w:val="28"/>
          <w:szCs w:val="28"/>
          <w:rtl w:val="true"/>
          <w:lang w:bidi="fa-IR"/>
        </w:rPr>
        <w:t xml:space="preserve">، لکن لا یبعد أن یکون ابن جابر ، لأنّ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حدیث الأذان </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والمروی فی الأذان عنه روایة أبان بن عثمان ، وقد مضی فی أوّل الکتاب الإشارة إلی ذلک وفی الجزء الثانی منه أیضا ،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معمّر ففیه اشتراک بین من وثق فی الخلاصة </w:t>
      </w:r>
      <w:r>
        <w:rPr>
          <w:rStyle w:val="FootnoteAnchor"/>
          <w:rtl w:val="true"/>
        </w:rPr>
        <w:footnoteReference w:id="1138"/>
      </w:r>
      <w:r>
        <w:rPr>
          <w:rFonts w:ascii="IRNazanin" w:hAnsi="IRNazanin" w:eastAsia="IRNazanin"/>
          <w:color w:val="111111"/>
          <w:sz w:val="28"/>
          <w:sz w:val="28"/>
          <w:szCs w:val="28"/>
          <w:rtl w:val="true"/>
          <w:lang w:bidi="fa-IR"/>
        </w:rPr>
        <w:t>ومن ذکر مهملا</w:t>
      </w:r>
    </w:p>
    <w:p>
      <w:pPr>
        <w:pStyle w:val="Heading4"/>
        <w:numPr>
          <w:ilvl w:val="3"/>
          <w:numId w:val="1"/>
        </w:numPr>
        <w:rPr/>
      </w:pPr>
      <w:bookmarkStart w:id="856" w:name="__RefHeading___Toc348206_2142443653"/>
      <w:bookmarkStart w:id="857" w:name="_Toc334"/>
      <w:bookmarkEnd w:id="856"/>
      <w:r>
        <w:rPr>
          <w:rtl w:val="true"/>
        </w:rPr>
        <w:t>تمییز أبی جعفر الذی یروی عنه سعد</w:t>
      </w:r>
      <w:bookmarkEnd w:id="857"/>
    </w:p>
    <w:p>
      <w:pPr>
        <w:pStyle w:val="Heading4"/>
        <w:numPr>
          <w:ilvl w:val="3"/>
          <w:numId w:val="1"/>
        </w:numPr>
        <w:rPr/>
      </w:pPr>
      <w:bookmarkStart w:id="858" w:name="__RefHeading___Toc348208_2142443653"/>
      <w:bookmarkStart w:id="859" w:name="_Toc335"/>
      <w:bookmarkEnd w:id="858"/>
      <w:r>
        <w:rPr>
          <w:rtl w:val="true"/>
        </w:rPr>
        <w:t>بحث حول اسماعیل الجعفی</w:t>
      </w:r>
      <w:bookmarkEnd w:id="85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0" w:name="__RefHeading___Toc348210_2142443653"/>
      <w:bookmarkStart w:id="861" w:name="_Toc336"/>
      <w:bookmarkEnd w:id="860"/>
      <w:r>
        <w:rPr>
          <w:rtl w:val="true"/>
        </w:rPr>
        <w:t>معمر بن یحیی مشترک بین ثقة ومهمل</w:t>
      </w:r>
      <w:bookmarkStart w:id="862" w:name="pg15037_163909"/>
      <w:bookmarkEnd w:id="861"/>
    </w:p>
    <w:p>
      <w:pPr>
        <w:pStyle w:val="BookText"/>
        <w:rPr/>
      </w:pPr>
      <w:bookmarkEnd w:id="862"/>
      <w:r>
        <w:rPr>
          <w:rFonts w:ascii="IRNazanin" w:hAnsi="IRNazanin" w:eastAsia="IRNazanin"/>
          <w:color w:val="111111"/>
          <w:sz w:val="28"/>
          <w:sz w:val="28"/>
          <w:szCs w:val="28"/>
          <w:rtl w:val="true"/>
          <w:lang w:bidi="fa-IR"/>
        </w:rPr>
        <w:t xml:space="preserve">فی رجال الصادق والباقر علیهماالسلام من کتاب الشیخ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ینبغی أن یعلم قبل الکلام فیه أنّ بعض محققی الأصحاب نقل أنّ القنوت لغة یطلق علی معان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والطاعة والسکون والقیام فی الصلاة والإمساک عن الکلام ، وفی الشرع علی الدعاء فی أثناء الصلاة فی محل معیّن ، سواء کان معه رفع الیدین أم لا ، ولذلک عدّوا رفعهما من مستحبات القنوت ، وربّما یطلق علی الدعاء مع رفع الیدین وعلی رفع الیدین حال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المتبادر من الشرع عند الشارع ، واستحباب رفع الیدین إن کان فی کلامه أفاد ما ذکره ، وإن کان من کلام المتشرعة ففیه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عرفت هذا فاعلم أنّ العلاّمة فی المختلف ذکر فی أدلّة الاستحباب الخبر الأوّل واصفا له بالصحیح ، وهو أعلم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متروک بالإجماع ، لأنّ الإمامیة اتفقت علی استحبابه أو وجوبه قبل الرکوع ، والحدیث الذی استدللتم به یقتضی نفی التعبد به قبل الرکوع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أنّه متروک بل نحن نقول بموجبه ، إذ نفی التعبد به متروک بالإجماع علی ما بیّنتم ، فیحمل النفی علی إرادة نفی الوجوب ، إذ لا یمکن حمله إلاّ علیه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 ولما ذکره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تعرض الشیخ للخبر لا یخلو من غرابة ، وما ذکره فی الأخبار</w:t>
      </w:r>
    </w:p>
    <w:p>
      <w:pPr>
        <w:pStyle w:val="Heading4"/>
        <w:numPr>
          <w:ilvl w:val="3"/>
          <w:numId w:val="1"/>
        </w:numPr>
        <w:rPr/>
      </w:pPr>
      <w:bookmarkStart w:id="863" w:name="__RefHeading___Toc348212_2142443653"/>
      <w:bookmarkStart w:id="864" w:name="_Toc337"/>
      <w:bookmarkEnd w:id="863"/>
      <w:r>
        <w:rPr>
          <w:rtl w:val="true"/>
        </w:rPr>
        <w:t>معنی القنوت لغةً وشرعا</w:t>
      </w:r>
      <w:bookmarkEnd w:id="86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5" w:name="__RefHeading___Toc348214_2142443653"/>
      <w:bookmarkStart w:id="866" w:name="_Toc338"/>
      <w:bookmarkEnd w:id="865"/>
      <w:r>
        <w:rPr>
          <w:rtl w:val="true"/>
        </w:rPr>
        <w:t>توجیه ما دل علی نفی القنوت قبل الرکوع وبعده</w:t>
      </w:r>
      <w:bookmarkStart w:id="867" w:name="pg15037_163910"/>
      <w:bookmarkEnd w:id="866"/>
    </w:p>
    <w:p>
      <w:pPr>
        <w:pStyle w:val="BookText"/>
        <w:rPr/>
      </w:pPr>
      <w:bookmarkEnd w:id="867"/>
      <w:r>
        <w:rPr>
          <w:rFonts w:ascii="IRNazanin" w:hAnsi="IRNazanin" w:eastAsia="IRNazanin"/>
          <w:color w:val="111111"/>
          <w:sz w:val="28"/>
          <w:sz w:val="28"/>
          <w:szCs w:val="28"/>
          <w:rtl w:val="true"/>
          <w:lang w:bidi="fa-IR"/>
        </w:rPr>
        <w:t>علی الإجمال لا یتناول هذا إلاّ بتکلف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حصر القنوت فیما ذکر ، وفی خبر ابن مسکان السابق ضمیمة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الشیخ الأوّل لا یخفی عدم وضوحه سیّما فی هذا الخبر ، أمّا التقیة فلها وجه ، ویؤیّدها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من النوافل بعید الاستفادة من إطلاق الأخبار ، إذ الانصراف إلی النافلة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وتقییده بما یجهر فیه من الفرائض غیر ظاهر الوجه بتقدیر شمول الأخبار للنوافل ، فإنّ بعضها تضمن السؤال عن جمیع الصلوات ، والجواب دل علی أفضلیة القنوت فیما یجهر فیه علی ما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دلالته علی التقیة خفاء ، لأنّ ما تقدم </w:t>
      </w:r>
      <w:r>
        <w:rPr>
          <w:rStyle w:val="FootnoteAnchor"/>
          <w:rtl w:val="true"/>
        </w:rPr>
        <w:footnoteReference w:id="1142"/>
      </w:r>
      <w:r>
        <w:rPr>
          <w:rFonts w:ascii="IRNazanin" w:hAnsi="IRNazanin" w:eastAsia="IRNazanin"/>
          <w:color w:val="111111"/>
          <w:sz w:val="28"/>
          <w:sz w:val="28"/>
          <w:szCs w:val="28"/>
          <w:rtl w:val="true"/>
          <w:lang w:bidi="fa-IR"/>
        </w:rPr>
        <w:t>من الشیخ اقتضی حمل الأخبار کلها ، وقد اشتملت علی إطلاق وتقیید ، وظاهر الخبر المستدل به أنّه مع التقیة لا قنوت مطلقا ، وصدر الخبر المبحوث عنه کما تری یدل علی التخییر فی القنوت وعدمه ، وبمعونة ذلک إذا حمل علی بیان الجواز یدل علی أنّه مع التقیّة لا یجوز القنوت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الأولی حمل القنوت فی الخبر علی رفع الیدین لیتم صدره وعجزه ، إذ مع التقیة لا مانع من الدعاء بخلاف رفع الیدین ، وإن کان عند المخالفین القنوت برفع الیدین فی الجملة لا مانع منه إلاّ أنّه یجوز کون الترک أبلغ فی البعد عن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تضمنه الخبر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أتقلد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المرام ، وهم علیهم السلام أعلم بمقاصدهم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فی فوائد الکتاب نوع کلام فی حمل الخبر علی رفع</w:t>
      </w:r>
    </w:p>
    <w:p>
      <w:pPr>
        <w:pStyle w:val="Heading4"/>
        <w:numPr>
          <w:ilvl w:val="3"/>
          <w:numId w:val="1"/>
        </w:numPr>
        <w:rPr/>
      </w:pPr>
      <w:bookmarkStart w:id="868" w:name="__RefHeading___Toc348216_2142443653"/>
      <w:bookmarkStart w:id="869" w:name="_Toc339"/>
      <w:bookmarkEnd w:id="868"/>
      <w:r>
        <w:rPr>
          <w:rtl w:val="true"/>
        </w:rPr>
        <w:t>توجیه ما دل علی حصر القنوت فی الغداة والوتر والجمعة والمغرب</w:t>
      </w:r>
      <w:bookmarkEnd w:id="86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0" w:name="__RefHeading___Toc348218_2142443653"/>
      <w:bookmarkStart w:id="871" w:name="_Toc340"/>
      <w:bookmarkEnd w:id="870"/>
      <w:r>
        <w:rPr>
          <w:rtl w:val="true"/>
        </w:rPr>
        <w:t>بیان ما دل علی التخییر بین القنوت وعدمه وعدم جوازه مع التقیة</w:t>
      </w:r>
      <w:bookmarkStart w:id="872" w:name="pg15037_163911"/>
      <w:bookmarkEnd w:id="871"/>
    </w:p>
    <w:p>
      <w:pPr>
        <w:pStyle w:val="BookText"/>
        <w:rPr/>
      </w:pPr>
      <w:bookmarkEnd w:id="872"/>
      <w:r>
        <w:rPr>
          <w:rFonts w:ascii="IRNazanin" w:hAnsi="IRNazanin" w:eastAsia="IRNazanin"/>
          <w:color w:val="111111"/>
          <w:sz w:val="28"/>
          <w:sz w:val="28"/>
          <w:szCs w:val="28"/>
          <w:rtl w:val="true"/>
          <w:lang w:bidi="fa-IR"/>
        </w:rPr>
        <w:t xml:space="preserve">الیدین ، والحاصل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أتقلد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المتروک لا یخلو من خطر ، فلو کان 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الیدین فالترک لا خطر فیه لیحتاج إلی ما قاله علیه السلام ، بخلاف ما إذا کان المراد به </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الدعاء ، فإنّ احتمال الوجوب یقتضی التعبیر بما ذکره ، فلیتأمّل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أتقلد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أو أحمد بن محمّد؟</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محتمل ، ولکن </w:t>
      </w:r>
      <w:r>
        <w:rPr>
          <w:rStyle w:val="FootnoteAnchor"/>
          <w:rtl w:val="true"/>
        </w:rPr>
        <w:footnoteReference w:id="1144"/>
      </w:r>
      <w:r>
        <w:rPr>
          <w:rFonts w:ascii="IRNazanin" w:hAnsi="IRNazanin" w:eastAsia="IRNazanin"/>
          <w:color w:val="111111"/>
          <w:sz w:val="28"/>
          <w:sz w:val="28"/>
          <w:szCs w:val="28"/>
          <w:rtl w:val="true"/>
          <w:lang w:bidi="fa-IR"/>
        </w:rPr>
        <w:t xml:space="preserve">ما ذکرناه بناء علی احتمال ظهور کونه من الإمام علیه السلام ، وقد یحتمل أبو الحسن أن یکون علی بن مهزیار فیندفع بعض المحذور ، ولکن سیأتی ما ینفیه </w:t>
      </w:r>
      <w:r>
        <w:rPr>
          <w:rFonts w:eastAsia="IRNazanin" w:cs="IRNazanin"/>
          <w:color w:val="111111"/>
          <w:sz w:val="28"/>
          <w:szCs w:val="28"/>
          <w:rtl w:val="true"/>
          <w:lang w:bidi="fa-IR"/>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فاعلم أنّه ورد فی معتبر الأخبار الأمر بالقنوت فی کل صلاة فریضة ونافلة صریحا ، وأمّا خصوص القنوت ففی بعض </w:t>
      </w:r>
      <w:r>
        <w:rPr>
          <w:rStyle w:val="FootnoteAnchor"/>
          <w:rtl w:val="true"/>
        </w:rPr>
        <w:footnoteReference w:id="1146"/>
      </w:r>
      <w:r>
        <w:rPr>
          <w:rFonts w:ascii="IRNazanin" w:hAnsi="IRNazanin" w:eastAsia="IRNazanin"/>
          <w:color w:val="111111"/>
          <w:sz w:val="28"/>
          <w:sz w:val="28"/>
          <w:szCs w:val="28"/>
          <w:rtl w:val="true"/>
          <w:lang w:bidi="fa-IR"/>
        </w:rPr>
        <w:t xml:space="preserve">معتبر الأخبار بعد السؤال عما یقال فی القنوت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قضی الله علی لسانک ، ولا أعلم فیه شیئا موقّتا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ما یقتضی أنّه یجزئ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اغفر لنا وارحمنا وعافنا واعف عنا فی الدنیا والآخرة إنّک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 محقّقی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المنفی فی الأوّل الموظف المنقول عن النبی صلی الله علیه و آله </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وجه ، ولو حمل علی عدم الموظف المعین بحیث لا یجزئ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الفضل </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الفقیه روی عن الحلبی فی الصحیح أنّه سأل أبا عبد الله علیه السلام عن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3" w:name="__RefHeading___Toc348220_2142443653"/>
      <w:bookmarkStart w:id="874" w:name="_Toc341"/>
      <w:bookmarkEnd w:id="873"/>
      <w:r>
        <w:rPr>
          <w:rtl w:val="true"/>
        </w:rPr>
        <w:t>عدم تعیّن دعاء مخصوص فی القنوت</w:t>
      </w:r>
      <w:bookmarkStart w:id="875" w:name="pg15037_163912"/>
      <w:bookmarkEnd w:id="874"/>
    </w:p>
    <w:p>
      <w:pPr>
        <w:pStyle w:val="BookText"/>
        <w:rPr/>
      </w:pPr>
      <w:bookmarkEnd w:id="875"/>
      <w:r>
        <w:rPr>
          <w:rFonts w:ascii="IRNazanin" w:hAnsi="IRNazanin" w:eastAsia="IRNazanin"/>
          <w:color w:val="111111"/>
          <w:sz w:val="28"/>
          <w:sz w:val="28"/>
          <w:szCs w:val="28"/>
          <w:rtl w:val="true"/>
          <w:lang w:bidi="fa-IR"/>
        </w:rPr>
        <w:t xml:space="preserve">القنوت فیه قول معلوم؟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أثن علی ربک وصلّ علی نبیک واستغفر لذنبک </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 xml:space="preserve">ولعلّ الجواب یفید عدم التعین </w:t>
      </w:r>
      <w:r>
        <w:rPr>
          <w:rStyle w:val="FootnoteAnchor"/>
          <w:rtl w:val="true"/>
        </w:rPr>
        <w:footnoteReference w:id="1150"/>
      </w:r>
      <w:r>
        <w:rPr>
          <w:rFonts w:ascii="IRNazanin" w:hAnsi="IRNazanin" w:eastAsia="IRNazanin"/>
          <w:color w:val="111111"/>
          <w:sz w:val="28"/>
          <w:sz w:val="28"/>
          <w:szCs w:val="28"/>
          <w:rtl w:val="true"/>
          <w:lang w:bidi="fa-IR"/>
        </w:rPr>
        <w:t>، وإنّما ذکر علیه السلام ما ذکره علی وجه الإعلام باختیار الأکمل ، وإن کان ظاهر السؤال عن المعلوم والجواب مطابق له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معتبر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القنوت کلّه جهار </w:t>
      </w:r>
      <w:r>
        <w:rPr>
          <w:rStyle w:val="FootnoteAnchor"/>
          <w:rtl w:val="true"/>
        </w:rPr>
        <w:footnoteReference w:id="1151"/>
      </w:r>
      <w:r>
        <w:rPr>
          <w:rFonts w:ascii="IRNazanin" w:hAnsi="IRNazanin" w:eastAsia="IRNazanin"/>
          <w:color w:val="111111"/>
          <w:sz w:val="28"/>
          <w:sz w:val="28"/>
          <w:szCs w:val="28"/>
          <w:rtl w:val="true"/>
          <w:lang w:bidi="fa-IR"/>
        </w:rPr>
        <w:t xml:space="preserve">، وحمله بعض الأصحاب علی غیر المأموم </w:t>
      </w:r>
      <w:r>
        <w:rPr>
          <w:rStyle w:val="FootnoteAnchor"/>
          <w:rtl w:val="true"/>
        </w:rPr>
        <w:footnoteReference w:id="1152"/>
      </w:r>
      <w:r>
        <w:rPr>
          <w:rFonts w:ascii="IRNazanin" w:hAnsi="IRNazanin" w:eastAsia="IRNazanin"/>
          <w:color w:val="111111"/>
          <w:sz w:val="28"/>
          <w:sz w:val="28"/>
          <w:szCs w:val="28"/>
          <w:rtl w:val="true"/>
          <w:lang w:bidi="fa-IR"/>
        </w:rPr>
        <w:t xml:space="preserve">، وکأنّه لما ورد فی الأخبار من أنّه لا یسمع الإمام شیئا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رفع الیدین مضمومة الأصابع إلاّ الإبهام وبسط الکف وجعله إلی السماء محاذیا للوجه ، ففی روایة </w:t>
      </w:r>
      <w:r>
        <w:rPr>
          <w:rStyle w:val="FootnoteAnchor"/>
          <w:rtl w:val="true"/>
        </w:rPr>
        <w:footnoteReference w:id="1154"/>
      </w:r>
      <w:r>
        <w:rPr>
          <w:rFonts w:ascii="IRNazanin" w:hAnsi="IRNazanin" w:eastAsia="IRNazanin"/>
          <w:color w:val="111111"/>
          <w:sz w:val="28"/>
          <w:sz w:val="28"/>
          <w:szCs w:val="28"/>
          <w:rtl w:val="true"/>
          <w:lang w:bidi="fa-IR"/>
        </w:rPr>
        <w:t xml:space="preserve">موجود ، وعدم إمرار الید علی الوجه آخره لروایة تضمنت النهی عنه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التشهد وأقل ما یجزئ منه</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أبیه ، عن سعد بن عبد الله ، عن العباس بن معروف ، عن علی بن مهزیار ، عن حماد </w:t>
      </w:r>
      <w:r>
        <w:rPr>
          <w:rStyle w:val="FootnoteAnchor"/>
          <w:rtl w:val="true"/>
        </w:rPr>
        <w:footnoteReference w:id="1156"/>
      </w:r>
      <w:r>
        <w:rPr>
          <w:rFonts w:ascii="IRNazanin" w:hAnsi="IRNazanin" w:eastAsia="IRNazanin"/>
          <w:color w:val="111111"/>
          <w:sz w:val="28"/>
          <w:sz w:val="28"/>
          <w:szCs w:val="28"/>
          <w:rtl w:val="true"/>
          <w:lang w:bidi="fa-IR"/>
        </w:rPr>
        <w:t xml:space="preserve">، عن حریز بن عبد الله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Heading3"/>
        <w:numPr>
          <w:ilvl w:val="2"/>
          <w:numId w:val="1"/>
        </w:numPr>
        <w:rPr/>
      </w:pPr>
      <w:bookmarkStart w:id="876" w:name="__RefHeading___Toc348222_2142443653"/>
      <w:bookmarkStart w:id="877" w:name="_Toc342"/>
      <w:bookmarkEnd w:id="876"/>
      <w:r>
        <w:rPr>
          <w:rtl w:val="true"/>
        </w:rPr>
        <w:t>وجوب التشهد وأقل ما یجزئ عنه</w:t>
      </w:r>
      <w:bookmarkEnd w:id="87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8" w:name="__RefHeading___Toc348224_2142443653"/>
      <w:bookmarkStart w:id="879" w:name="_Toc343"/>
      <w:bookmarkEnd w:id="878"/>
      <w:r>
        <w:rPr>
          <w:rtl w:val="true"/>
        </w:rPr>
        <w:t>اشارة</w:t>
      </w:r>
      <w:bookmarkEnd w:id="879"/>
    </w:p>
    <w:p>
      <w:pPr>
        <w:pStyle w:val="BookText"/>
        <w:rPr/>
      </w:pPr>
      <w:r>
        <w:rPr>
          <w:rFonts w:ascii="IRNazanin" w:hAnsi="IRNazanin" w:eastAsia="IRNazanin"/>
          <w:color w:val="111111"/>
          <w:sz w:val="28"/>
          <w:sz w:val="28"/>
          <w:szCs w:val="28"/>
          <w:rtl w:val="true"/>
          <w:lang w:bidi="fa-IR"/>
        </w:rPr>
        <w:t xml:space="preserve">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یجزئ من القول فی التشهد فی الرکعتین الأوّلتین؟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یقول </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یجزئ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تشهد الرکعتین </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 xml:space="preserve">الأخیرتین؟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الشهادتان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محمّد بن یحیی ، عن الحجال ، عن ثعلبة بن میمون ، عن یحیی بن طلحة ، عن سورة بن کلیب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أدنی ما یجزئ فی </w:t>
      </w:r>
      <w:r>
        <w:rPr>
          <w:rStyle w:val="FootnoteAnchor"/>
          <w:rtl w:val="true"/>
        </w:rPr>
        <w:footnoteReference w:id="1159"/>
      </w:r>
      <w:r>
        <w:rPr>
          <w:rFonts w:ascii="IRNazanin" w:hAnsi="IRNazanin" w:eastAsia="IRNazanin"/>
          <w:color w:val="111111"/>
          <w:sz w:val="28"/>
          <w:sz w:val="28"/>
          <w:szCs w:val="28"/>
          <w:rtl w:val="true"/>
          <w:lang w:bidi="fa-IR"/>
        </w:rPr>
        <w:t xml:space="preserve">التشهد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الشهادتان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ابن أبی عمیر ، عن سعد بن بکر ، عن حبیب الخثعمی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جلس الرجل للتشهد فحمد الله وأثنی علیه أجزأه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محمد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التشهد الذی فی الثانیة یجزئ أن أقوله فی الرابعة؟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یعقوب ، عن محمّد بن یحیی ، عن أحمد بن محمّد ، عن الحسین بن سعید ، عن عثمان بن عیسی ، عن منصور بن حازم ، عن بکر بن حبیب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التشهد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کما یقولون واجبا علی الناس هلکوا ، إنّما کان القوم یقولون أیسر ما یعلمون ، إذا حمدت الله أجزأک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هذا الخبر أنّ نفی الوجوب إنّما توجه إلی ما زاد </w:t>
      </w:r>
      <w:bookmarkStart w:id="880" w:name="pg15037_163914"/>
    </w:p>
    <w:p>
      <w:pPr>
        <w:pStyle w:val="BookText"/>
        <w:rPr/>
      </w:pPr>
      <w:bookmarkEnd w:id="880"/>
      <w:r>
        <w:rPr>
          <w:rFonts w:ascii="IRNazanin" w:hAnsi="IRNazanin" w:eastAsia="IRNazanin"/>
          <w:color w:val="111111"/>
          <w:sz w:val="28"/>
          <w:sz w:val="28"/>
          <w:szCs w:val="28"/>
          <w:rtl w:val="true"/>
          <w:lang w:bidi="fa-IR"/>
        </w:rPr>
        <w:t>علی الشهادتین ؛ لأنّ ذلک مستحب ولیس بواجب مثل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أحمد بن محمّد ، عن علی بن الحکم ، عن أبی أیوب الخزّاز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التشهد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مرّتین؟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استویت جالسا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 وأشهد أن محمدا عبده ورسوله ، ثم تنصرف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التحیات لله والصلوات الطیبات 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اللطف </w:t>
      </w:r>
      <w:r>
        <w:rPr>
          <w:rStyle w:val="FootnoteAnchor"/>
          <w:rtl w:val="true"/>
        </w:rPr>
        <w:footnoteReference w:id="1160"/>
      </w:r>
      <w:r>
        <w:rPr>
          <w:rFonts w:ascii="IRNazanin" w:hAnsi="IRNazanin" w:eastAsia="IRNazanin"/>
          <w:color w:val="111111"/>
          <w:sz w:val="28"/>
          <w:sz w:val="28"/>
          <w:szCs w:val="28"/>
          <w:rtl w:val="true"/>
          <w:lang w:bidi="fa-IR"/>
        </w:rPr>
        <w:t xml:space="preserve">من الدعاء ، یلطّف العبد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بعد ما قدمناه فی محمّد بن قولویه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الحجّال ، والمعروف به عبد الله بن محمّد الثقة ، غیر أنّ روایة محمّد بن یحیی العطار عنه فی الظن أنّها غیر معقولة ؛ لأنّ الحجال من أصحاب الرضا علیه السلام فی کتاب الشیخ </w:t>
      </w:r>
      <w:r>
        <w:rPr>
          <w:rStyle w:val="FootnoteAnchor"/>
          <w:rtl w:val="true"/>
        </w:rPr>
        <w:footnoteReference w:id="1162"/>
      </w:r>
      <w:r>
        <w:rPr>
          <w:rFonts w:ascii="IRNazanin" w:hAnsi="IRNazanin" w:eastAsia="IRNazanin"/>
          <w:color w:val="111111"/>
          <w:sz w:val="28"/>
          <w:sz w:val="28"/>
          <w:szCs w:val="28"/>
          <w:rtl w:val="true"/>
          <w:lang w:bidi="fa-IR"/>
        </w:rPr>
        <w:t xml:space="preserve">، والراوی عنه فی الفهرست سعد بن عبد الله عن الحسن بن علی الکوفی عن الحجال </w:t>
      </w:r>
      <w:r>
        <w:rPr>
          <w:rStyle w:val="FootnoteAnchor"/>
          <w:rtl w:val="true"/>
        </w:rPr>
        <w:footnoteReference w:id="1163"/>
      </w:r>
      <w:r>
        <w:rPr>
          <w:rFonts w:ascii="IRNazanin" w:hAnsi="IRNazanin" w:eastAsia="IRNazanin"/>
          <w:color w:val="111111"/>
          <w:sz w:val="28"/>
          <w:sz w:val="28"/>
          <w:szCs w:val="28"/>
          <w:rtl w:val="true"/>
          <w:lang w:bidi="fa-IR"/>
        </w:rPr>
        <w:t>، فکیف یروی عنه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واللازم من تعمیر الحجال عدم اختصاصه بالرضا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الحجال غیر عبد الله بن محمّد ، وفی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1" w:name="__RefHeading___Toc348226_2142443653"/>
      <w:bookmarkStart w:id="882" w:name="_Toc344"/>
      <w:bookmarkEnd w:id="881"/>
      <w:r>
        <w:rPr>
          <w:rtl w:val="true"/>
        </w:rPr>
        <w:t>بحث حول الحجّال</w:t>
      </w:r>
      <w:bookmarkStart w:id="883" w:name="pg15037_163915"/>
      <w:bookmarkEnd w:id="882"/>
    </w:p>
    <w:p>
      <w:pPr>
        <w:pStyle w:val="BookText"/>
        <w:rPr/>
      </w:pPr>
      <w:bookmarkEnd w:id="883"/>
      <w:r>
        <w:rPr>
          <w:rFonts w:ascii="IRNazanin" w:hAnsi="IRNazanin" w:eastAsia="IRNazanin"/>
          <w:color w:val="111111"/>
          <w:sz w:val="28"/>
          <w:sz w:val="28"/>
          <w:szCs w:val="28"/>
          <w:rtl w:val="true"/>
          <w:lang w:bidi="fa-IR"/>
        </w:rPr>
        <w:t xml:space="preserve">التهذیب کما هنا </w:t>
      </w:r>
      <w:r>
        <w:rPr>
          <w:rStyle w:val="FootnoteAnchor"/>
          <w:rtl w:val="true"/>
        </w:rPr>
        <w:footnoteReference w:id="1164"/>
      </w:r>
      <w:r>
        <w:rPr>
          <w:rFonts w:ascii="IRNazanin" w:hAnsi="IRNazanin" w:eastAsia="IRNazanin"/>
          <w:color w:val="111111"/>
          <w:sz w:val="28"/>
          <w:sz w:val="28"/>
          <w:szCs w:val="28"/>
          <w:rtl w:val="true"/>
          <w:lang w:bidi="fa-IR"/>
        </w:rPr>
        <w:t xml:space="preserve">، وذکر النجاشی أنّ الراوی عن ثعلبة بن میمون عبد الله بن محمد الحجال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المزخرف </w:t>
      </w:r>
      <w:r>
        <w:rPr>
          <w:rStyle w:val="FootnoteAnchor"/>
          <w:rtl w:val="true"/>
        </w:rPr>
        <w:footnoteReference w:id="1165"/>
      </w:r>
      <w:r>
        <w:rPr>
          <w:rFonts w:ascii="IRNazanin" w:hAnsi="IRNazanin" w:eastAsia="IRNazanin"/>
          <w:color w:val="111111"/>
          <w:sz w:val="28"/>
          <w:sz w:val="28"/>
          <w:szCs w:val="28"/>
          <w:rtl w:val="true"/>
          <w:lang w:bidi="fa-IR"/>
        </w:rPr>
        <w:t>، وهو یعیّن الاتحاد ، والخلل فی روایة محمّد بن یحیی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یحیی بن طلحة فلم أقف علیه فی الرجال </w:t>
      </w:r>
      <w:r>
        <w:rPr>
          <w:rFonts w:eastAsia="IRNazanin" w:cs="IRNazanin"/>
          <w:color w:val="111111"/>
          <w:sz w:val="28"/>
          <w:szCs w:val="28"/>
          <w:rtl w:val="true"/>
          <w:lang w:bidi="fa-IR"/>
        </w:rPr>
        <w:t xml:space="preserve">) </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وسورة بن کلیب لا یزید علی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سعد بن بکر ، وهو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حبیب الخثعمی ففی الرجال بهذا العنوان فی الفهرست ، والراوی عنه ابن أبی عمیر </w:t>
      </w:r>
      <w:r>
        <w:rPr>
          <w:rStyle w:val="FootnoteAnchor"/>
          <w:rtl w:val="true"/>
        </w:rPr>
        <w:footnoteReference w:id="1167"/>
      </w:r>
      <w:r>
        <w:rPr>
          <w:rFonts w:ascii="IRNazanin" w:hAnsi="IRNazanin" w:eastAsia="IRNazanin"/>
          <w:color w:val="111111"/>
          <w:sz w:val="28"/>
          <w:sz w:val="28"/>
          <w:szCs w:val="28"/>
          <w:rtl w:val="true"/>
          <w:lang w:bidi="fa-IR"/>
        </w:rPr>
        <w:t xml:space="preserve">، وفی رجال الصادق علیه السلام من کتاب الشیخ حبیب الأحول الخثعمی </w:t>
      </w:r>
      <w:r>
        <w:rPr>
          <w:rStyle w:val="FootnoteAnchor"/>
          <w:rtl w:val="true"/>
        </w:rPr>
        <w:footnoteReference w:id="1168"/>
      </w:r>
      <w:r>
        <w:rPr>
          <w:rFonts w:ascii="IRNazanin" w:hAnsi="IRNazanin" w:eastAsia="IRNazanin"/>
          <w:color w:val="111111"/>
          <w:sz w:val="28"/>
          <w:sz w:val="28"/>
          <w:szCs w:val="28"/>
          <w:rtl w:val="true"/>
          <w:lang w:bidi="fa-IR"/>
        </w:rPr>
        <w:t>، والرجلان مهملان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النجاشی حبیب بن المعلل الخثعمی ثقة ثقة صحیح له کتاب رواه محمّد بن أبی عمیر </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اتحاده مع من فی الفهرست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الأحول فغیر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الروایة هنا بواسطة بین ابن أبی عمیر وبین حبیب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النجاشی أنّه روی عن أبی عبد الله وأبی الحسن والرضا علیهم السلام ، والروایة کما تری عن أبی جعفر علیه السلام ، وهذا یقتضی روایته عن أربع من الأئمّة ، فلا یبعد أن یکون اقتصار النجاشی یوجب نوع ارتیاب فی الروایة هنا ، والشیخ فی رجال الصادق علیه السلام ذکر حبیب بن المعلل الخثعمی مهملا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4" w:name="__RefHeading___Toc348228_2142443653"/>
      <w:bookmarkStart w:id="885" w:name="_Toc345"/>
      <w:bookmarkEnd w:id="884"/>
      <w:r>
        <w:rPr>
          <w:rtl w:val="true"/>
        </w:rPr>
        <w:t>یحیی بن طلحة غیر مذکور فی الرجال</w:t>
      </w:r>
      <w:bookmarkEnd w:id="885"/>
    </w:p>
    <w:p>
      <w:pPr>
        <w:pStyle w:val="Heading4"/>
        <w:numPr>
          <w:ilvl w:val="3"/>
          <w:numId w:val="1"/>
        </w:numPr>
        <w:rPr/>
      </w:pPr>
      <w:bookmarkStart w:id="886" w:name="__RefHeading___Toc348230_2142443653"/>
      <w:bookmarkStart w:id="887" w:name="_Toc346"/>
      <w:bookmarkEnd w:id="886"/>
      <w:r>
        <w:rPr>
          <w:rtl w:val="true"/>
        </w:rPr>
        <w:t>سورة بن کلیب مهمل</w:t>
      </w:r>
      <w:bookmarkEnd w:id="887"/>
    </w:p>
    <w:p>
      <w:pPr>
        <w:pStyle w:val="Heading4"/>
        <w:numPr>
          <w:ilvl w:val="3"/>
          <w:numId w:val="1"/>
        </w:numPr>
        <w:rPr/>
      </w:pPr>
      <w:bookmarkStart w:id="888" w:name="__RefHeading___Toc348232_2142443653"/>
      <w:bookmarkStart w:id="889" w:name="_Toc347"/>
      <w:bookmarkEnd w:id="888"/>
      <w:r>
        <w:rPr>
          <w:rtl w:val="true"/>
        </w:rPr>
        <w:t>سعد بن بکر مجهول</w:t>
      </w:r>
      <w:bookmarkEnd w:id="88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0" w:name="__RefHeading___Toc348234_2142443653"/>
      <w:bookmarkStart w:id="891" w:name="_Toc348"/>
      <w:bookmarkEnd w:id="890"/>
      <w:r>
        <w:rPr>
          <w:rtl w:val="true"/>
        </w:rPr>
        <w:t>بحث حول حبیب الخثعمی</w:t>
      </w:r>
      <w:bookmarkStart w:id="892" w:name="pg15037_163916"/>
      <w:bookmarkEnd w:id="891"/>
    </w:p>
    <w:p>
      <w:pPr>
        <w:pStyle w:val="BookText"/>
        <w:rPr/>
      </w:pPr>
      <w:bookmarkEnd w:id="892"/>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عثمان بن عیسی وبکر بن حبیب ، والأوّل تکرر القول فیه </w:t>
      </w:r>
      <w:r>
        <w:rPr>
          <w:rStyle w:val="FootnoteAnchor"/>
          <w:rtl w:val="true"/>
        </w:rPr>
        <w:footnoteReference w:id="1171"/>
      </w:r>
      <w:r>
        <w:rPr>
          <w:rFonts w:ascii="IRNazanin" w:hAnsi="IRNazanin" w:eastAsia="IRNazanin"/>
          <w:color w:val="111111"/>
          <w:sz w:val="28"/>
          <w:sz w:val="28"/>
          <w:szCs w:val="28"/>
          <w:rtl w:val="true"/>
          <w:lang w:bidi="fa-IR"/>
        </w:rPr>
        <w:t xml:space="preserve">، والثانی مهمل فی الرجال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الحال ؛ لما مضی فی علی بن الحکم من المقال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الاکتفاء فی التشهد الأوّل بالشهادة المذکورة ، والتشهد الثانی لا بدّ فیه من الشهادتین ، والتعریف فیهما کأنّه للمعهود الذهنی ، ولو کان للخارجی أشکل بما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المعروف بین الأصحاب وجوب الشهادتین فی التشهدین </w:t>
      </w:r>
      <w:r>
        <w:rPr>
          <w:rStyle w:val="FootnoteAnchor"/>
          <w:rtl w:val="true"/>
        </w:rPr>
        <w:footnoteReference w:id="1174"/>
      </w:r>
      <w:r>
        <w:rPr>
          <w:rFonts w:ascii="IRNazanin" w:hAnsi="IRNazanin" w:eastAsia="IRNazanin"/>
          <w:color w:val="111111"/>
          <w:sz w:val="28"/>
          <w:sz w:val="28"/>
          <w:szCs w:val="28"/>
          <w:rtl w:val="true"/>
          <w:lang w:bidi="fa-IR"/>
        </w:rPr>
        <w:t xml:space="preserve">، بل قال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إجماعی فیما یظهر </w:t>
      </w:r>
      <w:r>
        <w:rPr>
          <w:rStyle w:val="FootnoteAnchor"/>
          <w:rtl w:val="true"/>
        </w:rPr>
        <w:footnoteReference w:id="1175"/>
      </w:r>
      <w:r>
        <w:rPr>
          <w:rFonts w:ascii="IRNazanin" w:hAnsi="IRNazanin" w:eastAsia="IRNazanin"/>
          <w:color w:val="111111"/>
          <w:sz w:val="28"/>
          <w:sz w:val="28"/>
          <w:szCs w:val="28"/>
          <w:rtl w:val="true"/>
          <w:lang w:bidi="fa-IR"/>
        </w:rPr>
        <w:t xml:space="preserve">، وعلی هذا فالتأویل فی الخبر لا بدّ منه ، إمّا بما ذکره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اکتفائه علیه السلام بما ذکر اعتمادا علی التلازم العادی </w:t>
      </w:r>
      <w:r>
        <w:rPr>
          <w:rStyle w:val="FootnoteAnchor"/>
          <w:rtl w:val="true"/>
        </w:rPr>
        <w:footnoteReference w:id="1176"/>
      </w:r>
      <w:r>
        <w:rPr>
          <w:rFonts w:ascii="IRNazanin" w:hAnsi="IRNazanin" w:eastAsia="IRNazanin"/>
          <w:color w:val="111111"/>
          <w:sz w:val="28"/>
          <w:sz w:val="28"/>
          <w:szCs w:val="28"/>
          <w:rtl w:val="true"/>
          <w:lang w:bidi="fa-IR"/>
        </w:rPr>
        <w:t>، وإن کان فیه نوع تأمّل ؛ لأنّ ظاهر السؤال عما یجزئ فی التشهد ، والجواب کما تری یدل علی أنّ هذا المذکور یجزئ ، والتلازم العادی غیر معلوم ، وبتقدیره یشکل</w:t>
      </w:r>
    </w:p>
    <w:p>
      <w:pPr>
        <w:pStyle w:val="Heading4"/>
        <w:numPr>
          <w:ilvl w:val="3"/>
          <w:numId w:val="1"/>
        </w:numPr>
        <w:rPr/>
      </w:pPr>
      <w:bookmarkStart w:id="893" w:name="__RefHeading___Toc348236_2142443653"/>
      <w:bookmarkStart w:id="894" w:name="_Toc349"/>
      <w:bookmarkEnd w:id="893"/>
      <w:r>
        <w:rPr>
          <w:rtl w:val="true"/>
        </w:rPr>
        <w:t>بکر بن حبیب مهمل</w:t>
      </w:r>
      <w:bookmarkEnd w:id="89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5" w:name="__RefHeading___Toc348238_2142443653"/>
      <w:bookmarkStart w:id="896" w:name="_Toc350"/>
      <w:bookmarkEnd w:id="895"/>
      <w:r>
        <w:rPr>
          <w:rtl w:val="true"/>
        </w:rPr>
        <w:t>بیان ما دل علی وجوب التشهد وکیفیته</w:t>
      </w:r>
      <w:bookmarkEnd w:id="896"/>
    </w:p>
    <w:p>
      <w:pPr>
        <w:pStyle w:val="BookText"/>
        <w:rPr/>
      </w:pPr>
      <w:r>
        <w:rPr>
          <w:rFonts w:ascii="IRNazanin" w:hAnsi="IRNazanin" w:eastAsia="IRNazanin"/>
          <w:color w:val="111111"/>
          <w:sz w:val="28"/>
          <w:sz w:val="28"/>
          <w:szCs w:val="28"/>
          <w:rtl w:val="true"/>
          <w:lang w:bidi="fa-IR"/>
        </w:rPr>
        <w:t xml:space="preserve">اعتباره بل ینبغی التلازم الشرعی ، وأصالة عدم النقل لا وجه لها فی المقام ، 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التلازم فی الشهادة بالرسالة للشهادة بالوحدانیة ، أمکن ، لکن الأمر بالعکس ، غیر أنّ التوجیه 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یحتمل أن یکون السائل عالما بالحال وإنّما السؤال عن کیفیة الشهادة بالوحدانیة ، وفیه الإشکال الأوّل لکن ربّما یقرب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عدم الخلاف لا بدّ من التوصل إلی التأویل وإن بعد ، وما عساه یظن من أنّ الشیخ قائل بمضمون الروایة حیث بدأ بها فی أوّل الباب ، وقد قرر فی أوّل الکتاب </w:t>
      </w:r>
      <w:r>
        <w:rPr>
          <w:rStyle w:val="FootnoteAnchor"/>
          <w:rtl w:val="true"/>
        </w:rPr>
        <w:footnoteReference w:id="1177"/>
      </w:r>
      <w:r>
        <w:rPr>
          <w:rFonts w:ascii="IRNazanin" w:hAnsi="IRNazanin" w:eastAsia="IRNazanin"/>
          <w:color w:val="111111"/>
          <w:sz w:val="28"/>
          <w:sz w:val="28"/>
          <w:szCs w:val="28"/>
          <w:rtl w:val="true"/>
          <w:lang w:bidi="fa-IR"/>
        </w:rPr>
        <w:t xml:space="preserve">ما یفید الاعتماد علی ما ینقله أوّلا ،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الاطراد من الشیخ کما یعلم من ملاحظة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الأخبار الأوّلة ما یفید اعتبار الشهادتین علی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الثانی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الثانی أدنی ما یجزئ فی التشهد ، وهو لا یخرج عن الإطلاق </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 xml:space="preserve">والأوّل مقید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تقیید الأوّل بالنسبة إلی التشهد الأوّل بالخبر الثانی ، وعلی کل حال مرام الشیخ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لیحصل به تحقق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یقال فی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دلالتهما علی عدم وجوب الصلاة علی النبی صلی الله علیه و آله </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الخبرین إنّما مورد السؤال فیهما عن التشهد ، والصلاة علی النبی صلی الله علیه و آله خارجة عن حقیقته ، لأنّ التشهد تفعّل من الشهادة ، وهی الخبر القاطع</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التشهد صار فی قوة العلمیة للمسموع من </w:t>
      </w:r>
    </w:p>
    <w:p>
      <w:pPr>
        <w:pStyle w:val="BookText"/>
        <w:rPr/>
      </w:pPr>
      <w:r>
        <w:rPr>
          <w:rFonts w:ascii="IRNazanin" w:hAnsi="IRNazanin" w:eastAsia="IRNazanin"/>
          <w:color w:val="111111"/>
          <w:sz w:val="28"/>
          <w:sz w:val="28"/>
          <w:szCs w:val="28"/>
          <w:rtl w:val="true"/>
          <w:lang w:bidi="fa-IR"/>
        </w:rPr>
        <w:t xml:space="preserve">الشهادتین والصلاة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الإطلاق بتقدیر کونه حقیقة یجوز الخروج عنها للدلیل إن ثبت ، وستسمعه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الثانی کما تری یدل علی أنّ الشهادتین مجزئة علی الإطلاق ، وفی الشهادة بالوحدانیة یمکن تقییده بما تضمّنه الأوّل ، أمّا الشهادة بالرسالة فیمکن بقاء الإطلاق فیها ، فیؤتی بها بأیّ وجه کان ، کما قرّره بعض الأصحاب فی کتب الفروع </w:t>
      </w: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یقیّد بما رواه الشیخ فی التهذیب ، عن الحسین بن سعید ، عن صفوان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بکیر ، عن عبد الملک بن عمرو الأحول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التشهد فی الرکعتین الأوّلتین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أشهد أن لا إله إلاّ الله وحده لا شریک له ، وأشهد أنّ محمدا عبده ورسوله ، اللهم صلّ علی محمّد وآل محمّد ، وتقبّل شفاعته وارفع درجته </w:t>
      </w:r>
      <w:r>
        <w:rPr>
          <w:rFonts w:eastAsia="IRNazanin" w:cs="IRNazanin"/>
          <w:color w:val="111111"/>
          <w:sz w:val="28"/>
          <w:szCs w:val="28"/>
          <w:rtl w:val="true"/>
          <w:lang w:bidi="fa-IR"/>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الحدیث وإن کان عبد الملک فیه لا یخلو من کلام فی صلاحیة حدیثه للاعتماد کما قدمناه عن قریب </w:t>
      </w:r>
      <w:r>
        <w:rPr>
          <w:rStyle w:val="FootnoteAnchor"/>
          <w:rtl w:val="true"/>
        </w:rPr>
        <w:footnoteReference w:id="1183"/>
      </w:r>
      <w:r>
        <w:rPr>
          <w:rFonts w:ascii="IRNazanin" w:hAnsi="IRNazanin" w:eastAsia="IRNazanin"/>
          <w:color w:val="111111"/>
          <w:sz w:val="28"/>
          <w:sz w:val="28"/>
          <w:szCs w:val="28"/>
          <w:rtl w:val="true"/>
          <w:lang w:bidi="fa-IR"/>
        </w:rPr>
        <w:t xml:space="preserve">، إلاّ أنّه بالنسبة إلی الشیخ یمکن ما قلناه وإلی غیره ممّن یظن فی معنی الإجماع علی تصحیح ما یصح عن الرجل أنّ ما بعده لا یضر بحال الصحة وإن ضعف یمکن أیضا بتقدیر الاعتماد علی الثانی ، وبدونه فالأوّل کاف فی الحکم المذکور ، لأنّ فیه إطلاقا </w:t>
      </w:r>
      <w:r>
        <w:rPr>
          <w:rStyle w:val="FootnoteAnchor"/>
          <w:rtl w:val="true"/>
        </w:rPr>
        <w:footnoteReference w:id="1184"/>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والعجب من بعض محققی المعاصرین </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یذکر خبر عبد الملک فی الصحاح ولا فی غیرها ، بل ذکره فی مقام التأیید لغیره ، والحال ما قد سمعت ، علی أنّ الخبر الأوّل قد صرّح بأنّ الإطلاق فیه للمعروف من الشهادة ، وبتقدیر الاعتماد علی خبر عبد الملک یصیر التقیید به واضحا ، فتکون العهدیّة واضحة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الملک موصوف بالأحول ، والذی اعتمد علی مدحه بل توثیقه فی کلام بعض </w:t>
      </w:r>
      <w:r>
        <w:rPr>
          <w:rStyle w:val="FootnoteAnchor"/>
          <w:rtl w:val="true"/>
        </w:rPr>
        <w:footnoteReference w:id="1186"/>
      </w:r>
      <w:r>
        <w:rPr>
          <w:rFonts w:ascii="IRNazanin" w:hAnsi="IRNazanin" w:eastAsia="IRNazanin"/>
          <w:color w:val="111111"/>
          <w:sz w:val="28"/>
          <w:sz w:val="28"/>
          <w:szCs w:val="28"/>
          <w:rtl w:val="true"/>
          <w:lang w:bidi="fa-IR"/>
        </w:rPr>
        <w:t xml:space="preserve">صریحا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الظن أنّه موهوم ، لأنّه نقله عن الکشی ولیس فیه ما یقتضیه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وصف الأحول ، لإمکان الجواب بأنّ الشیخ ذکر فی رجال الصادق علیه السلام عبد الملک بن عمرو الأحول </w:t>
      </w:r>
      <w:r>
        <w:rPr>
          <w:rStyle w:val="FootnoteAnchor"/>
          <w:rtl w:val="true"/>
        </w:rPr>
        <w:footnoteReference w:id="1187"/>
      </w:r>
      <w:r>
        <w:rPr>
          <w:rFonts w:ascii="IRNazanin" w:hAnsi="IRNazanin" w:eastAsia="IRNazanin"/>
          <w:color w:val="111111"/>
          <w:sz w:val="28"/>
          <w:sz w:val="28"/>
          <w:szCs w:val="28"/>
          <w:rtl w:val="true"/>
          <w:lang w:bidi="fa-IR"/>
        </w:rPr>
        <w:t xml:space="preserve">، والظاهر أنّه المذکور فی الکشی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کل حال بعد وجود ابن بکیر عند القائل بما ذکرناه فی معنی الإجماع لا عذر لترک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وصفه جدّی قدس سره بالصحة فی الروضة </w:t>
      </w:r>
      <w:r>
        <w:rPr>
          <w:rStyle w:val="FootnoteAnchor"/>
          <w:rtl w:val="true"/>
        </w:rPr>
        <w:footnoteReference w:id="1189"/>
      </w:r>
      <w:r>
        <w:rPr>
          <w:rFonts w:ascii="IRNazanin" w:hAnsi="IRNazanin" w:eastAsia="IRNazanin"/>
          <w:color w:val="111111"/>
          <w:sz w:val="28"/>
          <w:sz w:val="28"/>
          <w:szCs w:val="28"/>
          <w:rtl w:val="true"/>
          <w:lang w:bidi="fa-IR"/>
        </w:rPr>
        <w:t>، والحال ما تری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تضمنه الخبر المذکور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لفظ الحمد لله من التشهد ، کما أنّ الصلاة علی النبی صلی الله علیه و آله مع إله علیهم السلام منه ، وکذلک وتقبل شفاعته ، إلاّ أنّ الإجماع أخرج الحمد لله وتقبل شفاعته ، وحینئذ یتأیّد ما قلناه عن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التشهد یقال للصلاة علی محمّد وإله صلوات الله علیهم مع الشهادتین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کلّه علی تقدیر العمل بالخبر ، وبدونه فإطلاق الأوّل یقتضی الإتیان بالشهادة بالرسالة کیف اتفقت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بالضمیر أو الظاهر أو التوزیع علی </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 xml:space="preserve">نحو ما قرره البعض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یظن منه أنّ الحمد والثناء فیه محمول علی ما قبل التشهد ، ولو حمل علی ظاهره کان واضح المنافاة لما تقدم ، مع عدم معلومیة القائل به ، لکن الشیخ کما تری حیث لم یذکره فی المنافی ربما یستفاد منه القول به ، غیر أنّ الاعتماد علی الفتوی من الشیخ هنا محل تأمّل کما کررنا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ظاهرا علی أنّ التشهد فی الأوّل یجزئ فی الثانی ، ولمّا کان الخبر الأوّل بظاهره دالاّ علی الاکتفاء بالشهادة بالوحدانیة ، ربّما یدل هذا الخبر المبحوث عنه علی إجزائه فی الثانی ، والأوّل لمّا تضمن الشهادتین فی الثانی یمکن حمله علی الأفضل ، لکن الإجماع المظنون من البعض أو الشهرة یقتضی أن یحمل الأوّل علی معلومیة الشهادة بالرسالة فی کونها تابعة ، وحینئذ یفید هذا الخبر أنّ فی التشهد الأوّل الشهادتین ، لدلالة الخبر الأوّل علیهما ، وإن کان فی البین نوع إشکال من حیث إنّ الظاهر کون التشهد الأوّل غیر الثانی ، لکن عدم معلومیة القائل یسهل الخطب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یستفاد من هذا الخبر أنّ الصلاة علی النبی وإله علیهم السلام فی الثانی کالأوّل ، لدلالة خبر عبد الملک علی أنّ فی الأوّل الصلاة ، ودلالة هذا علی المساواة ، وقد یشکل بأنّ ظاهر الخبر المبحوث عنه خلاف ذلک ، بل </w:t>
      </w:r>
    </w:p>
    <w:p>
      <w:pPr>
        <w:pStyle w:val="BookText"/>
        <w:rPr/>
      </w:pPr>
      <w:r>
        <w:rPr>
          <w:rFonts w:ascii="IRNazanin" w:hAnsi="IRNazanin" w:eastAsia="IRNazanin"/>
          <w:color w:val="111111"/>
          <w:sz w:val="28"/>
          <w:sz w:val="28"/>
          <w:szCs w:val="28"/>
          <w:rtl w:val="true"/>
          <w:lang w:bidi="fa-IR"/>
        </w:rPr>
        <w:t xml:space="preserve">السؤال عن أقل المجزی ، ویجاب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أقلّ المجزی یتحقّق بترک المستحبات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 لبعض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الخبر المبحوث عنه فی المؤیّدات لوجوب الصلاة علی النبی وإله علیهم السلام ، ولم یذکر فی الصحاح ولا الحسان </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غریب ؛ فإنّ الخبر هنا صحیح بلا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التهذیب ذکر قبله روایة عن محمّد بن یعقوب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یوهم الإرسال ، ومراعاة هذا الکتاب تزیل الارتیاب وتبیّن أنّ الضمیر فی التهذیب لأحمد ، وعلی کل حال فضمیمة خبر عبد الملک لهذا الخبر یدل علی أنّ فی الثانی وتقبّل شفاعته کما فیه الحمد لله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فی الخبر الحسن </w:t>
      </w:r>
      <w:r>
        <w:rPr>
          <w:rStyle w:val="FootnoteAnchor"/>
          <w:rtl w:val="true"/>
        </w:rPr>
        <w:footnoteReference w:id="1194"/>
      </w:r>
      <w:r>
        <w:rPr>
          <w:rFonts w:ascii="IRNazanin" w:hAnsi="IRNazanin" w:eastAsia="IRNazanin"/>
          <w:color w:val="111111"/>
          <w:sz w:val="28"/>
          <w:sz w:val="28"/>
          <w:szCs w:val="28"/>
          <w:rtl w:val="true"/>
          <w:lang w:bidi="fa-IR"/>
        </w:rPr>
        <w:t xml:space="preserve">فی باب الأذان فی بیان صفة صلاة النبی صلی الله علیه و آله فی المعراج وأنّه قال فی أوّل التشهد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هذا کما هو واضح</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فی الفقیه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التشهد الأخیر والأوّل </w:t>
      </w:r>
      <w:r>
        <w:rPr>
          <w:rStyle w:val="FootnoteAnchor"/>
          <w:rtl w:val="true"/>
        </w:rPr>
        <w:footnoteReference w:id="1196"/>
      </w:r>
      <w:r>
        <w:rPr>
          <w:rFonts w:ascii="IRNazanin" w:hAnsi="IRNazanin" w:eastAsia="IRNazanin"/>
          <w:color w:val="111111"/>
          <w:sz w:val="28"/>
          <w:sz w:val="28"/>
          <w:szCs w:val="28"/>
          <w:rtl w:val="true"/>
          <w:lang w:bidi="fa-IR"/>
        </w:rPr>
        <w:t>، لا یضر بالحال ، لکن ذکره فی الأخیر فیه تأیید للرجحان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فی الأوّل حینئذ هو الأولی ، لما یقتضیه ظاهر خبر عبد الملک من کونه من التشهد ، کما أنّ وتقبل شفاعته کذلک ، غایة الأمر أنّ جواز </w:t>
      </w:r>
      <w:bookmarkStart w:id="897" w:name="pg15037_163922"/>
    </w:p>
    <w:p>
      <w:pPr>
        <w:pStyle w:val="BookText"/>
        <w:rPr/>
      </w:pPr>
      <w:bookmarkEnd w:id="897"/>
      <w:r>
        <w:rPr>
          <w:rFonts w:ascii="IRNazanin" w:hAnsi="IRNazanin" w:eastAsia="IRNazanin"/>
          <w:color w:val="111111"/>
          <w:sz w:val="28"/>
          <w:sz w:val="28"/>
          <w:szCs w:val="28"/>
          <w:rtl w:val="true"/>
          <w:lang w:bidi="fa-IR"/>
        </w:rPr>
        <w:t>فی الثانی یستفاد من الخبر المبحوث عنه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أظن أنّ المراد به دفع ما یقوله أهل الخلاف من التحیات قبل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کان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بالقوم أصحاب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حمدت الله أجزأک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ما قلناه ، وکأنّه علیه السلام أراد بیان أقل ما یجزئ قبل التشهد علی وجه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الشیخ فی الحمل علی ما زاد علی الشهادتین لا یأبی ما قلناه ، وإن کان المتبادر منه ما بعد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المستدل به أوضح شاهد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المستدل به وهو السادس کما تری یحتمل بالنسبة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به التشهد فی الرباعیة والثلاثیة 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یراد بالمرّتین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 وأشهد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یرجّح هذا أنّ ظاهر الحدیث الانصراف بعد ما ذکره ، ولا یتم إلاّ فی الثنائیة ، وقد یستفاد منه أنّ التشهد إذا کان هذا فما دل علی التشهدین یحمل علی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فی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الانصراف من التشهد ، کما یلزم القائل بوجوب التسلیم من تأویله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غیر خفی الصحة بعد ما کرّرنا القول فیه من أنّ علی بن الحکم هو الثقة بقرینة روایة أحمد بن محمّد بن عیسی عنه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دلالته علی عدم وجوب الصلاة علی النبی وإله علیهم السلام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8" w:name="__RefHeading___Toc348240_2142443653"/>
      <w:bookmarkStart w:id="899" w:name="_Toc351"/>
      <w:bookmarkEnd w:id="898"/>
      <w:r>
        <w:rPr>
          <w:rtl w:val="true"/>
        </w:rPr>
        <w:t>توجیه ما دلّ علی کفایة الحمد فی التشهد</w:t>
      </w:r>
      <w:bookmarkStart w:id="900" w:name="pg15037_163923"/>
      <w:bookmarkEnd w:id="899"/>
    </w:p>
    <w:p>
      <w:pPr>
        <w:pStyle w:val="BookText"/>
        <w:rPr/>
      </w:pPr>
      <w:bookmarkEnd w:id="900"/>
      <w:r>
        <w:rPr>
          <w:rFonts w:ascii="IRNazanin" w:hAnsi="IRNazanin" w:eastAsia="IRNazanin"/>
          <w:color w:val="111111"/>
          <w:sz w:val="28"/>
          <w:sz w:val="28"/>
          <w:szCs w:val="28"/>
          <w:rtl w:val="true"/>
          <w:lang w:bidi="fa-IR"/>
        </w:rPr>
        <w:t>ظاهرة لو لا ما قلناه من الاحتمال ، کدلالته علی عدم وجوب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ذکر التحیات علی تقدیر حمله علی الثنائیة یدل علی جواز التلفظ بها فی الأخیر ، وقد نقل إجماع </w:t>
      </w:r>
      <w:r>
        <w:rPr>
          <w:rStyle w:val="FootnoteAnchor"/>
          <w:rtl w:val="true"/>
        </w:rPr>
        <w:footnoteReference w:id="1198"/>
      </w:r>
      <w:r>
        <w:rPr>
          <w:rFonts w:ascii="IRNazanin" w:hAnsi="IRNazanin" w:eastAsia="IRNazanin"/>
          <w:color w:val="111111"/>
          <w:sz w:val="28"/>
          <w:sz w:val="28"/>
          <w:szCs w:val="28"/>
          <w:rtl w:val="true"/>
          <w:lang w:bidi="fa-IR"/>
        </w:rPr>
        <w:t xml:space="preserve">الأصحاب علی أنّه لا تحیات فی التشهد الأوّل </w:t>
      </w:r>
      <w:r>
        <w:rPr>
          <w:rStyle w:val="FootnoteAnchor"/>
          <w:rtl w:val="true"/>
        </w:rPr>
        <w:footnoteReference w:id="1199"/>
      </w:r>
      <w:r>
        <w:rPr>
          <w:rFonts w:ascii="IRNazanin" w:hAnsi="IRNazanin" w:eastAsia="IRNazanin"/>
          <w:color w:val="111111"/>
          <w:sz w:val="28"/>
          <w:sz w:val="28"/>
          <w:szCs w:val="28"/>
          <w:rtl w:val="true"/>
          <w:lang w:bidi="fa-IR"/>
        </w:rPr>
        <w:t>، ولو حمل الخبر علی الانصراف من التشهد أمکن عود السؤال عن التحیات فی التشهد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التحیات یراد بها العظمة والملک </w:t>
      </w:r>
      <w:r>
        <w:rPr>
          <w:rStyle w:val="FootnoteAnchor"/>
          <w:rtl w:val="true"/>
        </w:rPr>
        <w:footnoteReference w:id="1200"/>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التحیة ما یحیی به من سلام وثناء ونحوهما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محقّقی العامة فی شرح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التحیات جمع تحیة وهو الملک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w:t>
      </w:r>
      <w:r>
        <w:rPr>
          <w:rStyle w:val="FootnoteAnchor"/>
          <w:rtl w:val="true"/>
        </w:rPr>
        <w:footnoteReference w:id="1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حمل علی السلام فیکون التقدیر التحیات التی یعظمها الملوک مستحقة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حمل علی البقاء فلا شک فی اختصاصه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العظمة یراد بها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الصلوات فیحتمل أن یراد بها الصلاة المعهودة ، والتقدیر أنّها واجبة لله ، ویحتمل أن یراد بها الرحمة ، ویکون معنی کونها لله أنّه المعطی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الطیبات فالمراد بها الخالصات عن صفات النقص </w:t>
      </w:r>
      <w:r>
        <w:rPr>
          <w:rFonts w:eastAsia="IRNazanin" w:cs="IRNazanin"/>
          <w:color w:val="111111"/>
          <w:sz w:val="28"/>
          <w:szCs w:val="28"/>
          <w:rtl w:val="true"/>
          <w:lang w:bidi="fa-IR"/>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 فی الحدیث شی‌ء وهو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استویت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یستفاد منه وجوب الطمأنینة فی التشهد کما ذکره الأصحاب </w:t>
      </w:r>
      <w:r>
        <w:rPr>
          <w:rStyle w:val="FootnoteAnchor"/>
          <w:rtl w:val="true"/>
        </w:rPr>
        <w:footnoteReference w:id="1204"/>
      </w:r>
      <w:r>
        <w:rPr>
          <w:rFonts w:ascii="IRNazanin" w:hAnsi="IRNazanin" w:eastAsia="IRNazanin"/>
          <w:color w:val="111111"/>
          <w:sz w:val="28"/>
          <w:sz w:val="28"/>
          <w:szCs w:val="28"/>
          <w:rtl w:val="true"/>
          <w:lang w:bidi="fa-IR"/>
        </w:rPr>
        <w:t>،</w:t>
      </w:r>
    </w:p>
    <w:p>
      <w:pPr>
        <w:pStyle w:val="Heading4"/>
        <w:numPr>
          <w:ilvl w:val="3"/>
          <w:numId w:val="1"/>
        </w:numPr>
        <w:rPr/>
      </w:pPr>
      <w:bookmarkStart w:id="901" w:name="__RefHeading___Toc348242_2142443653"/>
      <w:bookmarkStart w:id="902" w:name="_Toc352"/>
      <w:bookmarkEnd w:id="901"/>
      <w:r>
        <w:rPr>
          <w:rtl w:val="true"/>
        </w:rPr>
        <w:t>معنی التحیّات والطیّبات</w:t>
      </w:r>
      <w:bookmarkEnd w:id="90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3" w:name="__RefHeading___Toc348244_2142443653"/>
      <w:bookmarkStart w:id="904" w:name="_Toc353"/>
      <w:bookmarkEnd w:id="903"/>
      <w:r>
        <w:rPr>
          <w:rtl w:val="true"/>
        </w:rPr>
        <w:t>دلالة روایة محمد بن مسلم علی وجوب الطمأنینة فی التشهد</w:t>
      </w:r>
      <w:bookmarkEnd w:id="904"/>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الطمأنینة أمر زائد علی الجلوس یمکن أن یدفع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محمّد بن الحسین </w:t>
      </w:r>
      <w:r>
        <w:rPr>
          <w:rStyle w:val="FootnoteAnchor"/>
          <w:rtl w:val="true"/>
        </w:rPr>
        <w:footnoteReference w:id="1205"/>
      </w:r>
      <w:r>
        <w:rPr>
          <w:rFonts w:ascii="IRNazanin" w:hAnsi="IRNazanin" w:eastAsia="IRNazanin"/>
          <w:color w:val="111111"/>
          <w:sz w:val="28"/>
          <w:sz w:val="28"/>
          <w:szCs w:val="28"/>
          <w:rtl w:val="true"/>
          <w:lang w:bidi="fa-IR"/>
        </w:rPr>
        <w:t xml:space="preserve">، عن صفوان ، عن عبد الله بن بکیر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یحدث بعد ما یرفع رأسه من السجدة الأخیرة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صلاته ، وإنّما التشهد سنّة فی الصلاة ، فیتوضّأ ویجلس مکانه أو مکانا نظیفا فیتشهد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الروایة أن نحملها علی من أحدث بعد الشهادتین وإن لم یستوف باقی التشهد </w:t>
      </w:r>
      <w:r>
        <w:rPr>
          <w:rStyle w:val="FootnoteAnchor"/>
          <w:rtl w:val="true"/>
        </w:rPr>
        <w:footnoteReference w:id="1206"/>
      </w:r>
      <w:r>
        <w:rPr>
          <w:rFonts w:ascii="IRNazanin" w:hAnsi="IRNazanin" w:eastAsia="IRNazanin"/>
          <w:color w:val="111111"/>
          <w:sz w:val="28"/>
          <w:sz w:val="28"/>
          <w:szCs w:val="28"/>
          <w:rtl w:val="true"/>
          <w:lang w:bidi="fa-IR"/>
        </w:rPr>
        <w:t>فإنّه یتمّ صلاته ، ولو کان الحدث قبل ذلک لکان یجب علیه الإعادة من أولها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التشهد سنّة </w:t>
      </w:r>
      <w:r>
        <w:rPr>
          <w:rFonts w:eastAsia="IRNazanin" w:cs="IRNazanin"/>
          <w:color w:val="111111"/>
          <w:sz w:val="28"/>
          <w:szCs w:val="28"/>
          <w:rtl w:val="true"/>
          <w:lang w:bidi="fa-IR"/>
        </w:rPr>
        <w:t xml:space="preserve">» </w:t>
      </w:r>
      <w:r>
        <w:rPr>
          <w:rStyle w:val="FootnoteAnchor"/>
          <w:rtl w:val="true"/>
        </w:rPr>
        <w:footnoteReference w:id="1207"/>
      </w:r>
      <w:r>
        <w:rPr>
          <w:rFonts w:ascii="IRNazanin" w:hAnsi="IRNazanin" w:eastAsia="IRNazanin"/>
          <w:color w:val="111111"/>
          <w:sz w:val="28"/>
          <w:sz w:val="28"/>
          <w:szCs w:val="28"/>
          <w:rtl w:val="true"/>
          <w:lang w:bidi="fa-IR"/>
        </w:rPr>
        <w:t>معناه ما زاد علی الشهادتین علی ما بیّنّاه ، ویکون ما أمره به من إعادته بعد الوضوء محمولا علی الاستحباب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سعد ، عن أبی جعفر ، عن أبیه و </w:t>
      </w:r>
      <w:r>
        <w:rPr>
          <w:rStyle w:val="FootnoteAnchor"/>
          <w:rtl w:val="true"/>
        </w:rPr>
        <w:footnoteReference w:id="1208"/>
      </w:r>
      <w:r>
        <w:rPr>
          <w:rFonts w:ascii="IRNazanin" w:hAnsi="IRNazanin" w:eastAsia="IRNazanin"/>
          <w:color w:val="111111"/>
          <w:sz w:val="28"/>
          <w:sz w:val="28"/>
          <w:szCs w:val="28"/>
          <w:rtl w:val="true"/>
          <w:lang w:bidi="fa-IR"/>
        </w:rPr>
        <w:t xml:space="preserve">محمّد بن عیسی والحسین بن سعید ومحمّد بن أبی عمیر ، عن عمر بن أذینة ، عن زرارة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یحدث بعد أن یرفع رأسه من السجدة الأخیرة وقبل أن یتشهد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ینصرف فیتوضّأ فإن شاء </w:t>
      </w:r>
      <w:bookmarkStart w:id="905" w:name="pg15037_163925"/>
    </w:p>
    <w:p>
      <w:pPr>
        <w:pStyle w:val="BookText"/>
        <w:rPr/>
      </w:pPr>
      <w:bookmarkEnd w:id="905"/>
      <w:r>
        <w:rPr>
          <w:rFonts w:ascii="IRNazanin" w:hAnsi="IRNazanin" w:eastAsia="IRNazanin"/>
          <w:color w:val="111111"/>
          <w:sz w:val="28"/>
          <w:sz w:val="28"/>
          <w:szCs w:val="28"/>
          <w:rtl w:val="true"/>
          <w:lang w:bidi="fa-IR"/>
        </w:rPr>
        <w:t xml:space="preserve">رجع إلی المسجد ، وإن شاء ففی بیته ، وإن شاء حیث شاء قعد فیتشهد ثم یسلّم ، وإن کان الحدث بعد الشهادتین فقد مضت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من دخل فی الصلاة بتیمم ثم أحدث ساهیا قبل الشهادتین فإنّه یتوضّأ إذا کان قد وجد الماء ویتم الصلاة بالشهادتین ولیس علیه إعادتها ، کما له إتمامها لو أحدث قبل ذلک علی ما بیناه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أیضا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أن یتشهد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به استیفاء التشهد المسنون دون أن یکون المراد به الشهادتین علی ما قلناه فی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الله بن بکیر ، وقد مضی القول فیه مرارا من أنّه معدود من الموثق خبره ، مع الإجماع علی تصحیح ما یصح عنه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الأشعری ، وتقدّم أیضا القول من أنّی لم أقف علی ما یقتضی توثیقه صریحا ، ومدحه فی الجملة ممکن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تضمنه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عیسی علی النسخة التی نقلت منها فهو محمّد بن عیسی الیقطینی علی الظاهر ، 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وهو کذلک ، وربّما یرجّح الأوّل أنّ الراوی عن محمّد بن عیسی الیقطینی الحمیری ونحوه ، فالروایة عن أحمد بن محمّد بن عیسی عن أبیه عنه بعیدة ؛ لاقتضائها واسطتین بین الحمیری ومحمّد بن عیسی وهما</w:t>
      </w:r>
    </w:p>
    <w:p>
      <w:pPr>
        <w:pStyle w:val="Heading4"/>
        <w:numPr>
          <w:ilvl w:val="3"/>
          <w:numId w:val="1"/>
        </w:numPr>
        <w:rPr/>
      </w:pPr>
      <w:bookmarkStart w:id="906" w:name="__RefHeading___Toc348246_2142443653"/>
      <w:bookmarkStart w:id="907" w:name="_Toc354"/>
      <w:bookmarkEnd w:id="906"/>
      <w:r>
        <w:rPr>
          <w:rtl w:val="true"/>
        </w:rPr>
        <w:t>إشارة إلی حال عبدالله بن بکیر</w:t>
      </w:r>
      <w:bookmarkEnd w:id="907"/>
    </w:p>
    <w:p>
      <w:pPr>
        <w:pStyle w:val="Heading4"/>
        <w:numPr>
          <w:ilvl w:val="3"/>
          <w:numId w:val="1"/>
        </w:numPr>
        <w:rPr/>
      </w:pPr>
      <w:bookmarkStart w:id="908" w:name="__RefHeading___Toc348248_2142443653"/>
      <w:bookmarkStart w:id="909" w:name="_Toc355"/>
      <w:bookmarkEnd w:id="908"/>
      <w:r>
        <w:rPr>
          <w:rtl w:val="true"/>
        </w:rPr>
        <w:t>إشارة إلی حال محمد بن عیسی الأشعری</w:t>
      </w:r>
      <w:bookmarkEnd w:id="90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0" w:name="__RefHeading___Toc348250_2142443653"/>
      <w:bookmarkStart w:id="911" w:name="_Toc356"/>
      <w:bookmarkEnd w:id="910"/>
      <w:r>
        <w:rPr>
          <w:rtl w:val="true"/>
        </w:rPr>
        <w:t>بحث حول الراوی عن محمد بن عیسی الیقطینی</w:t>
      </w:r>
      <w:bookmarkStart w:id="912" w:name="pg15037_163926"/>
      <w:bookmarkEnd w:id="911"/>
    </w:p>
    <w:p>
      <w:pPr>
        <w:pStyle w:val="BookText"/>
        <w:rPr/>
      </w:pPr>
      <w:bookmarkEnd w:id="912"/>
      <w:r>
        <w:rPr>
          <w:rFonts w:ascii="IRNazanin" w:hAnsi="IRNazanin" w:eastAsia="IRNazanin"/>
          <w:color w:val="111111"/>
          <w:sz w:val="28"/>
          <w:sz w:val="28"/>
          <w:szCs w:val="28"/>
          <w:rtl w:val="true"/>
          <w:lang w:bidi="fa-IR"/>
        </w:rPr>
        <w:t xml:space="preserve">أحمد وأبوه ، وأمّا علی الثانی فواحدة ، والذی فی التهذیب عن أبیه محمّد ابن عیسی فی نسخة ، وفی أخری کما هنا </w:t>
      </w:r>
      <w:r>
        <w:rPr>
          <w:rStyle w:val="FootnoteAnchor"/>
          <w:rtl w:val="true"/>
        </w:rPr>
        <w:footnoteReference w:id="1211"/>
      </w:r>
      <w:r>
        <w:rPr>
          <w:rFonts w:ascii="IRNazanin" w:hAnsi="IRNazanin" w:eastAsia="IRNazanin"/>
          <w:color w:val="111111"/>
          <w:sz w:val="28"/>
          <w:sz w:val="28"/>
          <w:szCs w:val="28"/>
          <w:rtl w:val="true"/>
          <w:lang w:bidi="fa-IR"/>
        </w:rPr>
        <w:t>، والاعتبار یشهد بصحة الاولی ، وهی فی نسخة علیها المعوّل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یکون معطوفا علی أبیه ، وروایة أحمد بن محمّد بن عیسی عن ابن أبی عمیر کثیرة ، کروایة الحسین بن سعید عن ابن أبی عمیر </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أمّا علی النسخ الأخر فاحتمال العطف علی محمّد بن عیسی الیقطینی قائم ، فیکون محمّد بن عیسی الأشعری راویا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العطف علی محمّد بن عیسی ویکون الأب راویا عن ابن أبی عمیر ، ویحتمل العطف علی الأب فیکون أحمد هو الراوی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بن سعید کابن أبی عمیر ،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ینبغی أن یعلم قبل الکلام فیه أنّ العلاّمة فی المنتهی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فی کل ثنائیة مرّة وفی الثلاثیة والرباعیة مرّتین ، وهو مذهب أهل البیت علیهم السلام </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تری یدل علی الإجماع فی المسألة ، وحینئذ لا بدّ من تأویل الأخبار المنافیة لذلک ، والأوّل منها ، وتوجیه الشیخ وإن بعد لکن لا بدّ من تحمّل بعده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الشهادتین ، یعطی عدم وجوب الصلاة علی النبی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3" w:name="__RefHeading___Toc348252_2142443653"/>
      <w:bookmarkStart w:id="914" w:name="_Toc357"/>
      <w:bookmarkEnd w:id="913"/>
      <w:r>
        <w:rPr>
          <w:rtl w:val="true"/>
        </w:rPr>
        <w:t>توجیه ما دل علی عدم وجوب التشهد والتسلیم</w:t>
      </w:r>
      <w:bookmarkEnd w:id="914"/>
    </w:p>
    <w:p>
      <w:pPr>
        <w:pStyle w:val="BookText"/>
        <w:rPr/>
      </w:pPr>
      <w:r>
        <w:rPr>
          <w:rFonts w:ascii="IRNazanin" w:hAnsi="IRNazanin" w:eastAsia="IRNazanin"/>
          <w:color w:val="111111"/>
          <w:sz w:val="28"/>
          <w:sz w:val="28"/>
          <w:szCs w:val="28"/>
          <w:rtl w:val="true"/>
          <w:lang w:bidi="fa-IR"/>
        </w:rPr>
        <w:t xml:space="preserve">وآله علیهم السلام ، أو عدم قطع الصلاة بالحدث قبلها ، وسیأتی منه ما یدل علی وجوب الصلاة </w:t>
      </w:r>
      <w:r>
        <w:rPr>
          <w:rStyle w:val="FootnoteAnchor"/>
          <w:rtl w:val="true"/>
        </w:rPr>
        <w:footnoteReference w:id="1214"/>
      </w:r>
      <w:r>
        <w:rPr>
          <w:rFonts w:ascii="IRNazanin" w:hAnsi="IRNazanin" w:eastAsia="IRNazanin"/>
          <w:color w:val="111111"/>
          <w:sz w:val="28"/>
          <w:sz w:val="28"/>
          <w:szCs w:val="28"/>
          <w:rtl w:val="true"/>
          <w:lang w:bidi="fa-IR"/>
        </w:rPr>
        <w:t xml:space="preserve">، أمّا ما یدل علی الصحة مع وجوبها فلم یتقدم ما یدل علیه سوی هذا الخبر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خفی أنّ ما قاله من الحمل علی الاستحباب فی الإعادة مع وجوب الصلاة مشکل ، کما أنّ صحّة الصلاة من الخبر </w:t>
      </w:r>
      <w:r>
        <w:rPr>
          <w:rFonts w:eastAsia="IRNazanin" w:cs="IRNazanin"/>
          <w:color w:val="111111"/>
          <w:sz w:val="28"/>
          <w:szCs w:val="28"/>
          <w:rtl w:val="true"/>
          <w:lang w:bidi="fa-IR"/>
        </w:rPr>
        <w:t xml:space="preserve">) </w:t>
      </w:r>
      <w:r>
        <w:rPr>
          <w:rStyle w:val="FootnoteAnchor"/>
          <w:rtl w:val="true"/>
        </w:rPr>
        <w:footnoteReference w:id="1215"/>
      </w:r>
      <w:r>
        <w:rPr>
          <w:rFonts w:ascii="IRNazanin" w:hAnsi="IRNazanin" w:eastAsia="IRNazanin"/>
          <w:color w:val="111111"/>
          <w:sz w:val="28"/>
          <w:sz w:val="28"/>
          <w:szCs w:val="28"/>
          <w:rtl w:val="true"/>
          <w:lang w:bidi="fa-IR"/>
        </w:rPr>
        <w:t>کذلک ، مضافا إلی عدم معلومیة القائل بهذا غیر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الإعادة من أوّلها علی ما بیناه ، غیر معلوم المراد من البیان ، إلاّ من حیث ذکر ما دلّ علی وجوب التشهد المستلزم لإبطال الصلاة لو وقع الحدث فی الأثناء ، وهذا یأتی فی الصلاة مع وجوبها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فی توجیهه فی أعلی مراتب البعد فی </w:t>
      </w:r>
      <w:r>
        <w:rPr>
          <w:rStyle w:val="FootnoteAnchor"/>
          <w:rtl w:val="true"/>
        </w:rPr>
        <w:footnoteReference w:id="1216"/>
      </w:r>
      <w:r>
        <w:rPr>
          <w:rFonts w:ascii="IRNazanin" w:hAnsi="IRNazanin" w:eastAsia="IRNazanin"/>
          <w:color w:val="111111"/>
          <w:sz w:val="28"/>
          <w:sz w:val="28"/>
          <w:szCs w:val="28"/>
          <w:rtl w:val="true"/>
          <w:lang w:bidi="fa-IR"/>
        </w:rPr>
        <w:t>الوجه الأوّل ، وأمّا الثانی فعجز الحدیث ینافیه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الأولی ردّ الخبر بالإجماع إن تمّ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فی الخبر دلالة علی عدم وجوب التسلیم والصلاة علی النبی وإله علیهم السلام ، أمّا احتمال وجوب التسلیم وکونه خارجا عن الصلاة ، ففیه مشارکة الصلاة له ولا قائل فیها بما قیل فی التسلیم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من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فی حجة القائلین باستحباب التسلیم خبر زرارة المتضمن لأنّ من یحدث قبل أن یسلّم تمّت صلاته ، وأجاب عنه بأنّه إنّما یدل علی أنّ التسلیم لیس جزءا من الصلاة وهو لا یستلزم المطلوب ، فإنّ کونه واجبا خارجا عنها کما ذکره </w:t>
      </w:r>
    </w:p>
    <w:p>
      <w:pPr>
        <w:pStyle w:val="BookText"/>
        <w:rPr/>
      </w:pPr>
      <w:r>
        <w:rPr>
          <w:rFonts w:ascii="IRNazanin" w:hAnsi="IRNazanin" w:eastAsia="IRNazanin"/>
          <w:color w:val="111111"/>
          <w:sz w:val="28"/>
          <w:sz w:val="28"/>
          <w:szCs w:val="28"/>
          <w:rtl w:val="true"/>
          <w:lang w:bidi="fa-IR"/>
        </w:rPr>
        <w:t xml:space="preserve">بعضهم محتمل </w:t>
      </w: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بأنّ الاحتمال المذکور فی الخبر المبحوث عنه غیر وارد بعد ما قلناه من حکم الصلاة علی النبی صلی الله علیه و آله مع 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المذکور غیر معلوم الصحة لما تقدم فی سنده یدفعه التأمّل فی السند ، فإنّ الصحة لازمة له بغیر ارتیاب علی الممارس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غایة ما یلزم منه مخالفة الإجماع من جهة الصلاة حیث إنّ مقتضاه </w:t>
      </w:r>
      <w:r>
        <w:rPr>
          <w:rStyle w:val="FootnoteAnchor"/>
          <w:rtl w:val="true"/>
        </w:rPr>
        <w:footnoteReference w:id="1218"/>
      </w:r>
      <w:r>
        <w:rPr>
          <w:rFonts w:ascii="IRNazanin" w:hAnsi="IRNazanin" w:eastAsia="IRNazanin"/>
          <w:color w:val="111111"/>
          <w:sz w:val="28"/>
          <w:sz w:val="28"/>
          <w:szCs w:val="28"/>
          <w:rtl w:val="true"/>
          <w:lang w:bidi="fa-IR"/>
        </w:rPr>
        <w:t xml:space="preserve">الصحة مع الحدث قبلها ، وعلی تقدیر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مشهور بل مدّعی علیه الإجماع کما سیأتی </w:t>
      </w:r>
      <w:r>
        <w:rPr>
          <w:rStyle w:val="FootnoteAnchor"/>
          <w:rtl w:val="true"/>
        </w:rPr>
        <w:footnoteReference w:id="1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فالصحة مع تخلل الحدث غیر معلوم القائل بها ، بل الإجماع یدّعی </w:t>
      </w:r>
      <w:r>
        <w:rPr>
          <w:rStyle w:val="FootnoteAnchor"/>
          <w:rtl w:val="true"/>
        </w:rPr>
        <w:footnoteReference w:id="1220"/>
      </w:r>
      <w:r>
        <w:rPr>
          <w:rFonts w:ascii="IRNazanin" w:hAnsi="IRNazanin" w:eastAsia="IRNazanin"/>
          <w:color w:val="111111"/>
          <w:sz w:val="28"/>
          <w:sz w:val="28"/>
          <w:szCs w:val="28"/>
          <w:rtl w:val="true"/>
          <w:lang w:bidi="fa-IR"/>
        </w:rPr>
        <w:t xml:space="preserve">علی بطلان الصلاة بتخلل الحدث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صورة التیمم علی ما قاله الشیخ وإن کان الخلاف موجودا فی غیره ، کما نبّهنا علیه فی محل آخر وسیأتی إن شاء الله تعالی </w:t>
      </w:r>
      <w:r>
        <w:rPr>
          <w:rStyle w:val="FootnoteAnchor"/>
          <w:rtl w:val="true"/>
        </w:rPr>
        <w:footnoteReference w:id="1221"/>
      </w:r>
      <w:r>
        <w:rPr>
          <w:rFonts w:ascii="IRNazanin" w:hAnsi="IRNazanin" w:eastAsia="IRNazanin"/>
          <w:color w:val="111111"/>
          <w:sz w:val="28"/>
          <w:sz w:val="28"/>
          <w:szCs w:val="28"/>
          <w:rtl w:val="true"/>
          <w:lang w:bidi="fa-IR"/>
        </w:rPr>
        <w:t xml:space="preserve">، وعلی کل حال </w:t>
      </w:r>
      <w:r>
        <w:rPr>
          <w:rFonts w:eastAsia="IRNazanin" w:cs="IRNazanin"/>
          <w:color w:val="111111"/>
          <w:sz w:val="28"/>
          <w:szCs w:val="28"/>
          <w:rtl w:val="true"/>
          <w:lang w:bidi="fa-IR"/>
        </w:rPr>
        <w:t xml:space="preserve">) </w:t>
      </w:r>
      <w:r>
        <w:rPr>
          <w:rStyle w:val="FootnoteAnchor"/>
          <w:rtl w:val="true"/>
        </w:rPr>
        <w:footnoteReference w:id="1222"/>
      </w:r>
      <w:r>
        <w:rPr>
          <w:rFonts w:ascii="IRNazanin" w:hAnsi="IRNazanin" w:eastAsia="IRNazanin"/>
          <w:color w:val="111111"/>
          <w:sz w:val="28"/>
          <w:sz w:val="28"/>
          <w:szCs w:val="28"/>
          <w:rtl w:val="true"/>
          <w:lang w:bidi="fa-IR"/>
        </w:rPr>
        <w:t xml:space="preserve">فیمکن ردّ الخبر بهذا الوجه ، أو قبول تأویل الشیخ ، وفیه اعتراف بعدم وجوب الصلاة والتسلیم علی الوجه الثانی ، والوجه الأوّل بعید لکن لا بأس بالالتزام به ؛ لأنّه أولی من الطرح ، غیر أنّ هذا الوجه لا یفرق فیه بین الأمرین المذکورین فیه من قبلیة التشهد وبعدیة الشهادتین ، ومن ثم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أعلی مراتب البعد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ینبغی نفیه بالکلیة ، یمکن تکلف التوجیه بإرادة </w:t>
      </w:r>
      <w:bookmarkStart w:id="915" w:name="pg15037_163929"/>
    </w:p>
    <w:p>
      <w:pPr>
        <w:pStyle w:val="BookText"/>
        <w:rPr/>
      </w:pPr>
      <w:bookmarkEnd w:id="915"/>
      <w:r>
        <w:rPr>
          <w:rFonts w:ascii="IRNazanin" w:hAnsi="IRNazanin" w:eastAsia="IRNazanin"/>
          <w:color w:val="111111"/>
          <w:sz w:val="28"/>
          <w:sz w:val="28"/>
          <w:szCs w:val="28"/>
          <w:rtl w:val="true"/>
          <w:lang w:bidi="fa-IR"/>
        </w:rPr>
        <w:t>الشهادتین وما یتبعهما من الصلاة ، فینبغی عدم الغفلة عن تحقیق المقام فإنّه حری بالتأمّل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الصلاة علی النبی صلی الله علیه و آله فی التشهد</w:t>
      </w:r>
    </w:p>
    <w:p>
      <w:pPr>
        <w:pStyle w:val="BookText"/>
        <w:rPr/>
      </w:pPr>
      <w:r>
        <w:rPr>
          <w:rFonts w:ascii="IRNazanin" w:hAnsi="IRNazanin" w:eastAsia="IRNazanin"/>
          <w:color w:val="111111"/>
          <w:sz w:val="28"/>
          <w:sz w:val="28"/>
          <w:szCs w:val="28"/>
          <w:rtl w:val="true"/>
          <w:lang w:bidi="fa-IR"/>
        </w:rPr>
        <w:t xml:space="preserve">ابن أبی عمیر ، عن أبی بصیر ، عن زرارة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تمام الصوم إعطاء الزکاة ، کالصلاة علی النبی صلی الله علیه و آله من تمام الصلاة ، ومن صام ولم یؤدّها فلا صوم له إذا ترکها متعمدا ، ومن صلّی ولم یصلّ علی النبی صلی الله علیه و آله وترک ذلک متعمدا فلا صلاة له ، إنّ الله بدأ بها قبل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اسْمَ رَبِّهِ فَصَلّی </w:t>
      </w:r>
      <w:r>
        <w:rPr>
          <w:rFonts w:eastAsia="IRNazanin" w:cs="IRNazanin"/>
          <w:color w:val="111111"/>
          <w:sz w:val="28"/>
          <w:szCs w:val="28"/>
          <w:rtl w:val="true"/>
          <w:lang w:bidi="fa-IR"/>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علی بن خالد ، عن أحمد بن الحسن ، عن عمرو بن سعید ، عن مصدق بن صدقة ، عن عمّار الساباطی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نسی الرجل التشهد فی الصلاة فذکر أنّه قال بسم الله فقط فقد جازت صلاته ، وإن لم یذکر شیئا من التشهد أعاد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أنّه إذا ذکر أنّه قال بسم الله فقد تمّت صلاته ویتم الشهادتین علی جهة القضاء ولا یعید الصلاة ، وإذا لم یذکر شیئا أصلا أعاد الصلاة إذا </w:t>
      </w:r>
      <w:r>
        <w:rPr>
          <w:rStyle w:val="FootnoteAnchor"/>
          <w:rtl w:val="true"/>
        </w:rPr>
        <w:footnoteReference w:id="1224"/>
      </w:r>
      <w:r>
        <w:rPr>
          <w:rFonts w:ascii="IRNazanin" w:hAnsi="IRNazanin" w:eastAsia="IRNazanin"/>
          <w:color w:val="111111"/>
          <w:sz w:val="28"/>
          <w:sz w:val="28"/>
          <w:szCs w:val="28"/>
          <w:rtl w:val="true"/>
          <w:lang w:bidi="fa-IR"/>
        </w:rPr>
        <w:t>ترکه متعمدا ، ولیس فی الخبر أنّه إذا لم یذکر ناسیا أو متعمدا ، ولو کان ترکه ساهیا ثم ذکر کان علیه</w:t>
      </w:r>
    </w:p>
    <w:p>
      <w:pPr>
        <w:pStyle w:val="Heading3"/>
        <w:numPr>
          <w:ilvl w:val="2"/>
          <w:numId w:val="1"/>
        </w:numPr>
        <w:rPr/>
      </w:pPr>
      <w:bookmarkStart w:id="916" w:name="__RefHeading___Toc348254_2142443653"/>
      <w:bookmarkStart w:id="917" w:name="_Toc358"/>
      <w:bookmarkEnd w:id="916"/>
      <w:r>
        <w:rPr>
          <w:rtl w:val="true"/>
        </w:rPr>
        <w:t>وجوب الصلاة علی النبی صلی الله علیه و آله فی التشهد</w:t>
      </w:r>
      <w:bookmarkEnd w:id="91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8" w:name="__RefHeading___Toc348256_2142443653"/>
      <w:bookmarkStart w:id="919" w:name="_Toc359"/>
      <w:bookmarkEnd w:id="918"/>
      <w:r>
        <w:rPr>
          <w:rtl w:val="true"/>
        </w:rPr>
        <w:t>اشارة</w:t>
      </w:r>
      <w:bookmarkStart w:id="920" w:name="pg15037_163930"/>
      <w:bookmarkEnd w:id="919"/>
    </w:p>
    <w:p>
      <w:pPr>
        <w:pStyle w:val="BookText"/>
        <w:rPr/>
      </w:pPr>
      <w:bookmarkEnd w:id="920"/>
      <w:r>
        <w:rPr>
          <w:rFonts w:ascii="IRNazanin" w:hAnsi="IRNazanin" w:eastAsia="IRNazanin"/>
          <w:color w:val="111111"/>
          <w:sz w:val="28"/>
          <w:sz w:val="28"/>
          <w:szCs w:val="28"/>
          <w:rtl w:val="true"/>
          <w:lang w:bidi="fa-IR"/>
        </w:rPr>
        <w:t>قضاء التشهد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ابن أبی عمیر ، عن سعد بن بکر ، عن حبیب الخثعمی ، عن أبی جعفر علیه السلام ، قال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جلس الرجل للتشهد فحمد الله أجزأه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التقیة لأنّه مذهب کثیر من العامّة ، ونحن قد بیّنّا وجوب الشهادتین والصلاة علی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بصیر ، والطریق إلی ابن أبی عمیر فی المشیخة فیه من لم یعلم توثیقه ، وفی الفهرست قال الشیخ فی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بجمیع کتبه وروایاته جماعة ، عن محمّد بن علی بن الحسین ، عن أبیه ومحمّد بن الحسن ، عن سعد بن عبد الله والحمیری ، عن إبراهیم بن هاشم ، عن محمد بن أبی عمیر ، وأخبرنا ابن أبی جید </w:t>
      </w:r>
      <w:r>
        <w:rPr>
          <w:rStyle w:val="FootnoteAnchor"/>
          <w:rtl w:val="true"/>
        </w:rPr>
        <w:footnoteReference w:id="1225"/>
      </w:r>
      <w:r>
        <w:rPr>
          <w:rFonts w:ascii="IRNazanin" w:hAnsi="IRNazanin" w:eastAsia="IRNazanin"/>
          <w:color w:val="111111"/>
          <w:sz w:val="28"/>
          <w:sz w:val="28"/>
          <w:szCs w:val="28"/>
          <w:rtl w:val="true"/>
          <w:lang w:bidi="fa-IR"/>
        </w:rPr>
        <w:t xml:space="preserve">عن ابن الولید ، عن الصفّار ، عن یعقوب بن یزید ومحمّد بن الحسین وأیوب بن نوح وإبراهیم بن هاشم ومحمّد بن عیسی بن عبید ، عن محمّد بن أبی عمیر ، وأخبرنا بالنوادر خاصة جماعة ، عن أبی المفضل ، عن حمید ، عن عبد </w:t>
      </w:r>
      <w:r>
        <w:rPr>
          <w:rStyle w:val="FootnoteAnchor"/>
          <w:rtl w:val="true"/>
        </w:rPr>
        <w:footnoteReference w:id="1226"/>
      </w:r>
      <w:r>
        <w:rPr>
          <w:rFonts w:ascii="IRNazanin" w:hAnsi="IRNazanin" w:eastAsia="IRNazanin"/>
          <w:color w:val="111111"/>
          <w:sz w:val="28"/>
          <w:sz w:val="28"/>
          <w:szCs w:val="28"/>
          <w:rtl w:val="true"/>
          <w:lang w:bidi="fa-IR"/>
        </w:rPr>
        <w:t xml:space="preserve">الله بن أحمد بن نهیک ، عن ابن أبی عمیر ، وأخبرنا بها جماعة ، عن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 xml:space="preserve">إلی آخره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1" w:name="__RefHeading___Toc348258_2142443653"/>
      <w:bookmarkStart w:id="922" w:name="_Toc360"/>
      <w:bookmarkEnd w:id="921"/>
      <w:r>
        <w:rPr>
          <w:rtl w:val="true"/>
        </w:rPr>
        <w:t>بحث حول طریق الشیخ إلی ابن أبی عمیر</w:t>
      </w:r>
      <w:bookmarkEnd w:id="922"/>
    </w:p>
    <w:p>
      <w:pPr>
        <w:pStyle w:val="BookText"/>
        <w:rPr/>
      </w:pPr>
      <w:r>
        <w:rPr>
          <w:rFonts w:ascii="IRNazanin" w:hAnsi="IRNazanin" w:eastAsia="IRNazanin"/>
          <w:color w:val="111111"/>
          <w:sz w:val="28"/>
          <w:sz w:val="28"/>
          <w:szCs w:val="28"/>
          <w:rtl w:val="true"/>
          <w:lang w:bidi="fa-IR"/>
        </w:rPr>
        <w:t>وربّما یظن استفادة طریق معتبر من المذکور یفید اعتبار الخبر إلی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الإجماع علی تصحیح ما یصح عنه یفید القبول ، وفیه نظر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کون المذکور هنا من جملة روایاته موقوف علی صحة الطریق إلیه ، وهو أصل المدّعی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نقل الشیخ الخبر عنه یعلم منه أنّه من روایاته ، وضعف الطریق لا یضر بالحال ، وفیه نوع تأمّل إلاّ أنّه قابل للتوجیه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الطرق المذکورة إن کانت بجمیع الکتب والروایات فالجزم بأنّ کل واحد منها بجمیع الکتب والروایات غیر معلوم لاحتمال التوزیع ، ومعه یشکل صحة البعض الموجب لعدم الفائدة ، مضافا إلی طریق النوادر إن کان المراد به خاصة مع دخوله فی الجمیع المذکور أوّلا أمکن التوجیه مع توجه ما سبق ، وإن کان غیر داخل فی الأوّل فاحتمال کون الروایة من النوادر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فلیتأمّل </w:t>
      </w:r>
      <w:r>
        <w:rPr>
          <w:rFonts w:eastAsia="IRNazanin" w:cs="IRNazanin"/>
          <w:color w:val="111111"/>
          <w:sz w:val="28"/>
          <w:szCs w:val="28"/>
          <w:rtl w:val="true"/>
          <w:lang w:bidi="fa-IR"/>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الجهالة فی الطریق إلی ابن أبی عمیر؟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جعفر بن محمّد العلوی ، وقد ذکره الشیخ فی من لم یرو عن الأئمّة علیهم السلام من کتابه مهملا </w:t>
      </w:r>
      <w:r>
        <w:rPr>
          <w:rStyle w:val="FootnoteAnchor"/>
          <w:rtl w:val="true"/>
        </w:rPr>
        <w:footnoteReference w:id="1230"/>
      </w:r>
      <w:r>
        <w:rPr>
          <w:rFonts w:ascii="IRNazanin" w:hAnsi="IRNazanin" w:eastAsia="IRNazanin"/>
          <w:color w:val="111111"/>
          <w:sz w:val="28"/>
          <w:sz w:val="28"/>
          <w:szCs w:val="28"/>
          <w:rtl w:val="true"/>
          <w:lang w:bidi="fa-IR"/>
        </w:rPr>
        <w:t xml:space="preserve">، لکن النجاشی فی ترجمة محمّد بن جعفر المذکور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أبوه وجها </w:t>
      </w:r>
      <w:r>
        <w:rPr>
          <w:rStyle w:val="FootnoteAnchor"/>
          <w:rtl w:val="true"/>
        </w:rPr>
        <w:footnoteReference w:id="1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یکون العلاّمة من هذا عدّه فی القسم الأوّل </w:t>
      </w:r>
      <w:r>
        <w:rPr>
          <w:rStyle w:val="FootnoteAnchor"/>
          <w:rtl w:val="true"/>
        </w:rPr>
        <w:footnoteReference w:id="1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خفی أنّ هذا لا یفید التوثیق ، بل المدح علی </w:t>
      </w:r>
      <w:bookmarkStart w:id="923" w:name="pg15037_163932"/>
    </w:p>
    <w:p>
      <w:pPr>
        <w:pStyle w:val="BookText"/>
        <w:rPr/>
      </w:pPr>
      <w:bookmarkEnd w:id="923"/>
      <w:r>
        <w:rPr>
          <w:rFonts w:ascii="IRNazanin" w:hAnsi="IRNazanin" w:eastAsia="IRNazanin"/>
          <w:color w:val="111111"/>
          <w:sz w:val="28"/>
          <w:sz w:val="28"/>
          <w:szCs w:val="28"/>
          <w:rtl w:val="true"/>
          <w:lang w:bidi="fa-IR"/>
        </w:rPr>
        <w:t>ما قیل فی ألفاظه ، وإن کان فیه ما فیه ، ولعل العلاّمة یعمل بالحسن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شیخنا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یذکر ما حکیناه فی کتاب الرجال </w:t>
      </w:r>
      <w:r>
        <w:rPr>
          <w:rStyle w:val="FootnoteAnchor"/>
          <w:rtl w:val="true"/>
        </w:rPr>
        <w:footnoteReference w:id="1233"/>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الفقیه روی بطریقه الصحیح ، عن حمّاد بن عیسی ، عن حریز ، عن أبی بصیر وزرارة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وذکر الروایة مع نوع مغایرة تأتی فی المتن </w:t>
      </w:r>
      <w:r>
        <w:rPr>
          <w:rStyle w:val="FootnoteAnchor"/>
          <w:rtl w:val="true"/>
        </w:rPr>
        <w:footnoteReference w:id="1234"/>
      </w:r>
      <w:r>
        <w:rPr>
          <w:rFonts w:ascii="IRNazanin" w:hAnsi="IRNazanin" w:eastAsia="IRNazanin"/>
          <w:color w:val="111111"/>
          <w:sz w:val="28"/>
          <w:sz w:val="28"/>
          <w:szCs w:val="28"/>
          <w:rtl w:val="true"/>
          <w:lang w:bidi="fa-IR"/>
        </w:rPr>
        <w:t xml:space="preserve">، وغیر خفی أنّ الروایة هنا محتملة للوهم فی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الواو ؛ إذ ذلک کثیر فی کتاب الشیخ بخطه رحمه الله فی النسخة التی عندنا للتهذیب ثم إنّه یصلحها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روایة أبی بصیر تارة مع زرارة وتارة عنه ، إلاّ أنّ الاحتمال الأوّل له ظهور فی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خالد ، وفی إرشاد المفید ما یقتضی أنّ علی بن خالد کان زیدیا رجع لما شاهد من کرامات أبی جعفر الثانی علیه السلام </w:t>
      </w:r>
      <w:r>
        <w:rPr>
          <w:rStyle w:val="FootnoteAnchor"/>
          <w:rtl w:val="true"/>
        </w:rPr>
        <w:footnoteReference w:id="1235"/>
      </w:r>
      <w:r>
        <w:rPr>
          <w:rFonts w:ascii="IRNazanin" w:hAnsi="IRNazanin" w:eastAsia="IRNazanin"/>
          <w:color w:val="111111"/>
          <w:sz w:val="28"/>
          <w:sz w:val="28"/>
          <w:szCs w:val="28"/>
          <w:rtl w:val="true"/>
          <w:lang w:bidi="fa-IR"/>
        </w:rPr>
        <w:t xml:space="preserve">، وإرادته هنا بعیدة من جهة الروایة من محمّد بن علی بن محبوب عنه ، إلاّ أنّ باب الاحتمال واسع ، حیث إنّ الرجوع کان من کرامات أبی جعفر علیه السلام ویجوز التعمیر إلی لقاء ابن محبوب ، وعلی کل حال لا یفید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بالموثق </w:t>
      </w:r>
      <w:r>
        <w:rPr>
          <w:rFonts w:eastAsia="IRNazanin" w:cs="IRNazanin"/>
          <w:color w:val="111111"/>
          <w:sz w:val="28"/>
          <w:szCs w:val="28"/>
          <w:rtl w:val="true"/>
          <w:lang w:bidi="fa-IR"/>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عن قریب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4" w:name="__RefHeading___Toc348260_2142443653"/>
      <w:bookmarkStart w:id="925" w:name="_Toc361"/>
      <w:bookmarkEnd w:id="924"/>
      <w:r>
        <w:rPr>
          <w:rtl w:val="true"/>
        </w:rPr>
        <w:t>بحث حول علی بن خالد</w:t>
      </w:r>
      <w:bookmarkStart w:id="926" w:name="pg15037_163933"/>
      <w:bookmarkEnd w:id="925"/>
    </w:p>
    <w:p>
      <w:pPr>
        <w:pStyle w:val="BookText"/>
        <w:rPr/>
      </w:pPr>
      <w:bookmarkEnd w:id="926"/>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أنّ الصلاة علی النبی صلی الله علیه و آله من تمام الصلاة ، وغیر خفی أنّ المدّعی وجوب الصلاة فی التشهد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إذا دل علی الوجوب فلا قائل به فی غیر التشهد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العنوان الوجوب فی التشهدین ، والإجماع منقول علی وجوبها فیهما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قاله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الخبر غایة مدلوله مذهب ابن الجنید من وجوبها فی أحد التشهدین ولا دلالة فیه علی وجوبها فی التشهدین معا </w:t>
      </w:r>
      <w:r>
        <w:rPr>
          <w:rStyle w:val="FootnoteAnchor"/>
          <w:rtl w:val="true"/>
        </w:rPr>
        <w:footnoteReference w:id="1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نظری القاصر أنّ قول ابن الجنید لا صراحة فی الروایة للدلالة علیه ؛ لأنّ المنقول عنه فیما حکاه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الشهادتین إذا لم تخل الصلاة من الصلاة علی محمّد وآل محمّد فی أحد التشهدین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محتملة لأن یکون قوله فی أحد الشهادتین </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 xml:space="preserve">متعلّقا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تجزئ الشهادتان ، والمعنی أنّ الشهادتین مجزئتان فی أحد التشهدین إذا لم تخل الصلاة من الصلاة علی محمّد وإله فی أیّ جزء من أجزائها ، والمفهوم أنّها إذا خلت من الصلاة لا تجزئ الشهادتان فی أحد التشهدین بل لا بدّ معهما من الصلاة فیهما أو فی معیّن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یراد إجزاء الشهادتین إذا لم تخل الصلاة من الصلاة فی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7" w:name="__RefHeading___Toc348262_2142443653"/>
      <w:bookmarkStart w:id="928" w:name="_Toc362"/>
      <w:bookmarkEnd w:id="927"/>
      <w:r>
        <w:rPr>
          <w:rtl w:val="true"/>
        </w:rPr>
        <w:t>بیان ما دلّ علی وجوب الصلاة علی النبی وآله فی الصلاة وتوجیه ما یعارضه</w:t>
      </w:r>
      <w:bookmarkEnd w:id="928"/>
    </w:p>
    <w:p>
      <w:pPr>
        <w:pStyle w:val="BookText"/>
        <w:rPr/>
      </w:pPr>
      <w:r>
        <w:rPr>
          <w:rFonts w:ascii="IRNazanin" w:hAnsi="IRNazanin" w:eastAsia="IRNazanin"/>
          <w:color w:val="111111"/>
          <w:sz w:val="28"/>
          <w:sz w:val="28"/>
          <w:szCs w:val="28"/>
          <w:rtl w:val="true"/>
          <w:lang w:bidi="fa-IR"/>
        </w:rPr>
        <w:t xml:space="preserve">أحد التشهدین فیکون متعلقا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 ، </w:t>
      </w:r>
      <w:r>
        <w:rPr>
          <w:rFonts w:eastAsia="IRNazanin" w:cs="IRNazanin"/>
          <w:color w:val="111111"/>
          <w:sz w:val="28"/>
          <w:szCs w:val="28"/>
          <w:rtl w:val="true"/>
          <w:lang w:bidi="fa-IR"/>
        </w:rPr>
        <w:t xml:space="preserve">) </w:t>
      </w:r>
      <w:r>
        <w:rPr>
          <w:rStyle w:val="FootnoteAnchor"/>
          <w:rtl w:val="true"/>
        </w:rPr>
        <w:footnoteReference w:id="1241"/>
      </w:r>
      <w:r>
        <w:rPr>
          <w:rFonts w:ascii="IRNazanin" w:hAnsi="IRNazanin" w:eastAsia="IRNazanin"/>
          <w:color w:val="111111"/>
          <w:sz w:val="28"/>
          <w:sz w:val="28"/>
          <w:szCs w:val="28"/>
          <w:rtl w:val="true"/>
          <w:lang w:bidi="fa-IR"/>
        </w:rPr>
        <w:t>لکن هذا یبعّده أنّ العبارة تفید نوع قصور بل تهافت کما یعرف بالتأمّل الصادق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ذکرت فی فوائد التهذیب احتمال أن یکون مراده أنّ خلوّ أخبار الصلاة من الصلاة یقتضی وجوب الصلاة فی التشهدین ، فلیتأمّل </w:t>
      </w:r>
      <w:r>
        <w:rPr>
          <w:rFonts w:eastAsia="IRNazanin" w:cs="IRNazanin"/>
          <w:color w:val="111111"/>
          <w:sz w:val="28"/>
          <w:szCs w:val="28"/>
          <w:rtl w:val="true"/>
          <w:lang w:bidi="fa-IR"/>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عرفت هذا فالخبر لا یبقی دالاّ علی مراد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 الذی أشرنا إلیه لا یضره عدم ذکر الصلاة فی رسالة علی 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الروایة إشکال فی الاستدلال بها علی الوجوب ، من حیث إنّ الفطرة لا تؤثّر فی صحة الصوم بل تؤثّر فی کماله بنوع تقریب ، فینبغی أن یکون الحال مثلها فی الصلاة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الخبر عدم صحة الأمرین فإذا خرج الصوم بالإجماع بقی الفرد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والمتن کما تری لا یخلو من إجمال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1243"/>
      </w:r>
      <w:r>
        <w:rPr>
          <w:rFonts w:ascii="IRNazanin" w:hAnsi="IRNazanin" w:eastAsia="IRNazanin"/>
          <w:color w:val="111111"/>
          <w:sz w:val="28"/>
          <w:sz w:val="28"/>
          <w:szCs w:val="28"/>
          <w:rtl w:val="true"/>
          <w:lang w:bidi="fa-IR"/>
        </w:rPr>
        <w:t xml:space="preserve">الله بدأ بها قبل الصوم </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 xml:space="preserve">وعلی کل حال الإجمال باق ، ولعلّ المراد علی ما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بدأ بذکر الصلاة علی النبی صلی الله علیه و آله قبل وجوب الصلاة ، لما رواه فی الکافی فی باب الصلاة علی النبی صلی الله علیه و آله بطریق غیر سلیم فی تفسیر الآیة أنّ المراد کلما ذکر اسم ربّه صلّی علی محمّد وإله </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فی الفقیه یحتمل ضمیر بها العود إلی الفطرة ، بل وهنا </w:t>
      </w:r>
    </w:p>
    <w:p>
      <w:pPr>
        <w:pStyle w:val="BookText"/>
        <w:rPr/>
      </w:pPr>
      <w:r>
        <w:rPr>
          <w:rFonts w:ascii="IRNazanin" w:hAnsi="IRNazanin" w:eastAsia="IRNazanin"/>
          <w:color w:val="111111"/>
          <w:sz w:val="28"/>
          <w:sz w:val="28"/>
          <w:szCs w:val="28"/>
          <w:rtl w:val="true"/>
          <w:lang w:bidi="fa-IR"/>
        </w:rPr>
        <w:t xml:space="preserve">یحتمل ذلک ، ویراد بالصلاة صلاة العید کما فی بعض الأخبار </w:t>
      </w:r>
      <w:r>
        <w:rPr>
          <w:rStyle w:val="FootnoteAnchor"/>
          <w:rtl w:val="true"/>
        </w:rPr>
        <w:footnoteReference w:id="1246"/>
      </w:r>
      <w:r>
        <w:rPr>
          <w:rFonts w:ascii="IRNazanin" w:hAnsi="IRNazanin" w:eastAsia="IRNazanin"/>
          <w:color w:val="111111"/>
          <w:sz w:val="28"/>
          <w:sz w:val="28"/>
          <w:szCs w:val="28"/>
          <w:rtl w:val="true"/>
          <w:lang w:bidi="fa-IR"/>
        </w:rPr>
        <w:t>، وحینئذ یکون مفاد الخبر الحث علی الفطرة ،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الشیخ فی توجیهه من الغرابة بمکان ؛ لأنّ نسیان التشهد إذا أوجب القضاء فالفرق بین ذکر بسم الله وعدمه غیر واضح الوجه ، والروایة کما تحتمل ما ذکره تحتمل أن یراد أنّه إذا ذکر بسم الله ونسی أنّه تشهد ، علی معنی أنّه لم یحفظ التشهد لکن ذکر مبدأه وهو بسم الله ، فالظاهر أنّه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لا فرق فیه بین ذکره بسم الله وعدمه بل الجلوس إذا وقع یفید الظاهر ، علی أنّ المتبادر من النسیان عدم التشهد لا عدم ذکر أنّه 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الجواب عنه بأنّ ما ذکرناه تأویل لا بدّ فیه من العدول عن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ترکه متعمدا ، غیر خفی أنّه لا وجه له ؛ لأنّ الترک عمدا مبطل سواء ذکر شیئا أو لم یذکر فیما هو المعروف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الشیخ بسبب الروایة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عمل بالروایة یحملها علی ظاهرها من الاکتفاء بما 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فی الروایة نوع إشعار بما احتملناه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یذکر شیئا من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فالتأویل من الشیخ یوجب نوع تعجب</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ما تقدم من الأخبار فیه ما یوجب المعارضة لوجوب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ممّا ذکره </w:t>
      </w:r>
      <w:r>
        <w:rPr>
          <w:rFonts w:eastAsia="IRNazanin" w:cs="IRNazanin"/>
          <w:color w:val="111111"/>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هنا کما نبهنا علیه سابقا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ذکرناه فیه فیما مضی </w:t>
      </w:r>
      <w:r>
        <w:rPr>
          <w:rStyle w:val="FootnoteAnchor"/>
          <w:rtl w:val="true"/>
        </w:rPr>
        <w:footnoteReference w:id="1248"/>
      </w:r>
      <w:r>
        <w:rPr>
          <w:rFonts w:ascii="IRNazanin" w:hAnsi="IRNazanin" w:eastAsia="IRNazanin"/>
          <w:color w:val="111111"/>
          <w:sz w:val="28"/>
          <w:sz w:val="28"/>
          <w:szCs w:val="28"/>
          <w:rtl w:val="true"/>
          <w:lang w:bidi="fa-IR"/>
        </w:rPr>
        <w:t>یغنی عن الإعادة ، وما ذکره الشیخ من الحمل علی التقیّة ینبغی أن یذکر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قد بینا وجوب الشهادتین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مضی لا یفیده ، ولعل الإجماع إن تم بعد الصدوق وأبیه فهو الحجة إن لم یعمل بالحسن ، وإن عمل به فالخبر المذکور فی الکافی فی باب الأذان المتضمن للمعراج یقتضی أمره علیه السلام بالصلاة علی نفسه وأهل بیته بعد التشهد </w:t>
      </w:r>
      <w:r>
        <w:rPr>
          <w:rStyle w:val="FootnoteAnchor"/>
          <w:rtl w:val="true"/>
        </w:rPr>
        <w:footnoteReference w:id="12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250"/>
      </w:r>
      <w:r>
        <w:rPr>
          <w:rFonts w:ascii="IRNazanin" w:hAnsi="IRNazanin" w:eastAsia="IRNazanin"/>
          <w:color w:val="111111"/>
          <w:sz w:val="28"/>
          <w:sz w:val="28"/>
          <w:szCs w:val="28"/>
          <w:rtl w:val="true"/>
          <w:lang w:bidi="fa-IR"/>
        </w:rPr>
        <w:t>یدل علی الوجوب بناء علی أنّ الأمر حقیقة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قد یقال من أنّ ما دلّ علی الصلاة علی النبیّ صلی الله علیه و آله کلما ذکر یدل علی وجوب الصلاة فی التشهدین ، ففیه نظر واضح ؛ لأنّ الکلام فی وجوب الصلاة من حیث کونها جزءا من الصلاة ، وأین هذا من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المنتهی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وتجب الصلاة علی النبی صلی الله علیه و آله عقیب الشهادتین ، ذهب إلیه علماؤنا أجمع فی التشهد الأوّل والثانی </w:t>
      </w:r>
      <w:r>
        <w:rPr>
          <w:rStyle w:val="FootnoteAnchor"/>
          <w:rtl w:val="true"/>
        </w:rPr>
        <w:footnoteReference w:id="1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أیضا إجماع علمائنا علی وجوب الصلاة علی الآل علیهم السلام </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القول فی هذا مع عبارة البعض الدالة علی الخلاف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یعلم أنّ الشیخ فی التهذیب ذکر خبرا عن أبی بصیر یتضمن تشهدا طویلا لا فائدة فی ذکره بعد معرفة طریقه ، غیر أنّ فیه شیئا لا بأس بالتنبیه علیه ، وهو أنّه قیل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w:t>
      </w:r>
      <w:bookmarkStart w:id="929" w:name="pg15037_163937"/>
    </w:p>
    <w:p>
      <w:pPr>
        <w:pStyle w:val="BookText"/>
        <w:rPr/>
      </w:pPr>
      <w:bookmarkEnd w:id="9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صلّیت وبارکت وسلمت وترحمت علی إبراهیم وآل إبراهیم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بعض الأصحاب فیه إشکالا من حیث إنّ المتعارف کون المشبّه به أقوی وأشد والحال بالعکس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وهذا ذکره بعض أهل الخلاف فی شرح مسلم ، وأجاب عنه بأجوبة سهلة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الأصحاب نقل شیئا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الحبل المتین أیضا نقل البعض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ویخطر فی البال أنّ المشبه به الصلاة الواقعة والمشبه الصلاة المطلوبة ، ولا ریب أنّ الواقعة أکمل من المطلوبة قبل وقوعها ، نعم بعد وقوعها هی أفضل ، هذا علی تقدیر تسلیم کون المشبّه به أقوی دائما ، ولو دفع بأنّه أغلبی فالجواب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قضاء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فضالة ، عن جمیل بن دراج ، عن محمد بن مسلم وزرارة بن أعین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جعفر علیه السلام عن الرجل ینسی القنوت حتی یرکع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یقنت بعد الرکوع ، فإن لم یذکر فلا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حمّاد بن عیسی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القنوت ینساه الرجل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یقنت</w:t>
      </w:r>
    </w:p>
    <w:p>
      <w:pPr>
        <w:pStyle w:val="Heading4"/>
        <w:numPr>
          <w:ilvl w:val="3"/>
          <w:numId w:val="1"/>
        </w:numPr>
        <w:rPr/>
      </w:pPr>
      <w:bookmarkStart w:id="930" w:name="__RefHeading___Toc348264_2142443653"/>
      <w:bookmarkStart w:id="931" w:name="_Toc363"/>
      <w:bookmarkEnd w:id="930"/>
      <w:r>
        <w:rPr>
          <w:rtl w:val="true"/>
        </w:rPr>
        <w:t>کلمة حول تشبیه الصلاة علی النبی صلی الله علیه و آله بالصلاة علی إبراهیم علیه السلام</w:t>
      </w:r>
      <w:bookmarkEnd w:id="931"/>
    </w:p>
    <w:p>
      <w:pPr>
        <w:pStyle w:val="Heading3"/>
        <w:numPr>
          <w:ilvl w:val="2"/>
          <w:numId w:val="1"/>
        </w:numPr>
        <w:rPr/>
      </w:pPr>
      <w:bookmarkStart w:id="932" w:name="__RefHeading___Toc348266_2142443653"/>
      <w:bookmarkStart w:id="933" w:name="_Toc364"/>
      <w:bookmarkEnd w:id="932"/>
      <w:r>
        <w:rPr>
          <w:rtl w:val="true"/>
        </w:rPr>
        <w:t>قضاء القنوت</w:t>
      </w:r>
      <w:bookmarkEnd w:id="93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4" w:name="__RefHeading___Toc348268_2142443653"/>
      <w:bookmarkStart w:id="935" w:name="_Toc365"/>
      <w:bookmarkEnd w:id="934"/>
      <w:r>
        <w:rPr>
          <w:rtl w:val="true"/>
        </w:rPr>
        <w:t>اشارة</w:t>
      </w:r>
      <w:bookmarkEnd w:id="935"/>
    </w:p>
    <w:p>
      <w:pPr>
        <w:pStyle w:val="BookText"/>
        <w:rPr/>
      </w:pPr>
      <w:r>
        <w:rPr>
          <w:rFonts w:ascii="IRNazanin" w:hAnsi="IRNazanin" w:eastAsia="IRNazanin"/>
          <w:color w:val="111111"/>
          <w:sz w:val="28"/>
          <w:sz w:val="28"/>
          <w:szCs w:val="28"/>
          <w:rtl w:val="true"/>
          <w:lang w:bidi="fa-IR"/>
        </w:rPr>
        <w:t xml:space="preserve">بعد ما یرکع ، فإن لم یذکر حتی ینصرف فلا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 عن الحسن بن علی بن فضال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یذکر </w:t>
      </w:r>
      <w:r>
        <w:rPr>
          <w:rStyle w:val="FootnoteAnchor"/>
          <w:rtl w:val="true"/>
        </w:rPr>
        <w:footnoteReference w:id="1254"/>
      </w:r>
      <w:r>
        <w:rPr>
          <w:rFonts w:ascii="IRNazanin" w:hAnsi="IRNazanin" w:eastAsia="IRNazanin"/>
          <w:color w:val="111111"/>
          <w:sz w:val="28"/>
          <w:sz w:val="28"/>
          <w:szCs w:val="28"/>
          <w:rtl w:val="true"/>
          <w:lang w:bidi="fa-IR"/>
        </w:rPr>
        <w:t xml:space="preserve">أنّه لم یقنت حتی یرکع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یقنت إذا رفع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بن الحکم ، عن أبی أیوب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یذکر عند أبی عبد الله علیه السلام قال فی الرجل إذا سها فی القنوت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قنت بعد ما ینصرف وهو جالس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محمّد بن سهل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نسی القنوت فی المکتوبة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إعادة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255"/>
      </w:r>
      <w:r>
        <w:rPr>
          <w:rFonts w:ascii="IRNazanin" w:hAnsi="IRNazanin" w:eastAsia="IRNazanin"/>
          <w:color w:val="111111"/>
          <w:sz w:val="28"/>
          <w:sz w:val="28"/>
          <w:szCs w:val="28"/>
          <w:rtl w:val="true"/>
          <w:lang w:bidi="fa-IR"/>
        </w:rPr>
        <w:t xml:space="preserve">ما رواه الحسین بن سعید ، عن فضالة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ینسی القنوت حتی یرکع ، أیقنت؟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یجوز أن یکون المعنی فی هذین الخبرین أنّه لا یجب علیه القضاء وإنّما هو مستحب ؛ لأنّ الابتداء به مستحب فکیف قضاؤه ، ویجوز أن 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یقضی إذا کان الحال حال تقیة ، یدل علی ذلک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الحسین بن سعید ، عن أحمد بن محمّد ،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علیه السلام فی القنوت فی الفجر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فاقنت ، وإن شئت فلا تقنت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تقیة فلا تقنت وأنا أتقلّد هذا </w:t>
      </w:r>
      <w:r>
        <w:rPr>
          <w:rFonts w:eastAsia="IRNazanin" w:cs="IRNazanin"/>
          <w:color w:val="111111"/>
          <w:sz w:val="28"/>
          <w:szCs w:val="28"/>
          <w:rtl w:val="true"/>
          <w:lang w:bidi="fa-IR"/>
        </w:rPr>
        <w:t xml:space="preserve">». </w:t>
      </w:r>
      <w:bookmarkStart w:id="936" w:name="pg15037_163939"/>
    </w:p>
    <w:p>
      <w:pPr>
        <w:pStyle w:val="BookText"/>
        <w:rPr/>
      </w:pPr>
      <w:bookmarkEnd w:id="936"/>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 کالثانی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أبو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سهل ، وهو مهمل فی الرجال </w:t>
      </w:r>
      <w:r>
        <w:rPr>
          <w:rStyle w:val="FootnoteAnchor"/>
          <w:rtl w:val="true"/>
        </w:rPr>
        <w:footnoteReference w:id="1256"/>
      </w:r>
      <w:r>
        <w:rPr>
          <w:rFonts w:ascii="Amiri" w:hAnsi="Amiri" w:eastAsia="Amiri" w:cs="Amiri"/>
          <w:color w:val="111111"/>
          <w:sz w:val="28"/>
          <w:sz w:val="28"/>
          <w:szCs w:val="28"/>
          <w:rtl w:val="true"/>
          <w:lang w:bidi="ar-SA"/>
        </w:rPr>
        <w:t xml:space="preserve">، وأبوه ثقة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 والإضمار فیه دلیل واضح علی أنّ لا قدح به فی أخبارنا ، لما أشرنا إلیه سابقا من عادة المتقدمین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فیما مضی عن أحمد بن محمّد عن أبی الحسن الرضا علیه السلام فالضمیر له علیه السلام ،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کما لا یخفی </w:t>
      </w:r>
      <w:r>
        <w:rPr>
          <w:rStyle w:val="FootnoteAnchor"/>
          <w:rtl w:val="true"/>
        </w:rPr>
        <w:footnoteReference w:id="1258"/>
      </w:r>
      <w:r>
        <w:rPr>
          <w:rFonts w:ascii="IRNazanin" w:hAnsi="IRNazanin" w:eastAsia="IRNazanin"/>
          <w:color w:val="111111"/>
          <w:sz w:val="28"/>
          <w:sz w:val="28"/>
          <w:szCs w:val="28"/>
          <w:rtl w:val="true"/>
          <w:lang w:bidi="fa-IR"/>
        </w:rPr>
        <w:t xml:space="preserve">، لکنه فی النسخة التی نقلت منها ، وفیما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وهنا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هو ، یعنی أبا الحسن المضمر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القضاء بعد الرکوع ، لکن بعدیّة الرکوع تتناول حال الرکوع وبعد الرفع منه قبل الهوی للسجود وبعده وبعد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7" w:name="__RefHeading___Toc348270_2142443653"/>
      <w:bookmarkStart w:id="938" w:name="_Toc366"/>
      <w:bookmarkEnd w:id="937"/>
      <w:r>
        <w:rPr>
          <w:rtl w:val="true"/>
        </w:rPr>
        <w:t>محمد بن سهل مهمل وأبوه ثقة</w:t>
      </w:r>
      <w:bookmarkStart w:id="939" w:name="pg15037_163940"/>
      <w:bookmarkEnd w:id="938"/>
    </w:p>
    <w:p>
      <w:pPr>
        <w:pStyle w:val="BookText"/>
        <w:rPr/>
      </w:pPr>
      <w:bookmarkEnd w:id="939"/>
      <w:r>
        <w:rPr>
          <w:rFonts w:ascii="IRNazanin" w:hAnsi="IRNazanin" w:eastAsia="IRNazanin"/>
          <w:color w:val="111111"/>
          <w:sz w:val="28"/>
          <w:sz w:val="28"/>
          <w:szCs w:val="28"/>
          <w:rtl w:val="true"/>
          <w:lang w:bidi="fa-IR"/>
        </w:rPr>
        <w:t>السجود ، إلاّ أن یدّعی تبادر حال القیام من الرکوع قبل الهوی للسجود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الظاهر منه أنّ القضاء إنّما هو مع الذکر بعد الرکوع ، فلو لم یذکر بعده لا قضاء علیه ، وربّما یؤیّده أنّ ما بعد الرکوع لو تناول جمیع الحالات السابقة لم یبق فائدة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احتمال أن یراد لا شی‌ء علیه من القضاء مع عدم ذکر النسیان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قلیل الفائدة کما لا یخفی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عدم رجحان القضاء لا نفی القضاء رأسا ؛ لدلالة بعض الأخبار الآتیة علی القضاء بعد الصلاة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الذکر إذا أخذ بالإطلاق یبقی منافیا لما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انتصر به بعض محققی الأصحاب للقول بوجوب القنوت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یذکر حتی ینصرف فلا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إثم علیه ، یعطی بمفهومه الشرطی أنّه لو ذکر ولم یلتفت کان علیه إثم ، وهو نص فی الوجوب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الخبر إذا لم یذکر </w:t>
      </w:r>
      <w:r>
        <w:rPr>
          <w:rStyle w:val="FootnoteAnchor"/>
          <w:rtl w:val="true"/>
        </w:rPr>
        <w:footnoteReference w:id="1260"/>
      </w:r>
      <w:r>
        <w:rPr>
          <w:rFonts w:ascii="IRNazanin" w:hAnsi="IRNazanin" w:eastAsia="IRNazanin"/>
          <w:color w:val="111111"/>
          <w:sz w:val="28"/>
          <w:sz w:val="28"/>
          <w:szCs w:val="28"/>
          <w:rtl w:val="true"/>
          <w:lang w:bidi="fa-IR"/>
        </w:rPr>
        <w:t>بعد انصرافه لا قنوت علیه حیث ذکر أولا القنوت ، وحینئذ فحاصل الخبر أنّه إذا ذکر بعد الرکوع قضاه وإن لم یذکر بعده فلا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ویراد بالانصراف الانصراف عن محل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الإثم فلا دلالة فی المقام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یترجح ما قلناه فهو احتمال کاف فی نفی النصوصیة علی أنّ المفهوم إن ذکر فعلیه شی‌ء ، أمّا أنّ التقدیر إن ذکر ولم یقنت فعلیه شی‌ء فلا دلیل علیه ؛ لعدم ذکر القنوت فی الشرط ، والتقدیر من خارج ینافی النصوصیة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أرید بالانصراف الفراغ</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0" w:name="__RefHeading___Toc348272_2142443653"/>
      <w:bookmarkStart w:id="941" w:name="_Toc367"/>
      <w:bookmarkEnd w:id="940"/>
      <w:r>
        <w:rPr>
          <w:rtl w:val="true"/>
        </w:rPr>
        <w:t>بیان ما دل علی أنّ ناسی القنوت یقضیه بعد الرکوع أو بعد الصلاة وتوجیه ما یعارضه</w:t>
      </w:r>
      <w:bookmarkEnd w:id="941"/>
    </w:p>
    <w:p>
      <w:pPr>
        <w:pStyle w:val="BookText"/>
        <w:rPr/>
      </w:pPr>
      <w:r>
        <w:rPr>
          <w:rFonts w:ascii="IRNazanin" w:hAnsi="IRNazanin" w:eastAsia="IRNazanin"/>
          <w:color w:val="111111"/>
          <w:sz w:val="28"/>
          <w:sz w:val="28"/>
          <w:szCs w:val="28"/>
          <w:rtl w:val="true"/>
          <w:lang w:bidi="fa-IR"/>
        </w:rPr>
        <w:t xml:space="preserve">من الصلاة نافی ما ذکره الأصحاب ، أمّا منافاته الأوّل فیمکن توجیهها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 القنوت قضاء بعد الرفع فیحمل الأوّلان علیه بنوع 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القضاء بعد الانصراف ، ویحتمل حمل الثانی علیه ، لکن الانصراف محتمل للفراغ من الصلاة والانصراف من حال القیام بعد الرکوع إذا جلس للسجود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حمله علی عدم إعادة الصلاة لا القنوت ، بل الظاهر ظهور الإعادة فی ذلک ، وما قاله الشیخ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حمله علی حال الرکوع لا القیام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مضی القول فیه مفصلا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فاعلم أنّ روایة معاویة بن عمار فی الفقیه متنها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القنوت فی الوتر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نسیت أقضیه إذا رفعت رأسی؟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263"/>
      </w:r>
      <w:r>
        <w:rPr>
          <w:rFonts w:ascii="IRNazanin" w:hAnsi="IRNazanin" w:eastAsia="IRNazanin"/>
          <w:color w:val="111111"/>
          <w:sz w:val="28"/>
          <w:sz w:val="28"/>
          <w:szCs w:val="28"/>
          <w:rtl w:val="true"/>
          <w:lang w:bidi="fa-IR"/>
        </w:rPr>
        <w:t>وفی الروایة دلالة علی خصوص القنوت ، والشیخ ربّما یکون اختصر الروایة أو أنّها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یظن من روایة الصدوق نفی القنوت فی الوتر بعد الرکوع ، مع أنّ فی الأخبار ما یدل علی الدعاء بعد الرکوع فیه ، ولا یبعد أن یکون المنفی رفع الیدین ، لما مضی من إطلاق القنوت علیه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وینقل عن العلاّمة فی النهایة </w:t>
      </w:r>
      <w:r>
        <w:rPr>
          <w:rStyle w:val="FootnoteAnchor"/>
          <w:rtl w:val="true"/>
        </w:rPr>
        <w:footnoteReference w:id="1264"/>
      </w:r>
      <w:r>
        <w:rPr>
          <w:rFonts w:ascii="IRNazanin" w:hAnsi="IRNazanin" w:eastAsia="IRNazanin"/>
          <w:color w:val="111111"/>
          <w:sz w:val="28"/>
          <w:sz w:val="28"/>
          <w:szCs w:val="28"/>
          <w:rtl w:val="true"/>
          <w:lang w:bidi="fa-IR"/>
        </w:rPr>
        <w:t xml:space="preserve">المنع من فعل القنوت بعد الرکوع فی </w:t>
      </w:r>
    </w:p>
    <w:p>
      <w:pPr>
        <w:pStyle w:val="BookText"/>
        <w:rPr/>
      </w:pPr>
      <w:r>
        <w:rPr>
          <w:rFonts w:ascii="IRNazanin" w:hAnsi="IRNazanin" w:eastAsia="IRNazanin"/>
          <w:color w:val="111111"/>
          <w:sz w:val="28"/>
          <w:sz w:val="28"/>
          <w:szCs w:val="28"/>
          <w:rtl w:val="true"/>
          <w:lang w:bidi="fa-IR"/>
        </w:rPr>
        <w:t>الثانیة ، لدلالة بعض الأخبار السابقة علی أنّه لا قنوت إلاّ قبل الرکوع ، والأخبار الموجودة تقتضی أنّ المنفی هناک الأداء أو رفع الیدین ، فیحتمل کون القضاء من دون رفع الیدین ، ولم أر من 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ولجدّی قدس سره فی الروضة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یجوز فعل القنوت مطلقا قبل الرکوع وبعده ، وهو حسن للخبر ، ثم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ویفعله الناسی قبل الرکوع بعده وإن قلنا بتعینه قبله اختیارا ، فإن لم یذکره حتی تجاوز قضاه بعد الصلاة جالسا ، ثم فی الطریق مستقبلا </w:t>
      </w: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أوّلا من الجواز قبل وبعد ینافی ما ذکره آخرا من الإتیان به مع النسیان بعد الرکوع ، إلاّ أن یجاب بأنّ الثانی علی تقدیر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قاله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أعلم الوجه فیه بعد ما دلت علیه الأخبار التی نقلتها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الشیخ لم یتعرض للتعارض الواقع بین الأخبار ، فإنّ روایة أبی بصیر ما ذکرناه فیها خلاف الظاهر ، لکنه من باب التأویل یمکن الدخول فیه ، والأخبار الدالة علی أنّ الانصراف تقتضی أن لا قضاء أو نحوه بعد الانصراف ظاهرة فی الفراغ من الصلاة ، واللازم من ذلک أنّ ما قبل الفراغ یقضی فیه القنوت وإن تجاوز الرفع من الرکوع للثانیة </w:t>
      </w:r>
      <w:r>
        <w:rPr>
          <w:rStyle w:val="FootnoteAnchor"/>
          <w:rtl w:val="true"/>
        </w:rPr>
        <w:footnoteReference w:id="1266"/>
      </w:r>
      <w:r>
        <w:rPr>
          <w:rFonts w:ascii="IRNazanin" w:hAnsi="IRNazanin" w:eastAsia="IRNazanin"/>
          <w:color w:val="111111"/>
          <w:sz w:val="28"/>
          <w:sz w:val="28"/>
          <w:szCs w:val="28"/>
          <w:rtl w:val="true"/>
          <w:lang w:bidi="fa-IR"/>
        </w:rPr>
        <w:t>، ولعل اختلاف الاستحباب کمالا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القنوت مستحب ابتداء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عدم الحاجة إلیه ؛ إذ علی تقدیر وجوبه لا یلزم منه القضاء</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کلام بعض الأصحاب أنّ تلافی القنوت بعد الرکوع لناسیه قبله </w:t>
      </w:r>
      <w:bookmarkStart w:id="942" w:name="pg15037_163943"/>
    </w:p>
    <w:p>
      <w:pPr>
        <w:pStyle w:val="BookText"/>
        <w:rPr/>
      </w:pPr>
      <w:bookmarkEnd w:id="942"/>
      <w:r>
        <w:rPr>
          <w:rFonts w:ascii="IRNazanin" w:hAnsi="IRNazanin" w:eastAsia="IRNazanin"/>
          <w:color w:val="111111"/>
          <w:sz w:val="28"/>
          <w:sz w:val="28"/>
          <w:szCs w:val="28"/>
          <w:rtl w:val="true"/>
          <w:lang w:bidi="fa-IR"/>
        </w:rPr>
        <w:t xml:space="preserve">ممّا لا خلاف فیه بین أصحابنا ، وهل هو حینئذ أداء أو قضاء؟ حکم الشیخ وأتباعه بالقضاء ، وتردّد فی ذلک العلاّمة فی المنتهی ، من کون محلّه قبل الرکوع وقد فات فتعیّن القضاء ، ومن کون الأحادیث لا تدل علی کونه قضاء ، ثم رجّح أنّه قضاء </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الأخبار ما یدل علی قضائه فی الطریق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 التسلیم لیس بفرض</w:t>
      </w:r>
    </w:p>
    <w:p>
      <w:pPr>
        <w:pStyle w:val="BookText"/>
        <w:rPr/>
      </w:pPr>
      <w:r>
        <w:rPr>
          <w:rFonts w:ascii="IRNazanin" w:hAnsi="IRNazanin" w:eastAsia="IRNazanin"/>
          <w:color w:val="111111"/>
          <w:sz w:val="28"/>
          <w:sz w:val="28"/>
          <w:szCs w:val="28"/>
          <w:rtl w:val="true"/>
          <w:lang w:bidi="fa-IR"/>
        </w:rPr>
        <w:t xml:space="preserve">الحسین بن سعید ، عن فضالة ، عن أبان ،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ثم یجلس فیحدث قبل أن یسلم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عثمان بن عیسی ، عن سماعة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فی رجل صلّی الصبح فلمّا جلس فی الرکعتین قبل أن یتشهد رعف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فلیخرج فلیغسل أنفه ثم لیرجع فلیتم صلاته ، فإنّ آخر الصلاة التسلیم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الصلاة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الفضل والکمال ، فأمّا إتمام الصلاة فلا بدّ منه ؛ لأنّ من تمامها الإتیان بالشهادتین والصلاة علی النبی صلی الله علیه و آله کما بیناه</w:t>
      </w:r>
      <w:r>
        <w:rPr>
          <w:rFonts w:eastAsia="IRNazanin" w:cs="IRNazanin"/>
          <w:color w:val="111111"/>
          <w:sz w:val="28"/>
          <w:szCs w:val="28"/>
          <w:rtl w:val="true"/>
          <w:lang w:bidi="fa-IR"/>
        </w:rPr>
        <w:t>.</w:t>
      </w:r>
    </w:p>
    <w:p>
      <w:pPr>
        <w:pStyle w:val="Heading3"/>
        <w:numPr>
          <w:ilvl w:val="2"/>
          <w:numId w:val="1"/>
        </w:numPr>
        <w:rPr/>
      </w:pPr>
      <w:bookmarkStart w:id="943" w:name="__RefHeading___Toc348274_2142443653"/>
      <w:bookmarkStart w:id="944" w:name="_Toc368"/>
      <w:bookmarkEnd w:id="943"/>
      <w:r>
        <w:rPr>
          <w:rtl w:val="true"/>
        </w:rPr>
        <w:t>التسلیم لیس بفرض</w:t>
      </w:r>
      <w:bookmarkEnd w:id="94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5" w:name="__RefHeading___Toc348276_2142443653"/>
      <w:bookmarkStart w:id="946" w:name="_Toc369"/>
      <w:bookmarkEnd w:id="945"/>
      <w:r>
        <w:rPr>
          <w:rtl w:val="true"/>
        </w:rPr>
        <w:t>اشارة</w:t>
      </w:r>
      <w:bookmarkStart w:id="947" w:name="pg15037_163944"/>
      <w:bookmarkEnd w:id="946"/>
    </w:p>
    <w:p>
      <w:pPr>
        <w:pStyle w:val="BookText"/>
        <w:rPr/>
      </w:pPr>
      <w:bookmarkEnd w:id="947"/>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کما کرّرنا القول فیه </w:t>
      </w: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الثانی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قیل إنّه ظاهر فی أنّ التسلیم لیس من الصلاة ؛ إذ الحدث فی أثناء الصلاة مبطل لها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بعض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أنّ البطلان بغیر خلاف إن کان لتخلل الحدث قبل استیفاء الأرکان فمسلم لکن لا ینفعکم ، وإن أرید تخلله بعد استیفائها فالخلاف فیه مشهور ، والصدوق قائل بعدم البطلان به کما تضمّنه صحیحة زرارة وموثقته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یحضرنی الآن کلام الصدوق والروایتان ، إلاّ أنّ الشیخ فیما سبق ادّعی الإجماع علی بطلان الصلاة بالحدث قبل إکمال الشهادتین </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وللسیّد المرتضی خلاف فی بعض الأحداث الواقعة فی أثناء الصلاة ، حیث حکم بالوضوء والبناء ، کما یأتی </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ادّعی الشیخ فی التهذیب الإجماع علی البطلان فیما عدا المتیمم إذا أحدث ووجد الماء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8" w:name="__RefHeading___Toc348278_2142443653"/>
      <w:bookmarkStart w:id="949" w:name="_Toc370"/>
      <w:bookmarkEnd w:id="948"/>
      <w:r>
        <w:rPr>
          <w:rtl w:val="true"/>
        </w:rPr>
        <w:t>ظهور روایة زرارة فی أنّ التسلیم لیس من الصلاة</w:t>
      </w:r>
      <w:bookmarkStart w:id="950" w:name="pg15037_163945"/>
      <w:bookmarkEnd w:id="949"/>
    </w:p>
    <w:p>
      <w:pPr>
        <w:pStyle w:val="BookText"/>
        <w:rPr/>
      </w:pPr>
      <w:bookmarkEnd w:id="950"/>
      <w:r>
        <w:rPr>
          <w:rFonts w:ascii="IRNazanin" w:hAnsi="IRNazanin" w:eastAsia="IRNazanin"/>
          <w:color w:val="111111"/>
          <w:sz w:val="28"/>
          <w:sz w:val="28"/>
          <w:szCs w:val="28"/>
          <w:rtl w:val="true"/>
          <w:lang w:bidi="fa-IR"/>
        </w:rPr>
        <w:t xml:space="preserve">ومن هنا یعلم أنّ التسلیم </w:t>
      </w:r>
      <w:r>
        <w:rPr>
          <w:rStyle w:val="FootnoteAnchor"/>
          <w:rtl w:val="true"/>
        </w:rPr>
        <w:footnoteReference w:id="1275"/>
      </w:r>
      <w:r>
        <w:rPr>
          <w:rFonts w:ascii="IRNazanin" w:hAnsi="IRNazanin" w:eastAsia="IRNazanin"/>
          <w:color w:val="111111"/>
          <w:sz w:val="28"/>
          <w:sz w:val="28"/>
          <w:szCs w:val="28"/>
          <w:rtl w:val="true"/>
          <w:lang w:bidi="fa-IR"/>
        </w:rPr>
        <w:t>لصورة تخلل الحدث قبل استیفاء الأرکان غیر واضح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دلالته علی الاستحباب فقد ادّعاها القائلون به ، واستشکله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إنّما یدل علی أنّ التسلیم لیس جزءا من الصلاة ، وهو لا یستلزم المطلوب ، فإنّ کونه واجبا خارجا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بعضهم ودلت علیه الأحادیث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الظن أنّ التکلف فی هذا ظاهر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الحکم بالوجوب إن کان من ورود الأمر به فی کثیر من الأخبار مثل خبر زرارة السابق فی القضاء المشتمل علی ذکر الفوائت متحدة ومتعددة حیث 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سلّم </w:t>
      </w:r>
      <w:r>
        <w:rPr>
          <w:rFonts w:eastAsia="IRNazanin" w:cs="IRNazanin"/>
          <w:color w:val="111111"/>
          <w:sz w:val="28"/>
          <w:szCs w:val="28"/>
          <w:rtl w:val="true"/>
          <w:lang w:bidi="fa-IR"/>
        </w:rPr>
        <w:t xml:space="preserve">» </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الواردة فی صلاة الخوف المشتملة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یسلّم </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 xml:space="preserve">والروایة الواردة فی الشک بین الأربع والخمس المتضمنة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فتشهد وسلّم </w:t>
      </w:r>
      <w:r>
        <w:rPr>
          <w:rFonts w:eastAsia="IRNazanin" w:cs="IRNazanin"/>
          <w:color w:val="111111"/>
          <w:sz w:val="28"/>
          <w:szCs w:val="28"/>
          <w:rtl w:val="true"/>
          <w:lang w:bidi="fa-IR"/>
        </w:rPr>
        <w:t xml:space="preserve">» </w:t>
      </w:r>
      <w:r>
        <w:rPr>
          <w:rStyle w:val="FootnoteAnchor"/>
          <w:rtl w:val="true"/>
        </w:rPr>
        <w:footnoteReference w:id="1279"/>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الشرعیة فی إثبات کونها حقیقة فی الوجوب کلام یعرف ممّا ذکرناه فی أصول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التسلیم ، المعارض موجود ، وقد مضی بعضه فی التشهد ، حیث قال علیه السلام فی خبر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أشهد أن لا إله إلاّ الله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1" w:name="__RefHeading___Toc348280_2142443653"/>
      <w:bookmarkStart w:id="952" w:name="_Toc371"/>
      <w:bookmarkEnd w:id="951"/>
      <w:r>
        <w:rPr>
          <w:rtl w:val="true"/>
        </w:rPr>
        <w:t>الاستدلال بروایة زرارة علی أستحباب التسلیم والمناقشة فی أدلة القائلین بالوجوب</w:t>
      </w:r>
      <w:bookmarkEnd w:id="952"/>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تنصرف </w:t>
      </w:r>
      <w:r>
        <w:rPr>
          <w:rFonts w:eastAsia="IRNazanin" w:cs="IRNazanin"/>
          <w:color w:val="111111"/>
          <w:sz w:val="28"/>
          <w:szCs w:val="28"/>
          <w:rtl w:val="true"/>
          <w:lang w:bidi="fa-IR"/>
        </w:rPr>
        <w:t xml:space="preserve">» </w:t>
      </w:r>
      <w:r>
        <w:rPr>
          <w:rStyle w:val="FootnoteAnchor"/>
          <w:rtl w:val="true"/>
        </w:rPr>
        <w:footnoteReference w:id="1280"/>
      </w:r>
      <w:r>
        <w:rPr>
          <w:rFonts w:ascii="IRNazanin" w:hAnsi="IRNazanin" w:eastAsia="IRNazanin"/>
          <w:color w:val="111111"/>
          <w:sz w:val="28"/>
          <w:sz w:val="28"/>
          <w:szCs w:val="28"/>
          <w:rtl w:val="true"/>
          <w:lang w:bidi="fa-IR"/>
        </w:rPr>
        <w:t>وغیره من الأخبار ، والحمل علی أنّ الانصراف یراد به السلام فی غایة البعد ، وإن ورد فی بعض الأخبار بقرینة لا یکون مع الإطلاق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التزام وجوبه والخروج عن الصلاة لیس بأولی من الاستحباب المتأیّد بالأصل المحتاج الخروج عنه إلی انتفاء المعارض ، وانتفاؤه فی غایة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والمداومة المذکورة فی کلام بعض </w:t>
      </w:r>
      <w:r>
        <w:rPr>
          <w:rStyle w:val="FootnoteAnchor"/>
          <w:rtl w:val="true"/>
        </w:rPr>
        <w:footnoteReference w:id="1281"/>
      </w:r>
      <w:r>
        <w:rPr>
          <w:rFonts w:ascii="IRNazanin" w:hAnsi="IRNazanin" w:eastAsia="IRNazanin"/>
          <w:color w:val="111111"/>
          <w:sz w:val="28"/>
          <w:sz w:val="28"/>
          <w:szCs w:val="28"/>
          <w:rtl w:val="true"/>
          <w:lang w:bidi="fa-IR"/>
        </w:rPr>
        <w:t xml:space="preserve">للاستدلال علی الوجوب منقوضة بالمداومة علی المستحب ، کرفع الیدین بتکبیرة الإحرام ، وفعله علیه السلام مع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لا یخفی ، وکذلک التأسّی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الصلاة الطهور ، وتحریمها التکبیر ، وتحلیلها التسلیم </w:t>
      </w:r>
      <w:r>
        <w:rPr>
          <w:rFonts w:eastAsia="IRNazanin" w:cs="IRNazanin"/>
          <w:color w:val="111111"/>
          <w:sz w:val="28"/>
          <w:szCs w:val="28"/>
          <w:rtl w:val="true"/>
          <w:lang w:bidi="fa-IR"/>
        </w:rPr>
        <w:t xml:space="preserve">» </w:t>
      </w:r>
      <w:r>
        <w:rPr>
          <w:rStyle w:val="FootnoteAnchor"/>
          <w:rtl w:val="true"/>
        </w:rPr>
        <w:footnoteReference w:id="1282"/>
      </w:r>
      <w:r>
        <w:rPr>
          <w:rFonts w:ascii="IRNazanin" w:hAnsi="IRNazanin" w:eastAsia="IRNazanin"/>
          <w:color w:val="111111"/>
          <w:sz w:val="28"/>
          <w:sz w:val="28"/>
          <w:szCs w:val="28"/>
          <w:rtl w:val="true"/>
          <w:lang w:bidi="fa-IR"/>
        </w:rPr>
        <w:t xml:space="preserve">ففیه عدم وضوح الدلالة ؛ إذ کونه محلّلا لا یفید الوجوب ، کما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مفتاحها الطهور ، لا یفیده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الإفادة حاصلة فی الأمرین ، وإنّما خرج الطهور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القول فی الطهور مع أنّه لا بدّ فیه فی الصلاة؟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جعل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تحلیلها التسلیم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دالاّ علی وجوب التسلیم من حیث الحصر کما قرّره جماعة ، والمعنی أنّ تحلیلها محصور فی التسلیم </w:t>
      </w:r>
      <w:r>
        <w:rPr>
          <w:rFonts w:eastAsia="IRNazanin" w:cs="IRNazanin"/>
          <w:color w:val="111111"/>
          <w:sz w:val="28"/>
          <w:szCs w:val="28"/>
          <w:rtl w:val="true"/>
          <w:lang w:bidi="fa-IR"/>
        </w:rPr>
        <w:t xml:space="preserve">) </w:t>
      </w:r>
      <w:r>
        <w:rPr>
          <w:rStyle w:val="FootnoteAnchor"/>
          <w:rtl w:val="true"/>
        </w:rPr>
        <w:footnoteReference w:id="1283"/>
      </w:r>
      <w:r>
        <w:rPr>
          <w:rFonts w:ascii="IRNazanin" w:hAnsi="IRNazanin" w:eastAsia="IRNazanin"/>
          <w:color w:val="111111"/>
          <w:sz w:val="28"/>
          <w:sz w:val="28"/>
          <w:szCs w:val="28"/>
          <w:rtl w:val="true"/>
          <w:lang w:bidi="fa-IR"/>
        </w:rPr>
        <w:t xml:space="preserve">فلو حصل بغیره لم یتم الحصر ، وإذا انحصر فیه کان </w:t>
      </w:r>
    </w:p>
    <w:p>
      <w:pPr>
        <w:pStyle w:val="BookText"/>
        <w:rPr/>
      </w:pPr>
      <w:r>
        <w:rPr>
          <w:rFonts w:ascii="IRNazanin" w:hAnsi="IRNazanin" w:eastAsia="IRNazanin"/>
          <w:color w:val="111111"/>
          <w:sz w:val="28"/>
          <w:sz w:val="28"/>
          <w:szCs w:val="28"/>
          <w:rtl w:val="true"/>
          <w:lang w:bidi="fa-IR"/>
        </w:rPr>
        <w:t>واجباً ، لزم مثله فی مفتاحها الطهور ؛ إذ الدلالة واحدة ، مع أنّ الطهور لا یشترط فیه أن یکون واجبا بل لو وقع مستحبا أجزأ علی ما حقق 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الاستحباب لا ینافی الشرطیة بالنسبة إلی الطهور ، بل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واجب شرطی ، والسلام کذلک علی معنی أنّه شرط فی الخروج وإن لم یکن واجبا بالمعنی المعروف ، لکن لم أر من 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الخبر المذکور علی تقدیر إفادته الحصر لا مانع من کونه إضافیا بعد وجود الدلیل ، کالخبر السابق الدال علی أنّ بعد فعل الشهادتین تمّت الصلاة ، والدال علی أنّ الانصراف یتحقّق بالفراغ من التشهد ، وحینئذ یراد بتحلیل التسلیم بیان الفرد الکامل کما یأتی من الشیخ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ثبوت الخبر سندا </w:t>
      </w:r>
      <w:r>
        <w:rPr>
          <w:rStyle w:val="FootnoteAnchor"/>
          <w:rtl w:val="true"/>
        </w:rPr>
        <w:footnoteReference w:id="1284"/>
      </w:r>
      <w:r>
        <w:rPr>
          <w:rFonts w:ascii="IRNazanin" w:hAnsi="IRNazanin" w:eastAsia="IRNazanin"/>
          <w:color w:val="111111"/>
          <w:sz w:val="28"/>
          <w:sz w:val="28"/>
          <w:szCs w:val="28"/>
          <w:rtl w:val="true"/>
          <w:lang w:bidi="fa-IR"/>
        </w:rPr>
        <w:t xml:space="preserve">، فیه نظر ؛ لأنّ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إذا احتجّ به </w:t>
      </w:r>
      <w:r>
        <w:rPr>
          <w:rFonts w:eastAsia="IRNazanin" w:cs="IRNazanin"/>
          <w:color w:val="111111"/>
          <w:sz w:val="28"/>
          <w:szCs w:val="28"/>
          <w:rtl w:val="true"/>
          <w:lang w:bidi="fa-IR"/>
        </w:rPr>
        <w:t xml:space="preserve">) </w:t>
      </w:r>
      <w:r>
        <w:rPr>
          <w:rStyle w:val="FootnoteAnchor"/>
          <w:rtl w:val="true"/>
        </w:rPr>
        <w:footnoteReference w:id="1285"/>
      </w:r>
      <w:r>
        <w:rPr>
          <w:rStyle w:val="FootnoteAnchor"/>
          <w:rtl w:val="true"/>
        </w:rPr>
        <w:footnoteReference w:id="1286"/>
      </w:r>
      <w:r>
        <w:rPr>
          <w:rFonts w:ascii="IRNazanin" w:hAnsi="IRNazanin" w:eastAsia="IRNazanin"/>
          <w:color w:val="111111"/>
          <w:sz w:val="28"/>
          <w:sz w:val="28"/>
          <w:szCs w:val="28"/>
          <w:rtl w:val="true"/>
          <w:lang w:bidi="fa-IR"/>
        </w:rPr>
        <w:t xml:space="preserve">فهو أبلغ من الصحیح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یعلم من مذهب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یکون فی الخبر دلالة علی نفی خروج التسلیم عن الصلاة وجوبا أو استحبابا إلاّ بتکلّف ، وسیأتی الکلام فیما دلّ علی أنّ التسلیم آخر الصلاة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قاله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معلومیة عدم حصر المحلّل فیه ، إذ لا شک أنّ جمیع منافیات الصلاة محلّلة ، غایة الأمر أنّها لا تجوز فیها ، </w:t>
      </w:r>
    </w:p>
    <w:p>
      <w:pPr>
        <w:pStyle w:val="BookText"/>
        <w:rPr/>
      </w:pPr>
      <w:r>
        <w:rPr>
          <w:rFonts w:ascii="IRNazanin" w:hAnsi="IRNazanin" w:eastAsia="IRNazanin"/>
          <w:color w:val="111111"/>
          <w:sz w:val="28"/>
          <w:sz w:val="28"/>
          <w:szCs w:val="28"/>
          <w:rtl w:val="true"/>
          <w:lang w:bidi="fa-IR"/>
        </w:rPr>
        <w:t xml:space="preserve">ویحتمل کونه کذلک علی سبیل الاستحباب </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 إطلاق التحلیل علی غیر التسلیم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الأمر فی خبر حمّاد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هکذا 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وقوع التسلیم فیه ، ففیه ما قدّمناه فی الأمر ، علی أنّ السلام لیس فی الفقیه </w:t>
      </w:r>
      <w:r>
        <w:rPr>
          <w:rStyle w:val="FootnoteAnchor"/>
          <w:rtl w:val="true"/>
        </w:rPr>
        <w:footnoteReference w:id="1289"/>
      </w:r>
      <w:r>
        <w:rPr>
          <w:rFonts w:ascii="IRNazanin" w:hAnsi="IRNazanin" w:eastAsia="IRNazanin"/>
          <w:color w:val="111111"/>
          <w:sz w:val="28"/>
          <w:sz w:val="28"/>
          <w:szCs w:val="28"/>
          <w:rtl w:val="true"/>
          <w:lang w:bidi="fa-IR"/>
        </w:rPr>
        <w:t xml:space="preserve">والطریق فیه صحیح ، وغیره الموجود فیه السلام </w:t>
      </w:r>
      <w:r>
        <w:rPr>
          <w:rStyle w:val="FootnoteAnchor"/>
          <w:rtl w:val="true"/>
        </w:rPr>
        <w:footnoteReference w:id="1290"/>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استدل به علی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الصلاة بزیادة رکعة أو أکثر عمدا أو سهوا ، وبطلان صلاة المسافر تماما عمدا ، مع أنّ التشهد إذا وقع وکان التسلیم مستحبا ینبغی عدم الإبطال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هذا بأنّ الخروج لا یتحقّق إلاّ بنیّته أو السلام أو فعل المنافی ، ففیه طلب الدلیل علی هذا ، بل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أحدها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الأولی الجواب بأنّ التشهد إذا فرغ منه یتحقّق الخروج ما لم یقصد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هذا مطلوب الدلیل أیضا ، یمکن الجواب بأنّ ما دلّ علی البطلان فی الصور المذکورة وما دلّ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وجوب التسلیم یقتضی ذلک ، والقائل بالوجوب وأنّه خارج عن الصلاة لا بدّ له من المفرّ عن الإشکال بالبطلان مع الزیادة فی الصور المذکورة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من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فی حجة </w:t>
      </w:r>
    </w:p>
    <w:p>
      <w:pPr>
        <w:pStyle w:val="BookText"/>
        <w:rPr/>
      </w:pPr>
      <w:r>
        <w:rPr>
          <w:rFonts w:ascii="IRNazanin" w:hAnsi="IRNazanin" w:eastAsia="IRNazanin"/>
          <w:color w:val="111111"/>
          <w:sz w:val="28"/>
          <w:sz w:val="28"/>
          <w:szCs w:val="28"/>
          <w:rtl w:val="true"/>
          <w:lang w:bidi="fa-IR"/>
        </w:rPr>
        <w:t xml:space="preserve">الوجوب إعادة المسافر إذا صلّی أربعا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علی ما إذا نوی الأربع ابتداء ، فالفساد سابق لا لاحق بعید ؛ لإطلاق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فی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الاستحباب بالخبر </w:t>
      </w:r>
      <w:r>
        <w:rPr>
          <w:rFonts w:eastAsia="IRNazanin" w:cs="IRNazanin"/>
          <w:color w:val="111111"/>
          <w:sz w:val="28"/>
          <w:szCs w:val="28"/>
          <w:rtl w:val="true"/>
          <w:lang w:bidi="fa-IR"/>
        </w:rPr>
        <w:t xml:space="preserve">) </w:t>
      </w:r>
      <w:r>
        <w:rPr>
          <w:rStyle w:val="FootnoteAnchor"/>
          <w:rtl w:val="true"/>
        </w:rPr>
        <w:footnoteReference w:id="1292"/>
      </w:r>
      <w:r>
        <w:rPr>
          <w:rFonts w:ascii="IRNazanin" w:hAnsi="IRNazanin" w:eastAsia="IRNazanin"/>
          <w:color w:val="111111"/>
          <w:sz w:val="28"/>
          <w:sz w:val="28"/>
          <w:szCs w:val="28"/>
          <w:rtl w:val="true"/>
          <w:lang w:bidi="fa-IR"/>
        </w:rPr>
        <w:t xml:space="preserve">المبحوث عنه احتمال </w:t>
      </w:r>
      <w:r>
        <w:rPr>
          <w:rStyle w:val="FootnoteAnchor"/>
          <w:rtl w:val="true"/>
        </w:rPr>
        <w:footnoteReference w:id="1293"/>
      </w:r>
      <w:r>
        <w:rPr>
          <w:rFonts w:ascii="Amiri" w:hAnsi="Amiri" w:eastAsia="Amiri" w:cs="Amiri"/>
          <w:color w:val="111111"/>
          <w:sz w:val="28"/>
          <w:sz w:val="28"/>
          <w:szCs w:val="28"/>
          <w:rtl w:val="true"/>
          <w:lang w:bidi="ar-SA"/>
        </w:rPr>
        <w:t xml:space="preserve">الوجوب والخروج عن الصلاة </w:t>
      </w:r>
      <w:r>
        <w:rPr>
          <w:rStyle w:val="FootnoteAnchor"/>
          <w:rtl w:val="true"/>
        </w:rPr>
        <w:footnoteReference w:id="1294"/>
      </w:r>
      <w:r>
        <w:rPr>
          <w:rFonts w:ascii="IRNazanin" w:hAnsi="IRNazanin" w:eastAsia="IRNazanin"/>
          <w:color w:val="111111"/>
          <w:sz w:val="28"/>
          <w:sz w:val="28"/>
          <w:szCs w:val="28"/>
          <w:rtl w:val="true"/>
          <w:lang w:bidi="fa-IR"/>
        </w:rPr>
        <w:t>، والحال أنّ اللازم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إطلاق النص لا ینافی کون البطلان بالسابق لا اللاحق ، بل الإطلاق یحقق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الاستدلال بالآیة أعنی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وَسَلِّمُوا تَسْلِیماً </w:t>
      </w:r>
      <w:r>
        <w:rPr>
          <w:rFonts w:eastAsia="Amiri" w:cs="Amiri" w:ascii="Amiri" w:hAnsi="Amiri"/>
          <w:color w:val="111111"/>
          <w:sz w:val="28"/>
          <w:szCs w:val="28"/>
          <w:rtl w:val="true"/>
          <w:lang w:bidi="ar-SA"/>
        </w:rPr>
        <w:t xml:space="preserve">) </w:t>
      </w:r>
      <w:r>
        <w:rPr>
          <w:rStyle w:val="FootnoteAnchor"/>
          <w:rtl w:val="true"/>
        </w:rPr>
        <w:footnoteReference w:id="1295"/>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الانقیاد من التسلیم ینافی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وللعلاّمة فی المختلف کلام فی الاستدلال بحدیث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تحلیها التسلیم </w:t>
      </w:r>
      <w:r>
        <w:rPr>
          <w:rFonts w:eastAsia="IRNazanin" w:cs="IRNazanin"/>
          <w:color w:val="111111"/>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موضع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سیأتی </w:t>
      </w:r>
      <w:r>
        <w:rPr>
          <w:rStyle w:val="FootnoteAnchor"/>
          <w:rtl w:val="true"/>
        </w:rPr>
        <w:footnoteReference w:id="1297"/>
      </w:r>
      <w:r>
        <w:rPr>
          <w:rFonts w:ascii="IRNazanin" w:hAnsi="IRNazanin" w:eastAsia="IRNazanin"/>
          <w:color w:val="111111"/>
          <w:sz w:val="28"/>
          <w:sz w:val="28"/>
          <w:szCs w:val="28"/>
          <w:rtl w:val="true"/>
          <w:lang w:bidi="fa-IR"/>
        </w:rPr>
        <w:t xml:space="preserve">فی صلاة الخوف حدیث ربّما یدل علی وجوب التسلیم ، وسنذکر الجواب عنه </w:t>
      </w:r>
      <w:r>
        <w:rPr>
          <w:rFonts w:eastAsia="IRNazanin" w:cs="IRNazanin"/>
          <w:color w:val="111111"/>
          <w:sz w:val="28"/>
          <w:szCs w:val="28"/>
          <w:rtl w:val="true"/>
          <w:lang w:bidi="fa-IR"/>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الخبر المبحوث عنه یمکن أن یحمل الجلوس فیه علی التشهد ، واستعمال الجلوس فی التشهد شائع فی الأخبار کما یعلمه من اطلع علیها ، فلا یتوجه علی الشیخ ما هو ظاهر ، لکن العجب من الشیخ أنّه اعتمد هنا علی أنّ الجلوس هو التشهد ، وفیما یأتی من مسألة </w:t>
      </w:r>
      <w:bookmarkStart w:id="953" w:name="pg15037_163950"/>
    </w:p>
    <w:p>
      <w:pPr>
        <w:pStyle w:val="BookText"/>
        <w:rPr/>
      </w:pPr>
      <w:bookmarkEnd w:id="953"/>
      <w:r>
        <w:rPr>
          <w:rFonts w:ascii="IRNazanin" w:hAnsi="IRNazanin" w:eastAsia="IRNazanin"/>
          <w:color w:val="111111"/>
          <w:sz w:val="28"/>
          <w:sz w:val="28"/>
          <w:szCs w:val="28"/>
          <w:rtl w:val="true"/>
          <w:lang w:bidi="fa-IR"/>
        </w:rPr>
        <w:t xml:space="preserve">من زاد رکعة وجلس عقیب الرابعة اعتمد علی مجرّد الجلوس کما نقل عنه </w:t>
      </w:r>
      <w:r>
        <w:rPr>
          <w:rStyle w:val="FootnoteAnchor"/>
          <w:rtl w:val="true"/>
        </w:rPr>
        <w:footnoteReference w:id="1299"/>
      </w:r>
      <w:r>
        <w:rPr>
          <w:rFonts w:ascii="IRNazanin" w:hAnsi="IRNazanin" w:eastAsia="IRNazanin"/>
          <w:color w:val="111111"/>
          <w:sz w:val="28"/>
          <w:sz w:val="28"/>
          <w:szCs w:val="28"/>
          <w:rtl w:val="true"/>
          <w:lang w:bidi="fa-IR"/>
        </w:rPr>
        <w:t xml:space="preserve">، وسیأتی إن شاء الله بیان ما لا بدّ منه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الشی‌ء قد یدخل فیه وقد لا یدخل کما یعرف من العرف وکلام أهل الأصول أیضا ، وحینئذ لا یدل الخبر علی أنّ التسلیم داخل ، ولو سلّم إرادة الدخول لا یدل علی الوجوب أیضا ؛ لجواز ترکب الصلاة من واجب وندب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بعض الأصحاب أنّ کلام الشیخ یشعر بأنّ الخروج بغیر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بالشهادتین ، لکن التسلیم </w:t>
      </w:r>
      <w:r>
        <w:rPr>
          <w:rFonts w:eastAsia="IRNazanin" w:cs="IRNazanin"/>
          <w:color w:val="111111"/>
          <w:sz w:val="28"/>
          <w:szCs w:val="28"/>
          <w:rtl w:val="true"/>
          <w:lang w:bidi="fa-IR"/>
        </w:rPr>
        <w:t xml:space="preserve">) </w:t>
      </w:r>
      <w:r>
        <w:rPr>
          <w:rStyle w:val="FootnoteAnchor"/>
          <w:rtl w:val="true"/>
        </w:rPr>
        <w:footnoteReference w:id="1301"/>
      </w:r>
      <w:r>
        <w:rPr>
          <w:rFonts w:ascii="IRNazanin" w:hAnsi="IRNazanin" w:eastAsia="IRNazanin"/>
          <w:color w:val="111111"/>
          <w:sz w:val="28"/>
          <w:sz w:val="28"/>
          <w:szCs w:val="28"/>
          <w:rtl w:val="true"/>
          <w:lang w:bidi="fa-IR"/>
        </w:rPr>
        <w:t xml:space="preserve">من تمامها </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کذلک ، إلاّ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محتمل لأن یرید </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 xml:space="preserve">أنّ مفهوم الخبر عدم تحقق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Style w:val="FootnoteAnchor"/>
          <w:rtl w:val="true"/>
        </w:rPr>
        <w:footnoteReference w:id="1304"/>
      </w:r>
      <w:r>
        <w:rPr>
          <w:rFonts w:ascii="IRNazanin" w:hAnsi="IRNazanin" w:eastAsia="IRNazanin"/>
          <w:color w:val="111111"/>
          <w:sz w:val="28"/>
          <w:sz w:val="28"/>
          <w:szCs w:val="28"/>
          <w:rtl w:val="true"/>
          <w:lang w:bidi="fa-IR"/>
        </w:rPr>
        <w:t>بالتسلیم ، فیکون علی جهة الفضل ، والظاهر من الخبر ذلک ، إلاّ أنّ السؤال لمّا کان عمّا وقع قبل التشهد یحتمل أن یکون علیه السلام أراد أنّ التشهد لیس هو الآخر بل الآخر التسلیم ، علی معنی أنّ منتهی الأفعال إلی التسلیم ، لا منتهی الأفعال التسلیم ، کما یدل علیه حکم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الخبر لو عمل به کان له دلالة علی الوجوب فی الجملة ، لکن المعارض اقتضی ما ذکره الشیخ ، والقائلون بأنّ التسلیم خارج یضر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4" w:name="__RefHeading___Toc348282_2142443653"/>
      <w:bookmarkStart w:id="955" w:name="_Toc372"/>
      <w:bookmarkEnd w:id="954"/>
      <w:r>
        <w:rPr>
          <w:rtl w:val="true"/>
        </w:rPr>
        <w:t>توجیه ما دل علی أنّ آخر الصلاة التسلیم</w:t>
      </w:r>
      <w:bookmarkStart w:id="956" w:name="pg15037_163951"/>
      <w:bookmarkEnd w:id="955"/>
    </w:p>
    <w:p>
      <w:pPr>
        <w:pStyle w:val="BookText"/>
        <w:rPr/>
      </w:pPr>
      <w:bookmarkEnd w:id="956"/>
      <w:r>
        <w:rPr>
          <w:rFonts w:ascii="IRNazanin" w:hAnsi="IRNazanin" w:eastAsia="IRNazanin"/>
          <w:color w:val="111111"/>
          <w:sz w:val="28"/>
          <w:sz w:val="28"/>
          <w:szCs w:val="28"/>
          <w:rtl w:val="true"/>
          <w:lang w:bidi="fa-IR"/>
        </w:rPr>
        <w:t>الخبر باستدلالهم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شی‌ء ، وهو أنّ جدّی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مواضع </w:t>
      </w:r>
      <w:r>
        <w:rPr>
          <w:rFonts w:eastAsia="IRNazanin" w:cs="IRNazanin"/>
          <w:color w:val="111111"/>
          <w:sz w:val="28"/>
          <w:szCs w:val="28"/>
          <w:rtl w:val="true"/>
          <w:lang w:bidi="fa-IR"/>
        </w:rPr>
        <w:t xml:space="preserve">) </w:t>
      </w:r>
      <w:r>
        <w:rPr>
          <w:rStyle w:val="FootnoteAnchor"/>
          <w:rtl w:val="true"/>
        </w:rPr>
        <w:footnoteReference w:id="1305"/>
      </w:r>
      <w:r>
        <w:rPr>
          <w:rFonts w:ascii="IRNazanin" w:hAnsi="IRNazanin" w:eastAsia="IRNazanin"/>
          <w:color w:val="111111"/>
          <w:sz w:val="28"/>
          <w:sz w:val="28"/>
          <w:szCs w:val="28"/>
          <w:rtl w:val="true"/>
          <w:lang w:bidi="fa-IR"/>
        </w:rPr>
        <w:t xml:space="preserve">أنّ قصد الوجوب بالتسلیم لا یضر بالحال ، لأنّه خارج عن الصلاة </w:t>
      </w:r>
      <w:r>
        <w:rPr>
          <w:rStyle w:val="FootnoteAnchor"/>
          <w:rtl w:val="true"/>
        </w:rPr>
        <w:footnoteReference w:id="1306"/>
      </w:r>
      <w:r>
        <w:rPr>
          <w:rFonts w:ascii="IRNazanin" w:hAnsi="IRNazanin" w:eastAsia="IRNazanin"/>
          <w:color w:val="111111"/>
          <w:sz w:val="28"/>
          <w:sz w:val="28"/>
          <w:szCs w:val="28"/>
          <w:rtl w:val="true"/>
          <w:lang w:bidi="fa-IR"/>
        </w:rPr>
        <w:t>، وأراد بهذا بیان الاحتیاط فی قصد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شیخنا قدس سره بأنّ قصد الوجوب ممن لا یعتقد الوجوب لا وجه له ؛ إذ النیّة من باب التصدیق لا التصور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یدفع الاحتیاط المطلوب فی الأحکام ، ولا مانع من مجرد التصور فی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الرجحان المطلق أولی ؛ لأنّ فیه جمعا بین الوجوب والاستحباب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ینظر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الفعل إذا لم یتم إلاّ به یکون واجبا فیلزم أنّ مطلق الرجحان واجب ، ویرجع حینئذ إلی قصد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بأنّ الوجوب هنا غیر الوجوب الأوّل ، بل هذا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بعض الأصحاب فی الفرق بین الواجب أصالة والواجب من باب المقدمة أن الأوّل یتوقف علی النیّة دون الثانی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وجوب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لیتفرع علیه وجوب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 لأنّ التکلیف فرع المعلومیة ، وتعارض الأدلة یقتضی عدم وجوب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7" w:name="__RefHeading___Toc348284_2142443653"/>
      <w:bookmarkStart w:id="958" w:name="_Toc373"/>
      <w:bookmarkEnd w:id="957"/>
      <w:r>
        <w:rPr>
          <w:rtl w:val="true"/>
        </w:rPr>
        <w:t>هل یضرّ قصد الوجوب علی تقدیر استحباب التسلیم؟</w:t>
      </w:r>
      <w:bookmarkEnd w:id="958"/>
    </w:p>
    <w:p>
      <w:pPr>
        <w:pStyle w:val="BookText"/>
        <w:rPr/>
      </w:pPr>
      <w:r>
        <w:rPr>
          <w:rFonts w:ascii="IRNazanin" w:hAnsi="IRNazanin" w:eastAsia="IRNazanin"/>
          <w:color w:val="111111"/>
          <w:sz w:val="28"/>
          <w:sz w:val="28"/>
          <w:szCs w:val="28"/>
          <w:rtl w:val="true"/>
          <w:lang w:bidi="fa-IR"/>
        </w:rPr>
        <w:t>التسلیم المقتضی لعدم التکلیف ، إذ الأصل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بالعبادة ضروری ، وتعیّن البراءة موقوف علی التسلیم ؛ إذ بدونه یحتمل عدم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ضروریة التکلیف بالصلاة مسلّم ، لکن بکل جزء من أجزائها غیر مسلّم ، والامتثال یتحقق بما ثبت وجوبه ، ووجوب ما لم یعلم یتوقف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 xml:space="preserve">] </w:t>
      </w:r>
      <w:r>
        <w:rPr>
          <w:rStyle w:val="FootnoteAnchor"/>
          <w:rtl w:val="true"/>
        </w:rPr>
        <w:footnoteReference w:id="1309"/>
      </w:r>
      <w:r>
        <w:rPr>
          <w:rFonts w:ascii="IRNazanin" w:hAnsi="IRNazanin" w:eastAsia="IRNazanin"/>
          <w:color w:val="111111"/>
          <w:sz w:val="28"/>
          <w:sz w:val="28"/>
          <w:szCs w:val="28"/>
          <w:rtl w:val="true"/>
          <w:lang w:bidi="fa-IR"/>
        </w:rPr>
        <w:t>التکلیف بالتسلیم ، غایة الأمر أنّ الاشتباه فی الوجوب والندب ، وإذا تحقق التکلیف لزم فعل ما یتحقق به سقوط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حینئذ محل کلام ؛ لأنّ الفعل إذا لم یتعین وجوبا أو استحبابا لا نسلّم التکلیف به لزوما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بمطلق الرجحان واللازم فعله ، وأمّا الوجوب فأمر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یکفی فی سقوط یقین التکلیف فعل الصلاة بالواجب </w:t>
      </w:r>
      <w:r>
        <w:rPr>
          <w:rStyle w:val="FootnoteAnchor"/>
          <w:rtl w:val="true"/>
        </w:rPr>
        <w:footnoteReference w:id="1310"/>
      </w:r>
      <w:r>
        <w:rPr>
          <w:rFonts w:ascii="IRNazanin" w:hAnsi="IRNazanin" w:eastAsia="IRNazanin"/>
          <w:color w:val="111111"/>
          <w:sz w:val="28"/>
          <w:sz w:val="28"/>
          <w:szCs w:val="28"/>
          <w:rtl w:val="true"/>
          <w:lang w:bidi="fa-IR"/>
        </w:rPr>
        <w:t>المحقق ولا یحتاج إلی یقین البراءة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قدّمنا </w:t>
      </w:r>
      <w:r>
        <w:rPr>
          <w:rStyle w:val="FootnoteAnchor"/>
          <w:rtl w:val="true"/>
        </w:rPr>
        <w:footnoteReference w:id="1311"/>
      </w:r>
      <w:r>
        <w:rPr>
          <w:rFonts w:ascii="IRNazanin" w:hAnsi="IRNazanin" w:eastAsia="IRNazanin"/>
          <w:color w:val="111111"/>
          <w:sz w:val="28"/>
          <w:sz w:val="28"/>
          <w:szCs w:val="28"/>
          <w:rtl w:val="true"/>
          <w:lang w:bidi="fa-IR"/>
        </w:rPr>
        <w:t>کلاما فی مثل هذا ، والحاصل أنّ سقوط یقین اشتغال الذمّة لا یکفی ، بل لا بدّ من فعل ما أعدّه الشارع</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فاعلم أنّ ما نقلناه عن جدّی قدس سره من أنّ التسلیم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المدّعی ، وکأنّه قدس سره نظر إلی بعض الأخبار الدال علی أنّ فعل الشهادتین تتم به الصلاة ، وأنّ الحدث لا یضرّ بین التشهد والتسلیم ، </w:t>
      </w:r>
      <w:bookmarkStart w:id="959" w:name="pg15037_163953"/>
    </w:p>
    <w:p>
      <w:pPr>
        <w:pStyle w:val="BookText"/>
        <w:rPr/>
      </w:pPr>
      <w:bookmarkEnd w:id="959"/>
      <w:r>
        <w:rPr>
          <w:rFonts w:ascii="IRNazanin" w:hAnsi="IRNazanin" w:eastAsia="IRNazanin"/>
          <w:color w:val="111111"/>
          <w:sz w:val="28"/>
          <w:sz w:val="28"/>
          <w:szCs w:val="28"/>
          <w:rtl w:val="true"/>
          <w:lang w:bidi="fa-IR"/>
        </w:rPr>
        <w:t xml:space="preserve">لکن لا یخفی أنّ ما دلّ علی البطلان بزیادة الرکعة ینافی خروج التسلیم ، فلا بدّ من أن یقال باحتمال البطلان لقصد عدم الخروج کما سبق ، وإن کان یخطر فی البال الآن أنّ اللازم صحة الصلاة مع الزیادة لو وقعت من غیر قصد عدم الخروج ، والنص مطلق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القیام للخامسة ونحوها هو قصد عدم الخروج أو لازمه قصد عدم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قصد عدم الخروج أو ما أشبهه مع فعل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بعض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 جدّی قدس سره وافقه </w:t>
      </w:r>
      <w:r>
        <w:rPr>
          <w:rStyle w:val="FootnoteAnchor"/>
          <w:rtl w:val="true"/>
        </w:rPr>
        <w:footnoteReference w:id="1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قصد الخروج من الصلاة وإن قلنا بندبیة التسلیم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الدلیل علیه لم نعلمه ، فإن کان من حکم الزیادة استفید ذلک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من الزیادة کون قصد عدم الخروج هو الموجب للبطلان أو ما أشبهه مع فعل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الزیادة إمّا أن یکون جزء السبب للبطلان أو لا ، فإن کان جزءا لزم أنّه لو حصلت الغفلة من دون زیادة لا تبطل الصلاة ، وإن لم یکن جزءا کان ذکره فی البطلان لا فائدة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جزء أو شرط ، ولزوم عدم البطلان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المبطل هو الزیادة وإن کانت قبل التسلیم ، ولیس هذا من قسم الزیادة فی الصلاة لیلزم کون التسلیم جزءا ، بل یجوز أن یکون الإبطال من الإتیان بصورة صلاة غیر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الإتیان بصورة الصلاة لو کان مبطلا لزم أنّ من سلّم أو خرج من الصلاة بغیره ولم یظهر منه ذلک وزاد رکعة تبطل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0" w:name="__RefHeading___Toc348286_2142443653"/>
      <w:bookmarkStart w:id="961" w:name="_Toc374"/>
      <w:bookmarkEnd w:id="960"/>
      <w:r>
        <w:rPr>
          <w:rtl w:val="true"/>
        </w:rPr>
        <w:t>هل یعتبر قصد الخروج بالتسلیم؟</w:t>
      </w:r>
      <w:bookmarkEnd w:id="961"/>
    </w:p>
    <w:p>
      <w:pPr>
        <w:pStyle w:val="BookText"/>
        <w:rPr/>
      </w:pPr>
      <w:r>
        <w:rPr>
          <w:rFonts w:ascii="IRNazanin" w:hAnsi="IRNazanin" w:eastAsia="IRNazanin"/>
          <w:color w:val="111111"/>
          <w:sz w:val="28"/>
          <w:sz w:val="28"/>
          <w:szCs w:val="28"/>
          <w:rtl w:val="true"/>
          <w:lang w:bidi="fa-IR"/>
        </w:rPr>
        <w:t>المطلوب توجیه ما جعله الشارع مبطلا ، لا أنّ کل صورة لم تقع مشروعة بأیّ وجه کان 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غایة البعد عن قوانین الأحکام ، نعم ربّما یقال بتقدیر استحباب التسلیم إنّ له تعلقا بالکیفیة ؛ لجواز ترکب الصلاة من واجب وندب ، مثل السلام علی النبی بعد التشهد ونحوه ، وحینئذ لو وقعت الزیادة أمکن کونها فی الأثناء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 یخفی أنّ هذا توجیه للنص ، 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التسلیم لو کان مستحبا لا مانع من حکم الشارع بالبطلان قبله إذا لم یفعل المصلّی شیئا من المخرجات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 کون الواجب السلام أو غیره علی وجه التخییر ، یمکن دفعه بأنّ المطلوب عن فعل المخرج لا لأجل وجوب الخروج ، بل لأنّ الزیادة فی الصلاة من دون الخروج مبطلة فلا یکون الخروج واجبا علی الإطلاق</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هذا من قبیل تعلیق الحکم علی شی‌ء فی وقت من الأوقات ، فلا یکون الوجوب مشروطا دائما ولا مطلقا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 الحال أنّ الشارع جعل الزیادة مبطلة إذا لم یقصد الخروج أو یخرج بشی‌ء من المنافیات ، فلو اتفق انتفاء أحد هذه المذکورات وحصلت الزیادة تحقّق البطلان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 xml:space="preserve">الشارع جعل قصد الخروج ونحوه واجبا دائما ، فلو تحققت الزیادة مع عدم نیّة الخروج ولو علی سبیل الاتفاق أبطلت </w:t>
      </w:r>
      <w:r>
        <w:rPr>
          <w:rStyle w:val="FootnoteAnchor"/>
          <w:rtl w:val="true"/>
        </w:rPr>
        <w:footnoteReference w:id="1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 هذا فإنّی لم أجده موضحا فی کلام أحد من الأصحاب ، والله تعالی أعلم بالحقائق</w:t>
      </w:r>
      <w:r>
        <w:rPr>
          <w:rFonts w:eastAsia="IRNazanin" w:cs="IRNazanin"/>
          <w:color w:val="111111"/>
          <w:sz w:val="28"/>
          <w:szCs w:val="28"/>
          <w:rtl w:val="true"/>
          <w:lang w:bidi="fa-IR"/>
        </w:rPr>
        <w:t xml:space="preserve">. </w:t>
      </w:r>
      <w:bookmarkStart w:id="962" w:name="pg15037_163955"/>
    </w:p>
    <w:p>
      <w:pPr>
        <w:pStyle w:val="BookText"/>
        <w:rPr/>
      </w:pPr>
      <w:bookmarkEnd w:id="96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کیفیة التسلیم</w:t>
      </w:r>
    </w:p>
    <w:p>
      <w:pPr>
        <w:pStyle w:val="BookText"/>
        <w:rPr/>
      </w:pPr>
      <w:r>
        <w:rPr>
          <w:rFonts w:ascii="IRNazanin" w:hAnsi="IRNazanin" w:eastAsia="IRNazanin"/>
          <w:color w:val="111111"/>
          <w:sz w:val="28"/>
          <w:sz w:val="28"/>
          <w:szCs w:val="28"/>
          <w:rtl w:val="true"/>
          <w:lang w:bidi="fa-IR"/>
        </w:rPr>
        <w:t xml:space="preserve">أخبرنی أبو الحسین بن أبی جید القمّی ، عن محمّد بن الحسن بن الولید ، عن الحسین بن الحسن بن أبان ، عن الحسین بن سعید ، عن إبراهیم الخزاز ، عن عبد الحمید بن عواض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تؤمّ قوما أجزأک تسلیمة واحدة عن یمینک ، وإن کنت مع إمام فتسلیمتین ، وإن کنت وحدک فواحدة مستقبل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صفوان ، عن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یسلّم واحدة ، ومن وراءه یسلّم اثنتین ، فإن لم یکن عن شماله أحد یسلّم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فضالة ، عن حسین ، عن ابن مسکان ، عن عنبسة بن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یقوم فی الصف خلف الإمام ولیس علی یساره أحد کیف یسلّم؟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تسلیمة واحدة عن یمینه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ما رواه الحسین بن سعید ، عن ابن أبی عمیر ، عن عمر بن أذینة ، عن زرارة ومحمّد بن مسلم ومعمر بن یحیی وإسماعیل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یسلّم تسلیمة واحدة إماما کان 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 نحمله علی أنّه إذا کان المأموم لیس علی یساره أحد علی ما فصّله فی روایة منصور بن حازم وعنبسة بن مصعب ، ویزید ذلک بیاناً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الحسین بن سعید ، عن محمّد بن سنان ، عن ابن</w:t>
      </w:r>
    </w:p>
    <w:p>
      <w:pPr>
        <w:pStyle w:val="Heading3"/>
        <w:numPr>
          <w:ilvl w:val="2"/>
          <w:numId w:val="1"/>
        </w:numPr>
        <w:rPr/>
      </w:pPr>
      <w:bookmarkStart w:id="963" w:name="__RefHeading___Toc348288_2142443653"/>
      <w:bookmarkStart w:id="964" w:name="_Toc375"/>
      <w:bookmarkEnd w:id="963"/>
      <w:r>
        <w:rPr>
          <w:rtl w:val="true"/>
        </w:rPr>
        <w:t>کیفیة التسلیم</w:t>
      </w:r>
      <w:bookmarkEnd w:id="96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5" w:name="__RefHeading___Toc348290_2142443653"/>
      <w:bookmarkStart w:id="966" w:name="_Toc376"/>
      <w:bookmarkEnd w:id="965"/>
      <w:r>
        <w:rPr>
          <w:rtl w:val="true"/>
        </w:rPr>
        <w:t>اشارة</w:t>
      </w:r>
      <w:bookmarkStart w:id="967" w:name="pg15037_163956"/>
      <w:bookmarkEnd w:id="966"/>
    </w:p>
    <w:p>
      <w:pPr>
        <w:pStyle w:val="BookText"/>
        <w:rPr/>
      </w:pPr>
      <w:bookmarkEnd w:id="967"/>
      <w:r>
        <w:rPr>
          <w:rFonts w:ascii="IRNazanin" w:hAnsi="IRNazanin" w:eastAsia="IRNazanin"/>
          <w:color w:val="111111"/>
          <w:sz w:val="28"/>
          <w:sz w:val="28"/>
          <w:szCs w:val="28"/>
          <w:rtl w:val="true"/>
          <w:lang w:bidi="fa-IR"/>
        </w:rPr>
        <w:t xml:space="preserve">مسکان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إماما فإنّما التسلیم أن تسلّم علی النبی صلی الله علیه و آله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 فإذا قلت ذلک فقد انقطعت الصلاة ، ثم تؤذن القوم فتقول وأنت مستقبل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Style w:val="FootnoteAnchor"/>
          <w:rtl w:val="true"/>
        </w:rPr>
        <w:footnoteReference w:id="1316"/>
      </w:r>
      <w:r>
        <w:rPr>
          <w:rFonts w:ascii="IRNazanin" w:hAnsi="IRNazanin" w:eastAsia="IRNazanin"/>
          <w:color w:val="111111"/>
          <w:sz w:val="28"/>
          <w:sz w:val="28"/>
          <w:szCs w:val="28"/>
          <w:rtl w:val="true"/>
          <w:lang w:bidi="fa-IR"/>
        </w:rPr>
        <w:t xml:space="preserve">، وکذلک إذا کنت وحدک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مثل ما سلّمت وأنت إمام ، فإذا کنت فی جماعة فقل مثل ما قلت وسلّم علی من علی یمینک وشمالک ، فإن لم یکن علی شمالک أحد فسلّم علی الذین علی یمینک ولا تدع التسلیم علی یمینک إن لم یکن علی شمالک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الحال ممّا تقدم </w:t>
      </w:r>
      <w:r>
        <w:rPr>
          <w:rStyle w:val="FootnoteAnchor"/>
          <w:rtl w:val="true"/>
        </w:rPr>
        <w:footnoteReference w:id="1317"/>
      </w:r>
      <w:r>
        <w:rPr>
          <w:rFonts w:ascii="IRNazanin" w:hAnsi="IRNazanin" w:eastAsia="IRNazanin"/>
          <w:color w:val="111111"/>
          <w:sz w:val="28"/>
          <w:sz w:val="28"/>
          <w:szCs w:val="28"/>
          <w:rtl w:val="true"/>
          <w:lang w:bidi="fa-IR"/>
        </w:rPr>
        <w:t>، وإبراهیم الخزاز فیه أبو أیوب إبراهیم بن عیسی أو ابن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الحمید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ومنصور هو ابن حازم ، لتصریح الشیخ به فیما بعد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فیه ابن عثمان ، لتکرره فی الأخبار </w:t>
      </w:r>
      <w:r>
        <w:rPr>
          <w:rStyle w:val="FootnoteAnchor"/>
          <w:rtl w:val="true"/>
        </w:rPr>
        <w:footnoteReference w:id="1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عنبسة فقد مضی فیه القول مفصّلا </w:t>
      </w:r>
      <w:r>
        <w:rPr>
          <w:rStyle w:val="FootnoteAnchor"/>
          <w:rtl w:val="true"/>
        </w:rPr>
        <w:footnoteReference w:id="1320"/>
      </w:r>
      <w:r>
        <w:rPr>
          <w:rFonts w:ascii="IRNazanin" w:hAnsi="IRNazanin" w:eastAsia="IRNazanin"/>
          <w:color w:val="111111"/>
          <w:sz w:val="28"/>
          <w:sz w:val="28"/>
          <w:szCs w:val="28"/>
          <w:rtl w:val="true"/>
          <w:lang w:bidi="fa-IR"/>
        </w:rPr>
        <w:t xml:space="preserve">، والحاصل أنّه مهمل فی کتاب الشیخ </w:t>
      </w:r>
      <w:r>
        <w:rPr>
          <w:rStyle w:val="FootnoteAnchor"/>
          <w:rtl w:val="true"/>
        </w:rPr>
        <w:footnoteReference w:id="1321"/>
      </w:r>
      <w:r>
        <w:rPr>
          <w:rFonts w:ascii="IRNazanin" w:hAnsi="IRNazanin" w:eastAsia="IRNazanin"/>
          <w:color w:val="111111"/>
          <w:sz w:val="28"/>
          <w:sz w:val="28"/>
          <w:szCs w:val="28"/>
          <w:rtl w:val="true"/>
          <w:lang w:bidi="fa-IR"/>
        </w:rPr>
        <w:t>،</w:t>
      </w:r>
    </w:p>
    <w:p>
      <w:pPr>
        <w:pStyle w:val="Heading4"/>
        <w:numPr>
          <w:ilvl w:val="3"/>
          <w:numId w:val="1"/>
        </w:numPr>
        <w:rPr/>
      </w:pPr>
      <w:bookmarkStart w:id="968" w:name="__RefHeading___Toc348292_2142443653"/>
      <w:bookmarkStart w:id="969" w:name="_Toc377"/>
      <w:bookmarkEnd w:id="968"/>
      <w:r>
        <w:rPr>
          <w:rtl w:val="true"/>
        </w:rPr>
        <w:t>عبدالحمید بن عواض ثقةبیان ما دلّ علی أنّ الإمام یسلّم تسلیمة واحدة عن یمینه والمأموم تسلیمتین والمنفرد واحدة مستقبل القبلة</w:t>
      </w:r>
      <w:bookmarkEnd w:id="96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0" w:name="__RefHeading___Toc348294_2142443653"/>
      <w:bookmarkStart w:id="971" w:name="_Toc378"/>
      <w:bookmarkEnd w:id="970"/>
      <w:r>
        <w:rPr>
          <w:rtl w:val="true"/>
        </w:rPr>
        <w:t>إشارة إلی حال عنبسة بن مصعب</w:t>
      </w:r>
      <w:bookmarkStart w:id="972" w:name="pg15037_163957"/>
      <w:bookmarkEnd w:id="971"/>
    </w:p>
    <w:p>
      <w:pPr>
        <w:pStyle w:val="BookText"/>
        <w:rPr/>
      </w:pPr>
      <w:bookmarkEnd w:id="972"/>
      <w:r>
        <w:rPr>
          <w:rFonts w:ascii="IRNazanin" w:hAnsi="IRNazanin" w:eastAsia="IRNazanin"/>
          <w:color w:val="111111"/>
          <w:sz w:val="28"/>
          <w:sz w:val="28"/>
          <w:szCs w:val="28"/>
          <w:rtl w:val="true"/>
          <w:lang w:bidi="fa-IR"/>
        </w:rPr>
        <w:t xml:space="preserve">وفی الکشی عن حمدویه أنّه ناووسی واقفی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 وإسماعیل فیه اشتراک </w:t>
      </w:r>
      <w:r>
        <w:rPr>
          <w:rStyle w:val="FootnoteAnchor"/>
          <w:rtl w:val="true"/>
        </w:rPr>
        <w:footnoteReference w:id="1323"/>
      </w:r>
      <w:r>
        <w:rPr>
          <w:rFonts w:ascii="IRNazanin" w:hAnsi="IRNazanin" w:eastAsia="IRNazanin"/>
          <w:color w:val="111111"/>
          <w:sz w:val="28"/>
          <w:sz w:val="28"/>
          <w:szCs w:val="28"/>
          <w:rtl w:val="true"/>
          <w:lang w:bidi="fa-IR"/>
        </w:rPr>
        <w:t>لا یضر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غیر خفی بمحمد بن سنان وأبی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أنّ الإمام یسلّم واحدة عن یمینه ، والمأموم یسلّم تسلیمتین ، والمنفرد واحدة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تسلیمة واحدة للإمام علی الإطلاق وتقییده بالأوّل ممکن ، کما أنّ تقیید الأوّل من جهة التسلیمتین للمأموم بما إذا کان علی شماله أحد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الثانی فی 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الاکتفاء بالواحدة للجمیع ، وحمل الشیخ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یراد بالتسلیمة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الواحدة فی الکیفیة لا فی الکمیة ، وفیه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احتمال أنّ الواجب واحدة علی القول بالوجوب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أنّ المنفرد والإمام یسلّم واحدة ، لکن مضی فی الثانی أنّ المنفرد یسلّم مستقبل القبلة والإمام عن یمینه ، وهذا یقتضی أنّ کلاّ من الإمام والمنفرد یسلّم مستقبل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تضمنه آخره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علی الذین عن یمینک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اعتبار وجود أحد عن یمینه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الظن 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عوضه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 ویحتمل توجیهه بأنّ التسلیم علی الشمال موقوف</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3" w:name="__RefHeading___Toc348296_2142443653"/>
      <w:bookmarkStart w:id="974" w:name="_Toc379"/>
      <w:bookmarkEnd w:id="973"/>
      <w:r>
        <w:rPr>
          <w:rtl w:val="true"/>
        </w:rPr>
        <w:t>بیان ما دلّ علی أنّ الإمام یسلّم تسلیمة واحدة عن یمینه والمأموم تسلیمتین والمنفرد واحدة مستقبل القبلة</w:t>
      </w:r>
      <w:bookmarkStart w:id="975" w:name="pg15037_163958"/>
      <w:bookmarkEnd w:id="974"/>
    </w:p>
    <w:p>
      <w:pPr>
        <w:pStyle w:val="BookText"/>
        <w:rPr/>
      </w:pPr>
      <w:bookmarkEnd w:id="975"/>
      <w:r>
        <w:rPr>
          <w:rFonts w:ascii="IRNazanin" w:hAnsi="IRNazanin" w:eastAsia="IRNazanin"/>
          <w:color w:val="111111"/>
          <w:sz w:val="28"/>
          <w:sz w:val="28"/>
          <w:szCs w:val="28"/>
          <w:rtl w:val="true"/>
          <w:lang w:bidi="fa-IR"/>
        </w:rPr>
        <w:t xml:space="preserve">علی وجود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الیمین فإنّ التسلیم لا یتوقف علی وجود أحد علی الشمال ، أمّا توقفه علی وجود أحد </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 xml:space="preserve">علی الیمین فمسکوت عنه ، مع احتمال فهم العدم منه ، وستسمع الأقوال فی المقام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فاعلم أنّ من المهم الکلام هنا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تعیین المخرج من الصلاة ، فالمنقول عن المحقق فی المعتبر دعوی الإجماع علی الخروج بالسلام علیکم ورحمة الله </w:t>
      </w:r>
      <w:r>
        <w:rPr>
          <w:rStyle w:val="FootnoteAnchor"/>
          <w:rtl w:val="true"/>
        </w:rPr>
        <w:footnoteReference w:id="1326"/>
      </w:r>
      <w:r>
        <w:rPr>
          <w:rFonts w:ascii="IRNazanin" w:hAnsi="IRNazanin" w:eastAsia="IRNazanin"/>
          <w:color w:val="111111"/>
          <w:sz w:val="28"/>
          <w:sz w:val="28"/>
          <w:szCs w:val="28"/>
          <w:rtl w:val="true"/>
          <w:lang w:bidi="fa-IR"/>
        </w:rPr>
        <w:t xml:space="preserve">، واستدل علیه بروایة علی بن جعفر المرویة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 xml:space="preserve">صحیحا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إخوتی موسی وإسحاق ومحمّد بنی جعفر علیهم السلام یسلّمون فی الصلاة علی الیمین والشمال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ورحمة الله ، السلام علیکم ورحمة الله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المنتهی أنّه لا خلاف فی عدم وجوب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وبرکاته </w:t>
      </w:r>
      <w:r>
        <w:rPr>
          <w:rFonts w:eastAsia="IRNazanin" w:cs="IRNazanin"/>
          <w:color w:val="111111"/>
          <w:sz w:val="28"/>
          <w:szCs w:val="28"/>
          <w:rtl w:val="true"/>
          <w:lang w:bidi="fa-IR"/>
        </w:rPr>
        <w:t xml:space="preserve">» </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أکثر القائلین بوجوب التسلیم لا یجعلونها مخرجة ، بل هی من التشهد </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جماعة إلی التخییر فی الخروج بین الصیغتین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6" w:name="__RefHeading___Toc348298_2142443653"/>
      <w:bookmarkStart w:id="977" w:name="_Toc380"/>
      <w:bookmarkEnd w:id="976"/>
      <w:r>
        <w:rPr>
          <w:rtl w:val="true"/>
        </w:rPr>
        <w:t>تعیین التسلیم المُخرج من الصلاة</w:t>
      </w:r>
      <w:bookmarkEnd w:id="977"/>
    </w:p>
    <w:p>
      <w:pPr>
        <w:pStyle w:val="BookText"/>
        <w:rPr/>
      </w:pPr>
      <w:r>
        <w:rPr>
          <w:rFonts w:ascii="IRNazanin" w:hAnsi="IRNazanin" w:eastAsia="IRNazanin"/>
          <w:color w:val="111111"/>
          <w:sz w:val="28"/>
          <w:sz w:val="28"/>
          <w:szCs w:val="28"/>
          <w:rtl w:val="true"/>
          <w:lang w:bidi="fa-IR"/>
        </w:rPr>
        <w:t xml:space="preserve">والشهید رحمه الله فی الذکری أنکر التخییر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حدث من زمن المحقق وقبله بیسیر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العبارة الثانیة لم یوجبها أحد من القدماء ، وإنّ القائل بوجوب التسلیم یجعلها مستحبة کالتسلیم علی الأنبیاء والملائکة ، غیر مخرجة من الصلاة ، والقائل بندب التسلیم یجعلها مخرجة </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الرسالة قال بالتخییر </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نبّه جدّی قدس سره فی الروضة علی اضطرابه فی المسألة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الموجودة فیما وقفت علیه بالسلام علیکم هی ما مضی عن علی بن جعفر ، والخبر الأخیر هنا المتضمن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تؤذن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الحسن فی الکافی فی باب الأذان المتضمن للمعراج </w:t>
      </w:r>
      <w:r>
        <w:rPr>
          <w:rStyle w:val="FootnoteAnchor"/>
          <w:rtl w:val="true"/>
        </w:rPr>
        <w:footnoteReference w:id="1337"/>
      </w:r>
      <w:r>
        <w:rPr>
          <w:rFonts w:ascii="IRNazanin" w:hAnsi="IRNazanin" w:eastAsia="IRNazanin"/>
          <w:color w:val="111111"/>
          <w:sz w:val="28"/>
          <w:sz w:val="28"/>
          <w:szCs w:val="28"/>
          <w:rtl w:val="true"/>
          <w:lang w:bidi="fa-IR"/>
        </w:rPr>
        <w:t xml:space="preserve">، وما نقله فی المنتهی عن جامع البزنطی ، عن عبد الله بن أبی یعفور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تسلیم الإمام وهو مستقبل القبلة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بعض الأصحاب تبادر السلام إلیه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خبر علی بن جعفر یؤذن بالتقیة من حیث تضمنه الیمین والشمال ، إلاّ أن یتکلف التوجیه بما قرب من الجهتین ، ومنافاته لما دلّ علی وحدة سلام الإمام یمکن دفعها بالاختلاف فی الفضل ، وفی الظن </w:t>
      </w:r>
    </w:p>
    <w:p>
      <w:pPr>
        <w:pStyle w:val="BookText"/>
        <w:rPr/>
      </w:pPr>
      <w:r>
        <w:rPr>
          <w:rFonts w:ascii="IRNazanin" w:hAnsi="IRNazanin" w:eastAsia="IRNazanin"/>
          <w:color w:val="111111"/>
          <w:sz w:val="28"/>
          <w:sz w:val="28"/>
          <w:szCs w:val="28"/>
          <w:rtl w:val="true"/>
          <w:lang w:bidi="fa-IR"/>
        </w:rPr>
        <w:t xml:space="preserve">أنّ رائحة التقیّة تشمّ منه ، وقد رووا من طرقهم أنّ أمیر المؤمنین علیه السلام کان یسلّم عن یمینه وشماله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علیکم السلام علیکم </w:t>
      </w:r>
      <w:r>
        <w:rPr>
          <w:rFonts w:eastAsia="IRNazanin" w:cs="IRNazanin"/>
          <w:color w:val="111111"/>
          <w:sz w:val="28"/>
          <w:szCs w:val="28"/>
          <w:rtl w:val="true"/>
          <w:lang w:bidi="fa-IR"/>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خبر الکافی فلا ارتیاب فیه ، ودلالته علی عدم تقدیم السلام علینا علیه لها نوع ظهور کما یعلم من مراجعته ، وقد أوضحت الحال فی رسالة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السلام علینا فالأخبار المعتبرة بعضها دالّ علی أنّه قاطع للصلاة </w:t>
      </w:r>
      <w:r>
        <w:rPr>
          <w:rStyle w:val="FootnoteAnchor"/>
          <w:rtl w:val="true"/>
        </w:rPr>
        <w:footnoteReference w:id="1341"/>
      </w:r>
      <w:r>
        <w:rPr>
          <w:rFonts w:ascii="IRNazanin" w:hAnsi="IRNazanin" w:eastAsia="IRNazanin"/>
          <w:color w:val="111111"/>
          <w:sz w:val="28"/>
          <w:sz w:val="28"/>
          <w:szCs w:val="28"/>
          <w:rtl w:val="true"/>
          <w:lang w:bidi="fa-IR"/>
        </w:rPr>
        <w:t xml:space="preserve">، وفیه نوع منافاة لکونه من المستحبات فی التشهد ، وبعضها صریح فی العود لأهل الخلاف </w:t>
      </w:r>
      <w:r>
        <w:rPr>
          <w:rStyle w:val="FootnoteAnchor"/>
          <w:rtl w:val="true"/>
        </w:rPr>
        <w:footnoteReference w:id="1342"/>
      </w:r>
      <w:r>
        <w:rPr>
          <w:rFonts w:ascii="IRNazanin" w:hAnsi="IRNazanin" w:eastAsia="IRNazanin"/>
          <w:color w:val="111111"/>
          <w:sz w:val="28"/>
          <w:sz w:val="28"/>
          <w:szCs w:val="28"/>
          <w:rtl w:val="true"/>
          <w:lang w:bidi="fa-IR"/>
        </w:rPr>
        <w:t xml:space="preserve">، حیث تضمن أنّ شیئین یفسد الناس بهما صلاتهم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جَدُّ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تری یدل علی ما یقولونه فی تشهدهم من السلام علینا قبل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أتی به بلفظ یفسد إذ لا یستعمل فی المخرج ، وجمیع هذا ذکرته فیما أشرت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خبر أبی بصیر فلا یخفی أن الاعتماد علیه مشکل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مسکان وأبی کهمش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الرکعتین الأوّلتین إذا جلست فیهما للتشهد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ورحمة الله وبرکاته ، انصراف هو؟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فهو الانصراف </w:t>
      </w:r>
      <w:r>
        <w:rPr>
          <w:rFonts w:eastAsia="IRNazanin" w:cs="IRNazanin"/>
          <w:color w:val="111111"/>
          <w:sz w:val="28"/>
          <w:szCs w:val="28"/>
          <w:rtl w:val="true"/>
          <w:lang w:bidi="fa-IR"/>
        </w:rPr>
        <w:t xml:space="preserve">» </w:t>
      </w:r>
      <w:r>
        <w:rPr>
          <w:rStyle w:val="FootnoteAnchor"/>
          <w:rtl w:val="true"/>
        </w:rPr>
        <w:footnoteReference w:id="1343"/>
      </w:r>
      <w:r>
        <w:rPr>
          <w:rFonts w:ascii="IRNazanin" w:hAnsi="IRNazanin" w:eastAsia="IRNazanin"/>
          <w:color w:val="111111"/>
          <w:sz w:val="28"/>
          <w:sz w:val="28"/>
          <w:szCs w:val="28"/>
          <w:rtl w:val="true"/>
          <w:lang w:bidi="fa-IR"/>
        </w:rPr>
        <w:t xml:space="preserve">وهذا کما تری یؤذن بما قلناه ، فإنّ أهل الخلاف یقولون فی التشهد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w:t>
      </w:r>
    </w:p>
    <w:p>
      <w:pPr>
        <w:pStyle w:val="BookText"/>
        <w:rPr/>
      </w:pPr>
      <w:r>
        <w:rPr>
          <w:rFonts w:ascii="IRNazanin" w:hAnsi="IRNazanin" w:eastAsia="IRNazanin"/>
          <w:color w:val="111111"/>
          <w:sz w:val="28"/>
          <w:sz w:val="28"/>
          <w:szCs w:val="28"/>
          <w:rtl w:val="true"/>
          <w:lang w:bidi="fa-IR"/>
        </w:rPr>
        <w:t xml:space="preserve">والسلام علینا </w:t>
      </w:r>
      <w:r>
        <w:rPr>
          <w:rStyle w:val="FootnoteAnchor"/>
          <w:rtl w:val="true"/>
        </w:rPr>
        <w:footnoteReference w:id="1344"/>
      </w:r>
      <w:r>
        <w:rPr>
          <w:rFonts w:ascii="IRNazanin" w:hAnsi="IRNazanin" w:eastAsia="IRNazanin"/>
          <w:color w:val="111111"/>
          <w:sz w:val="28"/>
          <w:sz w:val="28"/>
          <w:szCs w:val="28"/>
          <w:rtl w:val="true"/>
          <w:lang w:bidi="fa-IR"/>
        </w:rPr>
        <w:t>، وکأنّ السائل أراد بیان ما یبطل الصلاة منهما علی تقدیر وقوعه ، والجواب کما تری یدل علی أنّ الثانی انصراف ، ولو حمل علی التشهد الأخیر لم یکن مطابقا للسؤال لتضمّنه الرکعتین الأوّلتین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النهایة دعوی الإجماع علی عدم الخروج بالسلام علی النبی صلی الله علیه و آله </w:t>
      </w:r>
      <w:r>
        <w:rPr>
          <w:rStyle w:val="FootnoteAnchor"/>
          <w:rtl w:val="true"/>
        </w:rPr>
        <w:footnoteReference w:id="1345"/>
      </w:r>
      <w:r>
        <w:rPr>
          <w:rFonts w:ascii="IRNazanin" w:hAnsi="IRNazanin" w:eastAsia="IRNazanin"/>
          <w:color w:val="111111"/>
          <w:sz w:val="28"/>
          <w:sz w:val="28"/>
          <w:szCs w:val="28"/>
          <w:rtl w:val="true"/>
          <w:lang w:bidi="fa-IR"/>
        </w:rPr>
        <w:t xml:space="preserve">، وقد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الأذان </w:t>
      </w:r>
      <w:r>
        <w:rPr>
          <w:rFonts w:eastAsia="IRNazanin" w:cs="IRNazanin"/>
          <w:color w:val="111111"/>
          <w:sz w:val="28"/>
          <w:szCs w:val="28"/>
          <w:rtl w:val="true"/>
          <w:lang w:bidi="fa-IR"/>
        </w:rPr>
        <w:t xml:space="preserve">) </w:t>
      </w:r>
      <w:r>
        <w:rPr>
          <w:rStyle w:val="FootnoteAnchor"/>
          <w:rtl w:val="true"/>
        </w:rPr>
        <w:footnoteReference w:id="1346"/>
      </w:r>
      <w:r>
        <w:rPr>
          <w:rFonts w:ascii="IRNazanin" w:hAnsi="IRNazanin" w:eastAsia="IRNazanin"/>
          <w:color w:val="111111"/>
          <w:sz w:val="28"/>
          <w:sz w:val="28"/>
          <w:szCs w:val="28"/>
          <w:rtl w:val="true"/>
          <w:lang w:bidi="fa-IR"/>
        </w:rPr>
        <w:t xml:space="preserve">ما قد یدل علی أنّه مخرج لمن نسی الأذان والإقامة </w:t>
      </w:r>
      <w:r>
        <w:rPr>
          <w:rStyle w:val="FootnoteAnchor"/>
          <w:rtl w:val="true"/>
        </w:rPr>
        <w:footnoteReference w:id="1347"/>
      </w:r>
      <w:r>
        <w:rPr>
          <w:rFonts w:ascii="IRNazanin" w:hAnsi="IRNazanin" w:eastAsia="IRNazanin"/>
          <w:color w:val="111111"/>
          <w:sz w:val="28"/>
          <w:sz w:val="28"/>
          <w:szCs w:val="28"/>
          <w:rtl w:val="true"/>
          <w:lang w:bidi="fa-IR"/>
        </w:rPr>
        <w:t>، وذکرنا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الذکری الإجماع علی عدم وجوب الصیغتین معا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أن یعلم أنّ الفاضل یحیی بن سعید نقل عنه القول بتعین السلام علینا </w:t>
      </w: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الشیخ فی المبسوط أنّه أوجب السلام علیکم وجعلها آخر الصلاة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قاله بعض الأصحاب من أنّ الاحتیاط فی الجمع بین الصیغتین خروجا من الخلاف </w:t>
      </w:r>
      <w:r>
        <w:rPr>
          <w:rStyle w:val="FootnoteAnchor"/>
          <w:rtl w:val="true"/>
        </w:rPr>
        <w:footnoteReference w:id="1351"/>
      </w:r>
      <w:r>
        <w:rPr>
          <w:rFonts w:ascii="IRNazanin" w:hAnsi="IRNazanin" w:eastAsia="IRNazanin"/>
          <w:color w:val="111111"/>
          <w:sz w:val="28"/>
          <w:sz w:val="28"/>
          <w:szCs w:val="28"/>
          <w:rtl w:val="true"/>
          <w:lang w:bidi="fa-IR"/>
        </w:rPr>
        <w:t>، مشکل ؛ لاحتمال بطلان الصلاة لو قدّم السلام علینا عند القائل بتعین السلام علیکم وبطلانها أیضا لو قدّم السلام علیکم عند من أوجب السلام علینا ولعلّ تقدیم السلام علیکم أقرب إلی الاحتیاط ، ووجهه یعلم ممّا تقدم</w:t>
      </w:r>
      <w:r>
        <w:rPr>
          <w:rFonts w:eastAsia="IRNazanin" w:cs="IRNazanin"/>
          <w:color w:val="111111"/>
          <w:sz w:val="28"/>
          <w:szCs w:val="28"/>
          <w:rtl w:val="true"/>
          <w:lang w:bidi="fa-IR"/>
        </w:rPr>
        <w:t xml:space="preserve">. </w:t>
      </w:r>
      <w:bookmarkStart w:id="978" w:name="pg15037_163962"/>
    </w:p>
    <w:p>
      <w:pPr>
        <w:pStyle w:val="BookText"/>
        <w:rPr/>
      </w:pPr>
      <w:bookmarkEnd w:id="978"/>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مفاد الأخبار فی کیفیة التسلیم ، والمذکور فی عبارات بعض الأصحاب أنّ الإمام والمأموم یسلّمان واحدة ، لکن الإمام یومئ فیها بصفحة وجهه إلی یمینه ، والمنفرد یستقبل القبلة بها ویومئ بمؤخّر عینه إلی یمینه ، وأمّا المأموم فإن لم یکن علی یساره أحد یسلّم واحدة مومئا بصفحة وجهه إلی یساره </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واستفادة هذا من الأخبار فی غایة البعد ، بل الظاهر انتفاؤه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الأخبار المذکورة الإنسان ، والشیخ صرّح به فی التهذیب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حصل التردّد فی وجوب الردّ فاحتمل بعض العدم ؛ للأصل ، وعدم التسمیة </w:t>
      </w:r>
      <w:r>
        <w:rPr>
          <w:rStyle w:val="FootnoteAnchor"/>
          <w:rtl w:val="true"/>
        </w:rPr>
        <w:footnoteReference w:id="1354"/>
      </w:r>
      <w:r>
        <w:rPr>
          <w:rFonts w:ascii="IRNazanin" w:hAnsi="IRNazanin" w:eastAsia="IRNazanin"/>
          <w:color w:val="111111"/>
          <w:sz w:val="28"/>
          <w:sz w:val="28"/>
          <w:szCs w:val="28"/>
          <w:rtl w:val="true"/>
          <w:lang w:bidi="fa-IR"/>
        </w:rPr>
        <w:t xml:space="preserve">تحیة ، بل هو إیذان کما یدل علیه الخبر الأخیر </w:t>
      </w:r>
      <w:r>
        <w:rPr>
          <w:rStyle w:val="FootnoteAnchor"/>
          <w:rtl w:val="true"/>
        </w:rPr>
        <w:footnoteReference w:id="1355"/>
      </w:r>
      <w:r>
        <w:rPr>
          <w:rFonts w:ascii="IRNazanin" w:hAnsi="IRNazanin" w:eastAsia="IRNazanin"/>
          <w:color w:val="111111"/>
          <w:sz w:val="28"/>
          <w:sz w:val="28"/>
          <w:szCs w:val="28"/>
          <w:rtl w:val="true"/>
          <w:lang w:bidi="fa-IR"/>
        </w:rPr>
        <w:t xml:space="preserve">، واحتمل بعض الوجوب ؛ للعموم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تسلّم وأنت مستقبل القبلة وتمیل بعینک إلی یمینک إن کنت إماما ، وإن صلّیت وحدک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وأنت مستقبل القبلة وتمیل بأنفک إلی یمینک ، وإن کنت خلف إمام تأتمّ به فسلّم تجاه القبلة واحدة ردّا علی الإمام ، وتسلّم علی یمینک واحدة وعلی یسارک واحدة إلاّ أن لا یکون علی یسارک إنسان فلا تسلّم علی یسارک ، إلاّ أن تکون بجنب الحائط فتسلّم علی یسارک ، ولا تدع التسلیم علی یمینک کان</w:t>
      </w:r>
    </w:p>
    <w:p>
      <w:pPr>
        <w:pStyle w:val="Heading4"/>
        <w:numPr>
          <w:ilvl w:val="3"/>
          <w:numId w:val="1"/>
        </w:numPr>
        <w:rPr/>
      </w:pPr>
      <w:bookmarkStart w:id="979" w:name="__RefHeading___Toc348300_2142443653"/>
      <w:bookmarkStart w:id="980" w:name="_Toc381"/>
      <w:bookmarkEnd w:id="979"/>
      <w:r>
        <w:rPr>
          <w:rtl w:val="true"/>
        </w:rPr>
        <w:t>کیفیة تسلیم الامام والمأموم والمنفرد فی عبارات بعض الأصحاب</w:t>
      </w:r>
      <w:bookmarkEnd w:id="98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1" w:name="__RefHeading___Toc348302_2142443653"/>
      <w:bookmarkStart w:id="982" w:name="_Toc382"/>
      <w:bookmarkEnd w:id="981"/>
      <w:r>
        <w:rPr>
          <w:rtl w:val="true"/>
        </w:rPr>
        <w:t>التردّد فی وجوب الردّ</w:t>
      </w:r>
      <w:bookmarkStart w:id="983" w:name="pg15037_163963"/>
      <w:bookmarkEnd w:id="982"/>
    </w:p>
    <w:p>
      <w:pPr>
        <w:pStyle w:val="BookText"/>
        <w:rPr/>
      </w:pPr>
      <w:bookmarkEnd w:id="983"/>
      <w:r>
        <w:rPr>
          <w:rFonts w:ascii="IRNazanin" w:hAnsi="IRNazanin" w:eastAsia="IRNazanin"/>
          <w:color w:val="111111"/>
          <w:sz w:val="28"/>
          <w:sz w:val="28"/>
          <w:szCs w:val="28"/>
          <w:rtl w:val="true"/>
          <w:lang w:bidi="fa-IR"/>
        </w:rPr>
        <w:t xml:space="preserve">علی یمینک أحد أو لم یکن </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المنتهی استدل ببعض الأخبار علی بعض ما حکیناه </w:t>
      </w:r>
      <w:r>
        <w:rPr>
          <w:rStyle w:val="FootnoteAnchor"/>
          <w:rtl w:val="true"/>
        </w:rPr>
        <w:footnoteReference w:id="1358"/>
      </w:r>
      <w:r>
        <w:rPr>
          <w:rFonts w:ascii="IRNazanin" w:hAnsi="IRNazanin" w:eastAsia="IRNazanin"/>
          <w:color w:val="111111"/>
          <w:sz w:val="28"/>
          <w:sz w:val="28"/>
          <w:szCs w:val="28"/>
          <w:rtl w:val="true"/>
          <w:lang w:bidi="fa-IR"/>
        </w:rPr>
        <w:t>، والنظر فیه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الاعتماد فی الاستحباب علی قول الصدوق إن لم یکن قوله بسبب الاجتهاد ، والله تعالی أعلم بالحقائق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محققی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 معناه التعوذ باسم الله الذی هو السلام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معک ، أی متولیک وکفیل بک </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السلامة والنجاة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 xml:space="preserve">) </w:t>
      </w:r>
      <w:r>
        <w:rPr>
          <w:rStyle w:val="FootnoteAnchor"/>
          <w:rtl w:val="true"/>
        </w:rPr>
        <w:footnoteReference w:id="1360"/>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الانقیاد لک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وَسَلِّمُوا تَسْلِیماً </w:t>
      </w:r>
      <w:r>
        <w:rPr>
          <w:rFonts w:eastAsia="Amiri" w:cs="Amiri" w:ascii="Amiri" w:hAnsi="Amiri"/>
          <w:color w:val="111111"/>
          <w:sz w:val="28"/>
          <w:szCs w:val="28"/>
          <w:rtl w:val="true"/>
          <w:lang w:bidi="ar-SA"/>
        </w:rPr>
        <w:t xml:space="preserve">) </w:t>
      </w:r>
      <w:r>
        <w:rPr>
          <w:rStyle w:val="FootnoteAnchor"/>
          <w:rtl w:val="true"/>
        </w:rPr>
        <w:footnoteReference w:id="1362"/>
      </w:r>
      <w:r>
        <w:rPr>
          <w:rStyle w:val="FootnoteAnchor"/>
          <w:rtl w:val="true"/>
        </w:rPr>
        <w:footnoteReference w:id="13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یخلو بعض الوجوه من ضعف ؛ لعدم تعدی البعض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تأمّل </w:t>
      </w:r>
      <w:r>
        <w:rPr>
          <w:rFonts w:eastAsia="IRNazanin" w:cs="IRNazanin"/>
          <w:color w:val="111111"/>
          <w:sz w:val="28"/>
          <w:szCs w:val="28"/>
          <w:rtl w:val="true"/>
          <w:lang w:bidi="fa-IR"/>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سجدتی الشکر بین فریضة المغرب ونوافلها</w:t>
      </w:r>
    </w:p>
    <w:p>
      <w:pPr>
        <w:pStyle w:val="BookText"/>
        <w:rPr/>
      </w:pPr>
      <w:r>
        <w:rPr>
          <w:rFonts w:ascii="IRNazanin" w:hAnsi="IRNazanin" w:eastAsia="IRNazanin"/>
          <w:color w:val="111111"/>
          <w:sz w:val="28"/>
          <w:sz w:val="28"/>
          <w:szCs w:val="28"/>
          <w:rtl w:val="true"/>
          <w:lang w:bidi="fa-IR"/>
        </w:rPr>
        <w:t>أخبرنی الشیخ رحمه الله عن أحمد بن محمّد بن الحسن بن الولید ، عن أبیه ، عن الصفار ، عن محمّد بن عیسی ، عن حفص الجوهری</w:t>
      </w:r>
    </w:p>
    <w:p>
      <w:pPr>
        <w:pStyle w:val="Heading4"/>
        <w:numPr>
          <w:ilvl w:val="3"/>
          <w:numId w:val="1"/>
        </w:numPr>
        <w:rPr/>
      </w:pPr>
      <w:bookmarkStart w:id="984" w:name="__RefHeading___Toc348304_2142443653"/>
      <w:bookmarkStart w:id="985" w:name="_Toc383"/>
      <w:bookmarkEnd w:id="984"/>
      <w:r>
        <w:rPr>
          <w:rtl w:val="true"/>
        </w:rPr>
        <w:t xml:space="preserve">معنی </w:t>
      </w:r>
      <w:r>
        <w:rPr>
          <w:rtl w:val="true"/>
        </w:rPr>
        <w:t xml:space="preserve">« </w:t>
      </w:r>
      <w:r>
        <w:rPr>
          <w:rtl w:val="true"/>
        </w:rPr>
        <w:t xml:space="preserve">السلام علیک أیّها النبی </w:t>
      </w:r>
      <w:r>
        <w:rPr>
          <w:rtl w:val="true"/>
        </w:rPr>
        <w:t>»</w:t>
      </w:r>
      <w:bookmarkEnd w:id="985"/>
    </w:p>
    <w:p>
      <w:pPr>
        <w:pStyle w:val="Heading3"/>
        <w:numPr>
          <w:ilvl w:val="2"/>
          <w:numId w:val="1"/>
        </w:numPr>
        <w:rPr/>
      </w:pPr>
      <w:bookmarkStart w:id="986" w:name="__RefHeading___Toc348306_2142443653"/>
      <w:bookmarkStart w:id="987" w:name="_Toc384"/>
      <w:bookmarkEnd w:id="986"/>
      <w:r>
        <w:rPr>
          <w:rtl w:val="true"/>
        </w:rPr>
        <w:t>سجدتی الشکر بین فریضة المغرب ونوافلها</w:t>
      </w:r>
      <w:bookmarkEnd w:id="98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8" w:name="__RefHeading___Toc348308_2142443653"/>
      <w:bookmarkStart w:id="989" w:name="_Toc385"/>
      <w:bookmarkEnd w:id="988"/>
      <w:r>
        <w:rPr>
          <w:rtl w:val="true"/>
        </w:rPr>
        <w:t>اشارة</w:t>
      </w:r>
      <w:bookmarkStart w:id="990" w:name="pg15037_163964"/>
      <w:bookmarkEnd w:id="989"/>
    </w:p>
    <w:p>
      <w:pPr>
        <w:pStyle w:val="BookText"/>
        <w:rPr/>
      </w:pPr>
      <w:bookmarkEnd w:id="99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الحسن علی بن محمّد علیهماالسلام صلاة المغرب فسجد سجدة الشکر بعد السابعة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آباؤک یسجدون بعد الثلاثة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أحد من آبائی یسجد إلاّ بعد السابعة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الحسن بن الولید ، عن الصفّار ، عن العباس بن معروف ، عن سعدان بن مسلم ، عن جهم بن أبی 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موسی بن جعفر علیهماالسلام وقد سجد بعد الثلاث الرکعات من المغرب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رأیتک سجدت بعد الثلاث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فرأیتنی؟ </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تدعها ، فإنّ الدعاء فیها مستجاب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الروایة أن نحملها علی ضرب من الاستحباب ، والاولی علی الجواز ، ویکون قوله فی الخبر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أحد من آبائی یسجد إلاّ بعد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إخبارا عن أنّهم لم یختاروا فعله ، أو یکونوا ما سجدوا علی جهة الوجوب وإن کانوا سجدوا علی جهة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حفص الجوهری ، وهو مذکور فی أصحاب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الشیخ مهملا </w:t>
      </w:r>
      <w:r>
        <w:rPr>
          <w:rFonts w:eastAsia="IRNazanin" w:cs="IRNazanin"/>
          <w:color w:val="111111"/>
          <w:sz w:val="28"/>
          <w:szCs w:val="28"/>
          <w:rtl w:val="true"/>
          <w:lang w:bidi="fa-IR"/>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جهم بن أبی جهم ، وهو مهمل فی رجال الکاظم علیه السلام </w:t>
      </w:r>
      <w:r>
        <w:rPr>
          <w:rFonts w:eastAsia="IRNazanin" w:cs="IRNazanin"/>
          <w:color w:val="111111"/>
          <w:sz w:val="28"/>
          <w:szCs w:val="28"/>
          <w:rtl w:val="true"/>
          <w:lang w:bidi="fa-IR"/>
        </w:rPr>
        <w:t xml:space="preserve">) </w:t>
      </w:r>
      <w:r>
        <w:rPr>
          <w:rStyle w:val="FootnoteAnchor"/>
          <w:rtl w:val="true"/>
        </w:rPr>
        <w:footnoteReference w:id="1367"/>
      </w:r>
      <w:r>
        <w:rPr>
          <w:rFonts w:ascii="IRNazanin" w:hAnsi="IRNazanin" w:eastAsia="IRNazanin"/>
          <w:color w:val="111111"/>
          <w:sz w:val="28"/>
          <w:sz w:val="28"/>
          <w:szCs w:val="28"/>
          <w:rtl w:val="true"/>
          <w:lang w:bidi="fa-IR"/>
        </w:rPr>
        <w:t>،</w:t>
      </w:r>
    </w:p>
    <w:p>
      <w:pPr>
        <w:pStyle w:val="Heading4"/>
        <w:numPr>
          <w:ilvl w:val="3"/>
          <w:numId w:val="1"/>
        </w:numPr>
        <w:rPr/>
      </w:pPr>
      <w:bookmarkStart w:id="991" w:name="__RefHeading___Toc348310_2142443653"/>
      <w:bookmarkStart w:id="992" w:name="_Toc386"/>
      <w:bookmarkEnd w:id="991"/>
      <w:r>
        <w:rPr>
          <w:rtl w:val="true"/>
        </w:rPr>
        <w:t>حفص الجوهری مهمل</w:t>
      </w:r>
      <w:bookmarkEnd w:id="99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3" w:name="__RefHeading___Toc348312_2142443653"/>
      <w:bookmarkStart w:id="994" w:name="_Toc387"/>
      <w:bookmarkEnd w:id="993"/>
      <w:r>
        <w:rPr>
          <w:rtl w:val="true"/>
        </w:rPr>
        <w:t>جهم بن أبی جهم مهمل</w:t>
      </w:r>
      <w:bookmarkStart w:id="995" w:name="pg15037_163965"/>
      <w:bookmarkEnd w:id="994"/>
    </w:p>
    <w:p>
      <w:pPr>
        <w:pStyle w:val="BookText"/>
        <w:rPr/>
      </w:pPr>
      <w:bookmarkEnd w:id="995"/>
      <w:r>
        <w:rPr>
          <w:rFonts w:ascii="IRNazanin" w:hAnsi="IRNazanin" w:eastAsia="IRNazanin"/>
          <w:color w:val="111111"/>
          <w:sz w:val="28"/>
          <w:sz w:val="28"/>
          <w:szCs w:val="28"/>
          <w:rtl w:val="true"/>
          <w:lang w:bidi="fa-IR"/>
        </w:rPr>
        <w:t xml:space="preserve">من کتاب الشیخ </w:t>
      </w:r>
      <w:r>
        <w:rPr>
          <w:rStyle w:val="FootnoteAnchor"/>
          <w:rtl w:val="true"/>
        </w:rPr>
        <w:footnoteReference w:id="1368"/>
      </w:r>
      <w:r>
        <w:rPr>
          <w:rFonts w:ascii="IRNazanin" w:hAnsi="IRNazanin" w:eastAsia="IRNazanin"/>
          <w:color w:val="111111"/>
          <w:sz w:val="28"/>
          <w:sz w:val="28"/>
          <w:szCs w:val="28"/>
          <w:rtl w:val="true"/>
          <w:lang w:bidi="fa-IR"/>
        </w:rPr>
        <w:t>، وسعدان بن مسلم لا یزید علی الإهمال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مرجوحیة السجود بعد الثلاثة ، بل ربما دل علی نفی الاستحباب لو صحّ الخبر ، غیر أنّ ما دلّ علی استحباب سجدة الشکر بعد الفریضة یتناول ما بعد النوافل وقبلها ، وهو ما رواه الشیخ فی التهذیب بطریق فیه محمّد بن خالد البرقی ، ووجه ما قلناه أنّه قال علیه السلام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سبحانه یقول للملائکة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عبدی أدّی فرضی وسجد لی شکرا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وإن أشعر بالاختصاص بالفرائض إلاّ أنّ الشمول لما بعد نوافل الفرائض لا ینافی هذا ، علی أنّ أوّل الخبر یقتضی أنّ سجدة الشکر تتم بها الصلاة علی الإطلاق ، وما ذکر فی أثناء الروایة من الفرائض لا یفید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تقدیر الاختصاص بالصلاة ، وفی الفقیه روی بطریق صحیح عن عبد الرحمن بن الحجاج ما یدل علی عدم الاختصاص بالفرائض </w:t>
      </w:r>
      <w:r>
        <w:rPr>
          <w:rStyle w:val="FootnoteAnchor"/>
          <w:rtl w:val="true"/>
        </w:rPr>
        <w:footnoteReference w:id="1370"/>
      </w:r>
      <w:r>
        <w:rPr>
          <w:rFonts w:ascii="IRNazanin" w:hAnsi="IRNazanin" w:eastAsia="IRNazanin"/>
          <w:color w:val="111111"/>
          <w:sz w:val="28"/>
          <w:sz w:val="28"/>
          <w:szCs w:val="28"/>
          <w:rtl w:val="true"/>
          <w:lang w:bidi="fa-IR"/>
        </w:rPr>
        <w:t xml:space="preserve">، والمتن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سجد سجدة الشکر وهو متوضّئ کتب الله له بها عشر حسنات ، ومحا عنه عشر خطیئات عظام </w:t>
      </w:r>
      <w:r>
        <w:rPr>
          <w:rFonts w:eastAsia="IRNazanin" w:cs="IRNazanin"/>
          <w:color w:val="111111"/>
          <w:sz w:val="28"/>
          <w:szCs w:val="28"/>
          <w:rtl w:val="true"/>
          <w:lang w:bidi="fa-IR"/>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6" w:name="__RefHeading___Toc348314_2142443653"/>
      <w:bookmarkStart w:id="997" w:name="_Toc388"/>
      <w:bookmarkEnd w:id="996"/>
      <w:r>
        <w:rPr>
          <w:rtl w:val="true"/>
        </w:rPr>
        <w:t>سعدان بن مسلم مهمل</w:t>
      </w:r>
      <w:bookmarkEnd w:id="99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8" w:name="__RefHeading___Toc348316_2142443653"/>
      <w:bookmarkStart w:id="999" w:name="_Toc389"/>
      <w:bookmarkEnd w:id="998"/>
      <w:r>
        <w:rPr>
          <w:rtl w:val="true"/>
        </w:rPr>
        <w:t>بیان ما دل علی استحباب سجدة الشکر بعد النوافل أو الفرائض أو مطلقا</w:t>
      </w:r>
      <w:bookmarkEnd w:id="9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فی فوائد التهذیب ما لا بدّ منه فی الخبر الأوّل المنقول أولا </w:t>
      </w:r>
      <w:r>
        <w:rPr>
          <w:rFonts w:eastAsia="IRNazanin" w:cs="IRNazanin"/>
          <w:color w:val="111111"/>
          <w:sz w:val="28"/>
          <w:szCs w:val="28"/>
          <w:rtl w:val="true"/>
          <w:lang w:bidi="fa-IR"/>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من عدم تعرض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الذی فی الفقیه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أطبق علماؤنا علی ندبیة سجود الشکر عند تجدد النعم ودفع النقم ، ثم ذکر روایات غیر سلیمة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یستحب السجود لشکر النعمة المتجددة فالظاهر کما قال شیخنا الشهید فی الذکری أنّه یستحب عند تذکّر النعمة وإن لم تکن متجددة </w:t>
      </w:r>
      <w:r>
        <w:rPr>
          <w:rStyle w:val="FootnoteAnchor"/>
          <w:rtl w:val="true"/>
        </w:rPr>
        <w:footnoteReference w:id="1374"/>
      </w:r>
      <w:r>
        <w:rPr>
          <w:rFonts w:ascii="IRNazanin" w:hAnsi="IRNazanin" w:eastAsia="IRNazanin"/>
          <w:color w:val="111111"/>
          <w:sz w:val="28"/>
          <w:sz w:val="28"/>
          <w:szCs w:val="28"/>
          <w:rtl w:val="true"/>
          <w:lang w:bidi="fa-IR"/>
        </w:rPr>
        <w:t>، ثم ذکر أخبارا غیر نقیة الأسانید سوی ما رواه الشیخ فی التهذیب وقد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تأیید لما دلّ علی السجود بعد الفریضة أو بعد الصلاة ، وحمل الشیخ فی غایة البعد ، بل لا وجه له ؛ لأنّ حمل الأوّل علی الجواز لا یلائمه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أحد من آبائی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الجواز لا بد أنّ یراد به غیر الإباحة ، ویراد بالاستحباب فی الثانی الأفضلیة ، وإذا حمل الثانی علی الأفضلیة لزم کون الفعل فی الخبر الأوّل مرجوحا ، والمداومة منهم علیهم السلام علی المرجوح کما هو ظاهر الروایة غیر معقولة </w:t>
      </w:r>
      <w:r>
        <w:rPr>
          <w:rStyle w:val="FootnoteAnchor"/>
          <w:rtl w:val="true"/>
        </w:rPr>
        <w:footnoteReference w:id="1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أرید الإباحة فی الأوّل فدفعه أظهر من أن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الوجوب فما فیه واضح</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یقتضی ترجیح التقدیم علی النوافل ، حیث استدل بالآثار الدالة علی أفضلیة الدعاء بعد المغرب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فضل الدعاء والتسبیح بعد الفریضة علی الدعاء عقیب النوافل کفضل </w:t>
      </w:r>
      <w:bookmarkStart w:id="1000" w:name="pg15037_163967"/>
    </w:p>
    <w:p>
      <w:pPr>
        <w:pStyle w:val="BookText"/>
        <w:rPr/>
      </w:pPr>
      <w:bookmarkEnd w:id="1000"/>
      <w:r>
        <w:rPr>
          <w:rFonts w:ascii="IRNazanin" w:hAnsi="IRNazanin" w:eastAsia="IRNazanin"/>
          <w:color w:val="111111"/>
          <w:sz w:val="28"/>
          <w:sz w:val="28"/>
          <w:szCs w:val="28"/>
          <w:rtl w:val="true"/>
          <w:lang w:bidi="fa-IR"/>
        </w:rPr>
        <w:t xml:space="preserve">الفرائض علی النوافل ، والسجدة دعاء وتسبیح ، فالأفضل أن تکون بعد الفریضة ، وإن جعلت بعد النوافل أیضا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الخبر الأوّل احتمال التقیة ، لکن الأمر سهل بعد معرفة الإسنادین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ورد فی بعض الأخبار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المغرب ثم عقّب ولم یتکلم حتی صلّی رکعتین کتبت له فی علیین ، فإن صلّی أربعا کتبت له حجة مبرورة </w:t>
      </w:r>
      <w:r>
        <w:rPr>
          <w:rFonts w:eastAsia="IRNazanin" w:cs="IRNazanin"/>
          <w:color w:val="111111"/>
          <w:sz w:val="28"/>
          <w:szCs w:val="28"/>
          <w:rtl w:val="true"/>
          <w:lang w:bidi="fa-IR"/>
        </w:rPr>
        <w:t xml:space="preserve">» </w:t>
      </w:r>
      <w:r>
        <w:rPr>
          <w:rStyle w:val="FootnoteAnchor"/>
          <w:rtl w:val="true"/>
        </w:rPr>
        <w:footnoteReference w:id="1377"/>
      </w:r>
      <w:r>
        <w:rPr>
          <w:rFonts w:ascii="IRNazanin" w:hAnsi="IRNazanin" w:eastAsia="IRNazanin"/>
          <w:color w:val="111111"/>
          <w:sz w:val="28"/>
          <w:sz w:val="28"/>
          <w:szCs w:val="28"/>
          <w:rtl w:val="true"/>
          <w:lang w:bidi="fa-IR"/>
        </w:rPr>
        <w:t xml:space="preserve">فلا دلالة له علی ترجیح تأخیر السجدة عن النوافل ؛ لأنّ المتبادر من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الأجنبی ، کما ذکرناه فی فوائد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الفصل بین رکعتی الشفع والوتر</w:t>
      </w:r>
    </w:p>
    <w:p>
      <w:pPr>
        <w:pStyle w:val="BookText"/>
        <w:rPr/>
      </w:pPr>
      <w:r>
        <w:rPr>
          <w:rFonts w:ascii="IRNazanin" w:hAnsi="IRNazanin" w:eastAsia="IRNazanin"/>
          <w:color w:val="111111"/>
          <w:sz w:val="28"/>
          <w:sz w:val="28"/>
          <w:szCs w:val="28"/>
          <w:rtl w:val="true"/>
          <w:lang w:bidi="fa-IR"/>
        </w:rPr>
        <w:t xml:space="preserve">الحسین بن سعید ، عن عثمان بن عیسی ، عن ابن مسکان ، عن سلیمان بن خالد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الوتر ثلاث رکعات ، یفصل بینهن ، ویقرأ فیهن جمیعا بقل هو الله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حمّاد ، عن شعیب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الوتر ثلاث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ثنتین مفصولة وواحدة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النضر ، عن محمّد بن أبی حمزة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فی رکعتی الوتر </w:t>
      </w:r>
      <w:r>
        <w:rPr>
          <w:rStyle w:val="FootnoteAnchor"/>
          <w:rtl w:val="true"/>
        </w:rPr>
        <w:footnoteReference w:id="137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Heading3"/>
        <w:numPr>
          <w:ilvl w:val="2"/>
          <w:numId w:val="1"/>
        </w:numPr>
        <w:rPr/>
      </w:pPr>
      <w:bookmarkStart w:id="1001" w:name="__RefHeading___Toc348318_2142443653"/>
      <w:bookmarkStart w:id="1002" w:name="_Toc390"/>
      <w:bookmarkEnd w:id="1001"/>
      <w:r>
        <w:rPr>
          <w:rtl w:val="true"/>
        </w:rPr>
        <w:t>وجوب الفصل بین رکعتی الشفع والوتر</w:t>
      </w:r>
      <w:bookmarkEnd w:id="100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3" w:name="__RefHeading___Toc348320_2142443653"/>
      <w:bookmarkStart w:id="1004" w:name="_Toc391"/>
      <w:bookmarkEnd w:id="1003"/>
      <w:r>
        <w:rPr>
          <w:rtl w:val="true"/>
        </w:rPr>
        <w:t>اشارة</w:t>
      </w:r>
      <w:bookmarkEnd w:id="10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توقظ الراقد وتکلم بالحاجة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النضر ، عن محمّد بن أبی حمزة ، عن أبی ولاّد حفص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التسلیم فی رکعتی </w:t>
      </w:r>
      <w:r>
        <w:rPr>
          <w:rStyle w:val="FootnoteAnchor"/>
          <w:rtl w:val="true"/>
        </w:rPr>
        <w:footnoteReference w:id="1379"/>
      </w:r>
      <w:r>
        <w:rPr>
          <w:rFonts w:ascii="IRNazanin" w:hAnsi="IRNazanin" w:eastAsia="IRNazanin"/>
          <w:color w:val="111111"/>
          <w:sz w:val="28"/>
          <w:sz w:val="28"/>
          <w:szCs w:val="28"/>
          <w:rtl w:val="true"/>
          <w:lang w:bidi="fa-IR"/>
        </w:rPr>
        <w:t xml:space="preserve">الوتر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فإن کانت لک حاجة فاخرج فاقضها ثم عد فارکع 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البرقی ، عن سعد بن سعد الأشعری ، عن أبی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الوتر أفصل أم وصل؟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النضر ، عن محمّد بن أبی حمزة ، عن یعقوب بن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التسلیم فی رکعتی الوتر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سلّمت وإن شئت لم تسلّم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النضر ، عن محمّد بن أبی حمزة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التسلیم </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 xml:space="preserve">فی رکعتی الوتر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سلّمت وإن شئت لم تسلّم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زیاد ، عن کردویه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العبد الصالح علیه السلام عن الوتر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هذه الروایات کلّها أن نحملها علی ضرب من التقیّة لأنّها موافقة لمذاهب کثیر من العامة ، مع أنّ مضمون حدیثین منها التخییر ، ولیس ذلک مذهبا لأحد ، لأنّ من أوجب الوصل لا یجوّز </w:t>
      </w:r>
      <w:bookmarkStart w:id="1005" w:name="pg15037_163969"/>
    </w:p>
    <w:p>
      <w:pPr>
        <w:pStyle w:val="BookText"/>
        <w:rPr/>
      </w:pPr>
      <w:bookmarkEnd w:id="1005"/>
      <w:r>
        <w:rPr>
          <w:rFonts w:ascii="IRNazanin" w:hAnsi="IRNazanin" w:eastAsia="IRNazanin"/>
          <w:color w:val="111111"/>
          <w:sz w:val="28"/>
          <w:sz w:val="28"/>
          <w:szCs w:val="28"/>
          <w:rtl w:val="true"/>
          <w:lang w:bidi="fa-IR"/>
        </w:rPr>
        <w:t>الفصل ، ومن أوجب الفصل لا یجوّز 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سلّمت وإن شئت لم تسلّم </w:t>
      </w:r>
      <w:r>
        <w:rPr>
          <w:rFonts w:eastAsia="IRNazanin" w:cs="IRNazanin"/>
          <w:color w:val="111111"/>
          <w:sz w:val="28"/>
          <w:szCs w:val="28"/>
          <w:rtl w:val="true"/>
          <w:lang w:bidi="fa-IR"/>
        </w:rPr>
        <w:t xml:space="preserve">» </w:t>
      </w:r>
      <w:r>
        <w:rPr>
          <w:rStyle w:val="FootnoteAnchor"/>
          <w:rtl w:val="true"/>
        </w:rPr>
        <w:footnoteReference w:id="1381"/>
      </w:r>
      <w:r>
        <w:rPr>
          <w:rFonts w:ascii="IRNazanin" w:hAnsi="IRNazanin" w:eastAsia="IRNazanin"/>
          <w:color w:val="111111"/>
          <w:sz w:val="28"/>
          <w:sz w:val="28"/>
          <w:szCs w:val="28"/>
          <w:rtl w:val="true"/>
          <w:lang w:bidi="fa-IR"/>
        </w:rPr>
        <w:t xml:space="preserve">إشارة إلی الکلام الذی یستباح بالتسلیم ، لأنّ ذلک لیس شرطا فیه ، یبیّن 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صفوان ، عن منصور ، عن مولی لأبی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رکعتان إن شاء تکلم بینهما وإن شاء لم یفعل </w:t>
      </w:r>
      <w:r>
        <w:rPr>
          <w:rFonts w:eastAsia="IRNazanin" w:cs="IRNazanin"/>
          <w:color w:val="111111"/>
          <w:sz w:val="28"/>
          <w:szCs w:val="28"/>
          <w:rtl w:val="true"/>
          <w:lang w:bidi="fa-IR"/>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عثمان بن عیسی ، والذی ذکرنا فیه قد 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أبی بصیر فی الثانی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أیضا القول فیه فی محمّد بن أبی حمزة من احتماله للثقة والمهمل ، وإن کان ظهور الثقة غیر بعید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کالثالث ، وحفص 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إلاّ البرقی لما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نوع کلام </w:t>
      </w:r>
      <w:r>
        <w:rPr>
          <w:rFonts w:eastAsia="IRNazanin" w:cs="IRNazanin"/>
          <w:color w:val="111111"/>
          <w:sz w:val="28"/>
          <w:szCs w:val="28"/>
          <w:rtl w:val="true"/>
          <w:lang w:bidi="fa-IR"/>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واضح ، لأنّ یعقوب بن شعیب الراوی عن أبی عبد الله علیه السلام ثقة ، وفی الرجال یعقوب بن شعیب من رجال الباقر علیه السلام</w:t>
      </w:r>
    </w:p>
    <w:p>
      <w:pPr>
        <w:pStyle w:val="Heading4"/>
        <w:numPr>
          <w:ilvl w:val="3"/>
          <w:numId w:val="1"/>
        </w:numPr>
        <w:rPr/>
      </w:pPr>
      <w:bookmarkStart w:id="1006" w:name="__RefHeading___Toc348322_2142443653"/>
      <w:bookmarkStart w:id="1007" w:name="_Toc392"/>
      <w:bookmarkEnd w:id="1006"/>
      <w:r>
        <w:rPr>
          <w:rtl w:val="true"/>
        </w:rPr>
        <w:t>إشارة إلی حال محمد بن أبی حمزة</w:t>
      </w:r>
      <w:bookmarkEnd w:id="1007"/>
    </w:p>
    <w:p>
      <w:pPr>
        <w:pStyle w:val="Heading4"/>
        <w:numPr>
          <w:ilvl w:val="3"/>
          <w:numId w:val="1"/>
        </w:numPr>
        <w:rPr/>
      </w:pPr>
      <w:bookmarkStart w:id="1008" w:name="__RefHeading___Toc348324_2142443653"/>
      <w:bookmarkStart w:id="1009" w:name="_Toc393"/>
      <w:bookmarkEnd w:id="1008"/>
      <w:r>
        <w:rPr>
          <w:rtl w:val="true"/>
        </w:rPr>
        <w:t>أبو ولّأد حفص بن سالم لا ارتیاب فیه</w:t>
      </w:r>
      <w:bookmarkEnd w:id="100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0" w:name="__RefHeading___Toc348326_2142443653"/>
      <w:bookmarkStart w:id="1011" w:name="_Toc394"/>
      <w:bookmarkEnd w:id="1010"/>
      <w:r>
        <w:rPr>
          <w:rtl w:val="true"/>
        </w:rPr>
        <w:t>بحث حول یعقوب بن شعیب</w:t>
      </w:r>
      <w:bookmarkStart w:id="1012" w:name="pg15037_163970"/>
      <w:bookmarkEnd w:id="1011"/>
    </w:p>
    <w:p>
      <w:pPr>
        <w:pStyle w:val="BookText"/>
        <w:rPr/>
      </w:pPr>
      <w:bookmarkEnd w:id="1012"/>
      <w:r>
        <w:rPr>
          <w:rFonts w:ascii="IRNazanin" w:hAnsi="IRNazanin" w:eastAsia="IRNazanin"/>
          <w:color w:val="111111"/>
          <w:sz w:val="28"/>
          <w:sz w:val="28"/>
          <w:szCs w:val="28"/>
          <w:rtl w:val="true"/>
          <w:lang w:bidi="fa-IR"/>
        </w:rPr>
        <w:t xml:space="preserve">مهملا </w:t>
      </w:r>
      <w:r>
        <w:rPr>
          <w:rStyle w:val="FootnoteAnchor"/>
          <w:rtl w:val="true"/>
        </w:rPr>
        <w:footnoteReference w:id="1386"/>
      </w:r>
      <w:r>
        <w:rPr>
          <w:rFonts w:ascii="IRNazanin" w:hAnsi="IRNazanin" w:eastAsia="IRNazanin"/>
          <w:color w:val="111111"/>
          <w:sz w:val="28"/>
          <w:sz w:val="28"/>
          <w:szCs w:val="28"/>
          <w:rtl w:val="true"/>
          <w:lang w:bidi="fa-IR"/>
        </w:rPr>
        <w:t>، والروایة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البین احتمال مّا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کردویه ، وقد مضی أنّه مجهول الحال </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محمّد بن زیاد فقد قدمنا احتمال کونه ابن أبی عمیر وغیره موجود </w:t>
      </w:r>
      <w:r>
        <w:rPr>
          <w:rStyle w:val="FootnoteAnchor"/>
          <w:rtl w:val="true"/>
        </w:rPr>
        <w:footnoteReference w:id="1388"/>
      </w:r>
      <w:r>
        <w:rPr>
          <w:rFonts w:ascii="IRNazanin" w:hAnsi="IRNazanin" w:eastAsia="IRNazanin"/>
          <w:color w:val="111111"/>
          <w:sz w:val="28"/>
          <w:sz w:val="28"/>
          <w:szCs w:val="28"/>
          <w:rtl w:val="true"/>
          <w:lang w:bidi="fa-IR"/>
        </w:rPr>
        <w:t xml:space="preserve">، لکن الاشتراک بین ثقة وغیره واقع </w:t>
      </w: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الفصل ، وإطلاقه یقتضی عدم الفرق بین التسلیم وغیره ، ودلالته علی أنّ الوتر اسم للثلاث واضحة ، وأنّ القراءة بقل هو الله أحد فی الثلاث ، لا ما ظنه الشیخ من القراءة فی المفردة منه فی بعض کتبه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یظن منه أنّ مقصود السائل عن تسلیم الوتر ما هو ، والجواب حینئذ أنّه إیقاظ الراقد والتکلم بالحاجة ، وهذا لا یدل علی اختصاص التسلیم بما ذکره ، بل الظاهر إرادة عدم اختصاص التسلیم المعهود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لما قلناه فی الثالث ، کما یحتمل السؤال عن التسلیم المعهود ، وقوله علیه السلام بعد الجواب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کانت لک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Heading4"/>
        <w:numPr>
          <w:ilvl w:val="3"/>
          <w:numId w:val="1"/>
        </w:numPr>
        <w:rPr/>
      </w:pPr>
      <w:bookmarkStart w:id="1013" w:name="__RefHeading___Toc348328_2142443653"/>
      <w:bookmarkStart w:id="1014" w:name="_Toc395"/>
      <w:bookmarkEnd w:id="1013"/>
      <w:r>
        <w:rPr>
          <w:rtl w:val="true"/>
        </w:rPr>
        <w:t>کردویه مجهول الحال</w:t>
      </w:r>
      <w:bookmarkEnd w:id="1014"/>
    </w:p>
    <w:p>
      <w:pPr>
        <w:pStyle w:val="Heading4"/>
        <w:numPr>
          <w:ilvl w:val="3"/>
          <w:numId w:val="1"/>
        </w:numPr>
        <w:rPr/>
      </w:pPr>
      <w:bookmarkStart w:id="1015" w:name="__RefHeading___Toc348330_2142443653"/>
      <w:bookmarkStart w:id="1016" w:name="_Toc396"/>
      <w:bookmarkEnd w:id="1015"/>
      <w:r>
        <w:rPr>
          <w:rtl w:val="true"/>
        </w:rPr>
        <w:t>محمد بن زیاد مشترک</w:t>
      </w:r>
      <w:bookmarkEnd w:id="101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7" w:name="__RefHeading___Toc348332_2142443653"/>
      <w:bookmarkStart w:id="1018" w:name="_Toc397"/>
      <w:bookmarkEnd w:id="1017"/>
      <w:r>
        <w:rPr>
          <w:rtl w:val="true"/>
        </w:rPr>
        <w:t>بیان ما دل علی لزوم الفصل بین الشفع والوتر وتوجیه ما دلّ علی التخییر</w:t>
      </w:r>
      <w:bookmarkEnd w:id="1018"/>
    </w:p>
    <w:p>
      <w:pPr>
        <w:pStyle w:val="BookText"/>
        <w:rPr/>
      </w:pPr>
      <w:r>
        <w:rPr>
          <w:rFonts w:ascii="IRNazanin" w:hAnsi="IRNazanin" w:eastAsia="IRNazanin"/>
          <w:color w:val="111111"/>
          <w:sz w:val="28"/>
          <w:sz w:val="28"/>
          <w:szCs w:val="28"/>
          <w:rtl w:val="true"/>
          <w:lang w:bidi="fa-IR"/>
        </w:rPr>
        <w:t>إشارة إلی عدم لزوم الرکعة الثالثة بعد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یظن منه بعد ما قدّمناه فی الثالث ظاهر ؛ إذ المراد حینئذ أنّ التسلیم المعهود إن شئت فعلته وإن شئت لم تفعله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عساه یتخیل حینئذ أنّ مقتضاه لزوم التسلیم المشهور فی غیر الوتر فیدل علی الوجوب ، یدفعه أنّ إرادة رجحان فعله فی غیر الوتر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الرجحان فی الوتر أیضا مراد ، إذ رجحان الکلام علیه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منه ، لکن لا برجحان غیره ، بل بالمساواة ، علی أنّ غیر الوتر یدخل فیه النوافل ولا وجوب فیها ، فلا بدّ من إرادة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الشیخ لا یخفی بعده ، فإنّ الظاهر منه الکلام بعد السلام ، ولو حمل علی ما قلناه أمکن لکن العبارة لا تساعد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مضمون الحدیثین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مراده أهل الخلاف ، والذی یقتضیه کلام بعضهم التخییر </w:t>
      </w:r>
      <w:r>
        <w:rPr>
          <w:rStyle w:val="FootnoteAnchor"/>
          <w:rtl w:val="true"/>
        </w:rPr>
        <w:footnoteReference w:id="1391"/>
      </w:r>
      <w:r>
        <w:rPr>
          <w:rFonts w:ascii="IRNazanin" w:hAnsi="IRNazanin" w:eastAsia="IRNazanin"/>
          <w:color w:val="111111"/>
          <w:sz w:val="28"/>
          <w:sz w:val="28"/>
          <w:szCs w:val="28"/>
          <w:rtl w:val="true"/>
          <w:lang w:bidi="fa-IR"/>
        </w:rPr>
        <w:t>، ولو أراد الأصحاب فالقائل بوجوب الوصل غیر معلوم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قلناه فی الخبرین الأوّلین یتضح معنی الخبرین المذکورین ؛ لأنّ التسلیم لا رجحان له فی الوتر علی غیره من الکلام ونحوه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یعلم أنّ فی کلام بعض محققی المتأخرین رحمه الله أنّ الظاهر التخییر فی الفصل والوصل ، والمشهور الأوّل ، إلی أن قال بعد ذکر اختلاف </w:t>
      </w:r>
      <w:bookmarkStart w:id="1019" w:name="pg15037_163972"/>
    </w:p>
    <w:p>
      <w:pPr>
        <w:pStyle w:val="BookText"/>
        <w:rPr/>
      </w:pPr>
      <w:bookmarkEnd w:id="1019"/>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بالتخییر حسن کما هو مذهب العامة ولکن لم أعرفه مذهبا للأصحاب </w:t>
      </w:r>
      <w:r>
        <w:rPr>
          <w:rStyle w:val="FootnoteAnchor"/>
          <w:rtl w:val="true"/>
        </w:rPr>
        <w:footnoteReference w:id="1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دلالة علی ما قدّمناه ، لکن اختیار التخییر مع عدم القائل المعلوم مستغرب ، والاحتیاط سهل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کراهیة النوم بین رکعتی الفجر وبین صلاة 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 عن علی بن محمّد القاسانی ، عن سلیمان بن حفص المروزی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الأخیر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والنوم بین صلاة اللیل والفجر ، ولکن ضجعة بلا نوم ، فإنّ صاحبه لا یحمد علی ما قدّم من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وعبد الله ابنی محمّد بن عیسی ، عن علی بن الحکم ، عن عبد الله بن بکیر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علی أحدکم إذا انتصف اللیل أن یقوم فیصلّی صلاته جملة واحدة ثلاث عشر رکعة ، ثم إن شاء جلس فدعا ، وإن شاء نام ، وإن شاء ذهب حیث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جاءت رخصة ورفعا للحظر ، والأفضل ترک النوم علی ما تضمنته 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محمّد القاسانی ، ولم یوثقه النجاشی </w:t>
      </w:r>
      <w:r>
        <w:rPr>
          <w:rStyle w:val="FootnoteAnchor"/>
          <w:rtl w:val="true"/>
        </w:rPr>
        <w:footnoteReference w:id="1393"/>
      </w:r>
      <w:r>
        <w:rPr>
          <w:rFonts w:ascii="IRNazanin" w:hAnsi="IRNazanin" w:eastAsia="IRNazanin"/>
          <w:color w:val="111111"/>
          <w:sz w:val="28"/>
          <w:sz w:val="28"/>
          <w:szCs w:val="28"/>
          <w:rtl w:val="true"/>
          <w:lang w:bidi="fa-IR"/>
        </w:rPr>
        <w:t>،</w:t>
      </w:r>
    </w:p>
    <w:p>
      <w:pPr>
        <w:pStyle w:val="Heading3"/>
        <w:numPr>
          <w:ilvl w:val="2"/>
          <w:numId w:val="1"/>
        </w:numPr>
        <w:rPr/>
      </w:pPr>
      <w:bookmarkStart w:id="1020" w:name="__RefHeading___Toc348334_2142443653"/>
      <w:bookmarkStart w:id="1021" w:name="_Toc398"/>
      <w:bookmarkEnd w:id="1020"/>
      <w:r>
        <w:rPr>
          <w:rtl w:val="true"/>
        </w:rPr>
        <w:t>کراهیة النوم بین رکعتی الفجر وبین صلاة الغداة</w:t>
      </w:r>
      <w:bookmarkEnd w:id="102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2" w:name="__RefHeading___Toc348336_2142443653"/>
      <w:bookmarkStart w:id="1023" w:name="_Toc399"/>
      <w:bookmarkEnd w:id="1022"/>
      <w:r>
        <w:rPr>
          <w:rtl w:val="true"/>
        </w:rPr>
        <w:t>بحث حول علی بن محمد القاسانی</w:t>
      </w:r>
      <w:bookmarkStart w:id="1024" w:name="pg15037_163973"/>
      <w:bookmarkEnd w:id="1023"/>
    </w:p>
    <w:p>
      <w:pPr>
        <w:pStyle w:val="BookText"/>
        <w:rPr/>
      </w:pPr>
      <w:bookmarkEnd w:id="1024"/>
      <w:r>
        <w:rPr>
          <w:rFonts w:ascii="IRNazanin" w:hAnsi="IRNazanin" w:eastAsia="IRNazanin"/>
          <w:color w:val="111111"/>
          <w:sz w:val="28"/>
          <w:sz w:val="28"/>
          <w:szCs w:val="28"/>
          <w:rtl w:val="true"/>
          <w:lang w:bidi="fa-IR"/>
        </w:rPr>
        <w:t xml:space="preserve">والشیخ کلامه فیه لا یخلو من شی‌ء ، ویظهر منه التوثیق والتضعیف </w:t>
      </w:r>
      <w:r>
        <w:rPr>
          <w:rStyle w:val="FootnoteAnchor"/>
          <w:rtl w:val="true"/>
        </w:rPr>
        <w:footnoteReference w:id="1394"/>
      </w:r>
      <w:r>
        <w:rPr>
          <w:rFonts w:ascii="IRNazanin" w:hAnsi="IRNazanin" w:eastAsia="IRNazanin"/>
          <w:color w:val="111111"/>
          <w:sz w:val="28"/>
          <w:sz w:val="28"/>
          <w:szCs w:val="28"/>
          <w:rtl w:val="true"/>
          <w:lang w:bidi="fa-IR"/>
        </w:rPr>
        <w:t xml:space="preserve">،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استثنائه من روایات محمّد بن أحمد بن یحیی یقتضی قبوله ، 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وسلیمان بن حفص 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علی ما مضی القول فیه مکررا فی عبد الله بن بکیر </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فیه الفجر ، وهو محتمل لصلاة الصبح ورکعتی الفجر ، إلاّ أنّ الشیخ فهم منه صلاة الغداة ، وعلی ذلک المعروفون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ظهوره ، نظرا إلی أنّ صلاة اللیل ثلاث عشر رکعة فی الأخبار </w:t>
      </w:r>
      <w:r>
        <w:rPr>
          <w:rFonts w:eastAsia="IRNazanin" w:cs="IRNazanin"/>
          <w:color w:val="111111"/>
          <w:sz w:val="28"/>
          <w:szCs w:val="28"/>
          <w:rtl w:val="true"/>
          <w:lang w:bidi="fa-IR"/>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اضطجع بین رکعتی الفجر ورکعتی الغداة علی یمینک مستقبل القبلة وقل ، إلی آخره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من الروایة الضجعة بین صلاة اللیل ورکعتی الفجر ، وعبارة الصدوق تضمنت بین رکعتی الفجر ورکعتی الغداة ، وهی تتناول من صلّی صلاة اللیل ومن لم 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الشیخ فیه متوجه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5" w:name="__RefHeading___Toc348338_2142443653"/>
      <w:bookmarkStart w:id="1026" w:name="_Toc400"/>
      <w:bookmarkEnd w:id="1025"/>
      <w:r>
        <w:rPr>
          <w:rtl w:val="true"/>
        </w:rPr>
        <w:t>سلیمان بن حفص مجهول الحال</w:t>
      </w:r>
      <w:bookmarkEnd w:id="102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7" w:name="__RefHeading___Toc348340_2142443653"/>
      <w:bookmarkStart w:id="1028" w:name="_Toc401"/>
      <w:bookmarkEnd w:id="1027"/>
      <w:r>
        <w:rPr>
          <w:rtl w:val="true"/>
        </w:rPr>
        <w:t>بیان ما دل علی المنع من النوم بین صلاة اللیل والفجر والجمع بینه وبین ما دل علی الجواز</w:t>
      </w:r>
      <w:bookmarkStart w:id="1029" w:name="pg15037_163974"/>
      <w:bookmarkEnd w:id="1028"/>
    </w:p>
    <w:p>
      <w:pPr>
        <w:pStyle w:val="BookText"/>
        <w:rPr/>
      </w:pPr>
      <w:bookmarkEnd w:id="102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النوم بعد صلاة الغداة</w:t>
      </w:r>
    </w:p>
    <w:p>
      <w:pPr>
        <w:pStyle w:val="BookText"/>
        <w:rPr/>
      </w:pPr>
      <w:r>
        <w:rPr>
          <w:rFonts w:ascii="IRNazanin" w:hAnsi="IRNazanin" w:eastAsia="IRNazanin"/>
          <w:color w:val="111111"/>
          <w:sz w:val="28"/>
          <w:sz w:val="28"/>
          <w:szCs w:val="28"/>
          <w:rtl w:val="true"/>
          <w:lang w:bidi="fa-IR"/>
        </w:rPr>
        <w:t xml:space="preserve">محمّد بن أحمد بن یحیی ، عن أبی جعفر ، عن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الجوزاء ، عن الحسین بن علوان ، عن عمرو بن خالد ، عن عاصم بن أبی النجود الأسدی ، عن ابن عمر </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 xml:space="preserve">، عن الحسن بن علی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أبی علی بن أبی طالب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امرئ مسلم جلس فی مصلاّه الذی صلّی فیه الفجر یذکر الله حتی تطلع الشمس کان له من الأجر کحاج بیت الله وغفر له ، وإن جلس فیه حتی تکون ساعة تحلّ فیها الصلاة فصلّی رکعتین أو أربعا غفر له ما سلف وکان له من الأجر کحاج بیت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العلاء ، عن محمّد بن مسلم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النوم بعد الغداة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الرزق یبسط تلک الساعة فأنا أکره أن ینام الرجل تلک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نومة الغداة مشومة تطرد الرزق ، وتصفر اللون ، وتقبحه ، وتغیره وهو نوم کل میشوم ، إنّ الله تعالی یقسم الأرزاق ما بین طلوع الفجر إلی طلوع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موسی بن عمر ، 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أبو الحسن الرضا علیه السلام فی حاجة ،</w:t>
      </w:r>
    </w:p>
    <w:p>
      <w:pPr>
        <w:pStyle w:val="Heading3"/>
        <w:numPr>
          <w:ilvl w:val="2"/>
          <w:numId w:val="1"/>
        </w:numPr>
        <w:rPr/>
      </w:pPr>
      <w:bookmarkStart w:id="1030" w:name="__RefHeading___Toc348342_2142443653"/>
      <w:bookmarkStart w:id="1031" w:name="_Toc402"/>
      <w:bookmarkEnd w:id="1030"/>
      <w:r>
        <w:rPr>
          <w:rtl w:val="true"/>
        </w:rPr>
        <w:t>کراهیة النوم بعد صلاة الغداة</w:t>
      </w:r>
      <w:bookmarkEnd w:id="103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2" w:name="__RefHeading___Toc348344_2142443653"/>
      <w:bookmarkStart w:id="1033" w:name="_Toc403"/>
      <w:bookmarkEnd w:id="1032"/>
      <w:r>
        <w:rPr>
          <w:rtl w:val="true"/>
        </w:rPr>
        <w:t>اشارة</w:t>
      </w:r>
      <w:bookmarkStart w:id="1034" w:name="pg15037_163975"/>
      <w:bookmarkEnd w:id="1033"/>
    </w:p>
    <w:p>
      <w:pPr>
        <w:pStyle w:val="BookText"/>
        <w:rPr/>
      </w:pPr>
      <w:bookmarkEnd w:id="1034"/>
      <w:r>
        <w:rPr>
          <w:rFonts w:ascii="IRNazanin" w:hAnsi="IRNazanin" w:eastAsia="IRNazanin"/>
          <w:color w:val="111111"/>
          <w:sz w:val="28"/>
          <w:sz w:val="28"/>
          <w:szCs w:val="28"/>
          <w:rtl w:val="true"/>
          <w:lang w:bidi="fa-IR"/>
        </w:rPr>
        <w:t xml:space="preserve">فدخلت علیه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انصرف فإذا کان غدا فتعال ، ولا تجی‌ء إلاّ بعد طلوع الشمس ، فإنّی أنام إذا صلّیت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الحسین ، عن عبد الرحمن بن أبی هاشم ، عن سالم بن أبی خدیجة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وأنا أسمع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أصلّی الفجر ثم أذکر الله بکل ما أرید أن أذکره ممّا </w:t>
      </w:r>
      <w:r>
        <w:rPr>
          <w:rStyle w:val="FootnoteAnchor"/>
          <w:rtl w:val="true"/>
        </w:rPr>
        <w:footnoteReference w:id="1400"/>
      </w:r>
      <w:r>
        <w:rPr>
          <w:rFonts w:ascii="IRNazanin" w:hAnsi="IRNazanin" w:eastAsia="IRNazanin"/>
          <w:color w:val="111111"/>
          <w:sz w:val="28"/>
          <w:sz w:val="28"/>
          <w:szCs w:val="28"/>
          <w:rtl w:val="true"/>
          <w:lang w:bidi="fa-IR"/>
        </w:rPr>
        <w:t xml:space="preserve">یجب علیّ ، أرید أن أضع جنبی فأنام قبل طلوع الشمس فأکره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w:t>
      </w:r>
      <w:r>
        <w:rPr>
          <w:rFonts w:eastAsia="IRNazanin" w:cs="IRNazanin"/>
          <w:color w:val="111111"/>
          <w:sz w:val="28"/>
          <w:szCs w:val="28"/>
          <w:rtl w:val="true"/>
          <w:lang w:bidi="fa-IR"/>
        </w:rPr>
        <w:t xml:space="preserve">» </w:t>
      </w:r>
      <w:r>
        <w:rPr>
          <w:rStyle w:val="FootnoteAnchor"/>
          <w:rtl w:val="true"/>
        </w:rPr>
        <w:footnoteReference w:id="140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أکره أن </w:t>
      </w:r>
      <w:r>
        <w:rPr>
          <w:rStyle w:val="FootnoteAnchor"/>
          <w:rtl w:val="true"/>
        </w:rPr>
        <w:footnoteReference w:id="1402"/>
      </w:r>
      <w:r>
        <w:rPr>
          <w:rFonts w:ascii="IRNazanin" w:hAnsi="IRNazanin" w:eastAsia="IRNazanin"/>
          <w:color w:val="111111"/>
          <w:sz w:val="28"/>
          <w:sz w:val="28"/>
          <w:szCs w:val="28"/>
          <w:rtl w:val="true"/>
          <w:lang w:bidi="fa-IR"/>
        </w:rPr>
        <w:t xml:space="preserve">تطلع الشمس من غیر مطلعها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بذلک خفاء ، انظر من حیث یطلع الفجر فذلک مطلع الشمس ، لیس علیک من حرج أن تنام إذا کنت قد ذکرت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هاتین الروایتین ضرب من الرخصة وإن کان الأفضل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الجوزاء ، وهو المنبه بن عبد الله ، وقد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صحیح الحدیث </w:t>
      </w:r>
      <w:r>
        <w:rPr>
          <w:rStyle w:val="FootnoteAnchor"/>
          <w:rtl w:val="true"/>
        </w:rPr>
        <w:footnoteReference w:id="1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یدری المراد بصحة الحدیث ، هل هو مطلق الروایة أو الحدیث المثبت فی أصله أو کتابه؟ ومع الاحتمال لا یفید فی غیر هذا المقام ، أمّا هنا فالحسین بن علوان عامی ، وعمرو بن خالد نحوه ، وعاصم مجهول</w:t>
      </w:r>
      <w:r>
        <w:rPr>
          <w:rFonts w:eastAsia="IRNazanin" w:cs="IRNazanin"/>
          <w:color w:val="111111"/>
          <w:sz w:val="28"/>
          <w:szCs w:val="28"/>
          <w:rtl w:val="true"/>
          <w:lang w:bidi="fa-IR"/>
        </w:rPr>
        <w:t>.</w:t>
      </w:r>
    </w:p>
    <w:p>
      <w:pPr>
        <w:pStyle w:val="Heading4"/>
        <w:numPr>
          <w:ilvl w:val="3"/>
          <w:numId w:val="1"/>
        </w:numPr>
        <w:rPr/>
      </w:pPr>
      <w:bookmarkStart w:id="1035" w:name="__RefHeading___Toc348346_2142443653"/>
      <w:bookmarkStart w:id="1036" w:name="_Toc404"/>
      <w:bookmarkEnd w:id="1035"/>
      <w:r>
        <w:rPr>
          <w:rtl w:val="true"/>
        </w:rPr>
        <w:t>بحث حول أبی الجوزاء المنبه بن عبدالله</w:t>
      </w:r>
      <w:bookmarkEnd w:id="1036"/>
    </w:p>
    <w:p>
      <w:pPr>
        <w:pStyle w:val="Heading4"/>
        <w:numPr>
          <w:ilvl w:val="3"/>
          <w:numId w:val="1"/>
        </w:numPr>
        <w:rPr/>
      </w:pPr>
      <w:bookmarkStart w:id="1037" w:name="__RefHeading___Toc348348_2142443653"/>
      <w:bookmarkStart w:id="1038" w:name="_Toc405"/>
      <w:bookmarkEnd w:id="1037"/>
      <w:r>
        <w:rPr>
          <w:rtl w:val="true"/>
        </w:rPr>
        <w:t>الحسین بن علوان عامی</w:t>
      </w:r>
      <w:bookmarkEnd w:id="1038"/>
    </w:p>
    <w:p>
      <w:pPr>
        <w:pStyle w:val="Heading4"/>
        <w:numPr>
          <w:ilvl w:val="3"/>
          <w:numId w:val="1"/>
        </w:numPr>
        <w:rPr/>
      </w:pPr>
      <w:bookmarkStart w:id="1039" w:name="__RefHeading___Toc348350_2142443653"/>
      <w:bookmarkStart w:id="1040" w:name="_Toc406"/>
      <w:bookmarkEnd w:id="1039"/>
      <w:r>
        <w:rPr>
          <w:rtl w:val="true"/>
        </w:rPr>
        <w:t>عمرو بن خالد عامی</w:t>
      </w:r>
      <w:bookmarkEnd w:id="104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1" w:name="__RefHeading___Toc348352_2142443653"/>
      <w:bookmarkStart w:id="1042" w:name="_Toc407"/>
      <w:bookmarkEnd w:id="1041"/>
      <w:r>
        <w:rPr>
          <w:rtl w:val="true"/>
        </w:rPr>
        <w:t>عاصم بن أبی النجود الأسدی مجهول</w:t>
      </w:r>
      <w:bookmarkStart w:id="1043" w:name="pg15037_163976"/>
      <w:bookmarkEnd w:id="1042"/>
    </w:p>
    <w:p>
      <w:pPr>
        <w:pStyle w:val="BookText"/>
        <w:rPr/>
      </w:pPr>
      <w:bookmarkEnd w:id="1043"/>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عدم الطریق إلی العلاء فی المشیخة ، وفی الفهرست لا یفید هنا ، لکن الروایة فی الفقیه بهذه الصورة </w:t>
      </w:r>
      <w:r>
        <w:rPr>
          <w:rStyle w:val="FootnoteAnchor"/>
          <w:rtl w:val="true"/>
        </w:rPr>
        <w:footnoteReference w:id="1404"/>
      </w:r>
      <w:r>
        <w:rPr>
          <w:rFonts w:ascii="IRNazanin" w:hAnsi="IRNazanin" w:eastAsia="IRNazanin"/>
          <w:color w:val="111111"/>
          <w:sz w:val="28"/>
          <w:sz w:val="28"/>
          <w:szCs w:val="28"/>
          <w:rtl w:val="true"/>
          <w:lang w:bidi="fa-IR"/>
        </w:rPr>
        <w:t>، والطریق إلی العلاء صحیح مع ثقته ومن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 وهو فی الفقیه کذلک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موسی بن عمر ، وهو الصیقل ، لروایة محمّد بن علی ابن محبوب عنه فی الرجال </w:t>
      </w:r>
      <w:r>
        <w:rPr>
          <w:rStyle w:val="FootnoteAnchor"/>
          <w:rtl w:val="true"/>
        </w:rPr>
        <w:footnoteReference w:id="1406"/>
      </w:r>
      <w:r>
        <w:rPr>
          <w:rFonts w:ascii="IRNazanin" w:hAnsi="IRNazanin" w:eastAsia="IRNazanin"/>
          <w:color w:val="111111"/>
          <w:sz w:val="28"/>
          <w:sz w:val="28"/>
          <w:szCs w:val="28"/>
          <w:rtl w:val="true"/>
          <w:lang w:bidi="fa-IR"/>
        </w:rPr>
        <w:t>، وحاله لا یزید علی 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ومعمر ابن خلاد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سالم بن أبی خدیجة ، وهو مهمل فی رجال الصادق علیه السلام من کتاب الشیخ </w:t>
      </w:r>
      <w:r>
        <w:rPr>
          <w:rStyle w:val="FootnoteAnchor"/>
          <w:rtl w:val="true"/>
        </w:rPr>
        <w:footnoteReference w:id="1407"/>
      </w:r>
      <w:r>
        <w:rPr>
          <w:rFonts w:ascii="IRNazanin" w:hAnsi="IRNazanin" w:eastAsia="IRNazanin"/>
          <w:color w:val="111111"/>
          <w:sz w:val="28"/>
          <w:sz w:val="28"/>
          <w:szCs w:val="28"/>
          <w:rtl w:val="true"/>
          <w:lang w:bidi="fa-IR"/>
        </w:rPr>
        <w:t xml:space="preserve">، وما فی کلام البعض من التوثیق والتعدد </w:t>
      </w:r>
      <w:r>
        <w:rPr>
          <w:rStyle w:val="FootnoteAnchor"/>
          <w:rtl w:val="true"/>
        </w:rPr>
        <w:footnoteReference w:id="1408"/>
      </w:r>
      <w:r>
        <w:rPr>
          <w:rFonts w:ascii="IRNazanin" w:hAnsi="IRNazanin" w:eastAsia="IRNazanin"/>
          <w:color w:val="111111"/>
          <w:sz w:val="28"/>
          <w:sz w:val="28"/>
          <w:szCs w:val="28"/>
          <w:rtl w:val="true"/>
          <w:lang w:bidi="fa-IR"/>
        </w:rPr>
        <w:t>موهوم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الرحمن بن أبی هاشم فهو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 إلاّ أنّه ربّما کان فی آخره أمارة عدم الصحة ،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تکون ساعة تحل فیها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مذهب أهل الخلاف فی صلاة الفجر </w:t>
      </w:r>
      <w:r>
        <w:rPr>
          <w:rStyle w:val="FootnoteAnchor"/>
          <w:rtl w:val="true"/>
        </w:rPr>
        <w:footnoteReference w:id="1409"/>
      </w:r>
      <w:r>
        <w:rPr>
          <w:rFonts w:ascii="IRNazanin" w:hAnsi="IRNazanin" w:eastAsia="IRNazanin"/>
          <w:color w:val="111111"/>
          <w:sz w:val="28"/>
          <w:sz w:val="28"/>
          <w:szCs w:val="28"/>
          <w:rtl w:val="true"/>
          <w:lang w:bidi="fa-IR"/>
        </w:rPr>
        <w:t>، إذ الظاهر من ساعة حلّ الصلاة ارتفاع الشمس ، واحتمال الزوال بعید مخالف لظاهر الصلاة رکعتین ، والناقل کما تری ابن عمر</w:t>
      </w:r>
      <w:r>
        <w:rPr>
          <w:rFonts w:eastAsia="IRNazanin" w:cs="IRNazanin"/>
          <w:color w:val="111111"/>
          <w:sz w:val="28"/>
          <w:szCs w:val="28"/>
          <w:rtl w:val="true"/>
          <w:lang w:bidi="fa-IR"/>
        </w:rPr>
        <w:t>.</w:t>
      </w:r>
    </w:p>
    <w:p>
      <w:pPr>
        <w:pStyle w:val="Heading4"/>
        <w:numPr>
          <w:ilvl w:val="3"/>
          <w:numId w:val="1"/>
        </w:numPr>
        <w:rPr/>
      </w:pPr>
      <w:bookmarkStart w:id="1044" w:name="__RefHeading___Toc348354_2142443653"/>
      <w:bookmarkStart w:id="1045" w:name="_Toc408"/>
      <w:bookmarkEnd w:id="1044"/>
      <w:r>
        <w:rPr>
          <w:rtl w:val="true"/>
        </w:rPr>
        <w:t>کلمة حول الطریق إلی العلاء</w:t>
      </w:r>
      <w:bookmarkEnd w:id="1045"/>
    </w:p>
    <w:p>
      <w:pPr>
        <w:pStyle w:val="Heading4"/>
        <w:numPr>
          <w:ilvl w:val="3"/>
          <w:numId w:val="1"/>
        </w:numPr>
        <w:rPr/>
      </w:pPr>
      <w:bookmarkStart w:id="1046" w:name="__RefHeading___Toc348356_2142443653"/>
      <w:bookmarkStart w:id="1047" w:name="_Toc409"/>
      <w:bookmarkEnd w:id="1046"/>
      <w:r>
        <w:rPr>
          <w:rtl w:val="true"/>
        </w:rPr>
        <w:t>موسی بن عمر الصیقل مهمل</w:t>
      </w:r>
      <w:bookmarkEnd w:id="1047"/>
    </w:p>
    <w:p>
      <w:pPr>
        <w:pStyle w:val="Heading4"/>
        <w:numPr>
          <w:ilvl w:val="3"/>
          <w:numId w:val="1"/>
        </w:numPr>
        <w:rPr/>
      </w:pPr>
      <w:bookmarkStart w:id="1048" w:name="__RefHeading___Toc348358_2142443653"/>
      <w:bookmarkStart w:id="1049" w:name="_Toc410"/>
      <w:bookmarkEnd w:id="1048"/>
      <w:r>
        <w:rPr>
          <w:rtl w:val="true"/>
        </w:rPr>
        <w:t>معمر بن خلّاد ثقة</w:t>
      </w:r>
      <w:bookmarkEnd w:id="1049"/>
    </w:p>
    <w:p>
      <w:pPr>
        <w:pStyle w:val="Heading4"/>
        <w:numPr>
          <w:ilvl w:val="3"/>
          <w:numId w:val="1"/>
        </w:numPr>
        <w:rPr/>
      </w:pPr>
      <w:bookmarkStart w:id="1050" w:name="__RefHeading___Toc348360_2142443653"/>
      <w:bookmarkStart w:id="1051" w:name="_Toc411"/>
      <w:bookmarkEnd w:id="1050"/>
      <w:r>
        <w:rPr>
          <w:rtl w:val="true"/>
        </w:rPr>
        <w:t>سالم بن أبی خدیجة مهمل</w:t>
      </w:r>
      <w:bookmarkEnd w:id="1051"/>
    </w:p>
    <w:p>
      <w:pPr>
        <w:pStyle w:val="Heading4"/>
        <w:numPr>
          <w:ilvl w:val="3"/>
          <w:numId w:val="1"/>
        </w:numPr>
        <w:rPr/>
      </w:pPr>
      <w:bookmarkStart w:id="1052" w:name="__RefHeading___Toc348362_2142443653"/>
      <w:bookmarkStart w:id="1053" w:name="_Toc412"/>
      <w:bookmarkEnd w:id="1052"/>
      <w:r>
        <w:rPr>
          <w:rtl w:val="true"/>
        </w:rPr>
        <w:t>عبدالرحمن بن أبی هاشم ثقة</w:t>
      </w:r>
      <w:bookmarkEnd w:id="105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4" w:name="__RefHeading___Toc348364_2142443653"/>
      <w:bookmarkStart w:id="1055" w:name="_Toc413"/>
      <w:bookmarkEnd w:id="1054"/>
      <w:r>
        <w:rPr>
          <w:rtl w:val="true"/>
        </w:rPr>
        <w:t>بیان ما دل علی کراهیة النوم بعد صلاة الصبح وتوجیه ما یعارضه</w:t>
      </w:r>
      <w:bookmarkEnd w:id="1055"/>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ظاهر الدلالة ، إلاّ أنّ ما دلّ من معتبر الأخبار علی </w:t>
      </w:r>
      <w:r>
        <w:rPr>
          <w:rStyle w:val="FootnoteAnchor"/>
          <w:rtl w:val="true"/>
        </w:rPr>
        <w:footnoteReference w:id="1410"/>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کالموت لا ینفع الفرار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عدم ضرورة النوم به ، ولعلّ المراد بالرزق الزائد عمّا فیه الحیاة ، أو تقیید تلک الأخبار بما تضمنه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فتوجیه الشیخ له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إجمال وغرابة ، والذی یظهر من کتب أهل الخلاف فی الحدیث أنّ طلوع الشمس من غیر مطلعها علامة قیام الساعة </w:t>
      </w:r>
      <w:r>
        <w:rPr>
          <w:rStyle w:val="FootnoteAnchor"/>
          <w:rtl w:val="true"/>
        </w:rPr>
        <w:footnoteReference w:id="1411"/>
      </w:r>
      <w:r>
        <w:rPr>
          <w:rFonts w:ascii="IRNazanin" w:hAnsi="IRNazanin" w:eastAsia="IRNazanin"/>
          <w:color w:val="111111"/>
          <w:sz w:val="28"/>
          <w:sz w:val="28"/>
          <w:szCs w:val="28"/>
          <w:rtl w:val="true"/>
          <w:lang w:bidi="fa-IR"/>
        </w:rPr>
        <w:t>، فلا یبعد أن یکون الرجل سمع من أحدهم هذا فاعتقد صحته ، أو أنّ السائل منهم فدفع وهمه علیه السلام بما یقرب من عقله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یکون کنایة عمّا ذکره بعض الأصحاب من علامات خروج القائم علیه السلام التی من جملتها طلوع الشمس من المغرب </w:t>
      </w:r>
      <w:r>
        <w:rPr>
          <w:rStyle w:val="FootnoteAnchor"/>
          <w:rtl w:val="true"/>
        </w:rPr>
        <w:footnoteReference w:id="1412"/>
      </w:r>
      <w:r>
        <w:rPr>
          <w:rFonts w:ascii="IRNazanin" w:hAnsi="IRNazanin" w:eastAsia="IRNazanin"/>
          <w:color w:val="111111"/>
          <w:sz w:val="28"/>
          <w:sz w:val="28"/>
          <w:szCs w:val="28"/>
          <w:rtl w:val="true"/>
          <w:lang w:bidi="fa-IR"/>
        </w:rPr>
        <w:t>، فأراد السائل الخوف من خروجه علیه السلام ولم یعلم ، فأزاح علیه السلام وهمه بأنّ مطلع الشمس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Style w:val="FootnoteAnchor"/>
          <w:rtl w:val="true"/>
        </w:rPr>
        <w:footnoteReference w:id="1413"/>
      </w:r>
      <w:r>
        <w:rPr>
          <w:rFonts w:ascii="IRNazanin" w:hAnsi="IRNazanin" w:eastAsia="IRNazanin"/>
          <w:color w:val="111111"/>
          <w:sz w:val="28"/>
          <w:sz w:val="28"/>
          <w:szCs w:val="28"/>
          <w:rtl w:val="true"/>
          <w:lang w:bidi="fa-IR"/>
        </w:rPr>
        <w:t xml:space="preserve">دلالة علی ما قاله بعضهم من أنّ طلوع الشمس من المغرب کنایة عن الإمام علیه السلام ؛ فإنّ ظهوره علیه السلام من المغرب فی بعض الآثار </w:t>
      </w:r>
      <w:r>
        <w:rPr>
          <w:rStyle w:val="FootnoteAnchor"/>
          <w:rtl w:val="true"/>
        </w:rPr>
        <w:footnoteReference w:id="1414"/>
      </w:r>
      <w:r>
        <w:rPr>
          <w:rFonts w:ascii="IRNazanin" w:hAnsi="IRNazanin" w:eastAsia="IRNazanin"/>
          <w:color w:val="111111"/>
          <w:sz w:val="28"/>
          <w:sz w:val="28"/>
          <w:szCs w:val="28"/>
          <w:rtl w:val="true"/>
          <w:lang w:bidi="fa-IR"/>
        </w:rPr>
        <w:t>، وحینئذ حاصل الجواب دفع الحقیقة من مطلع الشمس ، ویحتمل غیر ذلک ، لکنه فی حیّز البعد ، والله تعالی أعلم بالحال</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6" w:name="pg15037_163979"/>
      <w:bookmarkStart w:id="1057" w:name="pg15037_163979"/>
      <w:bookmarkEnd w:id="1057"/>
    </w:p>
    <w:p>
      <w:pPr>
        <w:pStyle w:val="Heading2"/>
        <w:numPr>
          <w:ilvl w:val="1"/>
          <w:numId w:val="1"/>
        </w:numPr>
        <w:rPr/>
      </w:pPr>
      <w:bookmarkStart w:id="1058" w:name="pg15037_163979"/>
      <w:bookmarkStart w:id="1059" w:name="__RefHeading___Toc348366_2142443653"/>
      <w:bookmarkStart w:id="1060" w:name="_Toc414"/>
      <w:bookmarkEnd w:id="1058"/>
      <w:bookmarkEnd w:id="1059"/>
      <w:r>
        <w:rPr>
          <w:rtl w:val="true"/>
        </w:rPr>
        <w:t>فهرس الموضوعات</w:t>
      </w:r>
      <w:bookmarkEnd w:id="1060"/>
    </w:p>
    <w:p>
      <w:pPr>
        <w:pStyle w:val="BookText"/>
        <w:rPr/>
      </w:pPr>
      <w:r>
        <w:rPr>
          <w:rFonts w:ascii="Amiri" w:hAnsi="Amiri" w:eastAsia="Amiri" w:cs="Amiri"/>
          <w:color w:val="111111"/>
          <w:sz w:val="28"/>
          <w:sz w:val="28"/>
          <w:szCs w:val="28"/>
          <w:rtl w:val="true"/>
          <w:lang w:bidi="ar-SA"/>
        </w:rPr>
        <w:t>أبواب القبلة</w:t>
      </w:r>
    </w:p>
    <w:p>
      <w:pPr>
        <w:pStyle w:val="BookText"/>
        <w:rPr/>
      </w:pPr>
      <w:r>
        <w:rPr>
          <w:rFonts w:ascii="IRNazanin" w:hAnsi="IRNazanin" w:eastAsia="IRNazanin"/>
          <w:color w:val="111111"/>
          <w:sz w:val="28"/>
          <w:sz w:val="28"/>
          <w:szCs w:val="28"/>
          <w:rtl w:val="true"/>
          <w:lang w:bidi="fa-IR"/>
        </w:rPr>
        <w:t xml:space="preserve">من اشتبه علیه القبلة فی یوم غیم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بحث حول اسماعیل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خراش مهمل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بحث حول المراد بالإجماع علی تصحیح ما یصح عن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بیان ما دل علی أنّ من اشتبه علیه القبلة یصلّی لأربع جهات والجمع بینه وبین ما یعارضه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من صلّی إلی غیر القبلة ثم تبیّن‌بعد ذلک قبل انقضاء الوقت وبعده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بحث حول علی بن الحسن الطاطری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بحث حول محمد بن أبی حمزة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إشارة إلی حال ثعلبة بن میمون والحجّال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القاسم بن الولید المهمل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بحث حول محمد بن الحصین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ما دل علی أنّ من استبان له أنّه صلّی إلی غیر القبلة یعید فی الوقت دون خارجه مع الاجتهاد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ما دلّ علی عدم الاعادة اذا کان الانحراف یمیناً وشاملاً وأنّ ما بین المغرب والمشرق قبلة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بیان ما دلّ علی أنّه إذا ثبت فی الأثناء یستقبل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بحث حول محمد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توجیه ما دل علی لزوم الاعادة مع انقضاء الوقت أیضاً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بیان ما دلّ علی أنّه لو علم فی الأثناء یحوّل وجهه إن کان متوجّهاً إلی ما بین المشرق والمغرب ویقطع مع الاستدبار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الصلاة فی جوف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بحث حول أبی الحسین بن أبی جید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بیان ما دل علی المنع من الصلاة فی جوف الکعبة والجمع بینه وبین ما دل علی الجواز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أبواب الأذان والإقامة</w:t>
      </w:r>
    </w:p>
    <w:p>
      <w:pPr>
        <w:pStyle w:val="BookText"/>
        <w:rPr/>
      </w:pPr>
      <w:r>
        <w:rPr>
          <w:rFonts w:ascii="IRNazanin" w:hAnsi="IRNazanin" w:eastAsia="IRNazanin"/>
          <w:color w:val="111111"/>
          <w:sz w:val="28"/>
          <w:sz w:val="28"/>
          <w:szCs w:val="28"/>
          <w:rtl w:val="true"/>
          <w:lang w:bidi="fa-IR"/>
        </w:rPr>
        <w:t>الأذان والإقامة فی صلاة المغرب‌و غیرها من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الصباح بن سیّابة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إشارة إلی حال القاسم بن محمد الجوهری وعلی بن أبی حمزة البطائنی وأبی بصیر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الأقوال فی وجوب الأذان والإقامة واستحبابهما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بیان ما دلّ علی عدم وجوب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توجیه ما دلّ بظاهره علی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حکم الأذان والإقامة بالنسبة إلی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الکلام فی حال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عمرو بن أبی نصر ثقة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بحث حول محمد بن 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بحث حول صالح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هارون المکفوف 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ما دلّ علی المنع من الکلام فی الإقامة وبعدها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إشارة إلی ضعف محمد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الحسن بن شهاب مهمل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بحث حول الطریق إلی جعفر بن بشیر ومن یروی عنه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بیان مادلّ علی جواز التکلّم فی الأذان والإقامة وبعدها وما دلّ علی حرمته بعدها إلّا فیما یتعلّق بأحکام الصلاة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الأذان جالسا أو راکبا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کلمة حول 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الصالح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بحث حول محمد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أبو خالد القماط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حمدان أمره ملتبس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بیان ما دلّ علی عدم جواز الإقامة قاعداً أو راکباً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من نسی الأذان والإقامة حتی صلّی أو دخل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سلمة بن الخطاب ضعیف فی حدیثه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إشارة إلی حال أبی جمیلة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نعمان الرازی مهمل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بحث حول الراوی عن محمّد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محمّد بن الفضیل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إشارة إلی جهالة علی بن السندی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بیان ما دلّ علی أنّ من نسی الأذان والإقامة ثم ذکر فی أثناء الصلاة أو بعدها لا یعیدها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دلالة الحدیث علی تخلیط أبی بصیر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بحث حول سعید الأعرج</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إسحاق بن آدم مهمل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الفضل بن حسان غیر مذکور فی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بن آدم ثقة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إشارة إلی حال الحسین بن أبی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داود بن سرحان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توجیه ما دل علی أنّ من ذکر أنّه نسی الإقامة قبل فراغة من الصلاة یعیدها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بیان ما دلّ علی أنّه إن ذکر قبل القراءة فلیصلّ علی النبی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بیان ما دلّ علی أنّه إن ذکر فی القراءة یسکت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بیان ما دلّ علی أنّه إن ذکر قبل القراءة فلیسلّم علی النبی صلی الله علیه و آله ثم یقیم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الأقوال فی مسألة ترک الأذان والإقامة تعمّداً أو نسیاناً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عدد الفصول فی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احتمال قبول روایة محمد بن عیسی إذا روی عن غیر یونس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بحث حول أبان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بحث حول إسماعیل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علی بن السندی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أبوبکر الحضرمی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کلیب الأسدی فی مدحه کلام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توجیه ما دلّ علی تثنیة التکبیر فی أوّل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تعیین المعطوف علیه فی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عن سیف وصفوان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أبو عبیدة الحذّاء ثقة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یزید مولی الحکم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القاسم بن عروة مهمل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نعمان الرازی مهمل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توجیه ما دل علی الأذان مثنی مثنی والإقامة واحدة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بیان ما دل علی أنّ الأذان والإقامة یقصّران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أحمد بن الحسن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کلمة حول علی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معنی التثویب</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ما دلّ علی استحباب التثویب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القعود بین الأذان والإقامة فی 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الحسن بن علی بن یوسف ثقة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سعدان بن مسلم مهمل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بحث حول إسحاق الجریری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بیان ما دلّ علی الفصل بین الأذان والإقامة بقعود إلّا فی المغرب فإنّ بینهما فیها نَفَساً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أبواب کیفیّة الصلاة من فاتحتها إلی خاتمتها</w:t>
      </w:r>
    </w:p>
    <w:p>
      <w:pPr>
        <w:pStyle w:val="BookText"/>
        <w:rPr/>
      </w:pPr>
      <w:r>
        <w:rPr>
          <w:rFonts w:ascii="Amiri" w:hAnsi="Amiri" w:eastAsia="Amiri" w:cs="Amiri"/>
          <w:color w:val="111111"/>
          <w:sz w:val="28"/>
          <w:sz w:val="28"/>
          <w:szCs w:val="28"/>
          <w:rtl w:val="true"/>
          <w:lang w:bidi="ar-SA"/>
        </w:rPr>
        <w:t>وجوب قراءة 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بحث حول روایة الحسین بن سعید عن فضالة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بیان ما دلّ علی أنه لا صلاة إلّا بفاتحة الکتاب فی جهر أو إخفات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توجیه ما دل علی عدم وجوب الفاتحة علی الخائف والمستعجل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هل یکتفی بفاتحة الکتاب عن السورة؟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هل الحمد شرط فی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بیان ما دل علی حصر المفروض فی الرکوع والسجود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بیان ما دل علی أنّ العاجز عن القراءة یکفیه التکبیر والتسبیح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الجهر ببسم اللّه الرحمن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بحث حول یحیی بن عمران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محمد بن حمّاد بن زید ثقة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عبدالله بن یحیی الکاهلی ممدوح</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حکم الجهر بالبسملة فی ما یخافت فیه وبیان ما دلّ علیه ونقل الأقوال فیه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بحث حول سُلیم بن قیس والراوی عنه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دلالة روایة معاویة بن عمار علی أنّ التسمیة فی الفاتحة والسورة لابدّ منها وعدم دلالتها علی وجوب السورة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بیان ما دلّ علی أنّ من ترک البسملة فی السورة یعید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المراد بالمرّتین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عبدالله علیه السلام فجهر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مسمع بن عبدالملک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علی بن السندی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تمییز أحمد ومحمد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ومحمد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بحث حول أبی جریر زکریا بن إدریس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توجیه ما دلّ علی جواز ترک البسملة فی الفاتحة والسورة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بحث حول طریق الشیخ إلی عبیدالله الحلبی ومحمد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بحث حول روایة محمد بن سنان عن عبدالله بن مسکان وعدم روایة الحسین بن سعید عنه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توجیه ما دلّ علی التخییر بین الجهر والاخفات فی بسملة الفاتحة والنهی عن قراءتها مع السورة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وجوب الجهر فی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بحث حول طرق الشیخ إلی حریز</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بیان ما دل علی أنّ من ترک الجهر والاخفات فی موضعهما متعمّداً علیه الاعادة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نقل الاقوال فی المسألة ومعنی قولع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تجهر بصلاتک ولا تخافت بها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توجیه ما دل علی التخییر بین الجهر وعدمه فی ما یجهر فیه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أقل الجهر والإخفات وأکثرهما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الجهر فی النوافل بالنهار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الحسن بن علی بن فضّال فطحی ثقة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حکم نوافل اللیل والنهار من حیث الجهر والاخفات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لا یقرأ فی الفریضةبأقلّ من سورة ولا بأکثر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بحث حول محمد بن عبدالحمید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سیف بن عمیرة ثقة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بحث حول الحسن 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ضعف محمد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الحسن الصیقل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الأقوال فی وجوب السورة أو عدم وجوبها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بیان ما دل علی أنّه لا یقرأ فی المکتوبة بأقل من سورة ولا بأکثر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بیان ما دل علی جواز الاقتصار علی الفاتحة فی الفریضة والمناقشة فی توجیه الشیخ له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بحث حول روایة محمد بن عیسی عن یونس ووجه اعتماد الشیخ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عدم حجیّة مفهوم 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أدلّة القائلین بوجوب السورة والمناقشة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بحث حول الحسن بن السری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یاسین الضریر مهمل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إسماعیل بن الفضل هو الهاشمی الثقة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توجیه ما دل علی جواز تکرار السورة فی الرکعتین من الفریضة إذا کانت أکثر من ثلاث آیات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القران بین السورتین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بحث حول الهروی عبدالسلام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بیان ما دل علی جواز القران فی النافلة وعدم جوازه فی الفریضة والجمع بینه وبین ما دل علی الکراهة فی الفریضة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هل القرآن علی تقدیر التحریم مفسد؟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بحث حول مراسیل ابن أبی عمیر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توجیه ما دل علی وقوع القِران من الامام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النهی عن قول آمین بعد الحمد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إشارة إلی تمییز عبدالله 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بیان ما دل علی عدم جواز التأمین بعد الفاتحة والجمع بینه وبین ما دل علی الجواز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من قرأ سورة من العزائم التی فی آخرها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بن وهب ضعیف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إشارة إلی ضعف عثمان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بیان ما دلّ علی عدم بطلان الصلاة بقراءة العزیمة والجمع بینه وبین ما دل علی النهی عنها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أدلّة القول بالبطلان والمناقشة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کلمة حول جهالة القاسم بن عروة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الحائض تسمع سجدة العزائم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توجیه ما دل علی أنّ الحائض إذا سمعت السجدة لا تسجد ، واضطراب کلام الشیخ والعلّامة فی المسألة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إسماع الرجل نفسه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کلمة فی الطریق إلی محمد بن أحمد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کلمة حول تمییز محمد بن أبی حمزة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بیان ما دل علی لزوم إسماع الرجل نفسه القراءة والجمع بینه وبین ما دل علی کفایة مثل حدیث النفس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معنی اللهوات والهمهمة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التخییر بین القراءة والتسبیح فی الرکعتین الأخیرتین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بحث حول محمد بن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علی بن حنظلة مهمل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محمد بن أبی الحسن بن علان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محمد بن حکیم مشترک بین مهملین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التخییر بین الفاتحة والتسبیح فی الاخیرتین وبیان موارد الاختلاف بین الفقهاء فی المسالة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بیان دلالة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ذکر بقیّة الاخبار الواردة فی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أفضلیّة التسبیح من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حکم الاستغفار والتکبیر ، والترتیب فی التسبیحات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التسبیحات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الرکوع والسجود</w:t>
      </w:r>
    </w:p>
    <w:p>
      <w:pPr>
        <w:pStyle w:val="BookText"/>
        <w:rPr/>
      </w:pPr>
      <w:r>
        <w:rPr>
          <w:rFonts w:ascii="IRNazanin" w:hAnsi="IRNazanin" w:eastAsia="IRNazanin"/>
          <w:color w:val="111111"/>
          <w:sz w:val="28"/>
          <w:sz w:val="28"/>
          <w:szCs w:val="28"/>
          <w:rtl w:val="true"/>
          <w:lang w:bidi="fa-IR"/>
        </w:rPr>
        <w:t>أقل ما یجزئ من التسبیح فی الرکوع والسجود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إشارة إلی حال القاسم بن عروة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کلمة فی روایة علی بن حدید عن عبدالرحمن بن أبی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الأقوال فی ذکر الرکوع والسجود وبیان ما احتجوا به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بیان ما دل علی أنّ الفرض تسبیحة والسنّة ثلاث</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بیان ما دلّ علی إجزاء ثلاث تسبیحات فی ترسّل واحد وواحدة تامّة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إشارة إلی حال مسمع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داود الأبزاری مهمل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أحمد بن الحسن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توجیه ما دلّ علی أنّه لا یجزئ أقل من ثلاثه تسبیحات أو قدرهن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معنی الترسّل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یحیی بن عبدالملک مهمل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إشارة إلی حال أبی بکر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حمزة بن حمران مهمل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الحسن بن زیاد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بیان ما دل علی أنّ حد الرکوع والسجود التسبیحة الکبری ثلاثاً وأنّ من لم یسبّح لا صلاة له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حکم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وبحمده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الاعلی وبحمده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تلقی الأرض بالیدین لمن أراد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إشارة إلی حال أبی الحسین بن أبی جید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بحث حول الحسین بن الحسن بن أبان ومحمّد بن اُورمة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إشارة إلی حال القاسم بن محمّد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إشارة إلی حال الحسین بن أبی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حول 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بیان ما دلّ علی رجحان وضع الیدین قبل الرکعتین عند إرادة السجود وتوجیه ما یعارضه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السجود علی الجبهة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بحث حول محمد بن مضارب</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بحث حول موسی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إشارة إلی وثاقة بُرید العجلی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إشارة إلی وثاقة مروان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إشارة إلی حال عمّار الساباطی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بحث حول محمد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بیان ما دل علی أنّه لیس علی الأنف سجود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بیان ما دلّ علی إجزاء المسمّی وعدم اعتبار مقدار الدرهم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توجیه ما دلّ علی لزوم إصابة الأنف لما یصیب الجبین ومعنی الارغام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بیان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علی سبعة أعظم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الإقعاء بین السجدتین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کلمة حول طرق الشیخ إلی معاویة بن عمّار وابن مسلم والحلبی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حکم الإقعاء بین السجدتین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معنی الإقعاء</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من یقوم من السجدة الثانیة إلی الرکعة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عبدالحمید بن عواض ثقة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عدم الطریق للشیخ إلی سماعة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جهالة طریق الشیخ إلی علی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رحیم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کلمة حول حدیث عبدالله بن بکیر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ما دل علی استحباب جلسة الاستراحة وتوجیه ما یعارضه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الإبهام فی حال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إشارة إلی عدم توقّف المشایخ فی احمد بن محمد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بحث حول أبی اسماعیل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بحث حول هارون بن خارجة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وضع الرکبتین فی حال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وضع الابهامین فی حال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النفخ فی موضع السجود فی حال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بحث حول روایة محمّد عن الفضل وتمییزهما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أبو اسحاق الذی روی عنه الحجّال هو ثعلبة بن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حکم الأنین والنفخ فی حال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من یسجد فتقع جبهته علی موضع مرتفع</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أبو مالک الحضرمی ثقة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بحث حول معاویة بن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الحسن بن حماد والحسین بن حماد مهملان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حکم ارتفاع موضع السجود عن موقف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بیان ما دلّ علی لزوم رفع الرأس من الموضع المرتفع وما دل علی لزوم جرّ الجبهة والجمع بینهما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السجود علی القطن والکتان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إشارة إلی حال أبی العباس الفضل بن عبدالملک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بحث حول یاسر الخادم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بحث حول أحمد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بحث حول وهیب بن حفص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داود الصرمی مهمل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حال محمد بن عبدالحمید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مثنّی الحناط لا بأس به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بحث حول عتیبة بیّاع القصب</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بحث حول القاسم بن الفضیل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بحث حول عباد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محمد بن القاسم بن الفضیل ثقة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أحمد بن عمر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الحسین بن علی بن کیسان غیر مذکور فی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کلام العلّامة فی مسألة السجود علی القطن والکتان ،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بیان ما دل علی عدم جواز السجود علی القطن والکتان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بیان ما دل علی عدم جواز السجود علی الحیوان والطعام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توجیه ما دل علی جواز السجود علی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توجیه ما دل علی جواز السجود علی القطن والکتان من غیر تقیة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بیان ما دل علی السجود علی ظهر الکفّ والکُمّ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توجیه ما دل علی جواز السجود علی القطن والکتان من غیر تقیة ولا ضرورة معنی المسح والریاش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السجود علی القیر والقفر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بحث حول علی بن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محمد بن أبی حمزة مشترک بین ثقة ومهمل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بیان ما دل علی النهی عن السجود علی القیر والقفر والصاروج وتوجیه ما یعارضه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معنی القفر والصاروج</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السجود علی القرطاس فیه کتابة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داود بن فرقد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بیان ما دل علی کراهة السجود علی القرطاس المکتوب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القرطاس</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السجود علی شی‌ء لیس علیه سائر 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عبدالرحمان بن أبی عقبة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محمد بن یحیی الخزاز ثقة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بحث حول غیاث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بیان ما دل علی جواز السجود علی شیء لیس علیه سائر 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معنی الخُمرة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السجود علی الثلج</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معمّر بن خلّاد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داود الصرمی مهمل</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بیان ما دلّ علی النهی عن السجود علی الثلج والسبخة والجواز عند الضرورة</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أبواب القنوت وأحکامه</w:t>
      </w:r>
    </w:p>
    <w:p>
      <w:pPr>
        <w:pStyle w:val="BookText"/>
        <w:rPr/>
      </w:pPr>
      <w:r>
        <w:rPr>
          <w:rFonts w:ascii="IRNazanin" w:hAnsi="IRNazanin" w:eastAsia="IRNazanin"/>
          <w:color w:val="111111"/>
          <w:sz w:val="28"/>
          <w:sz w:val="28"/>
          <w:szCs w:val="28"/>
          <w:rtl w:val="true"/>
          <w:lang w:bidi="fa-IR"/>
        </w:rPr>
        <w:t>رفع الیدین بالتکبیر إلی القنوت فی الصلوات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أشارة إلی حال عبدالله 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بحث حول إسناد عبارة عبدالله بن المغیرة المبدوّة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 الامام علیه السلام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موسی بن عمر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بحث حول الصباح المزنی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اشارة الی حال سیف بن عمیرة وابی بکر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بیان ما دلّ علی عدد التکبیرات فی الصلوات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معنی الحول والقوّة</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السنّة فی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إشارة حال عبدالله بن بکیر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کلمة حول روایة الحسین بن سعید عن 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حول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عبدالله بن مسکان لم یرو عن أبی عبدالله علیه السلام إلّا حدیثاً واحداً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تمییز علی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توضیح حول روایة أبی أیوب الخزاز عن أبی بصیر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وهب مشترک بین مهمل وثقة وعامی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توضیح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 فی ذیل روایة 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اختلاف العلماء فی وجوب القنوت واستحبابه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بیان ما دل علی رجحان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بیان ما دل علی وجوب القنوت فی الجهریة أو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بیان ما دل علی تعدّد القنوت فی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بیان ما دل علی أنّ من ترک القنوت رغبة عنه لا صلاة له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أدلّة القائلین بوجوب القنوت وما فیها من النقض والابرام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بحث حول عبدالملک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بحث حول جمیل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تمییز أبی جعفر الذی یروی عنه سعد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بحث حول اسماعیل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معمر بن یحیی مشترک بین ثقة ومهمل</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معنی القنوت لغةً وشرعاً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توجیه ما دل علی نفی القنوت قبل الرکوع وبعده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توجیه ما دل علی حصر القنوت فی الغداة والوتر والجمعة والمغرب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بیان ما دل علی التخییر بین القنوت وعدمه وعدم جوازه مع التقیة</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عدم تعیّن دعاء مخصوص فی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وجوب التشهد وأقل ما یجزئ عنه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بحث حول الحجّال</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یحیی بن طلحة غیر مذکور فی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سورة بن کلیب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سعد بن بکر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بحث حول حبیب الخثعمی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 بن حبیب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ما دل علی وجوب التشهد وکیفیته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توجیه ما دلّ علی کفایة الحمد فی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معنی التحیّات والطیّبات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دلالة روایة محمد بن مسلم علی وجوب الطمأنینة فی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إشارة إلی حال عبدالله بن بکیر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إشارة إلی حال محمد بن عیسی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بحث حول الراوی عن محمد بن عیسی الیقطینی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توجیه ما دل علی عدم وجوب التشهد والتسلیم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وجوب الصلاة علی النبی صلی الله علیه و آله فی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بحث حول طریق الشیخ إلی ابن أبی عمیر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بحث حول علی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بیان ما دلّ علی وجوب الصلاة علی النبی وآله فی الصلاة وتوجیه ما یعارضه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کلمة حول تشبیه الصلاة علی النبی صلی الله علیه و آله بالصلاة علی إبراهیم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قضاء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محمد بن سهل مهمل وأبوه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بیان ما دل علی أنّ ناسی القنوت یقضیه بعد الرکوع أو بعد الصلاة وتوجیه ما یعارضه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التسلیم لیس بفرض</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ظهور روایة زرارة فی أنّ التسلیم لیس من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الاستدلال بروایة زرارة علی أستحباب التسلیم والمناقشة فی أدلة القائلین بالوجوب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توجیه ما دل علی أنّ آخر الصلاة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هل یضرّ قصد الوجوب علی تقدیر استحباب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یعتبر قصد الخروج بالتسلیم؟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کیفیة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عبدالحمید بن عواض ثقة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إشارة إلی حال عنبسة بن مصعب</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بیان ما دلّ علی أنّ الإمام یسلّم تسلیمة واحدة عن یمینه والمأموم تسلیمتین والمنفرد واحدة مستقبل القبلة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تعیین التسلیم المُخرج من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کیفیة تسلیم الامام والمأموم والمنفرد فی عبارات بعض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التردّد فی وجوب 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سجدتی الشکر بین فریضة المغرب ونوافلها</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حفص الجوهری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جهم بن أبی جهم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سعدان بن مسلم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بیان ما دل علی استحباب سجدة الشکر بعد النوافل أو الفرائض أو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وجوب الفصل بین رکعتی الشفع والوتر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إشارة إلی حال محمد بن أبی حمزة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أبو ولّأد حفص بن سالم لا ارتیاب فیه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بحث حول یعقوب بن شعیب</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کردویه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محمد بن زیاد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بیان ما دل علی لزوم الفصل بین الشفع والوتر وتوجیه ما دلّ علی التخییر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کراهیة النوم بین رکعتی الفجر وبین صلاة الغداة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بحث حول علی بن محمد القاسانی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حفص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ما دل علی المنع من النوم بین صلاة اللیل والفجر والجمع بینه وبین ما دل علی الجواز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کراهیة النوم بعد صلاة الغداة</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بحث حول أبی الجوزاء المنبه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الحسین بن علوان عامی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عمرو بن خالد عامی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عاصم بن أبی النجود الأسدی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کلمة حول الطریق إلی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موسی بن عمر الصیقل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معمر بن خلّاد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سالم بن أبی خدیجة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عبدالرحمن بن أبی هاشم ثقة</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ما دل علی کراهیة النوم بعد صلاة الصبح وتوجیه ما یعارضه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علینا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یعرف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المتحری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القصیر ، والصواب ما أثبتناه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لاشتماله علی زرعة وسماعة وهما واقفیان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یظن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جهة أو أربع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المنافیات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 والأولی ما أثبتناه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المنافیین وثانیهما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کونه ، وما أثبتناه من المصدر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یتناول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حکاه عنه فی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میراث الخنثی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یحیی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الحسن موسی علیه السلام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واستبان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المغرب والمشرق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کتبت إلی العبد الصالح علیه السلام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وجه ، وهی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بمحض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تخصیص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الإجمال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تبینت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صلّی إلی استدبار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إعادتهما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إعادتها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الاعتدالین ، والأولی ما أثبتناه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فیما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ممّا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فلیتأمل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والتوثیق له محل تأمل مع 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مشطوبة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بزرعة بن محمّد الحضرمی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جمل المرتضی لابن البرّاج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المصباح</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أیؤذن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حمران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وأرض مَلصّة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لصوص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 والصواب ما أثبتناه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ولیقم ، ساقطة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وذکرت فی الرکعة الثانیة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أبا عبد الله علیه السلام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صلاته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ولیقم ، ساقطة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سوید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عمر بن أُذینة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 ساقطة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والإقامة ، وکذا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فرغ من الأذان وقال فی آخره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النسخ ،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محمّد بن عیسی بن عبید عن یونس ،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والإقامة واحدة واحدة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الأذان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والأذان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والظّاهر ما أثبتناه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عن أحمد بن محمّد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فی أبیه اختلاف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عیسی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مشطوبة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 ، والظاهر ما أثبتناه ، وهو أبو خالد یزید البزّاز مولی الحکم بن الصلت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الأذان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فضالة عن حماد بن عیسی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الجریری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ویتلوه الجزء الثالث أبواب کیفیة الصلاة من فاتحتها إلی خاتمتها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أحبابه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أخبرنی الحسین بن سعید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بفاتحة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والظاهر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یزید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منتقی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وجه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السعود فی تفسیره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الأردبیلی فی زبدة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ساقط من فض</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 وما أثبتناه من المصدر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القراءة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القراءة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ببسم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یخصّص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فتتعیّن فیها المساواة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راجح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 حذفناها لاستقامة العبارة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من المصدر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تقرّر ذلک فاعلم أن العلاّمة فی المختلف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غیر ملائمة للمقام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أبی عیاش</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فینبغی التأمّل فی هذا کلّه فإنّه حریّ بالتأمّل التام هذا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حریز</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یکرهون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تسمع تارة ولا تسمع اخری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أحکام القرآن لأبی بکر الجصاص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بفاتحة الکتاب فقال لهم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الخبرین ، والظاهر ما أثبتناه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بثبوت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فیحتمل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بالإخفاء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بن یحیی ، وفی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یحیی ، وفی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أحمد ، وهو الصواب ، راجع معجم رجال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 لکل رکعة سورة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عبید الله بن علی الحلبی ، وکذا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یحدث شی‌ء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الشهید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الحسن بن محبوب ،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یحسن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الفرائض</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الکرکی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علی الوصف بالصحة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ثعلبة بن میمون ، فهو وإن کان لا یقصر عنه محمّد بن قولویه إلاّ أن الظاهر زیادته علی ابن قولویه فی المدح ، وإن کان بعض مشایخنا جزم بصحّة الحدیث عن ابن قولویه والحسن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ثعلبة ، ولا یبعد التساوی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 البعض فی 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ولکنّها لا یأتی شرحها فیما بعد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القروی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الشهید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فی المطبوع من کتاب الشیخ فی أصحاب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عیون أخبار الرضا علیه السلام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فی کمال الدین ، ولکنّها موجودة فی 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الجواز</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الخبر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التفریشی فی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الشهید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المشهور أنّها لا تجوز فی النوافل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قال فی المدارک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والقول بجواز الاقتداء فی النافلة مطلقا مجهول القائل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الطائفة المحقّة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والسید فی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منه عدم التوقّف</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اللفظة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شرح الرضی علی الکافیة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تقرأ</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بذلک إذا أسمع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بذلک إن أسمع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أضفناه من المصدر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الهم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قرأت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أضفناه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یقرأها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 والصحیح 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لم یأمن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یأمن ذلک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وسأل محمّد بن عمران أبا عبد الله علیه السلام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جمیع ما ذکر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للتقیة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والخامس ، والصحیح ما أثبتناه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التمییز</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المتضمنة ، والصحیح ما أثبتناه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 حذفناها لاستقامة المعنی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الرحمن بن نجران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یکفی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ثلاثة وتجزیک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الأوّل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الفریضة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الفریضة من ذلک تسبیحة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معاویة بن عمّار الآتی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هشام بن سالم المتقدّم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أبی بکر الحضرمی الآتی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دفعات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حماد بن عثمان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بجواز</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أکبر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القوسین ساقط من رض</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الرسل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الرتل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التأد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وبحمده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ما نبینه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من ادعی الاتحاد ، ولکن حکاه المیرزا فی المنهج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معاصریه وهو المحقّق 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فی التهذیب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قریب وفی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مفردات 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یلیق به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الحسن ، 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الأصح لأنّ هذه کنیة علی بن أحمد بن محمّد بن أبی جید الذی هو من مشایخ الشیخ والنجاشی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أراد أن یقوم رفع رکبتیه قبل یدیه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لاستقامة المعنی ، راجع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العبارة غیر موجودة فی الاستبصار ، وتوجد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الحسین بن أبی العلاء</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موسی بن عمر ، وهو الصحیح الموافق للتهذیب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 یأتی التصریح بأنّه موسی بن عمیر فیما بعد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بالأنف</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مصادف</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عمر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فیه موسی بن عمر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المعاصرین سلمه الله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رجاله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الصدوق وابن إدریس فی 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أراده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وجدبته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نقطة ، ولعل الأنسب ما أثبتناه مهملا بمعنی الارتفاع مقاییس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الکفین عند الزندین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 ، وما أثبتناه هو الأنسب</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إرشاد الساری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ویراد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تضع جبهتها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 ، والصواب ما أثبتناه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الدعاء</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مکروها مطلقا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عواص ، وفی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غواض ، وما أثبتناه موافق للاستبصار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اصنعوا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عبد الله لحمید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وبن عبد الحمید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عبد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الأصحاب ، وعلی أی حال فمنهم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فی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عثمان أبی إسماعیل السراج</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القهپائی فی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والکنیة فیه غیر مذکورة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وینبغی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الفرض ولو</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 والصواب ما أثبتناه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 والصواب ما أثبتناه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یزید ، والصواب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الخزرج النهدی الشامی الخزری ، عامی المذهب کما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وبتری کما فی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النبکة بالتحریک وقد تسکن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التی فیها صعود ونزول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نبک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فتقع جبهتی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الجص</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فیتنحی الجص</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ولکن لم یذکر فیه أنّ الراوی عنه الصفار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المتن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الکرکی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ظ قدر اللبنة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عتبة ، وفی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عیینة ، وهو مذکور فی الرجال بالعناوین الثلاثة والظاهر الاتحاد ، راجع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أجاز</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والحال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احتمال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عیینة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یرویه محمّد بن أبی عمیر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عشر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 عشر ، والصواب ما أثبتناه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 عشر ، والصواب ما أثبتناه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المسائل الموصلیات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للدخول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واعتراض بعض محققی المعاصرین سلّمه الله أنه أیضا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الکرکی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وانظر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فی النسخ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والعاشر کالتاسع والحادی عشر مثلهما ، والصواب ما أثبتناه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الثانی عشر ، والصواب ما أثبتناه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السندی ، وقد تقرأ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السیدی ، وما أثبتناه هو الموافق للمصدر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الثقة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علی کونه حقیقة فیه فی المذکورات ، وکذا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بنقیصة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استعمال النهی فی الکراهة شائع علی نحو ما قلناه فی الأمر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مجرد الأجزاء من المذکور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مجرد اتصال الأجزاء من المذکور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الماء ذکره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المکتوبة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 حذفناها لاستقامة المعنی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والقرطاس قیل مثلث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موجود فی القاموس المحیط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الکرکی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نبات یؤخذ لحاؤه ثم یفتّل حبالا ، وله حبّ یسمی الشهدانج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والبحث اللغوی ساقط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تکبیرة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الأوّلتین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یجهر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أقبل الرکوع</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الشک ، وما أثبتناه من المصدر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فی النسخ کان مکتوبا بین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ستسمعه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تضمّنه ، والصواب ما أثبتناه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وضرورة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الوقت والرکوع</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بالأصالة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 ، والصحیح ما أثبتناه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نکره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کلّها ، والظاهر ما أثبتناه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والقنوت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بالقراءة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لأدعو الله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حاوی الأقوال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التعیین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عیسی</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التشهّد فی الرکعتین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اللفظ</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بنقیصة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 وأمّا یحیی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 بن عبد الله بن حبیب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إطلاقه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التوزیع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الظاهر أو التوزیع</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إرشاد الساری للقسطلانی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 والصحیح ما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الشهادة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الصلاة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بتوثیقه الشهید الثانی فی 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عنه ابن قولویه فی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توثیق عام له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بالنسبة إلی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یدل</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جنید ، والصواب 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 والظاهر اتحاد عبد الله مع 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 والصحیح ما أثبتناه من المصدر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زیادة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بدل الصوم ،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الکشاف للزمخشری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للرازی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أظهرها ما ذکره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المتن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 والظاهر ما أثبتناه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الاحتمال ظاهر ، وقد یحتمل أن یعود الضمیر لأحمد بن محمّد ، والحاکی عنه الحسین بن سعید ، وفیه بعد غیر 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الزیادة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الحسن المضمر أوّلا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وعدمها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 فیهما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الثانیة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الحاصرتین 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التیمم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افتتاح الصلاة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الحدیث کما فی المتن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المسند إذا اجتمع به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حسن لاشتماله علی إبراهیم بن هاشم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الاستحباب فی الخبر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باحتمال</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کلام مجمل لأن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کلامه یحمل لأن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یمکن أن یقرأ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مجمل لا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الأنسب ما أثبتناه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مواضع ، ساقطة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یتحقق ، والأنسب ما أثبتناه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بالوجه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 نیة الخروج لا بد منها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ورحمة الله وبرکاته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فیما تقدم ، وعلی أی حال فإنّه قد 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ذیل الحدیث الرابع ، راجع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المنتهی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 جواز إسقاط ورحمة الله منقول عن غیر أبی الصلاح</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فی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22380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التشهد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رأیتنی</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أدّی قربتی ،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الشکر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تجدد النعم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الشکر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الخبر الذی أشرنا إلیه أولا فهو مذکور فی التهذیب وقد ذکرنا فی فوائد التهذیب ما لا بدّ منه فیه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ذکر</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منقول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 فیهما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 وأصلحناه کما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الرکعتین ، وأصلحناه کما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شاء سلّم وان شاء لم یسلّم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رکعتا الوتر إن شئت تکلم بینهما وبین الثالثة وإن شئت لم تفعل</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وعلی أی حال فإنّه 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فی فقه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أنّ العنوان لو جعل مطابقا للروایة الأولی کان أولی</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فی فقه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وکلمات المحقّقین خراجیة فاضل القطیفی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إرشاد 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image" Target="media/image2.jpeg"/><Relationship Id="rId400" Type="http://schemas.openxmlformats.org/officeDocument/2006/relationships/image" Target="media/image2.jpeg"/><Relationship Id="rId401" Type="http://schemas.openxmlformats.org/officeDocument/2006/relationships/footer" Target="footer394.xml"/><Relationship Id="rId402" Type="http://schemas.openxmlformats.org/officeDocument/2006/relationships/footnotes" Target="footnotes.xml"/><Relationship Id="rId403" Type="http://schemas.openxmlformats.org/officeDocument/2006/relationships/numbering" Target="numbering.xml"/><Relationship Id="rId404" Type="http://schemas.openxmlformats.org/officeDocument/2006/relationships/fontTable" Target="fontTable.xml"/><Relationship Id="rId405" Type="http://schemas.openxmlformats.org/officeDocument/2006/relationships/settings" Target="settings.xml"/><Relationship Id="rId4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29285</Words>
  <Characters>123278</Characters>
  <CharactersWithSpaces>151374</CharactersWithSpaces>
  <Paragraphs>1255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2026-08-24T20:30:42Z</dcterms:created>
  <dc:creator>ghaemiyeh.com</dc:creator>
  <dc:description/>
  <dc:language>en-US</dc:language>
  <cp:lastModifiedBy/>
  <dcterms:modified xsi:type="dcterms:W3CDTF">2026-08-25T00:00:55Z</dcterms:modified>
  <cp:revision>1</cp:revision>
  <dc:subject/>
  <dc:title>استقصاء الإعتبار فی شرح الإستبصار جلد 5</dc:title>
</cp:coreProperties>
</file>

<file path=docProps/custom.xml><?xml version="1.0" encoding="utf-8"?>
<Properties xmlns="http://schemas.openxmlformats.org/officeDocument/2006/custom-properties" xmlns:vt="http://schemas.openxmlformats.org/officeDocument/2006/docPropsVTypes"/>
</file>