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4.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475.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476.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2.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73.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72.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6.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الامام الخمینی قدس سرة الشریف المجلدات </w:t>
      </w:r>
      <w:r>
        <w:rPr/>
        <w:t>8</w:t>
      </w:r>
      <w:r>
        <w:rPr>
          <w:rtl w:val="true"/>
        </w:rPr>
        <w:t xml:space="preserve"> - </w:t>
      </w:r>
      <w:r>
        <w:rPr/>
        <w:t>11</w:t>
      </w:r>
      <w:r>
        <w:rPr>
          <w:rtl w:val="true"/>
        </w:rPr>
        <w:t xml:space="preserve"> </w:t>
      </w:r>
      <w:r>
        <w:rPr>
          <w:rtl w:val="true"/>
        </w:rPr>
        <w:t xml:space="preserve">کتاب الطهارة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2618_2142443653">
            <w:r>
              <w:rPr>
                <w:webHidden/>
                <w:rStyle w:val="IndexLink"/>
                <w:rtl w:val="true"/>
              </w:rPr>
              <w:t>هوية الکتاب</w:t>
            </w:r>
            <w:r>
              <w:rPr>
                <w:rStyle w:val="IndexLink"/>
                <w:rtl w:val="true"/>
              </w:rPr>
              <w:tab/>
            </w:r>
            <w:r>
              <w:rPr>
                <w:rStyle w:val="IndexLink"/>
              </w:rPr>
              <w:t>7</w:t>
            </w:r>
          </w:hyperlink>
        </w:p>
        <w:p>
          <w:pPr>
            <w:pStyle w:val="Contents2"/>
            <w:tabs>
              <w:tab w:val="clear" w:pos="8743"/>
              <w:tab w:val="right" w:pos="9026" w:leader="dot"/>
            </w:tabs>
            <w:rPr/>
          </w:pPr>
          <w:hyperlink w:anchor="__RefHeading___Toc212620_2142443653">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212622_2142443653">
            <w:r>
              <w:rPr>
                <w:webHidden/>
                <w:rStyle w:val="IndexLink"/>
                <w:rtl w:val="true"/>
              </w:rPr>
              <w:t>الفصل الثاني في أحكام النجاسات</w:t>
            </w:r>
            <w:r>
              <w:rPr>
                <w:rStyle w:val="IndexLink"/>
                <w:rtl w:val="true"/>
              </w:rPr>
              <w:tab/>
            </w:r>
            <w:r>
              <w:rPr>
                <w:rStyle w:val="IndexLink"/>
              </w:rPr>
              <w:t>13</w:t>
            </w:r>
          </w:hyperlink>
        </w:p>
        <w:p>
          <w:pPr>
            <w:pStyle w:val="Contents3"/>
            <w:tabs>
              <w:tab w:val="clear" w:pos="8459"/>
              <w:tab w:val="right" w:pos="9026" w:leader="dot"/>
            </w:tabs>
            <w:rPr/>
          </w:pPr>
          <w:hyperlink w:anchor="__RefHeading___Toc212624_2142443653">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212626_2142443653">
            <w:r>
              <w:rPr>
                <w:webHidden/>
                <w:rStyle w:val="IndexLink"/>
                <w:rtl w:val="true"/>
              </w:rPr>
              <w:t>المطلب الأوّل</w:t>
            </w:r>
            <w:r>
              <w:rPr>
                <w:rStyle w:val="IndexLink"/>
                <w:rtl w:val="true"/>
              </w:rPr>
              <w:t xml:space="preserve">: </w:t>
            </w:r>
            <w:r>
              <w:rPr>
                <w:rStyle w:val="IndexLink"/>
                <w:rtl w:val="true"/>
              </w:rPr>
              <w:t>في سراية النجاسة إلى الملاقيات</w:t>
            </w:r>
            <w:r>
              <w:rPr>
                <w:rStyle w:val="IndexLink"/>
                <w:rtl w:val="true"/>
              </w:rPr>
              <w:tab/>
            </w:r>
            <w:r>
              <w:rPr>
                <w:rStyle w:val="IndexLink"/>
              </w:rPr>
              <w:t>15</w:t>
            </w:r>
          </w:hyperlink>
        </w:p>
        <w:p>
          <w:pPr>
            <w:pStyle w:val="Contents4"/>
            <w:tabs>
              <w:tab w:val="clear" w:pos="8176"/>
              <w:tab w:val="right" w:pos="9026" w:leader="dot"/>
            </w:tabs>
            <w:rPr/>
          </w:pPr>
          <w:hyperlink w:anchor="__RefHeading___Toc212628_2142443653">
            <w:r>
              <w:rPr>
                <w:webHidden/>
                <w:rStyle w:val="IndexLink"/>
                <w:rtl w:val="true"/>
              </w:rPr>
              <w:t>اشاره</w:t>
            </w:r>
            <w:r>
              <w:rPr>
                <w:rStyle w:val="IndexLink"/>
                <w:rtl w:val="true"/>
              </w:rPr>
              <w:tab/>
            </w:r>
            <w:r>
              <w:rPr>
                <w:rStyle w:val="IndexLink"/>
              </w:rPr>
              <w:t>15</w:t>
            </w:r>
          </w:hyperlink>
        </w:p>
        <w:p>
          <w:pPr>
            <w:pStyle w:val="Contents4"/>
            <w:tabs>
              <w:tab w:val="clear" w:pos="8176"/>
              <w:tab w:val="right" w:pos="9026" w:leader="dot"/>
            </w:tabs>
            <w:rPr/>
          </w:pPr>
          <w:hyperlink w:anchor="__RefHeading___Toc212630_2142443653">
            <w:r>
              <w:rPr>
                <w:webHidden/>
                <w:rStyle w:val="IndexLink"/>
                <w:rtl w:val="true"/>
              </w:rPr>
              <w:t xml:space="preserve">الجهة الاُولى </w:t>
            </w:r>
            <w:r>
              <w:rPr>
                <w:rStyle w:val="IndexLink"/>
                <w:rtl w:val="true"/>
              </w:rPr>
              <w:t xml:space="preserve">: </w:t>
            </w:r>
            <w:r>
              <w:rPr>
                <w:rStyle w:val="IndexLink"/>
                <w:rtl w:val="true"/>
              </w:rPr>
              <w:t>في سراية النجاسة من الأعيان النجسة</w:t>
            </w:r>
            <w:r>
              <w:rPr>
                <w:rStyle w:val="IndexLink"/>
                <w:rtl w:val="true"/>
              </w:rPr>
              <w:tab/>
            </w:r>
            <w:r>
              <w:rPr>
                <w:rStyle w:val="IndexLink"/>
              </w:rPr>
              <w:t>15</w:t>
            </w:r>
          </w:hyperlink>
        </w:p>
        <w:p>
          <w:pPr>
            <w:pStyle w:val="Contents5"/>
            <w:tabs>
              <w:tab w:val="clear" w:pos="7892"/>
              <w:tab w:val="right" w:pos="9026" w:leader="dot"/>
            </w:tabs>
            <w:rPr/>
          </w:pPr>
          <w:hyperlink w:anchor="__RefHeading___Toc212632_2142443653">
            <w:r>
              <w:rPr>
                <w:webHidden/>
                <w:rStyle w:val="IndexLink"/>
                <w:rtl w:val="true"/>
              </w:rPr>
              <w:t>اشارة</w:t>
            </w:r>
            <w:r>
              <w:rPr>
                <w:rStyle w:val="IndexLink"/>
                <w:rtl w:val="true"/>
              </w:rPr>
              <w:tab/>
            </w:r>
            <w:r>
              <w:rPr>
                <w:rStyle w:val="IndexLink"/>
              </w:rPr>
              <w:t>15</w:t>
            </w:r>
          </w:hyperlink>
        </w:p>
        <w:p>
          <w:pPr>
            <w:pStyle w:val="Contents5"/>
            <w:tabs>
              <w:tab w:val="clear" w:pos="7892"/>
              <w:tab w:val="right" w:pos="9026" w:leader="dot"/>
            </w:tabs>
            <w:rPr/>
          </w:pPr>
          <w:hyperlink w:anchor="__RefHeading___Toc212634_2142443653">
            <w:r>
              <w:rPr>
                <w:webHidden/>
                <w:rStyle w:val="IndexLink"/>
                <w:rtl w:val="true"/>
              </w:rPr>
              <w:t>فيما استدلّ به لعدم سراية النجاسة</w:t>
            </w:r>
            <w:r>
              <w:rPr>
                <w:rStyle w:val="IndexLink"/>
                <w:rtl w:val="true"/>
              </w:rPr>
              <w:tab/>
            </w:r>
            <w:r>
              <w:rPr>
                <w:rStyle w:val="IndexLink"/>
              </w:rPr>
              <w:t>16</w:t>
            </w:r>
          </w:hyperlink>
        </w:p>
        <w:p>
          <w:pPr>
            <w:pStyle w:val="Contents5"/>
            <w:tabs>
              <w:tab w:val="clear" w:pos="7892"/>
              <w:tab w:val="right" w:pos="9026" w:leader="dot"/>
            </w:tabs>
            <w:rPr/>
          </w:pPr>
          <w:hyperlink w:anchor="__RefHeading___Toc212636_2142443653">
            <w:r>
              <w:rPr>
                <w:webHidden/>
                <w:rStyle w:val="IndexLink"/>
                <w:rtl w:val="true"/>
              </w:rPr>
              <w:t>التحقيق في المقام</w:t>
            </w:r>
            <w:r>
              <w:rPr>
                <w:rStyle w:val="IndexLink"/>
                <w:rtl w:val="true"/>
              </w:rPr>
              <w:tab/>
            </w:r>
            <w:r>
              <w:rPr>
                <w:rStyle w:val="IndexLink"/>
              </w:rPr>
              <w:t>27</w:t>
            </w:r>
          </w:hyperlink>
        </w:p>
        <w:p>
          <w:pPr>
            <w:pStyle w:val="Contents4"/>
            <w:tabs>
              <w:tab w:val="clear" w:pos="8176"/>
              <w:tab w:val="right" w:pos="9026" w:leader="dot"/>
            </w:tabs>
            <w:rPr/>
          </w:pPr>
          <w:hyperlink w:anchor="__RefHeading___Toc212638_2142443653">
            <w:r>
              <w:rPr>
                <w:webHidden/>
                <w:rStyle w:val="IndexLink"/>
                <w:rtl w:val="true"/>
              </w:rPr>
              <w:t xml:space="preserve">الجهة الثانية </w:t>
            </w:r>
            <w:r>
              <w:rPr>
                <w:rStyle w:val="IndexLink"/>
                <w:rtl w:val="true"/>
              </w:rPr>
              <w:t xml:space="preserve">: </w:t>
            </w:r>
            <w:r>
              <w:rPr>
                <w:rStyle w:val="IndexLink"/>
                <w:rtl w:val="true"/>
              </w:rPr>
              <w:t>في أصل سراية النجاسة من المتنجّس</w:t>
            </w:r>
            <w:r>
              <w:rPr>
                <w:rStyle w:val="IndexLink"/>
                <w:rtl w:val="true"/>
              </w:rPr>
              <w:tab/>
            </w:r>
            <w:r>
              <w:rPr>
                <w:rStyle w:val="IndexLink"/>
              </w:rPr>
              <w:t>28</w:t>
            </w:r>
          </w:hyperlink>
        </w:p>
        <w:p>
          <w:pPr>
            <w:pStyle w:val="Contents4"/>
            <w:tabs>
              <w:tab w:val="clear" w:pos="8176"/>
              <w:tab w:val="right" w:pos="9026" w:leader="dot"/>
            </w:tabs>
            <w:rPr/>
          </w:pPr>
          <w:hyperlink w:anchor="__RefHeading___Toc212640_2142443653">
            <w:r>
              <w:rPr>
                <w:webHidden/>
                <w:rStyle w:val="IndexLink"/>
                <w:rtl w:val="true"/>
              </w:rPr>
              <w:t xml:space="preserve">الجهة الثالثة </w:t>
            </w:r>
            <w:r>
              <w:rPr>
                <w:rStyle w:val="IndexLink"/>
                <w:rtl w:val="true"/>
              </w:rPr>
              <w:t xml:space="preserve">: </w:t>
            </w:r>
            <w:r>
              <w:rPr>
                <w:rStyle w:val="IndexLink"/>
                <w:rtl w:val="true"/>
              </w:rPr>
              <w:t>في تنجّس الوسائط الكثيرة</w:t>
            </w:r>
            <w:r>
              <w:rPr>
                <w:rStyle w:val="IndexLink"/>
                <w:rtl w:val="true"/>
              </w:rPr>
              <w:tab/>
            </w:r>
            <w:r>
              <w:rPr>
                <w:rStyle w:val="IndexLink"/>
              </w:rPr>
              <w:t>32</w:t>
            </w:r>
          </w:hyperlink>
        </w:p>
        <w:p>
          <w:pPr>
            <w:pStyle w:val="Contents5"/>
            <w:tabs>
              <w:tab w:val="clear" w:pos="7892"/>
              <w:tab w:val="right" w:pos="9026" w:leader="dot"/>
            </w:tabs>
            <w:rPr/>
          </w:pPr>
          <w:hyperlink w:anchor="__RefHeading___Toc212642_2142443653">
            <w:r>
              <w:rPr>
                <w:webHidden/>
                <w:rStyle w:val="IndexLink"/>
                <w:rtl w:val="true"/>
              </w:rPr>
              <w:t>اشارة</w:t>
            </w:r>
            <w:r>
              <w:rPr>
                <w:rStyle w:val="IndexLink"/>
                <w:rtl w:val="true"/>
              </w:rPr>
              <w:tab/>
            </w:r>
            <w:r>
              <w:rPr>
                <w:rStyle w:val="IndexLink"/>
              </w:rPr>
              <w:t>32</w:t>
            </w:r>
          </w:hyperlink>
        </w:p>
        <w:p>
          <w:pPr>
            <w:pStyle w:val="Contents5"/>
            <w:tabs>
              <w:tab w:val="clear" w:pos="7892"/>
              <w:tab w:val="right" w:pos="9026" w:leader="dot"/>
            </w:tabs>
            <w:rPr/>
          </w:pPr>
          <w:hyperlink w:anchor="__RefHeading___Toc212644_2142443653">
            <w:r>
              <w:rPr>
                <w:webHidden/>
                <w:rStyle w:val="IndexLink"/>
                <w:rtl w:val="true"/>
              </w:rPr>
              <w:t>بيان حال الإجماعات المنقولة في المقام</w:t>
            </w:r>
            <w:r>
              <w:rPr>
                <w:rStyle w:val="IndexLink"/>
                <w:rtl w:val="true"/>
              </w:rPr>
              <w:tab/>
            </w:r>
            <w:r>
              <w:rPr>
                <w:rStyle w:val="IndexLink"/>
              </w:rPr>
              <w:t>35</w:t>
            </w:r>
          </w:hyperlink>
        </w:p>
        <w:p>
          <w:pPr>
            <w:pStyle w:val="Contents5"/>
            <w:tabs>
              <w:tab w:val="clear" w:pos="7892"/>
              <w:tab w:val="right" w:pos="9026" w:leader="dot"/>
            </w:tabs>
            <w:rPr/>
          </w:pPr>
          <w:hyperlink w:anchor="__RefHeading___Toc212646_2142443653">
            <w:r>
              <w:rPr>
                <w:webHidden/>
                <w:rStyle w:val="IndexLink"/>
                <w:rtl w:val="true"/>
              </w:rPr>
              <w:t>الشواهد الداخلية والخارجية في المقام</w:t>
            </w:r>
            <w:r>
              <w:rPr>
                <w:rStyle w:val="IndexLink"/>
                <w:rtl w:val="true"/>
              </w:rPr>
              <w:tab/>
            </w:r>
            <w:r>
              <w:rPr>
                <w:rStyle w:val="IndexLink"/>
              </w:rPr>
              <w:t>40</w:t>
            </w:r>
          </w:hyperlink>
        </w:p>
        <w:p>
          <w:pPr>
            <w:pStyle w:val="Contents3"/>
            <w:tabs>
              <w:tab w:val="clear" w:pos="8459"/>
              <w:tab w:val="right" w:pos="9026" w:leader="dot"/>
            </w:tabs>
            <w:rPr/>
          </w:pPr>
          <w:hyperlink w:anchor="__RefHeading___Toc212648_2142443653">
            <w:r>
              <w:rPr>
                <w:webHidden/>
                <w:rStyle w:val="IndexLink"/>
                <w:rtl w:val="true"/>
              </w:rPr>
              <w:t>المطلب الثاني</w:t>
            </w:r>
            <w:r>
              <w:rPr>
                <w:rStyle w:val="IndexLink"/>
                <w:rtl w:val="true"/>
              </w:rPr>
              <w:t xml:space="preserve">: </w:t>
            </w:r>
            <w:r>
              <w:rPr>
                <w:rStyle w:val="IndexLink"/>
                <w:rtl w:val="true"/>
              </w:rPr>
              <w:t>في إزالة النجاسة للصلاة</w:t>
            </w:r>
            <w:r>
              <w:rPr>
                <w:rStyle w:val="IndexLink"/>
                <w:rtl w:val="true"/>
              </w:rPr>
              <w:tab/>
            </w:r>
            <w:r>
              <w:rPr>
                <w:rStyle w:val="IndexLink"/>
              </w:rPr>
              <w:t>47</w:t>
            </w:r>
          </w:hyperlink>
        </w:p>
        <w:p>
          <w:pPr>
            <w:pStyle w:val="Contents3"/>
            <w:tabs>
              <w:tab w:val="clear" w:pos="8459"/>
              <w:tab w:val="right" w:pos="9026" w:leader="dot"/>
            </w:tabs>
            <w:rPr/>
          </w:pPr>
          <w:hyperlink w:anchor="__RefHeading___Toc212650_2142443653">
            <w:r>
              <w:rPr>
                <w:webHidden/>
                <w:rStyle w:val="IndexLink"/>
                <w:rtl w:val="true"/>
              </w:rPr>
              <w:t>في الوجوب الشرطي لإزالة النجاسة عن الثوب والبدن</w:t>
            </w:r>
            <w:r>
              <w:rPr>
                <w:rStyle w:val="IndexLink"/>
                <w:rtl w:val="true"/>
              </w:rPr>
              <w:tab/>
            </w:r>
            <w:r>
              <w:rPr>
                <w:rStyle w:val="IndexLink"/>
              </w:rPr>
              <w:t>47</w:t>
            </w:r>
          </w:hyperlink>
        </w:p>
        <w:p>
          <w:pPr>
            <w:pStyle w:val="Contents4"/>
            <w:tabs>
              <w:tab w:val="clear" w:pos="8176"/>
              <w:tab w:val="right" w:pos="9026" w:leader="dot"/>
            </w:tabs>
            <w:rPr/>
          </w:pPr>
          <w:hyperlink w:anchor="__RefHeading___Toc212652_2142443653">
            <w:r>
              <w:rPr>
                <w:webHidden/>
                <w:rStyle w:val="IndexLink"/>
                <w:rtl w:val="true"/>
              </w:rPr>
              <w:t>اشارة</w:t>
            </w:r>
            <w:r>
              <w:rPr>
                <w:rStyle w:val="IndexLink"/>
                <w:rtl w:val="true"/>
              </w:rPr>
              <w:tab/>
            </w:r>
            <w:r>
              <w:rPr>
                <w:rStyle w:val="IndexLink"/>
              </w:rPr>
              <w:t>47</w:t>
            </w:r>
          </w:hyperlink>
        </w:p>
        <w:p>
          <w:pPr>
            <w:pStyle w:val="Contents4"/>
            <w:tabs>
              <w:tab w:val="clear" w:pos="8176"/>
              <w:tab w:val="right" w:pos="9026" w:leader="dot"/>
            </w:tabs>
            <w:rPr/>
          </w:pPr>
          <w:hyperlink w:anchor="__RefHeading___Toc212654_2142443653">
            <w:r>
              <w:rPr>
                <w:webHidden/>
                <w:rStyle w:val="IndexLink"/>
                <w:rtl w:val="true"/>
              </w:rPr>
              <w:t>الفرق بين الشرطية والمانعية</w:t>
            </w:r>
            <w:r>
              <w:rPr>
                <w:rStyle w:val="IndexLink"/>
                <w:rtl w:val="true"/>
              </w:rPr>
              <w:tab/>
            </w:r>
            <w:r>
              <w:rPr>
                <w:rStyle w:val="IndexLink"/>
              </w:rPr>
              <w:t>48</w:t>
            </w:r>
          </w:hyperlink>
        </w:p>
        <w:p>
          <w:pPr>
            <w:pStyle w:val="Contents4"/>
            <w:tabs>
              <w:tab w:val="clear" w:pos="8176"/>
              <w:tab w:val="right" w:pos="9026" w:leader="dot"/>
            </w:tabs>
            <w:rPr/>
          </w:pPr>
          <w:hyperlink w:anchor="__RefHeading___Toc212656_2142443653">
            <w:r>
              <w:rPr>
                <w:webHidden/>
                <w:rStyle w:val="IndexLink"/>
                <w:rtl w:val="true"/>
              </w:rPr>
              <w:t>امتناع الجمع بين شرطية شيء ومانعية ضدّه</w:t>
            </w:r>
            <w:r>
              <w:rPr>
                <w:rStyle w:val="IndexLink"/>
                <w:rtl w:val="true"/>
              </w:rPr>
              <w:tab/>
            </w:r>
            <w:r>
              <w:rPr>
                <w:rStyle w:val="IndexLink"/>
              </w:rPr>
              <w:t>49</w:t>
            </w:r>
          </w:hyperlink>
        </w:p>
        <w:p>
          <w:pPr>
            <w:pStyle w:val="Contents4"/>
            <w:tabs>
              <w:tab w:val="clear" w:pos="8176"/>
              <w:tab w:val="right" w:pos="9026" w:leader="dot"/>
            </w:tabs>
            <w:rPr/>
          </w:pPr>
          <w:hyperlink w:anchor="__RefHeading___Toc212658_2142443653">
            <w:r>
              <w:rPr>
                <w:webHidden/>
                <w:rStyle w:val="IndexLink"/>
                <w:rtl w:val="true"/>
              </w:rPr>
              <w:t>المأخوذ في الصلاة مانعية النجاسة لا شرطية الطهارة</w:t>
            </w:r>
            <w:r>
              <w:rPr>
                <w:rStyle w:val="IndexLink"/>
                <w:rtl w:val="true"/>
              </w:rPr>
              <w:tab/>
            </w:r>
            <w:r>
              <w:rPr>
                <w:rStyle w:val="IndexLink"/>
              </w:rPr>
              <w:t>50</w:t>
            </w:r>
          </w:hyperlink>
        </w:p>
        <w:p>
          <w:pPr>
            <w:pStyle w:val="Contents4"/>
            <w:tabs>
              <w:tab w:val="clear" w:pos="8176"/>
              <w:tab w:val="right" w:pos="9026" w:leader="dot"/>
            </w:tabs>
            <w:rPr/>
          </w:pPr>
          <w:hyperlink w:anchor="__RefHeading___Toc212660_2142443653">
            <w:r>
              <w:rPr>
                <w:webHidden/>
                <w:rStyle w:val="IndexLink"/>
                <w:rtl w:val="true"/>
              </w:rPr>
              <w:t>حول الروايات الظاهرة في شرطية الطهارة</w:t>
            </w:r>
            <w:r>
              <w:rPr>
                <w:rStyle w:val="IndexLink"/>
                <w:rtl w:val="true"/>
              </w:rPr>
              <w:tab/>
            </w:r>
            <w:r>
              <w:rPr>
                <w:rStyle w:val="IndexLink"/>
              </w:rPr>
              <w:t>53</w:t>
            </w:r>
          </w:hyperlink>
        </w:p>
        <w:p>
          <w:pPr>
            <w:pStyle w:val="Contents4"/>
            <w:tabs>
              <w:tab w:val="clear" w:pos="8176"/>
              <w:tab w:val="right" w:pos="9026" w:leader="dot"/>
            </w:tabs>
            <w:rPr/>
          </w:pPr>
          <w:hyperlink w:anchor="__RefHeading___Toc212662_2142443653">
            <w:r>
              <w:rPr>
                <w:webHidden/>
                <w:rStyle w:val="IndexLink"/>
                <w:rtl w:val="true"/>
              </w:rPr>
              <w:t>جواز الصلاة مع المحمول النجس</w:t>
            </w:r>
            <w:r>
              <w:rPr>
                <w:rStyle w:val="IndexLink"/>
                <w:rtl w:val="true"/>
              </w:rPr>
              <w:tab/>
            </w:r>
            <w:r>
              <w:rPr>
                <w:rStyle w:val="IndexLink"/>
              </w:rPr>
              <w:t>59</w:t>
            </w:r>
          </w:hyperlink>
        </w:p>
        <w:p>
          <w:pPr>
            <w:pStyle w:val="Contents4"/>
            <w:tabs>
              <w:tab w:val="clear" w:pos="8176"/>
              <w:tab w:val="right" w:pos="9026" w:leader="dot"/>
            </w:tabs>
            <w:rPr/>
          </w:pPr>
          <w:hyperlink w:anchor="__RefHeading___Toc212664_2142443653">
            <w:r>
              <w:rPr>
                <w:webHidden/>
                <w:rStyle w:val="IndexLink"/>
                <w:rtl w:val="true"/>
              </w:rPr>
              <w:t>جواز الصلاة فيما لا تتمّ فيه الصلاة منفرداً مع نجاسته</w:t>
            </w:r>
            <w:r>
              <w:rPr>
                <w:rStyle w:val="IndexLink"/>
                <w:rtl w:val="true"/>
              </w:rPr>
              <w:tab/>
            </w:r>
            <w:r>
              <w:rPr>
                <w:rStyle w:val="IndexLink"/>
              </w:rPr>
              <w:t>69</w:t>
            </w:r>
          </w:hyperlink>
        </w:p>
        <w:p>
          <w:pPr>
            <w:pStyle w:val="Contents4"/>
            <w:tabs>
              <w:tab w:val="clear" w:pos="8176"/>
              <w:tab w:val="right" w:pos="9026" w:leader="dot"/>
            </w:tabs>
            <w:rPr/>
          </w:pPr>
          <w:hyperlink w:anchor="__RefHeading___Toc212666_2142443653">
            <w:r>
              <w:rPr>
                <w:webHidden/>
                <w:rStyle w:val="IndexLink"/>
                <w:rtl w:val="true"/>
              </w:rPr>
              <w:t xml:space="preserve">فروع الأوّل </w:t>
            </w:r>
            <w:r>
              <w:rPr>
                <w:rStyle w:val="IndexLink"/>
                <w:rtl w:val="true"/>
              </w:rPr>
              <w:t xml:space="preserve">: </w:t>
            </w:r>
            <w:r>
              <w:rPr>
                <w:rStyle w:val="IndexLink"/>
                <w:rtl w:val="true"/>
              </w:rPr>
              <w:t xml:space="preserve">في تحقيق المراد من </w:t>
            </w:r>
            <w:r>
              <w:rPr>
                <w:rStyle w:val="IndexLink"/>
                <w:rtl w:val="true"/>
              </w:rPr>
              <w:t>«</w:t>
            </w:r>
            <w:r>
              <w:rPr>
                <w:rStyle w:val="IndexLink"/>
                <w:rtl w:val="true"/>
              </w:rPr>
              <w:t>ما لا تجوز الصلاة فيه وحده</w:t>
            </w:r>
            <w:r>
              <w:rPr>
                <w:rStyle w:val="IndexLink"/>
                <w:rtl w:val="true"/>
              </w:rPr>
              <w:t>»</w:t>
              <w:tab/>
            </w:r>
            <w:r>
              <w:rPr>
                <w:rStyle w:val="IndexLink"/>
              </w:rPr>
              <w:t>71</w:t>
            </w:r>
          </w:hyperlink>
        </w:p>
        <w:p>
          <w:pPr>
            <w:pStyle w:val="Contents4"/>
            <w:tabs>
              <w:tab w:val="clear" w:pos="8176"/>
              <w:tab w:val="right" w:pos="9026" w:leader="dot"/>
            </w:tabs>
            <w:rPr/>
          </w:pPr>
          <w:hyperlink w:anchor="__RefHeading___Toc212668_2142443653">
            <w:r>
              <w:rPr>
                <w:webHidden/>
                <w:rStyle w:val="IndexLink"/>
                <w:rtl w:val="true"/>
              </w:rPr>
              <w:t xml:space="preserve">الثاني </w:t>
            </w:r>
            <w:r>
              <w:rPr>
                <w:rStyle w:val="IndexLink"/>
                <w:rtl w:val="true"/>
              </w:rPr>
              <w:t xml:space="preserve">: </w:t>
            </w:r>
            <w:r>
              <w:rPr>
                <w:rStyle w:val="IndexLink"/>
                <w:rtl w:val="true"/>
              </w:rPr>
              <w:t>في عدم كون العمامة ممّا لا تتمّ الصلاة فيها</w:t>
            </w:r>
            <w:r>
              <w:rPr>
                <w:rStyle w:val="IndexLink"/>
                <w:rtl w:val="true"/>
              </w:rPr>
              <w:tab/>
            </w:r>
            <w:r>
              <w:rPr>
                <w:rStyle w:val="IndexLink"/>
              </w:rPr>
              <w:t>73</w:t>
            </w:r>
          </w:hyperlink>
        </w:p>
        <w:p>
          <w:pPr>
            <w:pStyle w:val="Contents4"/>
            <w:tabs>
              <w:tab w:val="clear" w:pos="8176"/>
              <w:tab w:val="right" w:pos="9026" w:leader="dot"/>
            </w:tabs>
            <w:rPr/>
          </w:pPr>
          <w:hyperlink w:anchor="__RefHeading___Toc212670_2142443653">
            <w:r>
              <w:rPr>
                <w:webHidden/>
                <w:rStyle w:val="IndexLink"/>
                <w:rtl w:val="true"/>
              </w:rPr>
              <w:t xml:space="preserve">الثالث </w:t>
            </w:r>
            <w:r>
              <w:rPr>
                <w:rStyle w:val="IndexLink"/>
                <w:rtl w:val="true"/>
              </w:rPr>
              <w:t xml:space="preserve">: </w:t>
            </w:r>
            <w:r>
              <w:rPr>
                <w:rStyle w:val="IndexLink"/>
                <w:rtl w:val="true"/>
              </w:rPr>
              <w:t>في عدم اعتبار كون الملابس المعفوّ عنها في محالّها</w:t>
            </w:r>
            <w:r>
              <w:rPr>
                <w:rStyle w:val="IndexLink"/>
                <w:rtl w:val="true"/>
              </w:rPr>
              <w:tab/>
            </w:r>
            <w:r>
              <w:rPr>
                <w:rStyle w:val="IndexLink"/>
              </w:rPr>
              <w:t>75</w:t>
            </w:r>
          </w:hyperlink>
        </w:p>
        <w:p>
          <w:pPr>
            <w:pStyle w:val="Contents4"/>
            <w:tabs>
              <w:tab w:val="clear" w:pos="8176"/>
              <w:tab w:val="right" w:pos="9026" w:leader="dot"/>
            </w:tabs>
            <w:rPr/>
          </w:pPr>
          <w:hyperlink w:anchor="__RefHeading___Toc212672_2142443653">
            <w:r>
              <w:rPr>
                <w:webHidden/>
                <w:rStyle w:val="IndexLink"/>
                <w:rtl w:val="true"/>
              </w:rPr>
              <w:t xml:space="preserve">الرابع </w:t>
            </w:r>
            <w:r>
              <w:rPr>
                <w:rStyle w:val="IndexLink"/>
                <w:rtl w:val="true"/>
              </w:rPr>
              <w:t xml:space="preserve">: </w:t>
            </w:r>
            <w:r>
              <w:rPr>
                <w:rStyle w:val="IndexLink"/>
                <w:rtl w:val="true"/>
              </w:rPr>
              <w:t>في المحمول الذي لا تتمّ فيه بناءً على عدم جواز حمل المتنجّس</w:t>
            </w:r>
            <w:r>
              <w:rPr>
                <w:rStyle w:val="IndexLink"/>
                <w:rtl w:val="true"/>
              </w:rPr>
              <w:tab/>
            </w:r>
            <w:r>
              <w:rPr>
                <w:rStyle w:val="IndexLink"/>
              </w:rPr>
              <w:t>76</w:t>
            </w:r>
          </w:hyperlink>
        </w:p>
        <w:p>
          <w:pPr>
            <w:pStyle w:val="Contents4"/>
            <w:tabs>
              <w:tab w:val="clear" w:pos="8176"/>
              <w:tab w:val="right" w:pos="9026" w:leader="dot"/>
            </w:tabs>
            <w:rPr/>
          </w:pPr>
          <w:hyperlink w:anchor="__RefHeading___Toc212674_2142443653">
            <w:r>
              <w:rPr>
                <w:webHidden/>
                <w:rStyle w:val="IndexLink"/>
                <w:rtl w:val="true"/>
              </w:rPr>
              <w:t xml:space="preserve">الخامس </w:t>
            </w:r>
            <w:r>
              <w:rPr>
                <w:rStyle w:val="IndexLink"/>
                <w:rtl w:val="true"/>
              </w:rPr>
              <w:t xml:space="preserve">: </w:t>
            </w:r>
            <w:r>
              <w:rPr>
                <w:rStyle w:val="IndexLink"/>
                <w:rtl w:val="true"/>
              </w:rPr>
              <w:t>في جواز الصلاة فيما لا تتمّ فيه مهما كان جنسه ونجاسته</w:t>
            </w:r>
            <w:r>
              <w:rPr>
                <w:rStyle w:val="IndexLink"/>
                <w:rtl w:val="true"/>
              </w:rPr>
              <w:tab/>
            </w:r>
            <w:r>
              <w:rPr>
                <w:rStyle w:val="IndexLink"/>
              </w:rPr>
              <w:t>76</w:t>
            </w:r>
          </w:hyperlink>
        </w:p>
        <w:p>
          <w:pPr>
            <w:pStyle w:val="Contents4"/>
            <w:tabs>
              <w:tab w:val="clear" w:pos="8176"/>
              <w:tab w:val="right" w:pos="9026" w:leader="dot"/>
            </w:tabs>
            <w:rPr/>
          </w:pPr>
          <w:hyperlink w:anchor="__RefHeading___Toc212676_2142443653">
            <w:r>
              <w:rPr>
                <w:webHidden/>
                <w:rStyle w:val="IndexLink"/>
                <w:rtl w:val="true"/>
              </w:rPr>
              <w:t>فصل في العفو عن دم الجروح والقروح في الصلاة</w:t>
            </w:r>
            <w:r>
              <w:rPr>
                <w:rStyle w:val="IndexLink"/>
                <w:rtl w:val="true"/>
              </w:rPr>
              <w:tab/>
            </w:r>
            <w:r>
              <w:rPr>
                <w:rStyle w:val="IndexLink"/>
              </w:rPr>
              <w:t>78</w:t>
            </w:r>
          </w:hyperlink>
        </w:p>
        <w:p>
          <w:pPr>
            <w:pStyle w:val="Contents4"/>
            <w:tabs>
              <w:tab w:val="clear" w:pos="8176"/>
              <w:tab w:val="right" w:pos="9026" w:leader="dot"/>
            </w:tabs>
            <w:rPr/>
          </w:pPr>
          <w:hyperlink w:anchor="__RefHeading___Toc212678_2142443653">
            <w:r>
              <w:rPr>
                <w:webHidden/>
                <w:rStyle w:val="IndexLink"/>
                <w:rtl w:val="true"/>
              </w:rPr>
              <w:t>هل المانع صِرف وجود النجاسة أو الطبيعة السارية؟</w:t>
            </w:r>
            <w:r>
              <w:rPr>
                <w:rStyle w:val="IndexLink"/>
                <w:rtl w:val="true"/>
              </w:rPr>
              <w:tab/>
            </w:r>
            <w:r>
              <w:rPr>
                <w:rStyle w:val="IndexLink"/>
              </w:rPr>
              <w:t>78</w:t>
            </w:r>
          </w:hyperlink>
        </w:p>
        <w:p>
          <w:pPr>
            <w:pStyle w:val="Contents4"/>
            <w:tabs>
              <w:tab w:val="clear" w:pos="8176"/>
              <w:tab w:val="right" w:pos="9026" w:leader="dot"/>
            </w:tabs>
            <w:rPr/>
          </w:pPr>
          <w:hyperlink w:anchor="__RefHeading___Toc212680_2142443653">
            <w:r>
              <w:rPr>
                <w:webHidden/>
                <w:rStyle w:val="IndexLink"/>
                <w:rtl w:val="true"/>
              </w:rPr>
              <w:t>المحتملات في العفو عن دم القروح والجروح</w:t>
            </w:r>
            <w:r>
              <w:rPr>
                <w:rStyle w:val="IndexLink"/>
                <w:rtl w:val="true"/>
              </w:rPr>
              <w:tab/>
            </w:r>
            <w:r>
              <w:rPr>
                <w:rStyle w:val="IndexLink"/>
              </w:rPr>
              <w:t>89</w:t>
            </w:r>
          </w:hyperlink>
        </w:p>
        <w:p>
          <w:pPr>
            <w:pStyle w:val="Contents4"/>
            <w:tabs>
              <w:tab w:val="clear" w:pos="8176"/>
              <w:tab w:val="right" w:pos="9026" w:leader="dot"/>
            </w:tabs>
            <w:rPr/>
          </w:pPr>
          <w:hyperlink w:anchor="__RefHeading___Toc212682_2142443653">
            <w:r>
              <w:rPr>
                <w:webHidden/>
                <w:rStyle w:val="IndexLink"/>
                <w:rtl w:val="true"/>
              </w:rPr>
              <w:t>في احتمال اختصاص العفو بصورة حرجية الغسل نوعاً</w:t>
            </w:r>
            <w:r>
              <w:rPr>
                <w:rStyle w:val="IndexLink"/>
                <w:rtl w:val="true"/>
              </w:rPr>
              <w:tab/>
            </w:r>
            <w:r>
              <w:rPr>
                <w:rStyle w:val="IndexLink"/>
              </w:rPr>
              <w:t>90</w:t>
            </w:r>
          </w:hyperlink>
        </w:p>
        <w:p>
          <w:pPr>
            <w:pStyle w:val="Contents4"/>
            <w:tabs>
              <w:tab w:val="clear" w:pos="8176"/>
              <w:tab w:val="right" w:pos="9026" w:leader="dot"/>
            </w:tabs>
            <w:rPr/>
          </w:pPr>
          <w:hyperlink w:anchor="__RefHeading___Toc212684_2142443653">
            <w:r>
              <w:rPr>
                <w:webHidden/>
                <w:rStyle w:val="IndexLink"/>
                <w:rtl w:val="true"/>
              </w:rPr>
              <w:t>في احتمال اعتبار الاستمرار وتحديده</w:t>
            </w:r>
            <w:r>
              <w:rPr>
                <w:rStyle w:val="IndexLink"/>
                <w:rtl w:val="true"/>
              </w:rPr>
              <w:tab/>
            </w:r>
            <w:r>
              <w:rPr>
                <w:rStyle w:val="IndexLink"/>
              </w:rPr>
              <w:t>92</w:t>
            </w:r>
          </w:hyperlink>
        </w:p>
        <w:p>
          <w:pPr>
            <w:pStyle w:val="Contents4"/>
            <w:tabs>
              <w:tab w:val="clear" w:pos="8176"/>
              <w:tab w:val="right" w:pos="9026" w:leader="dot"/>
            </w:tabs>
            <w:rPr/>
          </w:pPr>
          <w:hyperlink w:anchor="__RefHeading___Toc212686_2142443653">
            <w:r>
              <w:rPr>
                <w:webHidden/>
                <w:rStyle w:val="IndexLink"/>
                <w:rtl w:val="true"/>
              </w:rPr>
              <w:t>حكم الدم المشكوك كونه من القروح</w:t>
            </w:r>
            <w:r>
              <w:rPr>
                <w:rStyle w:val="IndexLink"/>
                <w:rtl w:val="true"/>
              </w:rPr>
              <w:tab/>
            </w:r>
            <w:r>
              <w:rPr>
                <w:rStyle w:val="IndexLink"/>
              </w:rPr>
              <w:t>94</w:t>
            </w:r>
          </w:hyperlink>
        </w:p>
        <w:p>
          <w:pPr>
            <w:pStyle w:val="Contents4"/>
            <w:tabs>
              <w:tab w:val="clear" w:pos="8176"/>
              <w:tab w:val="right" w:pos="9026" w:leader="dot"/>
            </w:tabs>
            <w:rPr/>
          </w:pPr>
          <w:hyperlink w:anchor="__RefHeading___Toc212688_2142443653">
            <w:r>
              <w:rPr>
                <w:webHidden/>
                <w:rStyle w:val="IndexLink"/>
                <w:rtl w:val="true"/>
              </w:rPr>
              <w:t>فصل في العفو عن الدم القليل</w:t>
            </w:r>
            <w:r>
              <w:rPr>
                <w:rStyle w:val="IndexLink"/>
                <w:rtl w:val="true"/>
              </w:rPr>
              <w:tab/>
            </w:r>
            <w:r>
              <w:rPr>
                <w:rStyle w:val="IndexLink"/>
              </w:rPr>
              <w:t>95</w:t>
            </w:r>
          </w:hyperlink>
        </w:p>
        <w:p>
          <w:pPr>
            <w:pStyle w:val="Contents4"/>
            <w:tabs>
              <w:tab w:val="clear" w:pos="8176"/>
              <w:tab w:val="right" w:pos="9026" w:leader="dot"/>
            </w:tabs>
            <w:rPr/>
          </w:pPr>
          <w:hyperlink w:anchor="__RefHeading___Toc212690_2142443653">
            <w:r>
              <w:rPr>
                <w:webHidden/>
                <w:rStyle w:val="IndexLink"/>
                <w:rtl w:val="true"/>
              </w:rPr>
              <w:t>إلحاق البدن بالثوب في العفو</w:t>
            </w:r>
            <w:r>
              <w:rPr>
                <w:rStyle w:val="IndexLink"/>
                <w:rtl w:val="true"/>
              </w:rPr>
              <w:tab/>
            </w:r>
            <w:r>
              <w:rPr>
                <w:rStyle w:val="IndexLink"/>
              </w:rPr>
              <w:t>100</w:t>
            </w:r>
          </w:hyperlink>
        </w:p>
        <w:p>
          <w:pPr>
            <w:pStyle w:val="Contents4"/>
            <w:tabs>
              <w:tab w:val="clear" w:pos="8176"/>
              <w:tab w:val="right" w:pos="9026" w:leader="dot"/>
            </w:tabs>
            <w:rPr/>
          </w:pPr>
          <w:hyperlink w:anchor="__RefHeading___Toc212692_2142443653">
            <w:r>
              <w:rPr>
                <w:webHidden/>
                <w:rStyle w:val="IndexLink"/>
                <w:rtl w:val="true"/>
              </w:rPr>
              <w:t>هل الدرهم غاية للرخصة أو للمنع ؟</w:t>
            </w:r>
            <w:r>
              <w:rPr>
                <w:rStyle w:val="IndexLink"/>
                <w:rtl w:val="true"/>
              </w:rPr>
              <w:tab/>
            </w:r>
            <w:r>
              <w:rPr>
                <w:rStyle w:val="IndexLink"/>
              </w:rPr>
              <w:t>103</w:t>
            </w:r>
          </w:hyperlink>
        </w:p>
        <w:p>
          <w:pPr>
            <w:pStyle w:val="Contents4"/>
            <w:tabs>
              <w:tab w:val="clear" w:pos="8176"/>
              <w:tab w:val="right" w:pos="9026" w:leader="dot"/>
            </w:tabs>
            <w:rPr/>
          </w:pPr>
          <w:hyperlink w:anchor="__RefHeading___Toc212694_2142443653">
            <w:r>
              <w:rPr>
                <w:webHidden/>
                <w:rStyle w:val="IndexLink"/>
                <w:rtl w:val="true"/>
              </w:rPr>
              <w:t>حكم الدم المتفرّق</w:t>
            </w:r>
            <w:r>
              <w:rPr>
                <w:rStyle w:val="IndexLink"/>
                <w:rtl w:val="true"/>
              </w:rPr>
              <w:tab/>
            </w:r>
            <w:r>
              <w:rPr>
                <w:rStyle w:val="IndexLink"/>
              </w:rPr>
              <w:t>106</w:t>
            </w:r>
          </w:hyperlink>
        </w:p>
        <w:p>
          <w:pPr>
            <w:pStyle w:val="Contents4"/>
            <w:tabs>
              <w:tab w:val="clear" w:pos="8176"/>
              <w:tab w:val="right" w:pos="9026" w:leader="dot"/>
            </w:tabs>
            <w:rPr/>
          </w:pPr>
          <w:hyperlink w:anchor="__RefHeading___Toc212696_2142443653">
            <w:r>
              <w:rPr>
                <w:webHidden/>
                <w:rStyle w:val="IndexLink"/>
                <w:rtl w:val="true"/>
              </w:rPr>
              <w:t>عدم الفرق في الدم المتفرّق بين المتفاحش وغيره</w:t>
            </w:r>
            <w:r>
              <w:rPr>
                <w:rStyle w:val="IndexLink"/>
                <w:rtl w:val="true"/>
              </w:rPr>
              <w:tab/>
            </w:r>
            <w:r>
              <w:rPr>
                <w:rStyle w:val="IndexLink"/>
              </w:rPr>
              <w:t>111</w:t>
            </w:r>
          </w:hyperlink>
        </w:p>
        <w:p>
          <w:pPr>
            <w:pStyle w:val="Contents4"/>
            <w:tabs>
              <w:tab w:val="clear" w:pos="8176"/>
              <w:tab w:val="right" w:pos="9026" w:leader="dot"/>
            </w:tabs>
            <w:rPr/>
          </w:pPr>
          <w:hyperlink w:anchor="__RefHeading___Toc212698_2142443653">
            <w:r>
              <w:rPr>
                <w:webHidden/>
                <w:rStyle w:val="IndexLink"/>
                <w:rtl w:val="true"/>
              </w:rPr>
              <w:t>حول ما استثني من أدلّة العفو</w:t>
            </w:r>
            <w:r>
              <w:rPr>
                <w:rStyle w:val="IndexLink"/>
                <w:rtl w:val="true"/>
              </w:rPr>
              <w:tab/>
            </w:r>
            <w:r>
              <w:rPr>
                <w:rStyle w:val="IndexLink"/>
              </w:rPr>
              <w:t>112</w:t>
            </w:r>
          </w:hyperlink>
        </w:p>
        <w:p>
          <w:pPr>
            <w:pStyle w:val="Contents4"/>
            <w:tabs>
              <w:tab w:val="clear" w:pos="8176"/>
              <w:tab w:val="right" w:pos="9026" w:leader="dot"/>
            </w:tabs>
            <w:rPr/>
          </w:pPr>
          <w:hyperlink w:anchor="__RefHeading___Toc212700_2142443653">
            <w:r>
              <w:rPr>
                <w:webHidden/>
                <w:rStyle w:val="IndexLink"/>
                <w:rtl w:val="true"/>
              </w:rPr>
              <w:t xml:space="preserve">منها </w:t>
            </w:r>
            <w:r>
              <w:rPr>
                <w:rStyle w:val="IndexLink"/>
                <w:rtl w:val="true"/>
              </w:rPr>
              <w:t xml:space="preserve">: </w:t>
            </w:r>
            <w:r>
              <w:rPr>
                <w:rStyle w:val="IndexLink"/>
                <w:rtl w:val="true"/>
              </w:rPr>
              <w:t>الدماء الثلاثة</w:t>
            </w:r>
            <w:r>
              <w:rPr>
                <w:rStyle w:val="IndexLink"/>
                <w:rtl w:val="true"/>
              </w:rPr>
              <w:tab/>
            </w:r>
            <w:r>
              <w:rPr>
                <w:rStyle w:val="IndexLink"/>
              </w:rPr>
              <w:t>112</w:t>
            </w:r>
          </w:hyperlink>
        </w:p>
        <w:p>
          <w:pPr>
            <w:pStyle w:val="Contents4"/>
            <w:tabs>
              <w:tab w:val="clear" w:pos="8176"/>
              <w:tab w:val="right" w:pos="9026" w:leader="dot"/>
            </w:tabs>
            <w:rPr/>
          </w:pPr>
          <w:hyperlink w:anchor="__RefHeading___Toc212702_2142443653">
            <w:r>
              <w:rPr>
                <w:webHidden/>
                <w:rStyle w:val="IndexLink"/>
                <w:rtl w:val="true"/>
              </w:rPr>
              <w:t xml:space="preserve">ومنها </w:t>
            </w:r>
            <w:r>
              <w:rPr>
                <w:rStyle w:val="IndexLink"/>
                <w:rtl w:val="true"/>
              </w:rPr>
              <w:t xml:space="preserve">: </w:t>
            </w:r>
            <w:r>
              <w:rPr>
                <w:rStyle w:val="IndexLink"/>
                <w:rtl w:val="true"/>
              </w:rPr>
              <w:t>دم نجس العين</w:t>
            </w:r>
            <w:r>
              <w:rPr>
                <w:rStyle w:val="IndexLink"/>
                <w:rtl w:val="true"/>
              </w:rPr>
              <w:tab/>
            </w:r>
            <w:r>
              <w:rPr>
                <w:rStyle w:val="IndexLink"/>
              </w:rPr>
              <w:t>115</w:t>
            </w:r>
          </w:hyperlink>
        </w:p>
        <w:p>
          <w:pPr>
            <w:pStyle w:val="Contents4"/>
            <w:tabs>
              <w:tab w:val="clear" w:pos="8176"/>
              <w:tab w:val="right" w:pos="9026" w:leader="dot"/>
            </w:tabs>
            <w:rPr/>
          </w:pPr>
          <w:hyperlink w:anchor="__RefHeading___Toc212704_2142443653">
            <w:r>
              <w:rPr>
                <w:webHidden/>
                <w:rStyle w:val="IndexLink"/>
                <w:rtl w:val="true"/>
              </w:rPr>
              <w:t>تعيين سعة الدرهم</w:t>
            </w:r>
            <w:r>
              <w:rPr>
                <w:rStyle w:val="IndexLink"/>
                <w:rtl w:val="true"/>
              </w:rPr>
              <w:tab/>
            </w:r>
            <w:r>
              <w:rPr>
                <w:rStyle w:val="IndexLink"/>
              </w:rPr>
              <w:t>119</w:t>
            </w:r>
          </w:hyperlink>
        </w:p>
        <w:p>
          <w:pPr>
            <w:pStyle w:val="Contents3"/>
            <w:tabs>
              <w:tab w:val="clear" w:pos="8459"/>
              <w:tab w:val="right" w:pos="9026" w:leader="dot"/>
            </w:tabs>
            <w:rPr/>
          </w:pPr>
          <w:hyperlink w:anchor="__RefHeading___Toc212706_2142443653">
            <w:r>
              <w:rPr>
                <w:webHidden/>
                <w:rStyle w:val="IndexLink"/>
                <w:rtl w:val="true"/>
              </w:rPr>
              <w:t>المطلب الثالث</w:t>
            </w:r>
            <w:r>
              <w:rPr>
                <w:rStyle w:val="IndexLink"/>
                <w:rtl w:val="true"/>
              </w:rPr>
              <w:t xml:space="preserve">: </w:t>
            </w:r>
            <w:r>
              <w:rPr>
                <w:rStyle w:val="IndexLink"/>
                <w:rtl w:val="true"/>
              </w:rPr>
              <w:t>في إدخال النجاسات في المساجد</w:t>
            </w:r>
            <w:r>
              <w:rPr>
                <w:rStyle w:val="IndexLink"/>
                <w:rtl w:val="true"/>
              </w:rPr>
              <w:tab/>
            </w:r>
            <w:r>
              <w:rPr>
                <w:rStyle w:val="IndexLink"/>
              </w:rPr>
              <w:t>121</w:t>
            </w:r>
          </w:hyperlink>
        </w:p>
        <w:p>
          <w:pPr>
            <w:pStyle w:val="Contents4"/>
            <w:tabs>
              <w:tab w:val="clear" w:pos="8176"/>
              <w:tab w:val="right" w:pos="9026" w:leader="dot"/>
            </w:tabs>
            <w:rPr/>
          </w:pPr>
          <w:hyperlink w:anchor="__RefHeading___Toc212708_2142443653">
            <w:r>
              <w:rPr>
                <w:webHidden/>
                <w:rStyle w:val="IndexLink"/>
                <w:rtl w:val="true"/>
              </w:rPr>
              <w:t>حكم النجاسات غير المتعدّية</w:t>
            </w:r>
            <w:r>
              <w:rPr>
                <w:rStyle w:val="IndexLink"/>
                <w:rtl w:val="true"/>
              </w:rPr>
              <w:tab/>
            </w:r>
            <w:r>
              <w:rPr>
                <w:rStyle w:val="IndexLink"/>
              </w:rPr>
              <w:t>121</w:t>
            </w:r>
          </w:hyperlink>
        </w:p>
        <w:p>
          <w:pPr>
            <w:pStyle w:val="Contents4"/>
            <w:tabs>
              <w:tab w:val="clear" w:pos="8176"/>
              <w:tab w:val="right" w:pos="9026" w:leader="dot"/>
            </w:tabs>
            <w:rPr/>
          </w:pPr>
          <w:hyperlink w:anchor="__RefHeading___Toc212710_2142443653">
            <w:r>
              <w:rPr>
                <w:webHidden/>
                <w:rStyle w:val="IndexLink"/>
                <w:rtl w:val="true"/>
              </w:rPr>
              <w:t>حرمة إدخال النجاسات السارية لأجل استلزامه تنجيس المساجد</w:t>
            </w:r>
            <w:r>
              <w:rPr>
                <w:rStyle w:val="IndexLink"/>
                <w:rtl w:val="true"/>
              </w:rPr>
              <w:tab/>
            </w:r>
            <w:r>
              <w:rPr>
                <w:rStyle w:val="IndexLink"/>
              </w:rPr>
              <w:t>129</w:t>
            </w:r>
          </w:hyperlink>
        </w:p>
        <w:p>
          <w:pPr>
            <w:pStyle w:val="Contents4"/>
            <w:tabs>
              <w:tab w:val="clear" w:pos="8176"/>
              <w:tab w:val="right" w:pos="9026" w:leader="dot"/>
            </w:tabs>
            <w:rPr/>
          </w:pPr>
          <w:hyperlink w:anchor="__RefHeading___Toc212712_2142443653">
            <w:r>
              <w:rPr>
                <w:webHidden/>
                <w:rStyle w:val="IndexLink"/>
                <w:rtl w:val="true"/>
              </w:rPr>
              <w:t>وجوب إزالة النجاسة عن المساجد وما يلحق بها</w:t>
            </w:r>
            <w:r>
              <w:rPr>
                <w:rStyle w:val="IndexLink"/>
                <w:rtl w:val="true"/>
              </w:rPr>
              <w:tab/>
            </w:r>
            <w:r>
              <w:rPr>
                <w:rStyle w:val="IndexLink"/>
              </w:rPr>
              <w:t>133</w:t>
            </w:r>
          </w:hyperlink>
        </w:p>
        <w:p>
          <w:pPr>
            <w:pStyle w:val="Contents3"/>
            <w:tabs>
              <w:tab w:val="clear" w:pos="8459"/>
              <w:tab w:val="right" w:pos="9026" w:leader="dot"/>
            </w:tabs>
            <w:rPr/>
          </w:pPr>
          <w:hyperlink w:anchor="__RefHeading___Toc212714_2142443653">
            <w:r>
              <w:rPr>
                <w:webHidden/>
                <w:rStyle w:val="IndexLink"/>
                <w:rtl w:val="true"/>
              </w:rPr>
              <w:t>المطلب الرابع</w:t>
            </w:r>
            <w:r>
              <w:rPr>
                <w:rStyle w:val="IndexLink"/>
                <w:rtl w:val="true"/>
              </w:rPr>
              <w:t xml:space="preserve">: </w:t>
            </w:r>
            <w:r>
              <w:rPr>
                <w:rStyle w:val="IndexLink"/>
                <w:rtl w:val="true"/>
              </w:rPr>
              <w:t>في اعتبار انفصال الغسالة</w:t>
            </w:r>
            <w:r>
              <w:rPr>
                <w:rStyle w:val="IndexLink"/>
                <w:rtl w:val="true"/>
              </w:rPr>
              <w:tab/>
            </w:r>
            <w:r>
              <w:rPr>
                <w:rStyle w:val="IndexLink"/>
              </w:rPr>
              <w:t>135</w:t>
            </w:r>
          </w:hyperlink>
        </w:p>
        <w:p>
          <w:pPr>
            <w:pStyle w:val="Contents4"/>
            <w:tabs>
              <w:tab w:val="clear" w:pos="8176"/>
              <w:tab w:val="right" w:pos="9026" w:leader="dot"/>
            </w:tabs>
            <w:rPr/>
          </w:pPr>
          <w:hyperlink w:anchor="__RefHeading___Toc212716_2142443653">
            <w:r>
              <w:rPr>
                <w:webHidden/>
                <w:rStyle w:val="IndexLink"/>
                <w:rtl w:val="true"/>
              </w:rPr>
              <w:t>اعتبار انفصال الغسالة في التطهير بالقليل</w:t>
            </w:r>
            <w:r>
              <w:rPr>
                <w:rStyle w:val="IndexLink"/>
                <w:rtl w:val="true"/>
              </w:rPr>
              <w:tab/>
            </w:r>
            <w:r>
              <w:rPr>
                <w:rStyle w:val="IndexLink"/>
              </w:rPr>
              <w:t>135</w:t>
            </w:r>
          </w:hyperlink>
        </w:p>
        <w:p>
          <w:pPr>
            <w:pStyle w:val="Contents4"/>
            <w:tabs>
              <w:tab w:val="clear" w:pos="8176"/>
              <w:tab w:val="right" w:pos="9026" w:leader="dot"/>
            </w:tabs>
            <w:rPr/>
          </w:pPr>
          <w:hyperlink w:anchor="__RefHeading___Toc212718_2142443653">
            <w:r>
              <w:rPr>
                <w:webHidden/>
                <w:rStyle w:val="IndexLink"/>
                <w:rtl w:val="true"/>
              </w:rPr>
              <w:t>اعتبار انفصال الغسالة حتّى مع القول بعدم انفعال الغسالة</w:t>
            </w:r>
            <w:r>
              <w:rPr>
                <w:rStyle w:val="IndexLink"/>
                <w:rtl w:val="true"/>
              </w:rPr>
              <w:tab/>
            </w:r>
            <w:r>
              <w:rPr>
                <w:rStyle w:val="IndexLink"/>
              </w:rPr>
              <w:t>139</w:t>
            </w:r>
          </w:hyperlink>
        </w:p>
        <w:p>
          <w:pPr>
            <w:pStyle w:val="Contents4"/>
            <w:tabs>
              <w:tab w:val="clear" w:pos="8176"/>
              <w:tab w:val="right" w:pos="9026" w:leader="dot"/>
            </w:tabs>
            <w:rPr/>
          </w:pPr>
          <w:hyperlink w:anchor="__RefHeading___Toc212720_2142443653">
            <w:r>
              <w:rPr>
                <w:webHidden/>
                <w:rStyle w:val="IndexLink"/>
                <w:rtl w:val="true"/>
              </w:rPr>
              <w:t>المراد بالغسل والصبّ في الأخبار الواردة في غسل البول</w:t>
            </w:r>
            <w:r>
              <w:rPr>
                <w:rStyle w:val="IndexLink"/>
                <w:rtl w:val="true"/>
              </w:rPr>
              <w:tab/>
            </w:r>
            <w:r>
              <w:rPr>
                <w:rStyle w:val="IndexLink"/>
              </w:rPr>
              <w:t>140</w:t>
            </w:r>
          </w:hyperlink>
        </w:p>
        <w:p>
          <w:pPr>
            <w:pStyle w:val="Contents4"/>
            <w:tabs>
              <w:tab w:val="clear" w:pos="8176"/>
              <w:tab w:val="right" w:pos="9026" w:leader="dot"/>
            </w:tabs>
            <w:rPr/>
          </w:pPr>
          <w:hyperlink w:anchor="__RefHeading___Toc212722_2142443653">
            <w:r>
              <w:rPr>
                <w:webHidden/>
                <w:rStyle w:val="IndexLink"/>
                <w:rtl w:val="true"/>
              </w:rPr>
              <w:t>اعتبار انفصال الغسالة في التطهير بالجاري ونحوه</w:t>
            </w:r>
            <w:r>
              <w:rPr>
                <w:rStyle w:val="IndexLink"/>
                <w:rtl w:val="true"/>
              </w:rPr>
              <w:tab/>
            </w:r>
            <w:r>
              <w:rPr>
                <w:rStyle w:val="IndexLink"/>
              </w:rPr>
              <w:t>142</w:t>
            </w:r>
          </w:hyperlink>
        </w:p>
        <w:p>
          <w:pPr>
            <w:pStyle w:val="Contents4"/>
            <w:tabs>
              <w:tab w:val="clear" w:pos="8176"/>
              <w:tab w:val="right" w:pos="9026" w:leader="dot"/>
            </w:tabs>
            <w:rPr/>
          </w:pPr>
          <w:hyperlink w:anchor="__RefHeading___Toc212724_2142443653">
            <w:r>
              <w:rPr>
                <w:webHidden/>
                <w:rStyle w:val="IndexLink"/>
                <w:rtl w:val="true"/>
              </w:rPr>
              <w:t>كفاية صبّ الماء على بول الصبيّ وعدم لزوم غسله</w:t>
            </w:r>
            <w:r>
              <w:rPr>
                <w:rStyle w:val="IndexLink"/>
                <w:rtl w:val="true"/>
              </w:rPr>
              <w:tab/>
            </w:r>
            <w:r>
              <w:rPr>
                <w:rStyle w:val="IndexLink"/>
              </w:rPr>
              <w:t>143</w:t>
            </w:r>
          </w:hyperlink>
        </w:p>
        <w:p>
          <w:pPr>
            <w:pStyle w:val="Contents4"/>
            <w:tabs>
              <w:tab w:val="clear" w:pos="8176"/>
              <w:tab w:val="right" w:pos="9026" w:leader="dot"/>
            </w:tabs>
            <w:rPr/>
          </w:pPr>
          <w:hyperlink w:anchor="__RefHeading___Toc212726_2142443653">
            <w:r>
              <w:rPr>
                <w:webHidden/>
                <w:rStyle w:val="IndexLink"/>
                <w:rtl w:val="true"/>
              </w:rPr>
              <w:t>حول إلحاق الصبيّة بالصبيّ</w:t>
            </w:r>
            <w:r>
              <w:rPr>
                <w:rStyle w:val="IndexLink"/>
                <w:rtl w:val="true"/>
              </w:rPr>
              <w:tab/>
            </w:r>
            <w:r>
              <w:rPr>
                <w:rStyle w:val="IndexLink"/>
              </w:rPr>
              <w:t>148</w:t>
            </w:r>
          </w:hyperlink>
        </w:p>
        <w:p>
          <w:pPr>
            <w:pStyle w:val="Contents4"/>
            <w:tabs>
              <w:tab w:val="clear" w:pos="8176"/>
              <w:tab w:val="right" w:pos="9026" w:leader="dot"/>
            </w:tabs>
            <w:rPr/>
          </w:pPr>
          <w:hyperlink w:anchor="__RefHeading___Toc212728_2142443653">
            <w:r>
              <w:rPr>
                <w:webHidden/>
                <w:rStyle w:val="IndexLink"/>
                <w:rtl w:val="true"/>
              </w:rPr>
              <w:t>موضوع الحكم هو الصبيّ الذي لم يطعم أو لم يأكل</w:t>
            </w:r>
            <w:r>
              <w:rPr>
                <w:rStyle w:val="IndexLink"/>
                <w:rtl w:val="true"/>
              </w:rPr>
              <w:tab/>
            </w:r>
            <w:r>
              <w:rPr>
                <w:rStyle w:val="IndexLink"/>
              </w:rPr>
              <w:t>149</w:t>
            </w:r>
          </w:hyperlink>
        </w:p>
        <w:p>
          <w:pPr>
            <w:pStyle w:val="Contents4"/>
            <w:tabs>
              <w:tab w:val="clear" w:pos="8176"/>
              <w:tab w:val="right" w:pos="9026" w:leader="dot"/>
            </w:tabs>
            <w:rPr/>
          </w:pPr>
          <w:hyperlink w:anchor="__RefHeading___Toc212730_2142443653">
            <w:r>
              <w:rPr>
                <w:webHidden/>
                <w:rStyle w:val="IndexLink"/>
                <w:rtl w:val="true"/>
              </w:rPr>
              <w:t>عدم كفاية النضح والرشّ عن الصبّ</w:t>
            </w:r>
            <w:r>
              <w:rPr>
                <w:rStyle w:val="IndexLink"/>
                <w:rtl w:val="true"/>
              </w:rPr>
              <w:tab/>
            </w:r>
            <w:r>
              <w:rPr>
                <w:rStyle w:val="IndexLink"/>
              </w:rPr>
              <w:t>151</w:t>
            </w:r>
          </w:hyperlink>
        </w:p>
        <w:p>
          <w:pPr>
            <w:pStyle w:val="Contents4"/>
            <w:tabs>
              <w:tab w:val="clear" w:pos="8176"/>
              <w:tab w:val="right" w:pos="9026" w:leader="dot"/>
            </w:tabs>
            <w:rPr/>
          </w:pPr>
          <w:hyperlink w:anchor="__RefHeading___Toc212732_2142443653">
            <w:r>
              <w:rPr>
                <w:webHidden/>
                <w:rStyle w:val="IndexLink"/>
                <w:rtl w:val="true"/>
              </w:rPr>
              <w:t>عدم لزوم إخراج غسالة بول الصبيّ وطهارتُها</w:t>
            </w:r>
            <w:r>
              <w:rPr>
                <w:rStyle w:val="IndexLink"/>
                <w:rtl w:val="true"/>
              </w:rPr>
              <w:tab/>
            </w:r>
            <w:r>
              <w:rPr>
                <w:rStyle w:val="IndexLink"/>
              </w:rPr>
              <w:t>152</w:t>
            </w:r>
          </w:hyperlink>
        </w:p>
        <w:p>
          <w:pPr>
            <w:pStyle w:val="Contents4"/>
            <w:tabs>
              <w:tab w:val="clear" w:pos="8176"/>
              <w:tab w:val="right" w:pos="9026" w:leader="dot"/>
            </w:tabs>
            <w:rPr/>
          </w:pPr>
          <w:hyperlink w:anchor="__RefHeading___Toc212734_2142443653">
            <w:r>
              <w:rPr>
                <w:webHidden/>
                <w:rStyle w:val="IndexLink"/>
                <w:rtl w:val="true"/>
              </w:rPr>
              <w:t>كيفية تطهير ظاهر الفراش وباطنه</w:t>
            </w:r>
            <w:r>
              <w:rPr>
                <w:rStyle w:val="IndexLink"/>
                <w:rtl w:val="true"/>
              </w:rPr>
              <w:tab/>
            </w:r>
            <w:r>
              <w:rPr>
                <w:rStyle w:val="IndexLink"/>
              </w:rPr>
              <w:t>153</w:t>
            </w:r>
          </w:hyperlink>
        </w:p>
        <w:p>
          <w:pPr>
            <w:pStyle w:val="Contents4"/>
            <w:tabs>
              <w:tab w:val="clear" w:pos="8176"/>
              <w:tab w:val="right" w:pos="9026" w:leader="dot"/>
            </w:tabs>
            <w:rPr/>
          </w:pPr>
          <w:hyperlink w:anchor="__RefHeading___Toc212736_2142443653">
            <w:r>
              <w:rPr>
                <w:webHidden/>
                <w:rStyle w:val="IndexLink"/>
                <w:rtl w:val="true"/>
              </w:rPr>
              <w:t>كيفية تطهير ما لا ينفذ فيها الماء</w:t>
            </w:r>
            <w:r>
              <w:rPr>
                <w:rStyle w:val="IndexLink"/>
                <w:rtl w:val="true"/>
              </w:rPr>
              <w:tab/>
            </w:r>
            <w:r>
              <w:rPr>
                <w:rStyle w:val="IndexLink"/>
              </w:rPr>
              <w:t>156</w:t>
            </w:r>
          </w:hyperlink>
        </w:p>
        <w:p>
          <w:pPr>
            <w:pStyle w:val="Contents4"/>
            <w:tabs>
              <w:tab w:val="clear" w:pos="8176"/>
              <w:tab w:val="right" w:pos="9026" w:leader="dot"/>
            </w:tabs>
            <w:rPr/>
          </w:pPr>
          <w:hyperlink w:anchor="__RefHeading___Toc212738_2142443653">
            <w:r>
              <w:rPr>
                <w:webHidden/>
                <w:rStyle w:val="IndexLink"/>
                <w:rtl w:val="true"/>
              </w:rPr>
              <w:t>لزوم إمرار الماء على الأرض وإخراج الغسالة في تطهيرها</w:t>
            </w:r>
            <w:r>
              <w:rPr>
                <w:rStyle w:val="IndexLink"/>
                <w:rtl w:val="true"/>
              </w:rPr>
              <w:tab/>
            </w:r>
            <w:r>
              <w:rPr>
                <w:rStyle w:val="IndexLink"/>
              </w:rPr>
              <w:t>161</w:t>
            </w:r>
          </w:hyperlink>
        </w:p>
        <w:p>
          <w:pPr>
            <w:pStyle w:val="Contents3"/>
            <w:tabs>
              <w:tab w:val="clear" w:pos="8459"/>
              <w:tab w:val="right" w:pos="9026" w:leader="dot"/>
            </w:tabs>
            <w:rPr/>
          </w:pPr>
          <w:hyperlink w:anchor="__RefHeading___Toc212740_2142443653">
            <w:r>
              <w:rPr>
                <w:webHidden/>
                <w:rStyle w:val="IndexLink"/>
                <w:rtl w:val="true"/>
              </w:rPr>
              <w:t>المطلب الخامس</w:t>
            </w:r>
            <w:r>
              <w:rPr>
                <w:rStyle w:val="IndexLink"/>
                <w:rtl w:val="true"/>
              </w:rPr>
              <w:t xml:space="preserve">: </w:t>
            </w:r>
            <w:r>
              <w:rPr>
                <w:rStyle w:val="IndexLink"/>
                <w:rtl w:val="true"/>
              </w:rPr>
              <w:t>في اعتبار التعدّد في التطهير</w:t>
            </w:r>
            <w:r>
              <w:rPr>
                <w:rStyle w:val="IndexLink"/>
                <w:rtl w:val="true"/>
              </w:rPr>
              <w:tab/>
            </w:r>
            <w:r>
              <w:rPr>
                <w:rStyle w:val="IndexLink"/>
              </w:rPr>
              <w:t>162</w:t>
            </w:r>
          </w:hyperlink>
        </w:p>
        <w:p>
          <w:pPr>
            <w:pStyle w:val="Contents4"/>
            <w:tabs>
              <w:tab w:val="clear" w:pos="8176"/>
              <w:tab w:val="right" w:pos="9026" w:leader="dot"/>
            </w:tabs>
            <w:rPr/>
          </w:pPr>
          <w:hyperlink w:anchor="__RefHeading___Toc212742_2142443653">
            <w:r>
              <w:rPr>
                <w:webHidden/>
                <w:rStyle w:val="IndexLink"/>
                <w:rtl w:val="true"/>
              </w:rPr>
              <w:t>لزوم الغسل مرّتين في تطهير البول بالماء القليل</w:t>
            </w:r>
            <w:r>
              <w:rPr>
                <w:rStyle w:val="IndexLink"/>
                <w:rtl w:val="true"/>
              </w:rPr>
              <w:tab/>
            </w:r>
            <w:r>
              <w:rPr>
                <w:rStyle w:val="IndexLink"/>
              </w:rPr>
              <w:t>162</w:t>
            </w:r>
          </w:hyperlink>
        </w:p>
        <w:p>
          <w:pPr>
            <w:pStyle w:val="Contents4"/>
            <w:tabs>
              <w:tab w:val="clear" w:pos="8176"/>
              <w:tab w:val="right" w:pos="9026" w:leader="dot"/>
            </w:tabs>
            <w:rPr/>
          </w:pPr>
          <w:hyperlink w:anchor="__RefHeading___Toc212744_2142443653">
            <w:r>
              <w:rPr>
                <w:webHidden/>
                <w:rStyle w:val="IndexLink"/>
                <w:rtl w:val="true"/>
              </w:rPr>
              <w:t>لزوم إخراج الغسالة في كلّ غسلة</w:t>
            </w:r>
            <w:r>
              <w:rPr>
                <w:rStyle w:val="IndexLink"/>
                <w:rtl w:val="true"/>
              </w:rPr>
              <w:tab/>
            </w:r>
            <w:r>
              <w:rPr>
                <w:rStyle w:val="IndexLink"/>
              </w:rPr>
              <w:t>165</w:t>
            </w:r>
          </w:hyperlink>
        </w:p>
        <w:p>
          <w:pPr>
            <w:pStyle w:val="Contents4"/>
            <w:tabs>
              <w:tab w:val="clear" w:pos="8176"/>
              <w:tab w:val="right" w:pos="9026" w:leader="dot"/>
            </w:tabs>
            <w:rPr/>
          </w:pPr>
          <w:hyperlink w:anchor="__RefHeading___Toc212746_2142443653">
            <w:r>
              <w:rPr>
                <w:webHidden/>
                <w:rStyle w:val="IndexLink"/>
                <w:rtl w:val="true"/>
              </w:rPr>
              <w:t>عدم اعتبار تعدّد الصبّ في تطهير بول الصبيّ</w:t>
            </w:r>
            <w:r>
              <w:rPr>
                <w:rStyle w:val="IndexLink"/>
                <w:rtl w:val="true"/>
              </w:rPr>
              <w:tab/>
            </w:r>
            <w:r>
              <w:rPr>
                <w:rStyle w:val="IndexLink"/>
              </w:rPr>
              <w:t>166</w:t>
            </w:r>
          </w:hyperlink>
        </w:p>
        <w:p>
          <w:pPr>
            <w:pStyle w:val="Contents4"/>
            <w:tabs>
              <w:tab w:val="clear" w:pos="8176"/>
              <w:tab w:val="right" w:pos="9026" w:leader="dot"/>
            </w:tabs>
            <w:rPr/>
          </w:pPr>
          <w:hyperlink w:anchor="__RefHeading___Toc212748_2142443653">
            <w:r>
              <w:rPr>
                <w:webHidden/>
                <w:rStyle w:val="IndexLink"/>
                <w:rtl w:val="true"/>
              </w:rPr>
              <w:t>كفاية المرّة في تطهير البول بالماء الجاري لا الكرّ</w:t>
            </w:r>
            <w:r>
              <w:rPr>
                <w:rStyle w:val="IndexLink"/>
                <w:rtl w:val="true"/>
              </w:rPr>
              <w:tab/>
            </w:r>
            <w:r>
              <w:rPr>
                <w:rStyle w:val="IndexLink"/>
              </w:rPr>
              <w:t>167</w:t>
            </w:r>
          </w:hyperlink>
        </w:p>
        <w:p>
          <w:pPr>
            <w:pStyle w:val="Contents4"/>
            <w:tabs>
              <w:tab w:val="clear" w:pos="8176"/>
              <w:tab w:val="right" w:pos="9026" w:leader="dot"/>
            </w:tabs>
            <w:rPr/>
          </w:pPr>
          <w:hyperlink w:anchor="__RefHeading___Toc212750_2142443653">
            <w:r>
              <w:rPr>
                <w:webHidden/>
                <w:rStyle w:val="IndexLink"/>
                <w:rtl w:val="true"/>
              </w:rPr>
              <w:t>عدم الفرق بين بول الإنسان وغيره من الحيوانات غير المأكولة</w:t>
            </w:r>
            <w:r>
              <w:rPr>
                <w:rStyle w:val="IndexLink"/>
                <w:rtl w:val="true"/>
              </w:rPr>
              <w:tab/>
            </w:r>
            <w:r>
              <w:rPr>
                <w:rStyle w:val="IndexLink"/>
              </w:rPr>
              <w:t>171</w:t>
            </w:r>
          </w:hyperlink>
        </w:p>
        <w:p>
          <w:pPr>
            <w:pStyle w:val="Contents4"/>
            <w:tabs>
              <w:tab w:val="clear" w:pos="8176"/>
              <w:tab w:val="right" w:pos="9026" w:leader="dot"/>
            </w:tabs>
            <w:rPr/>
          </w:pPr>
          <w:hyperlink w:anchor="__RefHeading___Toc212752_2142443653">
            <w:r>
              <w:rPr>
                <w:webHidden/>
                <w:rStyle w:val="IndexLink"/>
                <w:rtl w:val="true"/>
              </w:rPr>
              <w:t>لزوم التعدّد فيما زالت عين البول بغير الغسل</w:t>
            </w:r>
            <w:r>
              <w:rPr>
                <w:rStyle w:val="IndexLink"/>
                <w:rtl w:val="true"/>
              </w:rPr>
              <w:tab/>
            </w:r>
            <w:r>
              <w:rPr>
                <w:rStyle w:val="IndexLink"/>
              </w:rPr>
              <w:t>172</w:t>
            </w:r>
          </w:hyperlink>
        </w:p>
        <w:p>
          <w:pPr>
            <w:pStyle w:val="Contents4"/>
            <w:tabs>
              <w:tab w:val="clear" w:pos="8176"/>
              <w:tab w:val="right" w:pos="9026" w:leader="dot"/>
            </w:tabs>
            <w:rPr/>
          </w:pPr>
          <w:hyperlink w:anchor="__RefHeading___Toc212754_2142443653">
            <w:r>
              <w:rPr>
                <w:webHidden/>
                <w:rStyle w:val="IndexLink"/>
                <w:rtl w:val="true"/>
              </w:rPr>
              <w:t>عدم كفاية الغسل المستمرّ بقدر الغسلتين</w:t>
            </w:r>
            <w:r>
              <w:rPr>
                <w:rStyle w:val="IndexLink"/>
                <w:rtl w:val="true"/>
              </w:rPr>
              <w:tab/>
            </w:r>
            <w:r>
              <w:rPr>
                <w:rStyle w:val="IndexLink"/>
              </w:rPr>
              <w:t>173</w:t>
            </w:r>
          </w:hyperlink>
        </w:p>
        <w:p>
          <w:pPr>
            <w:pStyle w:val="Contents4"/>
            <w:tabs>
              <w:tab w:val="clear" w:pos="8176"/>
              <w:tab w:val="right" w:pos="9026" w:leader="dot"/>
            </w:tabs>
            <w:rPr/>
          </w:pPr>
          <w:hyperlink w:anchor="__RefHeading___Toc212756_2142443653">
            <w:r>
              <w:rPr>
                <w:webHidden/>
                <w:rStyle w:val="IndexLink"/>
                <w:rtl w:val="true"/>
              </w:rPr>
              <w:t>فرع في عدم اعتبار التعدّد في تطهير غير البول</w:t>
            </w:r>
            <w:r>
              <w:rPr>
                <w:rStyle w:val="IndexLink"/>
                <w:rtl w:val="true"/>
              </w:rPr>
              <w:tab/>
            </w:r>
            <w:r>
              <w:rPr>
                <w:rStyle w:val="IndexLink"/>
              </w:rPr>
              <w:t>174</w:t>
            </w:r>
          </w:hyperlink>
        </w:p>
        <w:p>
          <w:pPr>
            <w:pStyle w:val="Contents4"/>
            <w:tabs>
              <w:tab w:val="clear" w:pos="8176"/>
              <w:tab w:val="right" w:pos="9026" w:leader="dot"/>
            </w:tabs>
            <w:rPr/>
          </w:pPr>
          <w:hyperlink w:anchor="__RefHeading___Toc212758_2142443653">
            <w:r>
              <w:rPr>
                <w:webHidden/>
                <w:rStyle w:val="IndexLink"/>
                <w:rtl w:val="true"/>
              </w:rPr>
              <w:t>اعتبار جريان الماء على المتنجّس بعد زوال عين النجاسة</w:t>
            </w:r>
            <w:r>
              <w:rPr>
                <w:rStyle w:val="IndexLink"/>
                <w:rtl w:val="true"/>
              </w:rPr>
              <w:tab/>
            </w:r>
            <w:r>
              <w:rPr>
                <w:rStyle w:val="IndexLink"/>
              </w:rPr>
              <w:t>180</w:t>
            </w:r>
          </w:hyperlink>
        </w:p>
        <w:p>
          <w:pPr>
            <w:pStyle w:val="Contents4"/>
            <w:tabs>
              <w:tab w:val="clear" w:pos="8176"/>
              <w:tab w:val="right" w:pos="9026" w:leader="dot"/>
            </w:tabs>
            <w:rPr/>
          </w:pPr>
          <w:hyperlink w:anchor="__RefHeading___Toc212760_2142443653">
            <w:r>
              <w:rPr>
                <w:webHidden/>
                <w:rStyle w:val="IndexLink"/>
                <w:rtl w:val="true"/>
              </w:rPr>
              <w:t>عدم العبرة ببقاء لون النجاسة أو ريحها في التطهير</w:t>
            </w:r>
            <w:r>
              <w:rPr>
                <w:rStyle w:val="IndexLink"/>
                <w:rtl w:val="true"/>
              </w:rPr>
              <w:tab/>
            </w:r>
            <w:r>
              <w:rPr>
                <w:rStyle w:val="IndexLink"/>
              </w:rPr>
              <w:t>181</w:t>
            </w:r>
          </w:hyperlink>
        </w:p>
        <w:p>
          <w:pPr>
            <w:pStyle w:val="Contents4"/>
            <w:tabs>
              <w:tab w:val="clear" w:pos="8176"/>
              <w:tab w:val="right" w:pos="9026" w:leader="dot"/>
            </w:tabs>
            <w:rPr/>
          </w:pPr>
          <w:hyperlink w:anchor="__RefHeading___Toc212762_2142443653">
            <w:r>
              <w:rPr>
                <w:webHidden/>
                <w:rStyle w:val="IndexLink"/>
                <w:rtl w:val="true"/>
              </w:rPr>
              <w:t>فصل في كيفية تطهير الأواني</w:t>
            </w:r>
            <w:r>
              <w:rPr>
                <w:rStyle w:val="IndexLink"/>
                <w:rtl w:val="true"/>
              </w:rPr>
              <w:tab/>
            </w:r>
            <w:r>
              <w:rPr>
                <w:rStyle w:val="IndexLink"/>
              </w:rPr>
              <w:t>184</w:t>
            </w:r>
          </w:hyperlink>
        </w:p>
        <w:p>
          <w:pPr>
            <w:pStyle w:val="Contents4"/>
            <w:tabs>
              <w:tab w:val="clear" w:pos="8176"/>
              <w:tab w:val="right" w:pos="9026" w:leader="dot"/>
            </w:tabs>
            <w:rPr/>
          </w:pPr>
          <w:hyperlink w:anchor="__RefHeading___Toc212764_2142443653">
            <w:r>
              <w:rPr>
                <w:webHidden/>
                <w:rStyle w:val="IndexLink"/>
                <w:rtl w:val="true"/>
              </w:rPr>
              <w:t xml:space="preserve">المسألة الاُولى </w:t>
            </w:r>
            <w:r>
              <w:rPr>
                <w:rStyle w:val="IndexLink"/>
                <w:rtl w:val="true"/>
              </w:rPr>
              <w:t xml:space="preserve">: </w:t>
            </w:r>
            <w:r>
              <w:rPr>
                <w:rStyle w:val="IndexLink"/>
                <w:rtl w:val="true"/>
              </w:rPr>
              <w:t>في كيفية تطهير الأواني من ولوغ الكلب</w:t>
            </w:r>
            <w:r>
              <w:rPr>
                <w:rStyle w:val="IndexLink"/>
                <w:rtl w:val="true"/>
              </w:rPr>
              <w:tab/>
            </w:r>
            <w:r>
              <w:rPr>
                <w:rStyle w:val="IndexLink"/>
              </w:rPr>
              <w:t>184</w:t>
            </w:r>
          </w:hyperlink>
        </w:p>
        <w:p>
          <w:pPr>
            <w:pStyle w:val="Contents5"/>
            <w:tabs>
              <w:tab w:val="clear" w:pos="7892"/>
              <w:tab w:val="right" w:pos="9026" w:leader="dot"/>
            </w:tabs>
            <w:rPr/>
          </w:pPr>
          <w:hyperlink w:anchor="__RefHeading___Toc212766_2142443653">
            <w:r>
              <w:rPr>
                <w:webHidden/>
                <w:rStyle w:val="IndexLink"/>
                <w:rtl w:val="true"/>
              </w:rPr>
              <w:t>اشارة</w:t>
            </w:r>
            <w:r>
              <w:rPr>
                <w:rStyle w:val="IndexLink"/>
                <w:rtl w:val="true"/>
              </w:rPr>
              <w:tab/>
            </w:r>
            <w:r>
              <w:rPr>
                <w:rStyle w:val="IndexLink"/>
              </w:rPr>
              <w:t>184</w:t>
            </w:r>
          </w:hyperlink>
        </w:p>
        <w:p>
          <w:pPr>
            <w:pStyle w:val="Contents5"/>
            <w:tabs>
              <w:tab w:val="clear" w:pos="7892"/>
              <w:tab w:val="right" w:pos="9026" w:leader="dot"/>
            </w:tabs>
            <w:rPr/>
          </w:pPr>
          <w:hyperlink w:anchor="__RefHeading___Toc212768_2142443653">
            <w:r>
              <w:rPr>
                <w:webHidden/>
                <w:rStyle w:val="IndexLink"/>
                <w:rtl w:val="true"/>
              </w:rPr>
              <w:t>تنبيهات</w:t>
            </w:r>
            <w:r>
              <w:rPr>
                <w:rStyle w:val="IndexLink"/>
                <w:rtl w:val="true"/>
              </w:rPr>
              <w:tab/>
            </w:r>
            <w:r>
              <w:rPr>
                <w:rStyle w:val="IndexLink"/>
              </w:rPr>
              <w:t>190</w:t>
            </w:r>
          </w:hyperlink>
        </w:p>
        <w:p>
          <w:pPr>
            <w:pStyle w:val="Contents6"/>
            <w:tabs>
              <w:tab w:val="clear" w:pos="7609"/>
              <w:tab w:val="right" w:pos="9026" w:leader="dot"/>
            </w:tabs>
            <w:rPr/>
          </w:pPr>
          <w:hyperlink w:anchor="__RefHeading___Toc212770_2142443653">
            <w:r>
              <w:rPr>
                <w:webHidden/>
                <w:rStyle w:val="IndexLink"/>
                <w:rtl w:val="true"/>
              </w:rPr>
              <w:t xml:space="preserve">الأوّل </w:t>
            </w:r>
            <w:r>
              <w:rPr>
                <w:rStyle w:val="IndexLink"/>
                <w:rtl w:val="true"/>
              </w:rPr>
              <w:t xml:space="preserve">: </w:t>
            </w:r>
            <w:r>
              <w:rPr>
                <w:rStyle w:val="IndexLink"/>
                <w:rtl w:val="true"/>
              </w:rPr>
              <w:t>اختصاص التعفير بالولوغ</w:t>
            </w:r>
            <w:r>
              <w:rPr>
                <w:rStyle w:val="IndexLink"/>
                <w:rtl w:val="true"/>
              </w:rPr>
              <w:tab/>
            </w:r>
            <w:r>
              <w:rPr>
                <w:rStyle w:val="IndexLink"/>
              </w:rPr>
              <w:t>190</w:t>
            </w:r>
          </w:hyperlink>
        </w:p>
        <w:p>
          <w:pPr>
            <w:pStyle w:val="Contents6"/>
            <w:tabs>
              <w:tab w:val="clear" w:pos="7609"/>
              <w:tab w:val="right" w:pos="9026" w:leader="dot"/>
            </w:tabs>
            <w:rPr/>
          </w:pPr>
          <w:hyperlink w:anchor="__RefHeading___Toc212772_2142443653">
            <w:r>
              <w:rPr>
                <w:webHidden/>
                <w:rStyle w:val="IndexLink"/>
                <w:rtl w:val="true"/>
              </w:rPr>
              <w:t>اشارة</w:t>
            </w:r>
            <w:r>
              <w:rPr>
                <w:rStyle w:val="IndexLink"/>
                <w:rtl w:val="true"/>
              </w:rPr>
              <w:tab/>
            </w:r>
            <w:r>
              <w:rPr>
                <w:rStyle w:val="IndexLink"/>
              </w:rPr>
              <w:t>190</w:t>
            </w:r>
          </w:hyperlink>
        </w:p>
        <w:p>
          <w:pPr>
            <w:pStyle w:val="Contents6"/>
            <w:tabs>
              <w:tab w:val="clear" w:pos="7609"/>
              <w:tab w:val="right" w:pos="9026" w:leader="dot"/>
            </w:tabs>
            <w:rPr/>
          </w:pPr>
          <w:hyperlink w:anchor="__RefHeading___Toc212774_2142443653">
            <w:r>
              <w:rPr>
                <w:webHidden/>
                <w:rStyle w:val="IndexLink"/>
                <w:rtl w:val="true"/>
              </w:rPr>
              <w:t>اختصاص التعفير بالإناء دون غيره</w:t>
            </w:r>
            <w:r>
              <w:rPr>
                <w:rStyle w:val="IndexLink"/>
                <w:rtl w:val="true"/>
              </w:rPr>
              <w:tab/>
            </w:r>
            <w:r>
              <w:rPr>
                <w:rStyle w:val="IndexLink"/>
              </w:rPr>
              <w:t>193</w:t>
            </w:r>
          </w:hyperlink>
        </w:p>
        <w:p>
          <w:pPr>
            <w:pStyle w:val="Contents6"/>
            <w:tabs>
              <w:tab w:val="clear" w:pos="7609"/>
              <w:tab w:val="right" w:pos="9026" w:leader="dot"/>
            </w:tabs>
            <w:rPr/>
          </w:pPr>
          <w:hyperlink w:anchor="__RefHeading___Toc212776_2142443653">
            <w:r>
              <w:rPr>
                <w:webHidden/>
                <w:rStyle w:val="IndexLink"/>
                <w:rtl w:val="true"/>
              </w:rPr>
              <w:t xml:space="preserve">الثاني </w:t>
            </w:r>
            <w:r>
              <w:rPr>
                <w:rStyle w:val="IndexLink"/>
                <w:rtl w:val="true"/>
              </w:rPr>
              <w:t xml:space="preserve">: </w:t>
            </w:r>
            <w:r>
              <w:rPr>
                <w:rStyle w:val="IndexLink"/>
                <w:rtl w:val="true"/>
              </w:rPr>
              <w:t>في مزج التراب بالماء</w:t>
            </w:r>
            <w:r>
              <w:rPr>
                <w:rStyle w:val="IndexLink"/>
                <w:rtl w:val="true"/>
              </w:rPr>
              <w:tab/>
            </w:r>
            <w:r>
              <w:rPr>
                <w:rStyle w:val="IndexLink"/>
              </w:rPr>
              <w:t>194</w:t>
            </w:r>
          </w:hyperlink>
        </w:p>
        <w:p>
          <w:pPr>
            <w:pStyle w:val="Contents6"/>
            <w:tabs>
              <w:tab w:val="clear" w:pos="7609"/>
              <w:tab w:val="right" w:pos="9026" w:leader="dot"/>
            </w:tabs>
            <w:rPr/>
          </w:pPr>
          <w:hyperlink w:anchor="__RefHeading___Toc212778_2142443653">
            <w:r>
              <w:rPr>
                <w:webHidden/>
                <w:rStyle w:val="IndexLink"/>
                <w:rtl w:val="true"/>
              </w:rPr>
              <w:t xml:space="preserve">الثالث </w:t>
            </w:r>
            <w:r>
              <w:rPr>
                <w:rStyle w:val="IndexLink"/>
                <w:rtl w:val="true"/>
              </w:rPr>
              <w:t xml:space="preserve">: </w:t>
            </w:r>
            <w:r>
              <w:rPr>
                <w:rStyle w:val="IndexLink"/>
                <w:rtl w:val="true"/>
              </w:rPr>
              <w:t>في قيام غير التراب مقامه في التعفير</w:t>
            </w:r>
            <w:r>
              <w:rPr>
                <w:rStyle w:val="IndexLink"/>
                <w:rtl w:val="true"/>
              </w:rPr>
              <w:tab/>
            </w:r>
            <w:r>
              <w:rPr>
                <w:rStyle w:val="IndexLink"/>
              </w:rPr>
              <w:t>197</w:t>
            </w:r>
          </w:hyperlink>
        </w:p>
        <w:p>
          <w:pPr>
            <w:pStyle w:val="Contents6"/>
            <w:tabs>
              <w:tab w:val="clear" w:pos="7609"/>
              <w:tab w:val="right" w:pos="9026" w:leader="dot"/>
            </w:tabs>
            <w:rPr/>
          </w:pPr>
          <w:hyperlink w:anchor="__RefHeading___Toc212780_2142443653">
            <w:r>
              <w:rPr>
                <w:webHidden/>
                <w:rStyle w:val="IndexLink"/>
                <w:rtl w:val="true"/>
              </w:rPr>
              <w:t>اشارة</w:t>
            </w:r>
            <w:r>
              <w:rPr>
                <w:rStyle w:val="IndexLink"/>
                <w:rtl w:val="true"/>
              </w:rPr>
              <w:tab/>
            </w:r>
            <w:r>
              <w:rPr>
                <w:rStyle w:val="IndexLink"/>
              </w:rPr>
              <w:t>197</w:t>
            </w:r>
          </w:hyperlink>
        </w:p>
        <w:p>
          <w:pPr>
            <w:pStyle w:val="Contents6"/>
            <w:tabs>
              <w:tab w:val="clear" w:pos="7609"/>
              <w:tab w:val="right" w:pos="9026" w:leader="dot"/>
            </w:tabs>
            <w:rPr/>
          </w:pPr>
          <w:hyperlink w:anchor="__RefHeading___Toc212782_2142443653">
            <w:r>
              <w:rPr>
                <w:webHidden/>
                <w:rStyle w:val="IndexLink"/>
                <w:rtl w:val="true"/>
              </w:rPr>
              <w:t>عدم سقوط التعفير عند فقد التراب</w:t>
            </w:r>
            <w:r>
              <w:rPr>
                <w:rStyle w:val="IndexLink"/>
                <w:rtl w:val="true"/>
              </w:rPr>
              <w:tab/>
            </w:r>
            <w:r>
              <w:rPr>
                <w:rStyle w:val="IndexLink"/>
              </w:rPr>
              <w:t>199</w:t>
            </w:r>
          </w:hyperlink>
        </w:p>
        <w:p>
          <w:pPr>
            <w:pStyle w:val="Contents6"/>
            <w:tabs>
              <w:tab w:val="clear" w:pos="7609"/>
              <w:tab w:val="right" w:pos="9026" w:leader="dot"/>
            </w:tabs>
            <w:rPr/>
          </w:pPr>
          <w:hyperlink w:anchor="__RefHeading___Toc212784_2142443653">
            <w:r>
              <w:rPr>
                <w:webHidden/>
                <w:rStyle w:val="IndexLink"/>
                <w:rtl w:val="true"/>
              </w:rPr>
              <w:t xml:space="preserve">الرابع </w:t>
            </w:r>
            <w:r>
              <w:rPr>
                <w:rStyle w:val="IndexLink"/>
                <w:rtl w:val="true"/>
              </w:rPr>
              <w:t xml:space="preserve">: </w:t>
            </w:r>
            <w:r>
              <w:rPr>
                <w:rStyle w:val="IndexLink"/>
                <w:rtl w:val="true"/>
              </w:rPr>
              <w:t>في صور العجز عن التعفير وأحكامها</w:t>
            </w:r>
            <w:r>
              <w:rPr>
                <w:rStyle w:val="IndexLink"/>
                <w:rtl w:val="true"/>
              </w:rPr>
              <w:tab/>
            </w:r>
            <w:r>
              <w:rPr>
                <w:rStyle w:val="IndexLink"/>
              </w:rPr>
              <w:t>200</w:t>
            </w:r>
          </w:hyperlink>
        </w:p>
        <w:p>
          <w:pPr>
            <w:pStyle w:val="Contents6"/>
            <w:tabs>
              <w:tab w:val="clear" w:pos="7609"/>
              <w:tab w:val="right" w:pos="9026" w:leader="dot"/>
            </w:tabs>
            <w:rPr/>
          </w:pPr>
          <w:hyperlink w:anchor="__RefHeading___Toc212786_2142443653">
            <w:r>
              <w:rPr>
                <w:webHidden/>
                <w:rStyle w:val="IndexLink"/>
                <w:rtl w:val="true"/>
              </w:rPr>
              <w:t xml:space="preserve">الخامس </w:t>
            </w:r>
            <w:r>
              <w:rPr>
                <w:rStyle w:val="IndexLink"/>
                <w:rtl w:val="true"/>
              </w:rPr>
              <w:t xml:space="preserve">: </w:t>
            </w:r>
            <w:r>
              <w:rPr>
                <w:rStyle w:val="IndexLink"/>
                <w:rtl w:val="true"/>
              </w:rPr>
              <w:t>عدم سقوط التعفير والعدد عند الغسل بالماء الكثير والجاري</w:t>
            </w:r>
            <w:r>
              <w:rPr>
                <w:rStyle w:val="IndexLink"/>
                <w:rtl w:val="true"/>
              </w:rPr>
              <w:tab/>
            </w:r>
            <w:r>
              <w:rPr>
                <w:rStyle w:val="IndexLink"/>
              </w:rPr>
              <w:t>203</w:t>
            </w:r>
          </w:hyperlink>
        </w:p>
        <w:p>
          <w:pPr>
            <w:pStyle w:val="Contents4"/>
            <w:tabs>
              <w:tab w:val="clear" w:pos="8176"/>
              <w:tab w:val="right" w:pos="9026" w:leader="dot"/>
            </w:tabs>
            <w:rPr/>
          </w:pPr>
          <w:hyperlink w:anchor="__RefHeading___Toc212788_2142443653">
            <w:r>
              <w:rPr>
                <w:webHidden/>
                <w:rStyle w:val="IndexLink"/>
                <w:rtl w:val="true"/>
              </w:rPr>
              <w:t xml:space="preserve">المسألة الثانية </w:t>
            </w:r>
            <w:r>
              <w:rPr>
                <w:rStyle w:val="IndexLink"/>
                <w:rtl w:val="true"/>
              </w:rPr>
              <w:t xml:space="preserve">: </w:t>
            </w:r>
            <w:r>
              <w:rPr>
                <w:rStyle w:val="IndexLink"/>
                <w:rtl w:val="true"/>
              </w:rPr>
              <w:t>في تطهير إناء الخنزير أو الخمر أو ما مات فيه جُرَذ</w:t>
            </w:r>
            <w:r>
              <w:rPr>
                <w:rStyle w:val="IndexLink"/>
                <w:rtl w:val="true"/>
              </w:rPr>
              <w:tab/>
            </w:r>
            <w:r>
              <w:rPr>
                <w:rStyle w:val="IndexLink"/>
              </w:rPr>
              <w:t>206</w:t>
            </w:r>
          </w:hyperlink>
        </w:p>
        <w:p>
          <w:pPr>
            <w:pStyle w:val="Contents4"/>
            <w:tabs>
              <w:tab w:val="clear" w:pos="8176"/>
              <w:tab w:val="right" w:pos="9026" w:leader="dot"/>
            </w:tabs>
            <w:rPr/>
          </w:pPr>
          <w:hyperlink w:anchor="__RefHeading___Toc212790_2142443653">
            <w:r>
              <w:rPr>
                <w:webHidden/>
                <w:rStyle w:val="IndexLink"/>
                <w:rtl w:val="true"/>
              </w:rPr>
              <w:t xml:space="preserve">المسألة الثالثة </w:t>
            </w:r>
            <w:r>
              <w:rPr>
                <w:rStyle w:val="IndexLink"/>
                <w:rtl w:val="true"/>
              </w:rPr>
              <w:t xml:space="preserve">: </w:t>
            </w:r>
            <w:r>
              <w:rPr>
                <w:rStyle w:val="IndexLink"/>
                <w:rtl w:val="true"/>
              </w:rPr>
              <w:t>في لزوم غسل الأواني ثلاث مرّات من سائر النجاسات</w:t>
            </w:r>
            <w:r>
              <w:rPr>
                <w:rStyle w:val="IndexLink"/>
                <w:rtl w:val="true"/>
              </w:rPr>
              <w:tab/>
            </w:r>
            <w:r>
              <w:rPr>
                <w:rStyle w:val="IndexLink"/>
              </w:rPr>
              <w:t>210</w:t>
            </w:r>
          </w:hyperlink>
        </w:p>
        <w:p>
          <w:pPr>
            <w:pStyle w:val="Contents5"/>
            <w:tabs>
              <w:tab w:val="clear" w:pos="7892"/>
              <w:tab w:val="right" w:pos="9026" w:leader="dot"/>
            </w:tabs>
            <w:rPr/>
          </w:pPr>
          <w:hyperlink w:anchor="__RefHeading___Toc212792_2142443653">
            <w:r>
              <w:rPr>
                <w:webHidden/>
                <w:rStyle w:val="IndexLink"/>
                <w:rtl w:val="true"/>
              </w:rPr>
              <w:t>اشارة</w:t>
            </w:r>
            <w:r>
              <w:rPr>
                <w:rStyle w:val="IndexLink"/>
                <w:rtl w:val="true"/>
              </w:rPr>
              <w:tab/>
            </w:r>
            <w:r>
              <w:rPr>
                <w:rStyle w:val="IndexLink"/>
              </w:rPr>
              <w:t>210</w:t>
            </w:r>
          </w:hyperlink>
        </w:p>
        <w:p>
          <w:pPr>
            <w:pStyle w:val="Contents5"/>
            <w:tabs>
              <w:tab w:val="clear" w:pos="7892"/>
              <w:tab w:val="right" w:pos="9026" w:leader="dot"/>
            </w:tabs>
            <w:rPr/>
          </w:pPr>
          <w:hyperlink w:anchor="__RefHeading___Toc212794_2142443653">
            <w:r>
              <w:rPr>
                <w:webHidden/>
                <w:rStyle w:val="IndexLink"/>
                <w:rtl w:val="true"/>
              </w:rPr>
              <w:t>لزوم التعدّد حتّى مع الغسل بالكثير والجاري والمطر</w:t>
            </w:r>
            <w:r>
              <w:rPr>
                <w:rStyle w:val="IndexLink"/>
                <w:rtl w:val="true"/>
              </w:rPr>
              <w:tab/>
            </w:r>
            <w:r>
              <w:rPr>
                <w:rStyle w:val="IndexLink"/>
              </w:rPr>
              <w:t>213</w:t>
            </w:r>
          </w:hyperlink>
        </w:p>
        <w:p>
          <w:pPr>
            <w:pStyle w:val="Contents5"/>
            <w:tabs>
              <w:tab w:val="clear" w:pos="7892"/>
              <w:tab w:val="right" w:pos="9026" w:leader="dot"/>
            </w:tabs>
            <w:rPr/>
          </w:pPr>
          <w:hyperlink w:anchor="__RefHeading___Toc212796_2142443653">
            <w:r>
              <w:rPr>
                <w:webHidden/>
                <w:rStyle w:val="IndexLink"/>
                <w:rtl w:val="true"/>
              </w:rPr>
              <w:t>فائدة استطرادية في أحكام الأواني والجلود</w:t>
            </w:r>
            <w:r>
              <w:rPr>
                <w:rStyle w:val="IndexLink"/>
                <w:rtl w:val="true"/>
              </w:rPr>
              <w:tab/>
            </w:r>
            <w:r>
              <w:rPr>
                <w:rStyle w:val="IndexLink"/>
              </w:rPr>
              <w:t>214</w:t>
            </w:r>
          </w:hyperlink>
        </w:p>
        <w:p>
          <w:pPr>
            <w:pStyle w:val="Contents6"/>
            <w:tabs>
              <w:tab w:val="clear" w:pos="7609"/>
              <w:tab w:val="right" w:pos="9026" w:leader="dot"/>
            </w:tabs>
            <w:rPr/>
          </w:pPr>
          <w:hyperlink w:anchor="__RefHeading___Toc212798_2142443653">
            <w:r>
              <w:rPr>
                <w:webHidden/>
                <w:rStyle w:val="IndexLink"/>
                <w:rtl w:val="true"/>
              </w:rPr>
              <w:t>اشارة</w:t>
            </w:r>
            <w:r>
              <w:rPr>
                <w:rStyle w:val="IndexLink"/>
                <w:rtl w:val="true"/>
              </w:rPr>
              <w:tab/>
            </w:r>
            <w:r>
              <w:rPr>
                <w:rStyle w:val="IndexLink"/>
              </w:rPr>
              <w:t>214</w:t>
            </w:r>
          </w:hyperlink>
        </w:p>
        <w:p>
          <w:pPr>
            <w:pStyle w:val="Contents6"/>
            <w:tabs>
              <w:tab w:val="clear" w:pos="7609"/>
              <w:tab w:val="right" w:pos="9026" w:leader="dot"/>
            </w:tabs>
            <w:rPr/>
          </w:pPr>
          <w:hyperlink w:anchor="__RefHeading___Toc212800_2142443653">
            <w:r>
              <w:rPr>
                <w:webHidden/>
                <w:rStyle w:val="IndexLink"/>
                <w:rtl w:val="true"/>
              </w:rPr>
              <w:t xml:space="preserve">المسألة الاُولى </w:t>
            </w:r>
            <w:r>
              <w:rPr>
                <w:rStyle w:val="IndexLink"/>
                <w:rtl w:val="true"/>
              </w:rPr>
              <w:t xml:space="preserve">: </w:t>
            </w:r>
            <w:r>
              <w:rPr>
                <w:rStyle w:val="IndexLink"/>
                <w:rtl w:val="true"/>
              </w:rPr>
              <w:t>حكم استعمال آنية الذهب والفضّة</w:t>
            </w:r>
            <w:r>
              <w:rPr>
                <w:rStyle w:val="IndexLink"/>
                <w:rtl w:val="true"/>
              </w:rPr>
              <w:tab/>
            </w:r>
            <w:r>
              <w:rPr>
                <w:rStyle w:val="IndexLink"/>
              </w:rPr>
              <w:t>214</w:t>
            </w:r>
          </w:hyperlink>
        </w:p>
        <w:p>
          <w:pPr>
            <w:pStyle w:val="Contents6"/>
            <w:tabs>
              <w:tab w:val="clear" w:pos="7609"/>
              <w:tab w:val="right" w:pos="9026" w:leader="dot"/>
            </w:tabs>
            <w:rPr/>
          </w:pPr>
          <w:hyperlink w:anchor="__RefHeading___Toc212802_2142443653">
            <w:r>
              <w:rPr>
                <w:webHidden/>
                <w:rStyle w:val="IndexLink"/>
                <w:rtl w:val="true"/>
              </w:rPr>
              <w:t>اشارة</w:t>
            </w:r>
            <w:r>
              <w:rPr>
                <w:rStyle w:val="IndexLink"/>
                <w:rtl w:val="true"/>
              </w:rPr>
              <w:tab/>
            </w:r>
            <w:r>
              <w:rPr>
                <w:rStyle w:val="IndexLink"/>
              </w:rPr>
              <w:t>214</w:t>
            </w:r>
          </w:hyperlink>
        </w:p>
        <w:p>
          <w:pPr>
            <w:pStyle w:val="Contents6"/>
            <w:tabs>
              <w:tab w:val="clear" w:pos="7609"/>
              <w:tab w:val="right" w:pos="9026" w:leader="dot"/>
            </w:tabs>
            <w:rPr/>
          </w:pPr>
          <w:hyperlink w:anchor="__RefHeading___Toc212804_2142443653">
            <w:r>
              <w:rPr>
                <w:webHidden/>
                <w:rStyle w:val="IndexLink"/>
                <w:rtl w:val="true"/>
              </w:rPr>
              <w:t>في التمسّك بالروايات لإثبات حرمة الأكل والشرب</w:t>
            </w:r>
            <w:r>
              <w:rPr>
                <w:rStyle w:val="IndexLink"/>
                <w:rtl w:val="true"/>
              </w:rPr>
              <w:tab/>
            </w:r>
            <w:r>
              <w:rPr>
                <w:rStyle w:val="IndexLink"/>
              </w:rPr>
              <w:t>214</w:t>
            </w:r>
          </w:hyperlink>
        </w:p>
        <w:p>
          <w:pPr>
            <w:pStyle w:val="Contents6"/>
            <w:tabs>
              <w:tab w:val="clear" w:pos="7609"/>
              <w:tab w:val="right" w:pos="9026" w:leader="dot"/>
            </w:tabs>
            <w:rPr/>
          </w:pPr>
          <w:hyperlink w:anchor="__RefHeading___Toc212806_2142443653">
            <w:r>
              <w:rPr>
                <w:webHidden/>
                <w:rStyle w:val="IndexLink"/>
                <w:rtl w:val="true"/>
              </w:rPr>
              <w:t>بيان حكم سائر الاستعمالات على ضوء الأخبار</w:t>
            </w:r>
            <w:r>
              <w:rPr>
                <w:rStyle w:val="IndexLink"/>
                <w:rtl w:val="true"/>
              </w:rPr>
              <w:tab/>
            </w:r>
            <w:r>
              <w:rPr>
                <w:rStyle w:val="IndexLink"/>
              </w:rPr>
              <w:t>218</w:t>
            </w:r>
          </w:hyperlink>
        </w:p>
        <w:p>
          <w:pPr>
            <w:pStyle w:val="Contents6"/>
            <w:tabs>
              <w:tab w:val="clear" w:pos="7609"/>
              <w:tab w:val="right" w:pos="9026" w:leader="dot"/>
            </w:tabs>
            <w:rPr/>
          </w:pPr>
          <w:hyperlink w:anchor="__RefHeading___Toc212808_2142443653">
            <w:r>
              <w:rPr>
                <w:webHidden/>
                <w:rStyle w:val="IndexLink"/>
                <w:rtl w:val="true"/>
              </w:rPr>
              <w:t>حكم الاستعمالات غير المتعارفة والتزيين والاقتناء</w:t>
            </w:r>
            <w:r>
              <w:rPr>
                <w:rStyle w:val="IndexLink"/>
                <w:rtl w:val="true"/>
              </w:rPr>
              <w:tab/>
            </w:r>
            <w:r>
              <w:rPr>
                <w:rStyle w:val="IndexLink"/>
              </w:rPr>
              <w:t>220</w:t>
            </w:r>
          </w:hyperlink>
        </w:p>
        <w:p>
          <w:pPr>
            <w:pStyle w:val="Contents6"/>
            <w:tabs>
              <w:tab w:val="clear" w:pos="7609"/>
              <w:tab w:val="right" w:pos="9026" w:leader="dot"/>
            </w:tabs>
            <w:rPr/>
          </w:pPr>
          <w:hyperlink w:anchor="__RefHeading___Toc212810_2142443653">
            <w:r>
              <w:rPr>
                <w:webHidden/>
                <w:rStyle w:val="IndexLink"/>
                <w:rtl w:val="true"/>
              </w:rPr>
              <w:t>المختار في المقام</w:t>
            </w:r>
            <w:r>
              <w:rPr>
                <w:rStyle w:val="IndexLink"/>
                <w:rtl w:val="true"/>
              </w:rPr>
              <w:tab/>
            </w:r>
            <w:r>
              <w:rPr>
                <w:rStyle w:val="IndexLink"/>
              </w:rPr>
              <w:t>226</w:t>
            </w:r>
          </w:hyperlink>
        </w:p>
        <w:p>
          <w:pPr>
            <w:pStyle w:val="Contents6"/>
            <w:tabs>
              <w:tab w:val="clear" w:pos="7609"/>
              <w:tab w:val="right" w:pos="9026" w:leader="dot"/>
            </w:tabs>
            <w:rPr/>
          </w:pPr>
          <w:hyperlink w:anchor="__RefHeading___Toc212812_2142443653">
            <w:r>
              <w:rPr>
                <w:webHidden/>
                <w:rStyle w:val="IndexLink"/>
                <w:rtl w:val="true"/>
              </w:rPr>
              <w:t>عدم حرمة الأكل والشرب من الآنية المفضّضة</w:t>
            </w:r>
            <w:r>
              <w:rPr>
                <w:rStyle w:val="IndexLink"/>
                <w:rtl w:val="true"/>
              </w:rPr>
              <w:tab/>
            </w:r>
            <w:r>
              <w:rPr>
                <w:rStyle w:val="IndexLink"/>
              </w:rPr>
              <w:t>226</w:t>
            </w:r>
          </w:hyperlink>
        </w:p>
        <w:p>
          <w:pPr>
            <w:pStyle w:val="Contents6"/>
            <w:tabs>
              <w:tab w:val="clear" w:pos="7609"/>
              <w:tab w:val="right" w:pos="9026" w:leader="dot"/>
            </w:tabs>
            <w:rPr/>
          </w:pPr>
          <w:hyperlink w:anchor="__RefHeading___Toc212814_2142443653">
            <w:r>
              <w:rPr>
                <w:webHidden/>
                <w:rStyle w:val="IndexLink"/>
                <w:rtl w:val="true"/>
              </w:rPr>
              <w:t>المسألة الثانية في أنّ المحرّم هو الأكل والشرب ونحوهما أو عنوان الاستعمال</w:t>
            </w:r>
            <w:r>
              <w:rPr>
                <w:rStyle w:val="IndexLink"/>
                <w:rtl w:val="true"/>
              </w:rPr>
              <w:tab/>
            </w:r>
            <w:r>
              <w:rPr>
                <w:rStyle w:val="IndexLink"/>
              </w:rPr>
              <w:t>228</w:t>
            </w:r>
          </w:hyperlink>
        </w:p>
        <w:p>
          <w:pPr>
            <w:pStyle w:val="Contents6"/>
            <w:tabs>
              <w:tab w:val="clear" w:pos="7609"/>
              <w:tab w:val="right" w:pos="9026" w:leader="dot"/>
            </w:tabs>
            <w:rPr/>
          </w:pPr>
          <w:hyperlink w:anchor="__RefHeading___Toc212816_2142443653">
            <w:r>
              <w:rPr>
                <w:webHidden/>
                <w:rStyle w:val="IndexLink"/>
                <w:rtl w:val="true"/>
              </w:rPr>
              <w:t>المسألة الثالثة في عدم سراية الحرمة إلى المأكول والمشروب</w:t>
            </w:r>
            <w:r>
              <w:rPr>
                <w:rStyle w:val="IndexLink"/>
                <w:rtl w:val="true"/>
              </w:rPr>
              <w:tab/>
            </w:r>
            <w:r>
              <w:rPr>
                <w:rStyle w:val="IndexLink"/>
              </w:rPr>
              <w:t>232</w:t>
            </w:r>
          </w:hyperlink>
        </w:p>
        <w:p>
          <w:pPr>
            <w:pStyle w:val="Contents6"/>
            <w:tabs>
              <w:tab w:val="clear" w:pos="7609"/>
              <w:tab w:val="right" w:pos="9026" w:leader="dot"/>
            </w:tabs>
            <w:rPr/>
          </w:pPr>
          <w:hyperlink w:anchor="__RefHeading___Toc212818_2142443653">
            <w:r>
              <w:rPr>
                <w:webHidden/>
                <w:rStyle w:val="IndexLink"/>
                <w:rtl w:val="true"/>
              </w:rPr>
              <w:t>المسألة الرابعة في الوضوء والغسل بأواني الذهب والفضّة</w:t>
            </w:r>
            <w:r>
              <w:rPr>
                <w:rStyle w:val="IndexLink"/>
                <w:rtl w:val="true"/>
              </w:rPr>
              <w:tab/>
            </w:r>
            <w:r>
              <w:rPr>
                <w:rStyle w:val="IndexLink"/>
              </w:rPr>
              <w:t>237</w:t>
            </w:r>
          </w:hyperlink>
        </w:p>
        <w:p>
          <w:pPr>
            <w:pStyle w:val="Contents6"/>
            <w:tabs>
              <w:tab w:val="clear" w:pos="7609"/>
              <w:tab w:val="right" w:pos="9026" w:leader="dot"/>
            </w:tabs>
            <w:rPr/>
          </w:pPr>
          <w:hyperlink w:anchor="__RefHeading___Toc212820_2142443653">
            <w:r>
              <w:rPr>
                <w:webHidden/>
                <w:rStyle w:val="IndexLink"/>
                <w:rtl w:val="true"/>
              </w:rPr>
              <w:t>اشارة</w:t>
            </w:r>
            <w:r>
              <w:rPr>
                <w:rStyle w:val="IndexLink"/>
                <w:rtl w:val="true"/>
              </w:rPr>
              <w:tab/>
            </w:r>
            <w:r>
              <w:rPr>
                <w:rStyle w:val="IndexLink"/>
              </w:rPr>
              <w:t>237</w:t>
            </w:r>
          </w:hyperlink>
        </w:p>
        <w:p>
          <w:pPr>
            <w:pStyle w:val="Contents6"/>
            <w:tabs>
              <w:tab w:val="clear" w:pos="7609"/>
              <w:tab w:val="right" w:pos="9026" w:leader="dot"/>
            </w:tabs>
            <w:rPr/>
          </w:pPr>
          <w:hyperlink w:anchor="__RefHeading___Toc212822_2142443653">
            <w:r>
              <w:rPr>
                <w:webHidden/>
                <w:rStyle w:val="IndexLink"/>
                <w:rtl w:val="true"/>
              </w:rPr>
              <w:t>مرجعية العرف في تشخيص الإناء</w:t>
            </w:r>
            <w:r>
              <w:rPr>
                <w:rStyle w:val="IndexLink"/>
                <w:rtl w:val="true"/>
              </w:rPr>
              <w:tab/>
            </w:r>
            <w:r>
              <w:rPr>
                <w:rStyle w:val="IndexLink"/>
              </w:rPr>
              <w:t>239</w:t>
            </w:r>
          </w:hyperlink>
        </w:p>
        <w:p>
          <w:pPr>
            <w:pStyle w:val="Contents6"/>
            <w:tabs>
              <w:tab w:val="clear" w:pos="7609"/>
              <w:tab w:val="right" w:pos="9026" w:leader="dot"/>
            </w:tabs>
            <w:rPr/>
          </w:pPr>
          <w:hyperlink w:anchor="__RefHeading___Toc212824_2142443653">
            <w:r>
              <w:rPr>
                <w:webHidden/>
                <w:rStyle w:val="IndexLink"/>
                <w:rtl w:val="true"/>
              </w:rPr>
              <w:t>المسألة الخامسة اشتراط التذكية في جواز استعمال الجلود</w:t>
            </w:r>
            <w:r>
              <w:rPr>
                <w:rStyle w:val="IndexLink"/>
                <w:rtl w:val="true"/>
              </w:rPr>
              <w:tab/>
            </w:r>
            <w:r>
              <w:rPr>
                <w:rStyle w:val="IndexLink"/>
              </w:rPr>
              <w:t>243</w:t>
            </w:r>
          </w:hyperlink>
        </w:p>
        <w:p>
          <w:pPr>
            <w:pStyle w:val="Contents6"/>
            <w:tabs>
              <w:tab w:val="clear" w:pos="7609"/>
              <w:tab w:val="right" w:pos="9026" w:leader="dot"/>
            </w:tabs>
            <w:rPr/>
          </w:pPr>
          <w:hyperlink w:anchor="__RefHeading___Toc212826_2142443653">
            <w:r>
              <w:rPr>
                <w:webHidden/>
                <w:rStyle w:val="IndexLink"/>
                <w:rtl w:val="true"/>
              </w:rPr>
              <w:t>اشارة</w:t>
            </w:r>
            <w:r>
              <w:rPr>
                <w:rStyle w:val="IndexLink"/>
                <w:rtl w:val="true"/>
              </w:rPr>
              <w:tab/>
            </w:r>
            <w:r>
              <w:rPr>
                <w:rStyle w:val="IndexLink"/>
              </w:rPr>
              <w:t>243</w:t>
            </w:r>
          </w:hyperlink>
        </w:p>
        <w:p>
          <w:pPr>
            <w:pStyle w:val="Contents6"/>
            <w:tabs>
              <w:tab w:val="clear" w:pos="7609"/>
              <w:tab w:val="right" w:pos="9026" w:leader="dot"/>
            </w:tabs>
            <w:rPr/>
          </w:pPr>
          <w:hyperlink w:anchor="__RefHeading___Toc212828_2142443653">
            <w:r>
              <w:rPr>
                <w:webHidden/>
                <w:rStyle w:val="IndexLink"/>
                <w:rtl w:val="true"/>
              </w:rPr>
              <w:t>حكم الحيوان مشكوك التذكية</w:t>
            </w:r>
            <w:r>
              <w:rPr>
                <w:rStyle w:val="IndexLink"/>
                <w:rtl w:val="true"/>
              </w:rPr>
              <w:tab/>
            </w:r>
            <w:r>
              <w:rPr>
                <w:rStyle w:val="IndexLink"/>
              </w:rPr>
              <w:t>243</w:t>
            </w:r>
          </w:hyperlink>
        </w:p>
        <w:p>
          <w:pPr>
            <w:pStyle w:val="Contents6"/>
            <w:tabs>
              <w:tab w:val="clear" w:pos="7609"/>
              <w:tab w:val="right" w:pos="9026" w:leader="dot"/>
            </w:tabs>
            <w:rPr/>
          </w:pPr>
          <w:hyperlink w:anchor="__RefHeading___Toc212830_2142443653">
            <w:r>
              <w:rPr>
                <w:webHidden/>
                <w:rStyle w:val="IndexLink"/>
                <w:rtl w:val="true"/>
              </w:rPr>
              <w:t>حول جريان أصالة عدم التذكية</w:t>
            </w:r>
            <w:r>
              <w:rPr>
                <w:rStyle w:val="IndexLink"/>
                <w:rtl w:val="true"/>
              </w:rPr>
              <w:tab/>
            </w:r>
            <w:r>
              <w:rPr>
                <w:rStyle w:val="IndexLink"/>
              </w:rPr>
              <w:t>245</w:t>
            </w:r>
          </w:hyperlink>
        </w:p>
        <w:p>
          <w:pPr>
            <w:pStyle w:val="Contents6"/>
            <w:tabs>
              <w:tab w:val="clear" w:pos="7609"/>
              <w:tab w:val="right" w:pos="9026" w:leader="dot"/>
            </w:tabs>
            <w:rPr/>
          </w:pPr>
          <w:hyperlink w:anchor="__RefHeading___Toc212832_2142443653">
            <w:r>
              <w:rPr>
                <w:webHidden/>
                <w:rStyle w:val="IndexLink"/>
                <w:rtl w:val="true"/>
              </w:rPr>
              <w:t>دلالة الأخبار على توقّف حلّية الأكل على إحراز التذكية</w:t>
            </w:r>
            <w:r>
              <w:rPr>
                <w:rStyle w:val="IndexLink"/>
                <w:rtl w:val="true"/>
              </w:rPr>
              <w:tab/>
            </w:r>
            <w:r>
              <w:rPr>
                <w:rStyle w:val="IndexLink"/>
              </w:rPr>
              <w:t>248</w:t>
            </w:r>
          </w:hyperlink>
        </w:p>
        <w:p>
          <w:pPr>
            <w:pStyle w:val="Contents6"/>
            <w:tabs>
              <w:tab w:val="clear" w:pos="7609"/>
              <w:tab w:val="right" w:pos="9026" w:leader="dot"/>
            </w:tabs>
            <w:rPr/>
          </w:pPr>
          <w:hyperlink w:anchor="__RefHeading___Toc212834_2142443653">
            <w:r>
              <w:rPr>
                <w:webHidden/>
                <w:rStyle w:val="IndexLink"/>
                <w:rtl w:val="true"/>
              </w:rPr>
              <w:t>الكلام في مقدار ما يستفاد من الأخبار السابقة</w:t>
            </w:r>
            <w:r>
              <w:rPr>
                <w:rStyle w:val="IndexLink"/>
                <w:rtl w:val="true"/>
              </w:rPr>
              <w:tab/>
            </w:r>
            <w:r>
              <w:rPr>
                <w:rStyle w:val="IndexLink"/>
              </w:rPr>
              <w:t>251</w:t>
            </w:r>
          </w:hyperlink>
        </w:p>
        <w:p>
          <w:pPr>
            <w:pStyle w:val="Contents6"/>
            <w:tabs>
              <w:tab w:val="clear" w:pos="7609"/>
              <w:tab w:val="right" w:pos="9026" w:leader="dot"/>
            </w:tabs>
            <w:rPr/>
          </w:pPr>
          <w:hyperlink w:anchor="__RefHeading___Toc212836_2142443653">
            <w:r>
              <w:rPr>
                <w:webHidden/>
                <w:rStyle w:val="IndexLink"/>
                <w:rtl w:val="true"/>
              </w:rPr>
              <w:t>حكم الصلاة في مشكوك التذكية</w:t>
            </w:r>
            <w:r>
              <w:rPr>
                <w:rStyle w:val="IndexLink"/>
                <w:rtl w:val="true"/>
              </w:rPr>
              <w:tab/>
            </w:r>
            <w:r>
              <w:rPr>
                <w:rStyle w:val="IndexLink"/>
              </w:rPr>
              <w:t>254</w:t>
            </w:r>
          </w:hyperlink>
        </w:p>
        <w:p>
          <w:pPr>
            <w:pStyle w:val="Contents6"/>
            <w:tabs>
              <w:tab w:val="clear" w:pos="7609"/>
              <w:tab w:val="right" w:pos="9026" w:leader="dot"/>
            </w:tabs>
            <w:rPr/>
          </w:pPr>
          <w:hyperlink w:anchor="__RefHeading___Toc212838_2142443653">
            <w:r>
              <w:rPr>
                <w:webHidden/>
                <w:rStyle w:val="IndexLink"/>
                <w:rtl w:val="true"/>
              </w:rPr>
              <w:t>وجوه الجمع بين الطوائف السابقة من الأخبار</w:t>
            </w:r>
            <w:r>
              <w:rPr>
                <w:rStyle w:val="IndexLink"/>
                <w:rtl w:val="true"/>
              </w:rPr>
              <w:tab/>
            </w:r>
            <w:r>
              <w:rPr>
                <w:rStyle w:val="IndexLink"/>
              </w:rPr>
              <w:t>258</w:t>
            </w:r>
          </w:hyperlink>
        </w:p>
        <w:p>
          <w:pPr>
            <w:pStyle w:val="Contents6"/>
            <w:tabs>
              <w:tab w:val="clear" w:pos="7609"/>
              <w:tab w:val="right" w:pos="9026" w:leader="dot"/>
            </w:tabs>
            <w:rPr/>
          </w:pPr>
          <w:hyperlink w:anchor="__RefHeading___Toc212840_2142443653">
            <w:r>
              <w:rPr>
                <w:webHidden/>
                <w:rStyle w:val="IndexLink"/>
                <w:rtl w:val="true"/>
              </w:rPr>
              <w:t>أمارية سوق المسلمين على التذكية وإن كانوا مستحلّين لغير المذكّى</w:t>
            </w:r>
            <w:r>
              <w:rPr>
                <w:rStyle w:val="IndexLink"/>
                <w:rtl w:val="true"/>
              </w:rPr>
              <w:tab/>
            </w:r>
            <w:r>
              <w:rPr>
                <w:rStyle w:val="IndexLink"/>
              </w:rPr>
              <w:t>262</w:t>
            </w:r>
          </w:hyperlink>
        </w:p>
        <w:p>
          <w:pPr>
            <w:pStyle w:val="Contents6"/>
            <w:tabs>
              <w:tab w:val="clear" w:pos="7609"/>
              <w:tab w:val="right" w:pos="9026" w:leader="dot"/>
            </w:tabs>
            <w:rPr/>
          </w:pPr>
          <w:hyperlink w:anchor="__RefHeading___Toc212842_2142443653">
            <w:r>
              <w:rPr>
                <w:webHidden/>
                <w:rStyle w:val="IndexLink"/>
                <w:rtl w:val="true"/>
              </w:rPr>
              <w:t>أمارية سوق المسلمين ومجتمعهم وإن كان البائع كافراً</w:t>
            </w:r>
            <w:r>
              <w:rPr>
                <w:rStyle w:val="IndexLink"/>
                <w:rtl w:val="true"/>
              </w:rPr>
              <w:tab/>
            </w:r>
            <w:r>
              <w:rPr>
                <w:rStyle w:val="IndexLink"/>
              </w:rPr>
              <w:t>263</w:t>
            </w:r>
          </w:hyperlink>
        </w:p>
        <w:p>
          <w:pPr>
            <w:pStyle w:val="Contents6"/>
            <w:tabs>
              <w:tab w:val="clear" w:pos="7609"/>
              <w:tab w:val="right" w:pos="9026" w:leader="dot"/>
            </w:tabs>
            <w:rPr/>
          </w:pPr>
          <w:hyperlink w:anchor="__RefHeading___Toc212844_2142443653">
            <w:r>
              <w:rPr>
                <w:webHidden/>
                <w:rStyle w:val="IndexLink"/>
                <w:rtl w:val="true"/>
              </w:rPr>
              <w:t>أمارية سوق المسلمين على التذكية بلا وسط</w:t>
            </w:r>
            <w:r>
              <w:rPr>
                <w:rStyle w:val="IndexLink"/>
                <w:rtl w:val="true"/>
              </w:rPr>
              <w:tab/>
            </w:r>
            <w:r>
              <w:rPr>
                <w:rStyle w:val="IndexLink"/>
              </w:rPr>
              <w:t>267</w:t>
            </w:r>
          </w:hyperlink>
        </w:p>
        <w:p>
          <w:pPr>
            <w:pStyle w:val="Contents6"/>
            <w:tabs>
              <w:tab w:val="clear" w:pos="7609"/>
              <w:tab w:val="right" w:pos="9026" w:leader="dot"/>
            </w:tabs>
            <w:rPr/>
          </w:pPr>
          <w:hyperlink w:anchor="__RefHeading___Toc212846_2142443653">
            <w:r>
              <w:rPr>
                <w:webHidden/>
                <w:rStyle w:val="IndexLink"/>
                <w:rtl w:val="true"/>
              </w:rPr>
              <w:t>حول أمارية يد المسلم على التذكية</w:t>
            </w:r>
            <w:r>
              <w:rPr>
                <w:rStyle w:val="IndexLink"/>
                <w:rtl w:val="true"/>
              </w:rPr>
              <w:tab/>
            </w:r>
            <w:r>
              <w:rPr>
                <w:rStyle w:val="IndexLink"/>
              </w:rPr>
              <w:t>267</w:t>
            </w:r>
          </w:hyperlink>
        </w:p>
        <w:p>
          <w:pPr>
            <w:pStyle w:val="Contents6"/>
            <w:tabs>
              <w:tab w:val="clear" w:pos="7609"/>
              <w:tab w:val="right" w:pos="9026" w:leader="dot"/>
            </w:tabs>
            <w:rPr/>
          </w:pPr>
          <w:hyperlink w:anchor="__RefHeading___Toc212848_2142443653">
            <w:r>
              <w:rPr>
                <w:webHidden/>
                <w:rStyle w:val="IndexLink"/>
                <w:rtl w:val="true"/>
              </w:rPr>
              <w:t>اعتبار السوق واليد لأجل التوسعة على العباد لا الأمارية</w:t>
            </w:r>
            <w:r>
              <w:rPr>
                <w:rStyle w:val="IndexLink"/>
                <w:rtl w:val="true"/>
              </w:rPr>
              <w:tab/>
            </w:r>
            <w:r>
              <w:rPr>
                <w:rStyle w:val="IndexLink"/>
              </w:rPr>
              <w:t>272</w:t>
            </w:r>
          </w:hyperlink>
        </w:p>
        <w:p>
          <w:pPr>
            <w:pStyle w:val="Contents3"/>
            <w:tabs>
              <w:tab w:val="clear" w:pos="8459"/>
              <w:tab w:val="right" w:pos="9026" w:leader="dot"/>
            </w:tabs>
            <w:rPr/>
          </w:pPr>
          <w:hyperlink w:anchor="__RefHeading___Toc212850_2142443653">
            <w:r>
              <w:rPr>
                <w:webHidden/>
                <w:rStyle w:val="IndexLink"/>
                <w:rtl w:val="true"/>
              </w:rPr>
              <w:t>المطلب السادس</w:t>
            </w:r>
            <w:r>
              <w:rPr>
                <w:rStyle w:val="IndexLink"/>
                <w:rtl w:val="true"/>
              </w:rPr>
              <w:t xml:space="preserve">: </w:t>
            </w:r>
            <w:r>
              <w:rPr>
                <w:rStyle w:val="IndexLink"/>
                <w:rtl w:val="true"/>
              </w:rPr>
              <w:t>في ثبوت الطهارة والنجاسة وسائر الموضوعات الخارجية بالعلم وما قام مقامه</w:t>
            </w:r>
            <w:r>
              <w:rPr>
                <w:rStyle w:val="IndexLink"/>
                <w:rtl w:val="true"/>
              </w:rPr>
              <w:tab/>
            </w:r>
            <w:r>
              <w:rPr>
                <w:rStyle w:val="IndexLink"/>
              </w:rPr>
              <w:t>276</w:t>
            </w:r>
          </w:hyperlink>
        </w:p>
        <w:p>
          <w:pPr>
            <w:pStyle w:val="Contents4"/>
            <w:tabs>
              <w:tab w:val="clear" w:pos="8176"/>
              <w:tab w:val="right" w:pos="9026" w:leader="dot"/>
            </w:tabs>
            <w:rPr/>
          </w:pPr>
          <w:hyperlink w:anchor="__RefHeading___Toc212852_2142443653">
            <w:r>
              <w:rPr>
                <w:webHidden/>
                <w:rStyle w:val="IndexLink"/>
                <w:rtl w:val="true"/>
              </w:rPr>
              <w:t>اشارة</w:t>
            </w:r>
            <w:r>
              <w:rPr>
                <w:rStyle w:val="IndexLink"/>
                <w:rtl w:val="true"/>
              </w:rPr>
              <w:tab/>
            </w:r>
            <w:r>
              <w:rPr>
                <w:rStyle w:val="IndexLink"/>
              </w:rPr>
              <w:t>276</w:t>
            </w:r>
          </w:hyperlink>
        </w:p>
        <w:p>
          <w:pPr>
            <w:pStyle w:val="Contents4"/>
            <w:tabs>
              <w:tab w:val="clear" w:pos="8176"/>
              <w:tab w:val="right" w:pos="9026" w:leader="dot"/>
            </w:tabs>
            <w:rPr/>
          </w:pPr>
          <w:hyperlink w:anchor="__RefHeading___Toc212854_2142443653">
            <w:r>
              <w:rPr>
                <w:webHidden/>
                <w:rStyle w:val="IndexLink"/>
                <w:rtl w:val="true"/>
              </w:rPr>
              <w:t>في عدم ثبوت النجاسة وسائر الموضوعات بخبر الثقة</w:t>
            </w:r>
            <w:r>
              <w:rPr>
                <w:rStyle w:val="IndexLink"/>
                <w:rtl w:val="true"/>
              </w:rPr>
              <w:tab/>
            </w:r>
            <w:r>
              <w:rPr>
                <w:rStyle w:val="IndexLink"/>
              </w:rPr>
              <w:t>282</w:t>
            </w:r>
          </w:hyperlink>
        </w:p>
        <w:p>
          <w:pPr>
            <w:pStyle w:val="Contents4"/>
            <w:tabs>
              <w:tab w:val="clear" w:pos="8176"/>
              <w:tab w:val="right" w:pos="9026" w:leader="dot"/>
            </w:tabs>
            <w:rPr/>
          </w:pPr>
          <w:hyperlink w:anchor="__RefHeading___Toc212856_2142443653">
            <w:r>
              <w:rPr>
                <w:webHidden/>
                <w:rStyle w:val="IndexLink"/>
                <w:rtl w:val="true"/>
              </w:rPr>
              <w:t>في ثبوت النجاسة وسائر الموضوعات بإخبار ذي اليد</w:t>
            </w:r>
            <w:r>
              <w:rPr>
                <w:rStyle w:val="IndexLink"/>
                <w:rtl w:val="true"/>
              </w:rPr>
              <w:tab/>
            </w:r>
            <w:r>
              <w:rPr>
                <w:rStyle w:val="IndexLink"/>
              </w:rPr>
              <w:t>289</w:t>
            </w:r>
          </w:hyperlink>
        </w:p>
        <w:p>
          <w:pPr>
            <w:pStyle w:val="Contents3"/>
            <w:tabs>
              <w:tab w:val="clear" w:pos="8459"/>
              <w:tab w:val="right" w:pos="9026" w:leader="dot"/>
            </w:tabs>
            <w:rPr/>
          </w:pPr>
          <w:hyperlink w:anchor="__RefHeading___Toc212858_2142443653">
            <w:r>
              <w:rPr>
                <w:webHidden/>
                <w:rStyle w:val="IndexLink"/>
                <w:rtl w:val="true"/>
              </w:rPr>
              <w:t>المطلب السابع</w:t>
            </w:r>
            <w:r>
              <w:rPr>
                <w:rStyle w:val="IndexLink"/>
                <w:rtl w:val="true"/>
              </w:rPr>
              <w:t xml:space="preserve">: </w:t>
            </w:r>
            <w:r>
              <w:rPr>
                <w:rStyle w:val="IndexLink"/>
                <w:rtl w:val="true"/>
              </w:rPr>
              <w:t>في بطلان الصلاة الواقعة في النجس</w:t>
            </w:r>
            <w:r>
              <w:rPr>
                <w:rStyle w:val="IndexLink"/>
                <w:rtl w:val="true"/>
              </w:rPr>
              <w:tab/>
            </w:r>
            <w:r>
              <w:rPr>
                <w:rStyle w:val="IndexLink"/>
              </w:rPr>
              <w:t>294</w:t>
            </w:r>
          </w:hyperlink>
        </w:p>
        <w:p>
          <w:pPr>
            <w:pStyle w:val="Contents4"/>
            <w:tabs>
              <w:tab w:val="clear" w:pos="8176"/>
              <w:tab w:val="right" w:pos="9026" w:leader="dot"/>
            </w:tabs>
            <w:rPr/>
          </w:pPr>
          <w:hyperlink w:anchor="__RefHeading___Toc212860_2142443653">
            <w:r>
              <w:rPr>
                <w:webHidden/>
                <w:rStyle w:val="IndexLink"/>
                <w:rtl w:val="true"/>
              </w:rPr>
              <w:t>اشارة</w:t>
            </w:r>
            <w:r>
              <w:rPr>
                <w:rStyle w:val="IndexLink"/>
                <w:rtl w:val="true"/>
              </w:rPr>
              <w:tab/>
            </w:r>
            <w:r>
              <w:rPr>
                <w:rStyle w:val="IndexLink"/>
              </w:rPr>
              <w:t>294</w:t>
            </w:r>
          </w:hyperlink>
        </w:p>
        <w:p>
          <w:pPr>
            <w:pStyle w:val="Contents4"/>
            <w:tabs>
              <w:tab w:val="clear" w:pos="8176"/>
              <w:tab w:val="right" w:pos="9026" w:leader="dot"/>
            </w:tabs>
            <w:rPr/>
          </w:pPr>
          <w:hyperlink w:anchor="__RefHeading___Toc212862_2142443653">
            <w:r>
              <w:rPr>
                <w:webHidden/>
                <w:rStyle w:val="IndexLink"/>
                <w:rtl w:val="true"/>
              </w:rPr>
              <w:t>حكم الصلاة في النجس مع الجهل بالحكم</w:t>
            </w:r>
            <w:r>
              <w:rPr>
                <w:rStyle w:val="IndexLink"/>
                <w:rtl w:val="true"/>
              </w:rPr>
              <w:tab/>
            </w:r>
            <w:r>
              <w:rPr>
                <w:rStyle w:val="IndexLink"/>
              </w:rPr>
              <w:t>295</w:t>
            </w:r>
          </w:hyperlink>
        </w:p>
        <w:p>
          <w:pPr>
            <w:pStyle w:val="Contents4"/>
            <w:tabs>
              <w:tab w:val="clear" w:pos="8176"/>
              <w:tab w:val="right" w:pos="9026" w:leader="dot"/>
            </w:tabs>
            <w:rPr/>
          </w:pPr>
          <w:hyperlink w:anchor="__RefHeading___Toc212864_2142443653">
            <w:r>
              <w:rPr>
                <w:webHidden/>
                <w:rStyle w:val="IndexLink"/>
                <w:rtl w:val="true"/>
              </w:rPr>
              <w:t>حكم الصلاة في النجس مع الجهل بالموضوع</w:t>
            </w:r>
            <w:r>
              <w:rPr>
                <w:rStyle w:val="IndexLink"/>
                <w:rtl w:val="true"/>
              </w:rPr>
              <w:tab/>
            </w:r>
            <w:r>
              <w:rPr>
                <w:rStyle w:val="IndexLink"/>
              </w:rPr>
              <w:t>296</w:t>
            </w:r>
          </w:hyperlink>
        </w:p>
        <w:p>
          <w:pPr>
            <w:pStyle w:val="Contents4"/>
            <w:tabs>
              <w:tab w:val="clear" w:pos="8176"/>
              <w:tab w:val="right" w:pos="9026" w:leader="dot"/>
            </w:tabs>
            <w:rPr/>
          </w:pPr>
          <w:hyperlink w:anchor="__RefHeading___Toc212866_2142443653">
            <w:r>
              <w:rPr>
                <w:webHidden/>
                <w:rStyle w:val="IndexLink"/>
                <w:rtl w:val="true"/>
              </w:rPr>
              <w:t>في التفصيل بين التذكّر في الوقت وخارجه</w:t>
            </w:r>
            <w:r>
              <w:rPr>
                <w:rStyle w:val="IndexLink"/>
                <w:rtl w:val="true"/>
              </w:rPr>
              <w:tab/>
            </w:r>
            <w:r>
              <w:rPr>
                <w:rStyle w:val="IndexLink"/>
              </w:rPr>
              <w:t>297</w:t>
            </w:r>
          </w:hyperlink>
        </w:p>
        <w:p>
          <w:pPr>
            <w:pStyle w:val="Contents4"/>
            <w:tabs>
              <w:tab w:val="clear" w:pos="8176"/>
              <w:tab w:val="right" w:pos="9026" w:leader="dot"/>
            </w:tabs>
            <w:rPr/>
          </w:pPr>
          <w:hyperlink w:anchor="__RefHeading___Toc212868_2142443653">
            <w:r>
              <w:rPr>
                <w:webHidden/>
                <w:rStyle w:val="IndexLink"/>
                <w:rtl w:val="true"/>
              </w:rPr>
              <w:t>في التفصيل بين المتذكّر الذي لم يتفحّص وغيره</w:t>
            </w:r>
            <w:r>
              <w:rPr>
                <w:rStyle w:val="IndexLink"/>
                <w:rtl w:val="true"/>
              </w:rPr>
              <w:tab/>
            </w:r>
            <w:r>
              <w:rPr>
                <w:rStyle w:val="IndexLink"/>
              </w:rPr>
              <w:t>302</w:t>
            </w:r>
          </w:hyperlink>
        </w:p>
        <w:p>
          <w:pPr>
            <w:pStyle w:val="Contents4"/>
            <w:tabs>
              <w:tab w:val="clear" w:pos="8176"/>
              <w:tab w:val="right" w:pos="9026" w:leader="dot"/>
            </w:tabs>
            <w:rPr/>
          </w:pPr>
          <w:hyperlink w:anchor="__RefHeading___Toc212870_2142443653">
            <w:r>
              <w:rPr>
                <w:webHidden/>
                <w:rStyle w:val="IndexLink"/>
                <w:rtl w:val="true"/>
              </w:rPr>
              <w:t>حكم الصلاة فيما لو رأى النجاسة في أثنائها</w:t>
            </w:r>
            <w:r>
              <w:rPr>
                <w:rStyle w:val="IndexLink"/>
                <w:rtl w:val="true"/>
              </w:rPr>
              <w:tab/>
            </w:r>
            <w:r>
              <w:rPr>
                <w:rStyle w:val="IndexLink"/>
              </w:rPr>
              <w:t>305</w:t>
            </w:r>
          </w:hyperlink>
        </w:p>
        <w:p>
          <w:pPr>
            <w:pStyle w:val="Contents4"/>
            <w:tabs>
              <w:tab w:val="clear" w:pos="8176"/>
              <w:tab w:val="right" w:pos="9026" w:leader="dot"/>
            </w:tabs>
            <w:rPr/>
          </w:pPr>
          <w:hyperlink w:anchor="__RefHeading___Toc212872_2142443653">
            <w:r>
              <w:rPr>
                <w:webHidden/>
                <w:rStyle w:val="IndexLink"/>
                <w:rtl w:val="true"/>
              </w:rPr>
              <w:t>القول بتصحيح الصلاة في هذه الصورة وما فيه</w:t>
            </w:r>
            <w:r>
              <w:rPr>
                <w:rStyle w:val="IndexLink"/>
                <w:rtl w:val="true"/>
              </w:rPr>
              <w:tab/>
            </w:r>
            <w:r>
              <w:rPr>
                <w:rStyle w:val="IndexLink"/>
              </w:rPr>
              <w:t>305</w:t>
            </w:r>
          </w:hyperlink>
        </w:p>
        <w:p>
          <w:pPr>
            <w:pStyle w:val="Contents4"/>
            <w:tabs>
              <w:tab w:val="clear" w:pos="8176"/>
              <w:tab w:val="right" w:pos="9026" w:leader="dot"/>
            </w:tabs>
            <w:rPr/>
          </w:pPr>
          <w:hyperlink w:anchor="__RefHeading___Toc212874_2142443653">
            <w:r>
              <w:rPr>
                <w:webHidden/>
                <w:rStyle w:val="IndexLink"/>
                <w:rtl w:val="true"/>
              </w:rPr>
              <w:t>مقتضى القاعدة والروايات بطلان الصلاة في المقام</w:t>
            </w:r>
            <w:r>
              <w:rPr>
                <w:rStyle w:val="IndexLink"/>
                <w:rtl w:val="true"/>
              </w:rPr>
              <w:tab/>
            </w:r>
            <w:r>
              <w:rPr>
                <w:rStyle w:val="IndexLink"/>
              </w:rPr>
              <w:t>309</w:t>
            </w:r>
          </w:hyperlink>
        </w:p>
        <w:p>
          <w:pPr>
            <w:pStyle w:val="Contents4"/>
            <w:tabs>
              <w:tab w:val="clear" w:pos="8176"/>
              <w:tab w:val="right" w:pos="9026" w:leader="dot"/>
            </w:tabs>
            <w:rPr/>
          </w:pPr>
          <w:hyperlink w:anchor="__RefHeading___Toc212876_2142443653">
            <w:r>
              <w:rPr>
                <w:webHidden/>
                <w:rStyle w:val="IndexLink"/>
                <w:rtl w:val="true"/>
              </w:rPr>
              <w:t>حكم الصلاة مع نسيان النجاسة</w:t>
            </w:r>
            <w:r>
              <w:rPr>
                <w:rStyle w:val="IndexLink"/>
                <w:rtl w:val="true"/>
              </w:rPr>
              <w:tab/>
            </w:r>
            <w:r>
              <w:rPr>
                <w:rStyle w:val="IndexLink"/>
              </w:rPr>
              <w:t>314</w:t>
            </w:r>
          </w:hyperlink>
        </w:p>
        <w:p>
          <w:pPr>
            <w:pStyle w:val="Contents4"/>
            <w:tabs>
              <w:tab w:val="clear" w:pos="8176"/>
              <w:tab w:val="right" w:pos="9026" w:leader="dot"/>
            </w:tabs>
            <w:rPr/>
          </w:pPr>
          <w:hyperlink w:anchor="__RefHeading___Toc212878_2142443653">
            <w:r>
              <w:rPr>
                <w:webHidden/>
                <w:rStyle w:val="IndexLink"/>
                <w:rtl w:val="true"/>
              </w:rPr>
              <w:t>بيان مقتضى القواعد</w:t>
            </w:r>
            <w:r>
              <w:rPr>
                <w:rStyle w:val="IndexLink"/>
                <w:rtl w:val="true"/>
              </w:rPr>
              <w:tab/>
            </w:r>
            <w:r>
              <w:rPr>
                <w:rStyle w:val="IndexLink"/>
              </w:rPr>
              <w:t>315</w:t>
            </w:r>
          </w:hyperlink>
        </w:p>
        <w:p>
          <w:pPr>
            <w:pStyle w:val="Contents4"/>
            <w:tabs>
              <w:tab w:val="clear" w:pos="8176"/>
              <w:tab w:val="right" w:pos="9026" w:leader="dot"/>
            </w:tabs>
            <w:rPr/>
          </w:pPr>
          <w:hyperlink w:anchor="__RefHeading___Toc212880_2142443653">
            <w:r>
              <w:rPr>
                <w:webHidden/>
                <w:rStyle w:val="IndexLink"/>
                <w:rtl w:val="true"/>
              </w:rPr>
              <w:t>بيان مقتضى الروايات وتعارضها</w:t>
            </w:r>
            <w:r>
              <w:rPr>
                <w:rStyle w:val="IndexLink"/>
                <w:rtl w:val="true"/>
              </w:rPr>
              <w:tab/>
            </w:r>
            <w:r>
              <w:rPr>
                <w:rStyle w:val="IndexLink"/>
              </w:rPr>
              <w:t>317</w:t>
            </w:r>
          </w:hyperlink>
        </w:p>
        <w:p>
          <w:pPr>
            <w:pStyle w:val="Contents4"/>
            <w:tabs>
              <w:tab w:val="clear" w:pos="8176"/>
              <w:tab w:val="right" w:pos="9026" w:leader="dot"/>
            </w:tabs>
            <w:rPr/>
          </w:pPr>
          <w:hyperlink w:anchor="__RefHeading___Toc212882_2142443653">
            <w:r>
              <w:rPr>
                <w:webHidden/>
                <w:rStyle w:val="IndexLink"/>
                <w:rtl w:val="true"/>
              </w:rPr>
              <w:t>وجوه الجمع بين الروايات السابقة وإبطالها</w:t>
            </w:r>
            <w:r>
              <w:rPr>
                <w:rStyle w:val="IndexLink"/>
                <w:rtl w:val="true"/>
              </w:rPr>
              <w:tab/>
            </w:r>
            <w:r>
              <w:rPr>
                <w:rStyle w:val="IndexLink"/>
              </w:rPr>
              <w:t>319</w:t>
            </w:r>
          </w:hyperlink>
        </w:p>
        <w:p>
          <w:pPr>
            <w:pStyle w:val="Contents4"/>
            <w:tabs>
              <w:tab w:val="clear" w:pos="8176"/>
              <w:tab w:val="right" w:pos="9026" w:leader="dot"/>
            </w:tabs>
            <w:rPr/>
          </w:pPr>
          <w:hyperlink w:anchor="__RefHeading___Toc212884_2142443653">
            <w:r>
              <w:rPr>
                <w:webHidden/>
                <w:rStyle w:val="IndexLink"/>
                <w:rtl w:val="true"/>
              </w:rPr>
              <w:t>ترجيح الروايات الدالّة على وجوب الإعادة</w:t>
            </w:r>
            <w:r>
              <w:rPr>
                <w:rStyle w:val="IndexLink"/>
                <w:rtl w:val="true"/>
              </w:rPr>
              <w:tab/>
            </w:r>
            <w:r>
              <w:rPr>
                <w:rStyle w:val="IndexLink"/>
              </w:rPr>
              <w:t>322</w:t>
            </w:r>
          </w:hyperlink>
        </w:p>
        <w:p>
          <w:pPr>
            <w:pStyle w:val="Contents4"/>
            <w:tabs>
              <w:tab w:val="clear" w:pos="8176"/>
              <w:tab w:val="right" w:pos="9026" w:leader="dot"/>
            </w:tabs>
            <w:rPr/>
          </w:pPr>
          <w:hyperlink w:anchor="__RefHeading___Toc212886_2142443653">
            <w:r>
              <w:rPr>
                <w:webHidden/>
                <w:rStyle w:val="IndexLink"/>
                <w:rtl w:val="true"/>
              </w:rPr>
              <w:t>بطلان الصلاة مع العلم بالنجاسة وما يستثنى منه</w:t>
            </w:r>
            <w:r>
              <w:rPr>
                <w:rStyle w:val="IndexLink"/>
                <w:rtl w:val="true"/>
              </w:rPr>
              <w:tab/>
            </w:r>
            <w:r>
              <w:rPr>
                <w:rStyle w:val="IndexLink"/>
              </w:rPr>
              <w:t>323</w:t>
            </w:r>
          </w:hyperlink>
        </w:p>
        <w:p>
          <w:pPr>
            <w:pStyle w:val="Contents4"/>
            <w:tabs>
              <w:tab w:val="clear" w:pos="8176"/>
              <w:tab w:val="right" w:pos="9026" w:leader="dot"/>
            </w:tabs>
            <w:rPr/>
          </w:pPr>
          <w:hyperlink w:anchor="__RefHeading___Toc212888_2142443653">
            <w:r>
              <w:rPr>
                <w:webHidden/>
                <w:rStyle w:val="IndexLink"/>
                <w:rtl w:val="true"/>
              </w:rPr>
              <w:t>ثوب المربّية المتنجّس ببول المولود</w:t>
            </w:r>
            <w:r>
              <w:rPr>
                <w:rStyle w:val="IndexLink"/>
                <w:rtl w:val="true"/>
              </w:rPr>
              <w:tab/>
            </w:r>
            <w:r>
              <w:rPr>
                <w:rStyle w:val="IndexLink"/>
              </w:rPr>
              <w:t>323</w:t>
            </w:r>
          </w:hyperlink>
        </w:p>
        <w:p>
          <w:pPr>
            <w:pStyle w:val="Contents4"/>
            <w:tabs>
              <w:tab w:val="clear" w:pos="8176"/>
              <w:tab w:val="right" w:pos="9026" w:leader="dot"/>
            </w:tabs>
            <w:rPr/>
          </w:pPr>
          <w:hyperlink w:anchor="__RefHeading___Toc212890_2142443653">
            <w:r>
              <w:rPr>
                <w:webHidden/>
                <w:rStyle w:val="IndexLink"/>
                <w:rtl w:val="true"/>
              </w:rPr>
              <w:t>فرع حكم من علم إجمالاً بنجاسة أحد الثوبين</w:t>
            </w:r>
            <w:r>
              <w:rPr>
                <w:rStyle w:val="IndexLink"/>
                <w:rtl w:val="true"/>
              </w:rPr>
              <w:tab/>
            </w:r>
            <w:r>
              <w:rPr>
                <w:rStyle w:val="IndexLink"/>
              </w:rPr>
              <w:t>329</w:t>
            </w:r>
          </w:hyperlink>
        </w:p>
        <w:p>
          <w:pPr>
            <w:pStyle w:val="Contents4"/>
            <w:tabs>
              <w:tab w:val="clear" w:pos="8176"/>
              <w:tab w:val="right" w:pos="9026" w:leader="dot"/>
            </w:tabs>
            <w:rPr/>
          </w:pPr>
          <w:hyperlink w:anchor="__RefHeading___Toc212892_2142443653">
            <w:r>
              <w:rPr>
                <w:webHidden/>
                <w:rStyle w:val="IndexLink"/>
                <w:rtl w:val="true"/>
              </w:rPr>
              <w:t>حكم صورة كثرة الثياب</w:t>
            </w:r>
            <w:r>
              <w:rPr>
                <w:rStyle w:val="IndexLink"/>
                <w:rtl w:val="true"/>
              </w:rPr>
              <w:tab/>
            </w:r>
            <w:r>
              <w:rPr>
                <w:rStyle w:val="IndexLink"/>
              </w:rPr>
              <w:t>332</w:t>
            </w:r>
          </w:hyperlink>
        </w:p>
        <w:p>
          <w:pPr>
            <w:pStyle w:val="Contents4"/>
            <w:tabs>
              <w:tab w:val="clear" w:pos="8176"/>
              <w:tab w:val="right" w:pos="9026" w:leader="dot"/>
            </w:tabs>
            <w:rPr/>
          </w:pPr>
          <w:hyperlink w:anchor="__RefHeading___Toc212894_2142443653">
            <w:r>
              <w:rPr>
                <w:webHidden/>
                <w:rStyle w:val="IndexLink"/>
                <w:rtl w:val="true"/>
              </w:rPr>
              <w:t>حكم عدم التمكّن إلاّ من الإتيان بصلاة واحدة</w:t>
            </w:r>
            <w:r>
              <w:rPr>
                <w:rStyle w:val="IndexLink"/>
                <w:rtl w:val="true"/>
              </w:rPr>
              <w:tab/>
            </w:r>
            <w:r>
              <w:rPr>
                <w:rStyle w:val="IndexLink"/>
              </w:rPr>
              <w:t>332</w:t>
            </w:r>
          </w:hyperlink>
        </w:p>
        <w:p>
          <w:pPr>
            <w:pStyle w:val="Contents4"/>
            <w:tabs>
              <w:tab w:val="clear" w:pos="8176"/>
              <w:tab w:val="right" w:pos="9026" w:leader="dot"/>
            </w:tabs>
            <w:rPr/>
          </w:pPr>
          <w:hyperlink w:anchor="__RefHeading___Toc212896_2142443653">
            <w:r>
              <w:rPr>
                <w:webHidden/>
                <w:rStyle w:val="IndexLink"/>
                <w:rtl w:val="true"/>
              </w:rPr>
              <w:t>عدم سقوط القضاء عند العمل على وفق حكم العقل</w:t>
            </w:r>
            <w:r>
              <w:rPr>
                <w:rStyle w:val="IndexLink"/>
                <w:rtl w:val="true"/>
              </w:rPr>
              <w:tab/>
            </w:r>
            <w:r>
              <w:rPr>
                <w:rStyle w:val="IndexLink"/>
              </w:rPr>
              <w:t>334</w:t>
            </w:r>
          </w:hyperlink>
        </w:p>
        <w:p>
          <w:pPr>
            <w:pStyle w:val="Contents4"/>
            <w:tabs>
              <w:tab w:val="clear" w:pos="8176"/>
              <w:tab w:val="right" w:pos="9026" w:leader="dot"/>
            </w:tabs>
            <w:rPr/>
          </w:pPr>
          <w:hyperlink w:anchor="__RefHeading___Toc212898_2142443653">
            <w:r>
              <w:rPr>
                <w:webHidden/>
                <w:rStyle w:val="IndexLink"/>
                <w:rtl w:val="true"/>
              </w:rPr>
              <w:t>فرع حكم من لم يجد إلاّ ثوباً نجساً</w:t>
            </w:r>
            <w:r>
              <w:rPr>
                <w:rStyle w:val="IndexLink"/>
                <w:rtl w:val="true"/>
              </w:rPr>
              <w:tab/>
            </w:r>
            <w:r>
              <w:rPr>
                <w:rStyle w:val="IndexLink"/>
              </w:rPr>
              <w:t>336</w:t>
            </w:r>
          </w:hyperlink>
        </w:p>
        <w:p>
          <w:pPr>
            <w:pStyle w:val="Contents4"/>
            <w:tabs>
              <w:tab w:val="clear" w:pos="8176"/>
              <w:tab w:val="right" w:pos="9026" w:leader="dot"/>
            </w:tabs>
            <w:rPr/>
          </w:pPr>
          <w:hyperlink w:anchor="__RefHeading___Toc212900_2142443653">
            <w:r>
              <w:rPr>
                <w:webHidden/>
                <w:rStyle w:val="IndexLink"/>
                <w:rtl w:val="true"/>
              </w:rPr>
              <w:t>تعيّن الصلاة عارياً وردّ القول بجواز الصلاة في النجس</w:t>
            </w:r>
            <w:r>
              <w:rPr>
                <w:rStyle w:val="IndexLink"/>
                <w:rtl w:val="true"/>
              </w:rPr>
              <w:tab/>
            </w:r>
            <w:r>
              <w:rPr>
                <w:rStyle w:val="IndexLink"/>
              </w:rPr>
              <w:t>338</w:t>
            </w:r>
          </w:hyperlink>
        </w:p>
        <w:p>
          <w:pPr>
            <w:pStyle w:val="Contents3"/>
            <w:tabs>
              <w:tab w:val="clear" w:pos="8459"/>
              <w:tab w:val="right" w:pos="9026" w:leader="dot"/>
            </w:tabs>
            <w:rPr/>
          </w:pPr>
          <w:hyperlink w:anchor="__RefHeading___Toc212902_2142443653">
            <w:r>
              <w:rPr>
                <w:webHidden/>
                <w:rStyle w:val="IndexLink"/>
                <w:rtl w:val="true"/>
              </w:rPr>
              <w:t>خاتمة في باقي المطهّرات</w:t>
            </w:r>
            <w:r>
              <w:rPr>
                <w:rStyle w:val="IndexLink"/>
                <w:rtl w:val="true"/>
              </w:rPr>
              <w:tab/>
            </w:r>
            <w:r>
              <w:rPr>
                <w:rStyle w:val="IndexLink"/>
              </w:rPr>
              <w:t>345</w:t>
            </w:r>
          </w:hyperlink>
        </w:p>
        <w:p>
          <w:pPr>
            <w:pStyle w:val="Contents4"/>
            <w:tabs>
              <w:tab w:val="clear" w:pos="8176"/>
              <w:tab w:val="right" w:pos="9026" w:leader="dot"/>
            </w:tabs>
            <w:rPr/>
          </w:pPr>
          <w:hyperlink w:anchor="__RefHeading___Toc212904_2142443653">
            <w:r>
              <w:rPr>
                <w:webHidden/>
                <w:rStyle w:val="IndexLink"/>
                <w:rtl w:val="true"/>
              </w:rPr>
              <w:t>اشارة</w:t>
            </w:r>
            <w:r>
              <w:rPr>
                <w:rStyle w:val="IndexLink"/>
                <w:rtl w:val="true"/>
              </w:rPr>
              <w:tab/>
            </w:r>
            <w:r>
              <w:rPr>
                <w:rStyle w:val="IndexLink"/>
              </w:rPr>
              <w:t>345</w:t>
            </w:r>
          </w:hyperlink>
        </w:p>
        <w:p>
          <w:pPr>
            <w:pStyle w:val="Contents4"/>
            <w:tabs>
              <w:tab w:val="clear" w:pos="8176"/>
              <w:tab w:val="right" w:pos="9026" w:leader="dot"/>
            </w:tabs>
            <w:rPr/>
          </w:pPr>
          <w:hyperlink w:anchor="__RefHeading___Toc212906_2142443653">
            <w:r>
              <w:rPr>
                <w:webHidden/>
                <w:rStyle w:val="IndexLink"/>
                <w:rtl w:val="true"/>
              </w:rPr>
              <w:t>الأمر الأوّل</w:t>
            </w:r>
            <w:r>
              <w:rPr>
                <w:rStyle w:val="IndexLink"/>
                <w:rtl w:val="true"/>
              </w:rPr>
              <w:t xml:space="preserve">: </w:t>
            </w:r>
            <w:r>
              <w:rPr>
                <w:rStyle w:val="IndexLink"/>
                <w:rtl w:val="true"/>
              </w:rPr>
              <w:t>في مطهّرية المطر</w:t>
            </w:r>
            <w:r>
              <w:rPr>
                <w:rStyle w:val="IndexLink"/>
                <w:rtl w:val="true"/>
              </w:rPr>
              <w:tab/>
            </w:r>
            <w:r>
              <w:rPr>
                <w:rStyle w:val="IndexLink"/>
              </w:rPr>
              <w:t>347</w:t>
            </w:r>
          </w:hyperlink>
        </w:p>
        <w:p>
          <w:pPr>
            <w:pStyle w:val="Contents5"/>
            <w:tabs>
              <w:tab w:val="clear" w:pos="7892"/>
              <w:tab w:val="right" w:pos="9026" w:leader="dot"/>
            </w:tabs>
            <w:rPr/>
          </w:pPr>
          <w:hyperlink w:anchor="__RefHeading___Toc212908_2142443653">
            <w:r>
              <w:rPr>
                <w:webHidden/>
                <w:rStyle w:val="IndexLink"/>
                <w:rtl w:val="true"/>
              </w:rPr>
              <w:t>اشارة</w:t>
            </w:r>
            <w:r>
              <w:rPr>
                <w:rStyle w:val="IndexLink"/>
                <w:rtl w:val="true"/>
              </w:rPr>
              <w:tab/>
            </w:r>
            <w:r>
              <w:rPr>
                <w:rStyle w:val="IndexLink"/>
              </w:rPr>
              <w:t>347</w:t>
            </w:r>
          </w:hyperlink>
        </w:p>
        <w:p>
          <w:pPr>
            <w:pStyle w:val="Contents5"/>
            <w:tabs>
              <w:tab w:val="clear" w:pos="7892"/>
              <w:tab w:val="right" w:pos="9026" w:leader="dot"/>
            </w:tabs>
            <w:rPr/>
          </w:pPr>
          <w:hyperlink w:anchor="__RefHeading___Toc212910_2142443653">
            <w:r>
              <w:rPr>
                <w:webHidden/>
                <w:rStyle w:val="IndexLink"/>
                <w:rtl w:val="true"/>
              </w:rPr>
              <w:t>اعتصام المطر وكيفية التطهير به</w:t>
            </w:r>
            <w:r>
              <w:rPr>
                <w:rStyle w:val="IndexLink"/>
                <w:rtl w:val="true"/>
              </w:rPr>
              <w:tab/>
            </w:r>
            <w:r>
              <w:rPr>
                <w:rStyle w:val="IndexLink"/>
              </w:rPr>
              <w:t>347</w:t>
            </w:r>
          </w:hyperlink>
        </w:p>
        <w:p>
          <w:pPr>
            <w:pStyle w:val="Contents5"/>
            <w:tabs>
              <w:tab w:val="clear" w:pos="7892"/>
              <w:tab w:val="right" w:pos="9026" w:leader="dot"/>
            </w:tabs>
            <w:rPr/>
          </w:pPr>
          <w:hyperlink w:anchor="__RefHeading___Toc212912_2142443653">
            <w:r>
              <w:rPr>
                <w:webHidden/>
                <w:rStyle w:val="IndexLink"/>
                <w:rtl w:val="true"/>
              </w:rPr>
              <w:t>أدلّة الحكمين السابقين</w:t>
            </w:r>
            <w:r>
              <w:rPr>
                <w:rStyle w:val="IndexLink"/>
                <w:rtl w:val="true"/>
              </w:rPr>
              <w:tab/>
            </w:r>
            <w:r>
              <w:rPr>
                <w:rStyle w:val="IndexLink"/>
              </w:rPr>
              <w:t>348</w:t>
            </w:r>
          </w:hyperlink>
        </w:p>
        <w:p>
          <w:pPr>
            <w:pStyle w:val="Contents5"/>
            <w:tabs>
              <w:tab w:val="clear" w:pos="7892"/>
              <w:tab w:val="right" w:pos="9026" w:leader="dot"/>
            </w:tabs>
            <w:rPr/>
          </w:pPr>
          <w:hyperlink w:anchor="__RefHeading___Toc212914_2142443653">
            <w:r>
              <w:rPr>
                <w:webHidden/>
                <w:rStyle w:val="IndexLink"/>
                <w:rtl w:val="true"/>
              </w:rPr>
              <w:t>عدم اعتبار الجريان في التطهير بالمطر</w:t>
            </w:r>
            <w:r>
              <w:rPr>
                <w:rStyle w:val="IndexLink"/>
                <w:rtl w:val="true"/>
              </w:rPr>
              <w:tab/>
            </w:r>
            <w:r>
              <w:rPr>
                <w:rStyle w:val="IndexLink"/>
              </w:rPr>
              <w:t>353</w:t>
            </w:r>
          </w:hyperlink>
        </w:p>
        <w:p>
          <w:pPr>
            <w:pStyle w:val="Contents5"/>
            <w:tabs>
              <w:tab w:val="clear" w:pos="7892"/>
              <w:tab w:val="right" w:pos="9026" w:leader="dot"/>
            </w:tabs>
            <w:rPr/>
          </w:pPr>
          <w:hyperlink w:anchor="__RefHeading___Toc212916_2142443653">
            <w:r>
              <w:rPr>
                <w:webHidden/>
                <w:rStyle w:val="IndexLink"/>
                <w:rtl w:val="true"/>
              </w:rPr>
              <w:t>توقّف التطهير بالمطر على صدق رؤية مائه للمتنجّس</w:t>
            </w:r>
            <w:r>
              <w:rPr>
                <w:rStyle w:val="IndexLink"/>
                <w:rtl w:val="true"/>
              </w:rPr>
              <w:tab/>
            </w:r>
            <w:r>
              <w:rPr>
                <w:rStyle w:val="IndexLink"/>
              </w:rPr>
              <w:t>358</w:t>
            </w:r>
          </w:hyperlink>
        </w:p>
        <w:p>
          <w:pPr>
            <w:pStyle w:val="Contents4"/>
            <w:tabs>
              <w:tab w:val="clear" w:pos="8176"/>
              <w:tab w:val="right" w:pos="9026" w:leader="dot"/>
            </w:tabs>
            <w:rPr/>
          </w:pPr>
          <w:hyperlink w:anchor="__RefHeading___Toc212918_2142443653">
            <w:r>
              <w:rPr>
                <w:webHidden/>
                <w:rStyle w:val="IndexLink"/>
                <w:rtl w:val="true"/>
              </w:rPr>
              <w:t>الأمر الثاني</w:t>
            </w:r>
            <w:r>
              <w:rPr>
                <w:rStyle w:val="IndexLink"/>
                <w:rtl w:val="true"/>
              </w:rPr>
              <w:t xml:space="preserve">: </w:t>
            </w:r>
            <w:r>
              <w:rPr>
                <w:rStyle w:val="IndexLink"/>
                <w:rtl w:val="true"/>
              </w:rPr>
              <w:t>في مطهّرية الشمس</w:t>
            </w:r>
            <w:r>
              <w:rPr>
                <w:rStyle w:val="IndexLink"/>
                <w:rtl w:val="true"/>
              </w:rPr>
              <w:tab/>
            </w:r>
            <w:r>
              <w:rPr>
                <w:rStyle w:val="IndexLink"/>
              </w:rPr>
              <w:t>362</w:t>
            </w:r>
          </w:hyperlink>
        </w:p>
        <w:p>
          <w:pPr>
            <w:pStyle w:val="Contents5"/>
            <w:tabs>
              <w:tab w:val="clear" w:pos="7892"/>
              <w:tab w:val="right" w:pos="9026" w:leader="dot"/>
            </w:tabs>
            <w:rPr/>
          </w:pPr>
          <w:hyperlink w:anchor="__RefHeading___Toc212920_2142443653">
            <w:r>
              <w:rPr>
                <w:webHidden/>
                <w:rStyle w:val="IndexLink"/>
                <w:rtl w:val="true"/>
              </w:rPr>
              <w:t>اشارة</w:t>
            </w:r>
            <w:r>
              <w:rPr>
                <w:rStyle w:val="IndexLink"/>
                <w:rtl w:val="true"/>
              </w:rPr>
              <w:tab/>
            </w:r>
            <w:r>
              <w:rPr>
                <w:rStyle w:val="IndexLink"/>
              </w:rPr>
              <w:t>362</w:t>
            </w:r>
          </w:hyperlink>
        </w:p>
        <w:p>
          <w:pPr>
            <w:pStyle w:val="Contents5"/>
            <w:tabs>
              <w:tab w:val="clear" w:pos="7892"/>
              <w:tab w:val="right" w:pos="9026" w:leader="dot"/>
            </w:tabs>
            <w:rPr/>
          </w:pPr>
          <w:hyperlink w:anchor="__RefHeading___Toc212922_2142443653">
            <w:r>
              <w:rPr>
                <w:webHidden/>
                <w:rStyle w:val="IndexLink"/>
                <w:rtl w:val="true"/>
              </w:rPr>
              <w:t>فيما يدلّ على مطهّرية الشمس</w:t>
            </w:r>
            <w:r>
              <w:rPr>
                <w:rStyle w:val="IndexLink"/>
                <w:rtl w:val="true"/>
              </w:rPr>
              <w:tab/>
            </w:r>
            <w:r>
              <w:rPr>
                <w:rStyle w:val="IndexLink"/>
              </w:rPr>
              <w:t>364</w:t>
            </w:r>
          </w:hyperlink>
        </w:p>
        <w:p>
          <w:pPr>
            <w:pStyle w:val="Contents5"/>
            <w:tabs>
              <w:tab w:val="clear" w:pos="7892"/>
              <w:tab w:val="right" w:pos="9026" w:leader="dot"/>
            </w:tabs>
            <w:rPr/>
          </w:pPr>
          <w:hyperlink w:anchor="__RefHeading___Toc212924_2142443653">
            <w:r>
              <w:rPr>
                <w:webHidden/>
                <w:rStyle w:val="IndexLink"/>
                <w:rtl w:val="true"/>
              </w:rPr>
              <w:t>فيما يدلّ على تعميم موضوع الحكم لغير السطح والمصلّى</w:t>
            </w:r>
            <w:r>
              <w:rPr>
                <w:rStyle w:val="IndexLink"/>
                <w:rtl w:val="true"/>
              </w:rPr>
              <w:tab/>
            </w:r>
            <w:r>
              <w:rPr>
                <w:rStyle w:val="IndexLink"/>
              </w:rPr>
              <w:t>375</w:t>
            </w:r>
          </w:hyperlink>
        </w:p>
        <w:p>
          <w:pPr>
            <w:pStyle w:val="Contents5"/>
            <w:tabs>
              <w:tab w:val="clear" w:pos="7892"/>
              <w:tab w:val="right" w:pos="9026" w:leader="dot"/>
            </w:tabs>
            <w:rPr/>
          </w:pPr>
          <w:hyperlink w:anchor="__RefHeading___Toc212926_2142443653">
            <w:r>
              <w:rPr>
                <w:webHidden/>
                <w:rStyle w:val="IndexLink"/>
                <w:rtl w:val="true"/>
              </w:rPr>
              <w:t>فيما يدلّ على تعميم الحكم بالنسبة إلى غير البول</w:t>
            </w:r>
            <w:r>
              <w:rPr>
                <w:rStyle w:val="IndexLink"/>
                <w:rtl w:val="true"/>
              </w:rPr>
              <w:tab/>
            </w:r>
            <w:r>
              <w:rPr>
                <w:rStyle w:val="IndexLink"/>
              </w:rPr>
              <w:t>377</w:t>
            </w:r>
          </w:hyperlink>
        </w:p>
        <w:p>
          <w:pPr>
            <w:pStyle w:val="Contents5"/>
            <w:tabs>
              <w:tab w:val="clear" w:pos="7892"/>
              <w:tab w:val="right" w:pos="9026" w:leader="dot"/>
            </w:tabs>
            <w:rPr/>
          </w:pPr>
          <w:hyperlink w:anchor="__RefHeading___Toc212928_2142443653">
            <w:r>
              <w:rPr>
                <w:webHidden/>
                <w:rStyle w:val="IndexLink"/>
                <w:rtl w:val="true"/>
              </w:rPr>
              <w:t>اشتراط تحقّق اليبوسة واستقلال الشمس فيه</w:t>
            </w:r>
            <w:r>
              <w:rPr>
                <w:rStyle w:val="IndexLink"/>
                <w:rtl w:val="true"/>
              </w:rPr>
              <w:tab/>
            </w:r>
            <w:r>
              <w:rPr>
                <w:rStyle w:val="IndexLink"/>
              </w:rPr>
              <w:t>378</w:t>
            </w:r>
          </w:hyperlink>
        </w:p>
        <w:p>
          <w:pPr>
            <w:pStyle w:val="Contents4"/>
            <w:tabs>
              <w:tab w:val="clear" w:pos="8176"/>
              <w:tab w:val="right" w:pos="9026" w:leader="dot"/>
            </w:tabs>
            <w:rPr/>
          </w:pPr>
          <w:hyperlink w:anchor="__RefHeading___Toc212930_2142443653">
            <w:r>
              <w:rPr>
                <w:webHidden/>
                <w:rStyle w:val="IndexLink"/>
                <w:rtl w:val="true"/>
              </w:rPr>
              <w:t>الأمر الثالث</w:t>
            </w:r>
            <w:r>
              <w:rPr>
                <w:rStyle w:val="IndexLink"/>
                <w:rtl w:val="true"/>
              </w:rPr>
              <w:t xml:space="preserve">: </w:t>
            </w:r>
            <w:r>
              <w:rPr>
                <w:rStyle w:val="IndexLink"/>
                <w:rtl w:val="true"/>
              </w:rPr>
              <w:t>في مطهّرية النار</w:t>
            </w:r>
            <w:r>
              <w:rPr>
                <w:rStyle w:val="IndexLink"/>
                <w:rtl w:val="true"/>
              </w:rPr>
              <w:tab/>
            </w:r>
            <w:r>
              <w:rPr>
                <w:rStyle w:val="IndexLink"/>
              </w:rPr>
              <w:t>381</w:t>
            </w:r>
          </w:hyperlink>
        </w:p>
        <w:p>
          <w:pPr>
            <w:pStyle w:val="Contents5"/>
            <w:tabs>
              <w:tab w:val="clear" w:pos="7892"/>
              <w:tab w:val="right" w:pos="9026" w:leader="dot"/>
            </w:tabs>
            <w:rPr/>
          </w:pPr>
          <w:hyperlink w:anchor="__RefHeading___Toc212932_2142443653">
            <w:r>
              <w:rPr>
                <w:webHidden/>
                <w:rStyle w:val="IndexLink"/>
                <w:rtl w:val="true"/>
              </w:rPr>
              <w:t>اشارة</w:t>
            </w:r>
            <w:r>
              <w:rPr>
                <w:rStyle w:val="IndexLink"/>
                <w:rtl w:val="true"/>
              </w:rPr>
              <w:tab/>
            </w:r>
            <w:r>
              <w:rPr>
                <w:rStyle w:val="IndexLink"/>
              </w:rPr>
              <w:t>381</w:t>
            </w:r>
          </w:hyperlink>
        </w:p>
        <w:p>
          <w:pPr>
            <w:pStyle w:val="Contents5"/>
            <w:tabs>
              <w:tab w:val="clear" w:pos="7892"/>
              <w:tab w:val="right" w:pos="9026" w:leader="dot"/>
            </w:tabs>
            <w:rPr/>
          </w:pPr>
          <w:hyperlink w:anchor="__RefHeading___Toc212934_2142443653">
            <w:r>
              <w:rPr>
                <w:webHidden/>
                <w:rStyle w:val="IndexLink"/>
                <w:rtl w:val="true"/>
              </w:rPr>
              <w:t xml:space="preserve">المقام الأوّل </w:t>
            </w:r>
            <w:r>
              <w:rPr>
                <w:rStyle w:val="IndexLink"/>
                <w:rtl w:val="true"/>
              </w:rPr>
              <w:t xml:space="preserve">: </w:t>
            </w:r>
            <w:r>
              <w:rPr>
                <w:rStyle w:val="IndexLink"/>
                <w:rtl w:val="true"/>
              </w:rPr>
              <w:t>في أنّها هل هي مطهّرة كمطهّرية الشمس ؟</w:t>
            </w:r>
            <w:r>
              <w:rPr>
                <w:rStyle w:val="IndexLink"/>
                <w:rtl w:val="true"/>
              </w:rPr>
              <w:tab/>
            </w:r>
            <w:r>
              <w:rPr>
                <w:rStyle w:val="IndexLink"/>
              </w:rPr>
              <w:t>381</w:t>
            </w:r>
          </w:hyperlink>
        </w:p>
        <w:p>
          <w:pPr>
            <w:pStyle w:val="Contents5"/>
            <w:tabs>
              <w:tab w:val="clear" w:pos="7892"/>
              <w:tab w:val="right" w:pos="9026" w:leader="dot"/>
            </w:tabs>
            <w:rPr/>
          </w:pPr>
          <w:hyperlink w:anchor="__RefHeading___Toc212936_2142443653">
            <w:r>
              <w:rPr>
                <w:webHidden/>
                <w:rStyle w:val="IndexLink"/>
                <w:rtl w:val="true"/>
              </w:rPr>
              <w:t xml:space="preserve">المقام الثاني </w:t>
            </w:r>
            <w:r>
              <w:rPr>
                <w:rStyle w:val="IndexLink"/>
                <w:rtl w:val="true"/>
              </w:rPr>
              <w:t xml:space="preserve">: </w:t>
            </w:r>
            <w:r>
              <w:rPr>
                <w:rStyle w:val="IndexLink"/>
                <w:rtl w:val="true"/>
              </w:rPr>
              <w:t>في تطهيرها كلّ ما أحالته دخاناً أو رماداً</w:t>
            </w:r>
            <w:r>
              <w:rPr>
                <w:rStyle w:val="IndexLink"/>
                <w:rtl w:val="true"/>
              </w:rPr>
              <w:tab/>
            </w:r>
            <w:r>
              <w:rPr>
                <w:rStyle w:val="IndexLink"/>
              </w:rPr>
              <w:t>387</w:t>
            </w:r>
          </w:hyperlink>
        </w:p>
        <w:p>
          <w:pPr>
            <w:pStyle w:val="Contents6"/>
            <w:tabs>
              <w:tab w:val="clear" w:pos="7609"/>
              <w:tab w:val="right" w:pos="9026" w:leader="dot"/>
            </w:tabs>
            <w:rPr/>
          </w:pPr>
          <w:hyperlink w:anchor="__RefHeading___Toc212938_2142443653">
            <w:r>
              <w:rPr>
                <w:webHidden/>
                <w:rStyle w:val="IndexLink"/>
                <w:rtl w:val="true"/>
              </w:rPr>
              <w:t>اشارة</w:t>
            </w:r>
            <w:r>
              <w:rPr>
                <w:rStyle w:val="IndexLink"/>
                <w:rtl w:val="true"/>
              </w:rPr>
              <w:tab/>
            </w:r>
            <w:r>
              <w:rPr>
                <w:rStyle w:val="IndexLink"/>
              </w:rPr>
              <w:t>387</w:t>
            </w:r>
          </w:hyperlink>
        </w:p>
        <w:p>
          <w:pPr>
            <w:pStyle w:val="Contents6"/>
            <w:tabs>
              <w:tab w:val="clear" w:pos="7609"/>
              <w:tab w:val="right" w:pos="9026" w:leader="dot"/>
            </w:tabs>
            <w:rPr/>
          </w:pPr>
          <w:hyperlink w:anchor="__RefHeading___Toc212940_2142443653">
            <w:r>
              <w:rPr>
                <w:webHidden/>
                <w:rStyle w:val="IndexLink"/>
                <w:rtl w:val="true"/>
              </w:rPr>
              <w:t>حكم الانتقال على ضوء القاعدة</w:t>
            </w:r>
            <w:r>
              <w:rPr>
                <w:rStyle w:val="IndexLink"/>
                <w:rtl w:val="true"/>
              </w:rPr>
              <w:tab/>
            </w:r>
            <w:r>
              <w:rPr>
                <w:rStyle w:val="IndexLink"/>
              </w:rPr>
              <w:t>388</w:t>
            </w:r>
          </w:hyperlink>
        </w:p>
        <w:p>
          <w:pPr>
            <w:pStyle w:val="Contents6"/>
            <w:tabs>
              <w:tab w:val="clear" w:pos="7609"/>
              <w:tab w:val="right" w:pos="9026" w:leader="dot"/>
            </w:tabs>
            <w:rPr/>
          </w:pPr>
          <w:hyperlink w:anchor="__RefHeading___Toc212942_2142443653">
            <w:r>
              <w:rPr>
                <w:webHidden/>
                <w:rStyle w:val="IndexLink"/>
                <w:rtl w:val="true"/>
              </w:rPr>
              <w:t>طهارة دم البقّ والبرغوث دون العلق</w:t>
            </w:r>
            <w:r>
              <w:rPr>
                <w:rStyle w:val="IndexLink"/>
                <w:rtl w:val="true"/>
              </w:rPr>
              <w:tab/>
            </w:r>
            <w:r>
              <w:rPr>
                <w:rStyle w:val="IndexLink"/>
              </w:rPr>
              <w:t>389</w:t>
            </w:r>
          </w:hyperlink>
        </w:p>
        <w:p>
          <w:pPr>
            <w:pStyle w:val="Contents6"/>
            <w:tabs>
              <w:tab w:val="clear" w:pos="7609"/>
              <w:tab w:val="right" w:pos="9026" w:leader="dot"/>
            </w:tabs>
            <w:rPr/>
          </w:pPr>
          <w:hyperlink w:anchor="__RefHeading___Toc212944_2142443653">
            <w:r>
              <w:rPr>
                <w:webHidden/>
                <w:rStyle w:val="IndexLink"/>
                <w:rtl w:val="true"/>
              </w:rPr>
              <w:t>طهارة الخمر بانقلابها خلاًّ ولو بعلاج</w:t>
            </w:r>
            <w:r>
              <w:rPr>
                <w:rStyle w:val="IndexLink"/>
                <w:rtl w:val="true"/>
              </w:rPr>
              <w:tab/>
            </w:r>
            <w:r>
              <w:rPr>
                <w:rStyle w:val="IndexLink"/>
              </w:rPr>
              <w:t>391</w:t>
            </w:r>
          </w:hyperlink>
        </w:p>
        <w:p>
          <w:pPr>
            <w:pStyle w:val="Contents6"/>
            <w:tabs>
              <w:tab w:val="clear" w:pos="7609"/>
              <w:tab w:val="right" w:pos="9026" w:leader="dot"/>
            </w:tabs>
            <w:rPr/>
          </w:pPr>
          <w:hyperlink w:anchor="__RefHeading___Toc212946_2142443653">
            <w:r>
              <w:rPr>
                <w:webHidden/>
                <w:rStyle w:val="IndexLink"/>
                <w:rtl w:val="true"/>
              </w:rPr>
              <w:t>الكلام في مطهّرية الإسلام</w:t>
            </w:r>
            <w:r>
              <w:rPr>
                <w:rStyle w:val="IndexLink"/>
                <w:rtl w:val="true"/>
              </w:rPr>
              <w:tab/>
            </w:r>
            <w:r>
              <w:rPr>
                <w:rStyle w:val="IndexLink"/>
              </w:rPr>
              <w:t>396</w:t>
            </w:r>
          </w:hyperlink>
        </w:p>
        <w:p>
          <w:pPr>
            <w:pStyle w:val="Contents6"/>
            <w:tabs>
              <w:tab w:val="clear" w:pos="7609"/>
              <w:tab w:val="right" w:pos="9026" w:leader="dot"/>
            </w:tabs>
            <w:rPr/>
          </w:pPr>
          <w:hyperlink w:anchor="__RefHeading___Toc212948_2142443653">
            <w:r>
              <w:rPr>
                <w:webHidden/>
                <w:rStyle w:val="IndexLink"/>
                <w:rtl w:val="true"/>
              </w:rPr>
              <w:t>طهارة من أسلم عن الارتداد الملّي</w:t>
            </w:r>
            <w:r>
              <w:rPr>
                <w:rStyle w:val="IndexLink"/>
                <w:rtl w:val="true"/>
              </w:rPr>
              <w:tab/>
            </w:r>
            <w:r>
              <w:rPr>
                <w:rStyle w:val="IndexLink"/>
              </w:rPr>
              <w:t>396</w:t>
            </w:r>
          </w:hyperlink>
        </w:p>
        <w:p>
          <w:pPr>
            <w:pStyle w:val="Contents6"/>
            <w:tabs>
              <w:tab w:val="clear" w:pos="7609"/>
              <w:tab w:val="right" w:pos="9026" w:leader="dot"/>
            </w:tabs>
            <w:rPr/>
          </w:pPr>
          <w:hyperlink w:anchor="__RefHeading___Toc212950_2142443653">
            <w:r>
              <w:rPr>
                <w:webHidden/>
                <w:rStyle w:val="IndexLink"/>
                <w:rtl w:val="true"/>
              </w:rPr>
              <w:t>قبول توبة المرتدّ الفطري باطناً وظاهراً وطهارته بعدها</w:t>
            </w:r>
            <w:r>
              <w:rPr>
                <w:rStyle w:val="IndexLink"/>
                <w:rtl w:val="true"/>
              </w:rPr>
              <w:tab/>
            </w:r>
            <w:r>
              <w:rPr>
                <w:rStyle w:val="IndexLink"/>
              </w:rPr>
              <w:t>397</w:t>
            </w:r>
          </w:hyperlink>
        </w:p>
        <w:p>
          <w:pPr>
            <w:pStyle w:val="Contents4"/>
            <w:tabs>
              <w:tab w:val="clear" w:pos="8176"/>
              <w:tab w:val="right" w:pos="9026" w:leader="dot"/>
            </w:tabs>
            <w:rPr/>
          </w:pPr>
          <w:hyperlink w:anchor="__RefHeading___Toc212952_2142443653">
            <w:r>
              <w:rPr>
                <w:webHidden/>
                <w:rStyle w:val="IndexLink"/>
                <w:rtl w:val="true"/>
              </w:rPr>
              <w:t>الأمر الرابع</w:t>
            </w:r>
            <w:r>
              <w:rPr>
                <w:rStyle w:val="IndexLink"/>
                <w:rtl w:val="true"/>
              </w:rPr>
              <w:t xml:space="preserve">: </w:t>
            </w:r>
            <w:r>
              <w:rPr>
                <w:rStyle w:val="IndexLink"/>
                <w:rtl w:val="true"/>
              </w:rPr>
              <w:t>في مطهّرية الأرض</w:t>
            </w:r>
            <w:r>
              <w:rPr>
                <w:rStyle w:val="IndexLink"/>
                <w:rtl w:val="true"/>
              </w:rPr>
              <w:tab/>
            </w:r>
            <w:r>
              <w:rPr>
                <w:rStyle w:val="IndexLink"/>
              </w:rPr>
              <w:t>402</w:t>
            </w:r>
          </w:hyperlink>
        </w:p>
        <w:p>
          <w:pPr>
            <w:pStyle w:val="Contents5"/>
            <w:tabs>
              <w:tab w:val="clear" w:pos="7892"/>
              <w:tab w:val="right" w:pos="9026" w:leader="dot"/>
            </w:tabs>
            <w:rPr/>
          </w:pPr>
          <w:hyperlink w:anchor="__RefHeading___Toc212954_2142443653">
            <w:r>
              <w:rPr>
                <w:webHidden/>
                <w:rStyle w:val="IndexLink"/>
                <w:rtl w:val="true"/>
              </w:rPr>
              <w:t>اشارة</w:t>
            </w:r>
            <w:r>
              <w:rPr>
                <w:rStyle w:val="IndexLink"/>
                <w:rtl w:val="true"/>
              </w:rPr>
              <w:tab/>
            </w:r>
            <w:r>
              <w:rPr>
                <w:rStyle w:val="IndexLink"/>
              </w:rPr>
              <w:t>402</w:t>
            </w:r>
          </w:hyperlink>
        </w:p>
        <w:p>
          <w:pPr>
            <w:pStyle w:val="Contents5"/>
            <w:tabs>
              <w:tab w:val="clear" w:pos="7892"/>
              <w:tab w:val="right" w:pos="9026" w:leader="dot"/>
            </w:tabs>
            <w:rPr/>
          </w:pPr>
          <w:hyperlink w:anchor="__RefHeading___Toc212956_2142443653">
            <w:r>
              <w:rPr>
                <w:webHidden/>
                <w:rStyle w:val="IndexLink"/>
                <w:rtl w:val="true"/>
              </w:rPr>
              <w:t>الروايات الدالّة على مطهّرية الأرض</w:t>
            </w:r>
            <w:r>
              <w:rPr>
                <w:rStyle w:val="IndexLink"/>
                <w:rtl w:val="true"/>
              </w:rPr>
              <w:tab/>
            </w:r>
            <w:r>
              <w:rPr>
                <w:rStyle w:val="IndexLink"/>
              </w:rPr>
              <w:t>403</w:t>
            </w:r>
          </w:hyperlink>
        </w:p>
        <w:p>
          <w:pPr>
            <w:pStyle w:val="Contents5"/>
            <w:tabs>
              <w:tab w:val="clear" w:pos="7892"/>
              <w:tab w:val="right" w:pos="9026" w:leader="dot"/>
            </w:tabs>
            <w:rPr/>
          </w:pPr>
          <w:hyperlink w:anchor="__RefHeading___Toc212958_2142443653">
            <w:r>
              <w:rPr>
                <w:webHidden/>
                <w:rStyle w:val="IndexLink"/>
                <w:rtl w:val="true"/>
              </w:rPr>
              <w:t>عموم مطهّرية الأرض لجميع النجاسات</w:t>
            </w:r>
            <w:r>
              <w:rPr>
                <w:rStyle w:val="IndexLink"/>
                <w:rtl w:val="true"/>
              </w:rPr>
              <w:tab/>
            </w:r>
            <w:r>
              <w:rPr>
                <w:rStyle w:val="IndexLink"/>
              </w:rPr>
              <w:t>406</w:t>
            </w:r>
          </w:hyperlink>
        </w:p>
        <w:p>
          <w:pPr>
            <w:pStyle w:val="Contents5"/>
            <w:tabs>
              <w:tab w:val="clear" w:pos="7892"/>
              <w:tab w:val="right" w:pos="9026" w:leader="dot"/>
            </w:tabs>
            <w:rPr/>
          </w:pPr>
          <w:hyperlink w:anchor="__RefHeading___Toc212960_2142443653">
            <w:r>
              <w:rPr>
                <w:webHidden/>
                <w:rStyle w:val="IndexLink"/>
                <w:rtl w:val="true"/>
              </w:rPr>
              <w:t>اعتبار كون النجاسة من الأرض</w:t>
            </w:r>
            <w:r>
              <w:rPr>
                <w:rStyle w:val="IndexLink"/>
                <w:rtl w:val="true"/>
              </w:rPr>
              <w:tab/>
            </w:r>
            <w:r>
              <w:rPr>
                <w:rStyle w:val="IndexLink"/>
              </w:rPr>
              <w:t>406</w:t>
            </w:r>
          </w:hyperlink>
        </w:p>
        <w:p>
          <w:pPr>
            <w:pStyle w:val="Contents5"/>
            <w:tabs>
              <w:tab w:val="clear" w:pos="7892"/>
              <w:tab w:val="right" w:pos="9026" w:leader="dot"/>
            </w:tabs>
            <w:rPr/>
          </w:pPr>
          <w:hyperlink w:anchor="__RefHeading___Toc212962_2142443653">
            <w:r>
              <w:rPr>
                <w:webHidden/>
                <w:rStyle w:val="IndexLink"/>
                <w:rtl w:val="true"/>
              </w:rPr>
              <w:t>مطهّرية الأرض لأسفل القدم وباطن النعل والخفّ</w:t>
            </w:r>
            <w:r>
              <w:rPr>
                <w:rStyle w:val="IndexLink"/>
                <w:rtl w:val="true"/>
              </w:rPr>
              <w:tab/>
            </w:r>
            <w:r>
              <w:rPr>
                <w:rStyle w:val="IndexLink"/>
              </w:rPr>
              <w:t>409</w:t>
            </w:r>
          </w:hyperlink>
        </w:p>
        <w:p>
          <w:pPr>
            <w:pStyle w:val="Contents5"/>
            <w:tabs>
              <w:tab w:val="clear" w:pos="7892"/>
              <w:tab w:val="right" w:pos="9026" w:leader="dot"/>
            </w:tabs>
            <w:rPr/>
          </w:pPr>
          <w:hyperlink w:anchor="__RefHeading___Toc212964_2142443653">
            <w:r>
              <w:rPr>
                <w:webHidden/>
                <w:rStyle w:val="IndexLink"/>
                <w:rtl w:val="true"/>
              </w:rPr>
              <w:t>اعتبار كون المطهّر أرضاً لا حصيراً مثلاً</w:t>
            </w:r>
            <w:r>
              <w:rPr>
                <w:rStyle w:val="IndexLink"/>
                <w:rtl w:val="true"/>
              </w:rPr>
              <w:tab/>
            </w:r>
            <w:r>
              <w:rPr>
                <w:rStyle w:val="IndexLink"/>
              </w:rPr>
              <w:t>411</w:t>
            </w:r>
          </w:hyperlink>
        </w:p>
        <w:p>
          <w:pPr>
            <w:pStyle w:val="Contents5"/>
            <w:tabs>
              <w:tab w:val="clear" w:pos="7892"/>
              <w:tab w:val="right" w:pos="9026" w:leader="dot"/>
            </w:tabs>
            <w:rPr/>
          </w:pPr>
          <w:hyperlink w:anchor="__RefHeading___Toc212966_2142443653">
            <w:r>
              <w:rPr>
                <w:webHidden/>
                <w:rStyle w:val="IndexLink"/>
                <w:rtl w:val="true"/>
              </w:rPr>
              <w:t>عدم الفرق بين أجزاء الأرض في التطهير</w:t>
            </w:r>
            <w:r>
              <w:rPr>
                <w:rStyle w:val="IndexLink"/>
                <w:rtl w:val="true"/>
              </w:rPr>
              <w:tab/>
            </w:r>
            <w:r>
              <w:rPr>
                <w:rStyle w:val="IndexLink"/>
              </w:rPr>
              <w:t>413</w:t>
            </w:r>
          </w:hyperlink>
        </w:p>
        <w:p>
          <w:pPr>
            <w:pStyle w:val="Contents5"/>
            <w:tabs>
              <w:tab w:val="clear" w:pos="7892"/>
              <w:tab w:val="right" w:pos="9026" w:leader="dot"/>
            </w:tabs>
            <w:rPr/>
          </w:pPr>
          <w:hyperlink w:anchor="__RefHeading___Toc212968_2142443653">
            <w:r>
              <w:rPr>
                <w:webHidden/>
                <w:rStyle w:val="IndexLink"/>
                <w:rtl w:val="true"/>
              </w:rPr>
              <w:t>اعتبار جفاف الأرض ويبوستها</w:t>
            </w:r>
            <w:r>
              <w:rPr>
                <w:rStyle w:val="IndexLink"/>
                <w:rtl w:val="true"/>
              </w:rPr>
              <w:tab/>
            </w:r>
            <w:r>
              <w:rPr>
                <w:rStyle w:val="IndexLink"/>
              </w:rPr>
              <w:t>413</w:t>
            </w:r>
          </w:hyperlink>
        </w:p>
        <w:p>
          <w:pPr>
            <w:pStyle w:val="Contents5"/>
            <w:tabs>
              <w:tab w:val="clear" w:pos="7892"/>
              <w:tab w:val="right" w:pos="9026" w:leader="dot"/>
            </w:tabs>
            <w:rPr/>
          </w:pPr>
          <w:hyperlink w:anchor="__RefHeading___Toc212970_2142443653">
            <w:r>
              <w:rPr>
                <w:webHidden/>
                <w:rStyle w:val="IndexLink"/>
                <w:rtl w:val="true"/>
              </w:rPr>
              <w:t>اعتبار طهارة الأرض</w:t>
            </w:r>
            <w:r>
              <w:rPr>
                <w:rStyle w:val="IndexLink"/>
                <w:rtl w:val="true"/>
              </w:rPr>
              <w:tab/>
            </w:r>
            <w:r>
              <w:rPr>
                <w:rStyle w:val="IndexLink"/>
              </w:rPr>
              <w:t>414</w:t>
            </w:r>
          </w:hyperlink>
        </w:p>
        <w:p>
          <w:pPr>
            <w:pStyle w:val="Contents5"/>
            <w:tabs>
              <w:tab w:val="clear" w:pos="7892"/>
              <w:tab w:val="right" w:pos="9026" w:leader="dot"/>
            </w:tabs>
            <w:rPr/>
          </w:pPr>
          <w:hyperlink w:anchor="__RefHeading___Toc212972_2142443653">
            <w:r>
              <w:rPr>
                <w:webHidden/>
                <w:rStyle w:val="IndexLink"/>
                <w:rtl w:val="true"/>
              </w:rPr>
              <w:t>عدم الفرق بين المشي والمسح في حصول الطهارة</w:t>
            </w:r>
            <w:r>
              <w:rPr>
                <w:rStyle w:val="IndexLink"/>
                <w:rtl w:val="true"/>
              </w:rPr>
              <w:tab/>
            </w:r>
            <w:r>
              <w:rPr>
                <w:rStyle w:val="IndexLink"/>
              </w:rPr>
              <w:t>416</w:t>
            </w:r>
          </w:hyperlink>
        </w:p>
        <w:p>
          <w:pPr>
            <w:pStyle w:val="Contents5"/>
            <w:tabs>
              <w:tab w:val="clear" w:pos="7892"/>
              <w:tab w:val="right" w:pos="9026" w:leader="dot"/>
            </w:tabs>
            <w:rPr/>
          </w:pPr>
          <w:hyperlink w:anchor="__RefHeading___Toc212974_2142443653">
            <w:r>
              <w:rPr>
                <w:webHidden/>
                <w:rStyle w:val="IndexLink"/>
                <w:rtl w:val="true"/>
              </w:rPr>
              <w:t>تعيّن المسح على الأرض وعدم الاجتزاء بمسح التراب على الموضع</w:t>
            </w:r>
            <w:r>
              <w:rPr>
                <w:rStyle w:val="IndexLink"/>
                <w:rtl w:val="true"/>
              </w:rPr>
              <w:tab/>
            </w:r>
            <w:r>
              <w:rPr>
                <w:rStyle w:val="IndexLink"/>
              </w:rPr>
              <w:t>417</w:t>
            </w:r>
          </w:hyperlink>
        </w:p>
        <w:p>
          <w:pPr>
            <w:pStyle w:val="Contents5"/>
            <w:tabs>
              <w:tab w:val="clear" w:pos="7892"/>
              <w:tab w:val="right" w:pos="9026" w:leader="dot"/>
            </w:tabs>
            <w:rPr/>
          </w:pPr>
          <w:hyperlink w:anchor="__RefHeading___Toc212976_2142443653">
            <w:r>
              <w:rPr>
                <w:webHidden/>
                <w:rStyle w:val="IndexLink"/>
                <w:rtl w:val="true"/>
              </w:rPr>
              <w:t>في حصول الطهارة بذهاب عين النجاسة وأثرها</w:t>
            </w:r>
            <w:r>
              <w:rPr>
                <w:rStyle w:val="IndexLink"/>
                <w:rtl w:val="true"/>
              </w:rPr>
              <w:tab/>
            </w:r>
            <w:r>
              <w:rPr>
                <w:rStyle w:val="IndexLink"/>
              </w:rPr>
              <w:t>418</w:t>
            </w:r>
          </w:hyperlink>
        </w:p>
        <w:p>
          <w:pPr>
            <w:pStyle w:val="Contents5"/>
            <w:tabs>
              <w:tab w:val="clear" w:pos="7892"/>
              <w:tab w:val="right" w:pos="9026" w:leader="dot"/>
            </w:tabs>
            <w:rPr/>
          </w:pPr>
          <w:hyperlink w:anchor="__RefHeading___Toc212978_2142443653">
            <w:r>
              <w:rPr>
                <w:webHidden/>
                <w:rStyle w:val="IndexLink"/>
                <w:rtl w:val="true"/>
              </w:rPr>
              <w:t>عدم لزوم إزالة النجاسة بالمشي أو المسح</w:t>
            </w:r>
            <w:r>
              <w:rPr>
                <w:rStyle w:val="IndexLink"/>
                <w:rtl w:val="true"/>
              </w:rPr>
              <w:tab/>
            </w:r>
            <w:r>
              <w:rPr>
                <w:rStyle w:val="IndexLink"/>
              </w:rPr>
              <w:t>419</w:t>
            </w:r>
          </w:hyperlink>
        </w:p>
        <w:p>
          <w:pPr>
            <w:pStyle w:val="Contents2"/>
            <w:tabs>
              <w:tab w:val="clear" w:pos="8743"/>
              <w:tab w:val="right" w:pos="9026" w:leader="dot"/>
            </w:tabs>
            <w:rPr/>
          </w:pPr>
          <w:hyperlink w:anchor="__RefHeading___Toc212980_2142443653">
            <w:r>
              <w:rPr>
                <w:webHidden/>
                <w:rStyle w:val="IndexLink"/>
                <w:rtl w:val="true"/>
              </w:rPr>
              <w:t>الفهارس العامّة</w:t>
            </w:r>
            <w:r>
              <w:rPr>
                <w:rStyle w:val="IndexLink"/>
                <w:rtl w:val="true"/>
              </w:rPr>
              <w:tab/>
            </w:r>
            <w:r>
              <w:rPr>
                <w:rStyle w:val="IndexLink"/>
              </w:rPr>
              <w:t>421</w:t>
            </w:r>
          </w:hyperlink>
        </w:p>
        <w:p>
          <w:pPr>
            <w:pStyle w:val="Contents3"/>
            <w:tabs>
              <w:tab w:val="clear" w:pos="8459"/>
              <w:tab w:val="right" w:pos="9026" w:leader="dot"/>
            </w:tabs>
            <w:rPr/>
          </w:pPr>
          <w:hyperlink w:anchor="__RefHeading___Toc212982_2142443653">
            <w:r>
              <w:rPr>
                <w:webHidden/>
                <w:rStyle w:val="IndexLink"/>
                <w:rtl w:val="true"/>
              </w:rPr>
              <w:t>اشارة</w:t>
            </w:r>
            <w:r>
              <w:rPr>
                <w:rStyle w:val="IndexLink"/>
                <w:rtl w:val="true"/>
              </w:rPr>
              <w:tab/>
            </w:r>
            <w:r>
              <w:rPr>
                <w:rStyle w:val="IndexLink"/>
              </w:rPr>
              <w:t>421</w:t>
            </w:r>
          </w:hyperlink>
        </w:p>
        <w:p>
          <w:pPr>
            <w:pStyle w:val="Contents3"/>
            <w:tabs>
              <w:tab w:val="clear" w:pos="8459"/>
              <w:tab w:val="right" w:pos="9026" w:leader="dot"/>
            </w:tabs>
            <w:rPr/>
          </w:pPr>
          <w:hyperlink w:anchor="__RefHeading___Toc212984_2142443653">
            <w:r>
              <w:rPr>
                <w:webHidden/>
                <w:rStyle w:val="IndexLink"/>
              </w:rPr>
              <w:t>1</w:t>
            </w:r>
            <w:r>
              <w:rPr>
                <w:rStyle w:val="IndexLink"/>
                <w:rtl w:val="true"/>
              </w:rPr>
              <w:t xml:space="preserve"> - </w:t>
            </w:r>
            <w:r>
              <w:rPr>
                <w:rStyle w:val="IndexLink"/>
                <w:rtl w:val="true"/>
              </w:rPr>
              <w:t>فهرس الآيات الكريمة</w:t>
            </w:r>
            <w:r>
              <w:rPr>
                <w:rStyle w:val="IndexLink"/>
                <w:rtl w:val="true"/>
              </w:rPr>
              <w:tab/>
            </w:r>
            <w:r>
              <w:rPr>
                <w:rStyle w:val="IndexLink"/>
              </w:rPr>
              <w:t>423</w:t>
            </w:r>
          </w:hyperlink>
        </w:p>
        <w:p>
          <w:pPr>
            <w:pStyle w:val="Contents3"/>
            <w:tabs>
              <w:tab w:val="clear" w:pos="8459"/>
              <w:tab w:val="right" w:pos="9026" w:leader="dot"/>
            </w:tabs>
            <w:rPr/>
          </w:pPr>
          <w:hyperlink w:anchor="__RefHeading___Toc212986_2142443653">
            <w:r>
              <w:rPr>
                <w:webHidden/>
                <w:rStyle w:val="IndexLink"/>
              </w:rPr>
              <w:t>2</w:t>
            </w:r>
            <w:r>
              <w:rPr>
                <w:rStyle w:val="IndexLink"/>
                <w:rtl w:val="true"/>
              </w:rPr>
              <w:t xml:space="preserve"> - </w:t>
            </w:r>
            <w:r>
              <w:rPr>
                <w:rStyle w:val="IndexLink"/>
                <w:rtl w:val="true"/>
              </w:rPr>
              <w:t>فهرس الأحاديث الشريفة</w:t>
            </w:r>
            <w:r>
              <w:rPr>
                <w:rStyle w:val="IndexLink"/>
                <w:rtl w:val="true"/>
              </w:rPr>
              <w:tab/>
            </w:r>
            <w:r>
              <w:rPr>
                <w:rStyle w:val="IndexLink"/>
              </w:rPr>
              <w:t>425</w:t>
            </w:r>
          </w:hyperlink>
        </w:p>
        <w:p>
          <w:pPr>
            <w:pStyle w:val="Contents3"/>
            <w:tabs>
              <w:tab w:val="clear" w:pos="8459"/>
              <w:tab w:val="right" w:pos="9026" w:leader="dot"/>
            </w:tabs>
            <w:rPr/>
          </w:pPr>
          <w:hyperlink w:anchor="__RefHeading___Toc212988_2142443653">
            <w:r>
              <w:rPr>
                <w:webHidden/>
                <w:rStyle w:val="IndexLink"/>
              </w:rPr>
              <w:t>3</w:t>
            </w:r>
            <w:r>
              <w:rPr>
                <w:rStyle w:val="IndexLink"/>
                <w:rtl w:val="true"/>
              </w:rPr>
              <w:t xml:space="preserve"> - </w:t>
            </w:r>
            <w:r>
              <w:rPr>
                <w:rStyle w:val="IndexLink"/>
                <w:rtl w:val="true"/>
              </w:rPr>
              <w:t>فهرس أسماء المعصومين علیهم السلام</w:t>
            </w:r>
            <w:r>
              <w:rPr>
                <w:rStyle w:val="IndexLink"/>
                <w:rtl w:val="true"/>
              </w:rPr>
              <w:tab/>
            </w:r>
            <w:r>
              <w:rPr>
                <w:rStyle w:val="IndexLink"/>
              </w:rPr>
              <w:t>439</w:t>
            </w:r>
          </w:hyperlink>
        </w:p>
        <w:p>
          <w:pPr>
            <w:pStyle w:val="Contents3"/>
            <w:tabs>
              <w:tab w:val="clear" w:pos="8459"/>
              <w:tab w:val="right" w:pos="9026" w:leader="dot"/>
            </w:tabs>
            <w:rPr/>
          </w:pPr>
          <w:hyperlink w:anchor="__RefHeading___Toc212990_2142443653">
            <w:r>
              <w:rPr>
                <w:webHidden/>
                <w:rStyle w:val="IndexLink"/>
              </w:rPr>
              <w:t>4</w:t>
            </w:r>
            <w:r>
              <w:rPr>
                <w:rStyle w:val="IndexLink"/>
                <w:rtl w:val="true"/>
              </w:rPr>
              <w:t xml:space="preserve"> - </w:t>
            </w:r>
            <w:r>
              <w:rPr>
                <w:rStyle w:val="IndexLink"/>
                <w:rtl w:val="true"/>
              </w:rPr>
              <w:t>فهرس الأعلام</w:t>
            </w:r>
            <w:r>
              <w:rPr>
                <w:rStyle w:val="IndexLink"/>
                <w:rtl w:val="true"/>
              </w:rPr>
              <w:tab/>
            </w:r>
            <w:r>
              <w:rPr>
                <w:rStyle w:val="IndexLink"/>
              </w:rPr>
              <w:t>442</w:t>
            </w:r>
          </w:hyperlink>
        </w:p>
        <w:p>
          <w:pPr>
            <w:pStyle w:val="Contents3"/>
            <w:tabs>
              <w:tab w:val="clear" w:pos="8459"/>
              <w:tab w:val="right" w:pos="9026" w:leader="dot"/>
            </w:tabs>
            <w:rPr/>
          </w:pPr>
          <w:hyperlink w:anchor="__RefHeading___Toc212992_2142443653">
            <w:r>
              <w:rPr>
                <w:webHidden/>
                <w:rStyle w:val="IndexLink"/>
              </w:rPr>
              <w:t>5</w:t>
            </w:r>
            <w:r>
              <w:rPr>
                <w:rStyle w:val="IndexLink"/>
                <w:rtl w:val="true"/>
              </w:rPr>
              <w:t xml:space="preserve"> - </w:t>
            </w:r>
            <w:r>
              <w:rPr>
                <w:rStyle w:val="IndexLink"/>
                <w:rtl w:val="true"/>
              </w:rPr>
              <w:t>فهرس الكتب الواردة في المتن</w:t>
            </w:r>
            <w:r>
              <w:rPr>
                <w:rStyle w:val="IndexLink"/>
                <w:rtl w:val="true"/>
              </w:rPr>
              <w:tab/>
            </w:r>
            <w:r>
              <w:rPr>
                <w:rStyle w:val="IndexLink"/>
              </w:rPr>
              <w:t>460</w:t>
            </w:r>
          </w:hyperlink>
        </w:p>
        <w:p>
          <w:pPr>
            <w:pStyle w:val="Contents3"/>
            <w:tabs>
              <w:tab w:val="clear" w:pos="8459"/>
              <w:tab w:val="right" w:pos="9026" w:leader="dot"/>
            </w:tabs>
            <w:rPr/>
          </w:pPr>
          <w:hyperlink w:anchor="__RefHeading___Toc212994_2142443653">
            <w:r>
              <w:rPr>
                <w:webHidden/>
                <w:rStyle w:val="IndexLink"/>
              </w:rPr>
              <w:t>6</w:t>
            </w:r>
            <w:r>
              <w:rPr>
                <w:rStyle w:val="IndexLink"/>
                <w:rtl w:val="true"/>
              </w:rPr>
              <w:t xml:space="preserve"> - </w:t>
            </w:r>
            <w:r>
              <w:rPr>
                <w:rStyle w:val="IndexLink"/>
                <w:rtl w:val="true"/>
              </w:rPr>
              <w:t>فهرس مصادر التحقيق</w:t>
            </w:r>
            <w:r>
              <w:rPr>
                <w:rStyle w:val="IndexLink"/>
                <w:rtl w:val="true"/>
              </w:rPr>
              <w:tab/>
            </w:r>
            <w:r>
              <w:rPr>
                <w:rStyle w:val="IndexLink"/>
              </w:rPr>
              <w:t>467</w:t>
            </w:r>
          </w:hyperlink>
        </w:p>
        <w:p>
          <w:pPr>
            <w:pStyle w:val="Contents3"/>
            <w:tabs>
              <w:tab w:val="clear" w:pos="8459"/>
              <w:tab w:val="right" w:pos="9026" w:leader="dot"/>
            </w:tabs>
            <w:rPr/>
          </w:pPr>
          <w:hyperlink w:anchor="__RefHeading___Toc212996_2142443653">
            <w:r>
              <w:rPr>
                <w:webHidden/>
                <w:rStyle w:val="IndexLink"/>
              </w:rPr>
              <w:t>7</w:t>
            </w:r>
            <w:r>
              <w:rPr>
                <w:rStyle w:val="IndexLink"/>
                <w:rtl w:val="true"/>
              </w:rPr>
              <w:t xml:space="preserve"> - </w:t>
            </w:r>
            <w:r>
              <w:rPr>
                <w:rStyle w:val="IndexLink"/>
                <w:rtl w:val="true"/>
              </w:rPr>
              <w:t>فهرس الموضوعات</w:t>
            </w:r>
            <w:r>
              <w:rPr>
                <w:rStyle w:val="IndexLink"/>
                <w:rtl w:val="true"/>
              </w:rPr>
              <w:tab/>
            </w:r>
            <w:r>
              <w:rPr>
                <w:rStyle w:val="IndexLink"/>
              </w:rPr>
              <w:t>485</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030_142966"/>
      <w:bookmarkStart w:id="1" w:name="pg15030_142966"/>
      <w:bookmarkEnd w:id="1"/>
    </w:p>
    <w:p>
      <w:pPr>
        <w:pStyle w:val="Heading2"/>
        <w:numPr>
          <w:ilvl w:val="1"/>
          <w:numId w:val="1"/>
        </w:numPr>
        <w:rPr/>
      </w:pPr>
      <w:bookmarkStart w:id="2" w:name="pg15030_142966"/>
      <w:bookmarkStart w:id="3" w:name="__RefHeading___Toc212618_2142443653"/>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خمینی، روح‌الله، رهبر انقلاب و بنیانگذار جمهوری اسلامی ایران، </w:t>
      </w:r>
      <w:r>
        <w:rPr>
          <w:rFonts w:eastAsia="IRNazanin" w:cs="IRNazanin"/>
          <w:color w:val="111111"/>
          <w:sz w:val="28"/>
          <w:szCs w:val="28"/>
          <w:lang w:bidi="fa-IR"/>
        </w:rPr>
        <w:t>1279</w:t>
      </w:r>
      <w:r>
        <w:rPr>
          <w:rFonts w:eastAsia="IRNazanin" w:cs="IRNazanin"/>
          <w:color w:val="111111"/>
          <w:sz w:val="28"/>
          <w:szCs w:val="28"/>
          <w:rtl w:val="true"/>
          <w:lang w:bidi="fa-IR"/>
        </w:rPr>
        <w:t xml:space="preserve"> -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موسوعة الامام الخمیني قدس سرة الشریف المجلد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الطهارة المجلد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موسسه تنظیم و نشر آثار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تنظیم و نشر آثار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موسوعه الامام 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3300000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w:t>
      </w:r>
      <w:r>
        <w:rPr>
          <w:rFonts w:eastAsia="IRNazanin" w:cs="IRNazanin"/>
          <w:color w:val="111111"/>
          <w:sz w:val="28"/>
          <w:szCs w:val="28"/>
          <w:lang w:bidi="fa-IR"/>
        </w:rPr>
        <w:t>368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w:t>
      </w:r>
      <w:r>
        <w:rPr>
          <w:rFonts w:eastAsia="IRNazanin" w:cs="IRNazanin"/>
          <w:color w:val="111111"/>
          <w:sz w:val="28"/>
          <w:szCs w:val="28"/>
          <w:lang w:bidi="fa-IR"/>
        </w:rPr>
        <w:t>358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w:t>
      </w:r>
      <w:r>
        <w:rPr>
          <w:rFonts w:eastAsia="IRNazanin" w:cs="IRNazanin"/>
          <w:color w:val="111111"/>
          <w:sz w:val="28"/>
          <w:szCs w:val="28"/>
          <w:lang w:bidi="fa-IR"/>
        </w:rPr>
        <w:t>361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w:t>
      </w:r>
      <w:r>
        <w:rPr>
          <w:rFonts w:eastAsia="IRNazanin" w:cs="IRNazanin"/>
          <w:color w:val="111111"/>
          <w:sz w:val="28"/>
          <w:szCs w:val="28"/>
          <w:lang w:bidi="fa-IR"/>
        </w:rPr>
        <w:t>362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w:t>
      </w:r>
      <w:r>
        <w:rPr>
          <w:rFonts w:eastAsia="IRNazanin" w:cs="IRNazanin"/>
          <w:color w:val="111111"/>
          <w:sz w:val="28"/>
          <w:szCs w:val="28"/>
          <w:lang w:bidi="fa-IR"/>
        </w:rPr>
        <w:t>364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w:t>
      </w:r>
      <w:r>
        <w:rPr>
          <w:rFonts w:eastAsia="IRNazanin" w:cs="IRNazanin"/>
          <w:color w:val="111111"/>
          <w:sz w:val="28"/>
          <w:szCs w:val="28"/>
          <w:lang w:bidi="fa-IR"/>
        </w:rPr>
        <w:t>367</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تقلید،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ابتدا تا شرایط شکسته شدن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قواطع سفر تا انتها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روزه،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امر به معروف و نهی از منکر، مکاسب محرمه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 و فروش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و نظایر آن، وصیت، یمین و نذر، کفارات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صید و ذباحه، خوردنی‌ها و آشامیدنی‌ها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اولیای عقد تا انتها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 شهادات، حدود، قصاص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عملیه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Islamic law, Ja'fari -- Handbooks, manuals, etc. -- Questions and answers</w:t>
      </w:r>
    </w:p>
    <w:p>
      <w:pPr>
        <w:pStyle w:val="BookText"/>
        <w:rPr/>
      </w:pPr>
      <w:r>
        <w:rPr>
          <w:rFonts w:ascii="IRNazanin" w:hAnsi="IRNazanin" w:eastAsia="IRNazanin"/>
          <w:color w:val="111111"/>
          <w:sz w:val="28"/>
          <w:sz w:val="28"/>
          <w:szCs w:val="28"/>
          <w:rtl w:val="true"/>
          <w:lang w:bidi="fa-IR"/>
        </w:rPr>
        <w:t xml:space="preserve">فتوا‌های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Fatwas, Shiites -- 20th century</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موسسه تنظیم و نشر آثار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Institute for Compilation and Publication of Imam Khomeini's Works</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BP183/9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خ</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297/3422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3421059</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12620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w:t>
      </w:r>
    </w:p>
    <w:p>
      <w:pPr>
        <w:pStyle w:val="BookText"/>
        <w:rPr/>
      </w:pPr>
      <w:r>
        <w:rPr>
          <w:rFonts w:ascii="Amiri" w:hAnsi="Amiri" w:eastAsia="Amiri" w:cs="Amiri"/>
          <w:color w:val="111111"/>
          <w:sz w:val="28"/>
          <w:sz w:val="28"/>
          <w:szCs w:val="28"/>
          <w:rtl w:val="true"/>
          <w:lang w:bidi="ar-SA"/>
        </w:rPr>
        <w:t>وصلّى اللّه على محمّد وآله أجمعين</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ولعنة اللّه على أعدائهم إلى يوم الدين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030_142972"/>
      <w:bookmarkStart w:id="8" w:name="pg15030_142972"/>
      <w:bookmarkEnd w:id="8"/>
    </w:p>
    <w:p>
      <w:pPr>
        <w:pStyle w:val="Heading2"/>
        <w:numPr>
          <w:ilvl w:val="1"/>
          <w:numId w:val="1"/>
        </w:numPr>
        <w:rPr/>
      </w:pPr>
      <w:bookmarkStart w:id="9" w:name="pg15030_142972"/>
      <w:bookmarkStart w:id="10" w:name="__RefHeading___Toc212622_2142443653"/>
      <w:bookmarkStart w:id="11" w:name="_Toc3"/>
      <w:bookmarkEnd w:id="9"/>
      <w:bookmarkEnd w:id="10"/>
      <w:r>
        <w:rPr>
          <w:rtl w:val="true"/>
        </w:rPr>
        <w:t>الفصل الثاني في أحكام النجاسات</w:t>
      </w:r>
      <w:bookmarkEnd w:id="11"/>
    </w:p>
    <w:p>
      <w:pPr>
        <w:pStyle w:val="Heading3"/>
        <w:numPr>
          <w:ilvl w:val="2"/>
          <w:numId w:val="1"/>
        </w:numPr>
        <w:rPr/>
      </w:pPr>
      <w:bookmarkStart w:id="12" w:name="__RefHeading___Toc212624_2142443653"/>
      <w:bookmarkStart w:id="13" w:name="_Toc4"/>
      <w:bookmarkEnd w:id="12"/>
      <w:r>
        <w:rPr>
          <w:rtl w:val="true"/>
        </w:rPr>
        <w:t>اشاره</w:t>
      </w:r>
      <w:bookmarkEnd w:id="13"/>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مطالب </w:t>
      </w:r>
      <w:r>
        <w:rPr>
          <w:rFonts w:eastAsia="Amiri" w:cs="Amiri" w:ascii="Amiri" w:hAnsi="Amiri"/>
          <w:color w:val="111111"/>
          <w:sz w:val="28"/>
          <w:szCs w:val="28"/>
          <w:rtl w:val="true"/>
          <w:lang w:bidi="ar-SA"/>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 w:name="pg15030_142974"/>
      <w:bookmarkStart w:id="15" w:name="pg15030_142974"/>
      <w:bookmarkEnd w:id="15"/>
    </w:p>
    <w:p>
      <w:pPr>
        <w:pStyle w:val="Heading3"/>
        <w:numPr>
          <w:ilvl w:val="2"/>
          <w:numId w:val="1"/>
        </w:numPr>
        <w:rPr/>
      </w:pPr>
      <w:bookmarkStart w:id="16" w:name="pg15030_142974"/>
      <w:bookmarkStart w:id="17" w:name="__RefHeading___Toc212626_2142443653"/>
      <w:bookmarkStart w:id="18" w:name="_Toc5"/>
      <w:bookmarkEnd w:id="16"/>
      <w:bookmarkEnd w:id="17"/>
      <w:r>
        <w:rPr>
          <w:rtl w:val="true"/>
        </w:rPr>
        <w:t>المطلب الأوّل</w:t>
      </w:r>
      <w:r>
        <w:rPr>
          <w:rtl w:val="true"/>
        </w:rPr>
        <w:t xml:space="preserve">: </w:t>
      </w:r>
      <w:r>
        <w:rPr>
          <w:rtl w:val="true"/>
        </w:rPr>
        <w:t>في سراية النجاسة إلى الملاقيات</w:t>
      </w:r>
      <w:bookmarkEnd w:id="18"/>
    </w:p>
    <w:p>
      <w:pPr>
        <w:pStyle w:val="Heading4"/>
        <w:numPr>
          <w:ilvl w:val="3"/>
          <w:numId w:val="1"/>
        </w:numPr>
        <w:rPr/>
      </w:pPr>
      <w:bookmarkStart w:id="19" w:name="__RefHeading___Toc212628_2142443653"/>
      <w:bookmarkStart w:id="20" w:name="_Toc6"/>
      <w:bookmarkEnd w:id="19"/>
      <w:r>
        <w:rPr>
          <w:rtl w:val="true"/>
        </w:rPr>
        <w:t>اشاره</w:t>
      </w:r>
      <w:bookmarkEnd w:id="20"/>
    </w:p>
    <w:p>
      <w:pPr>
        <w:pStyle w:val="BookText"/>
        <w:rPr/>
      </w:pPr>
      <w:r>
        <w:rPr>
          <w:rFonts w:ascii="Amiri" w:hAnsi="Amiri" w:eastAsia="Amiri" w:cs="Amiri"/>
          <w:color w:val="111111"/>
          <w:sz w:val="28"/>
          <w:sz w:val="28"/>
          <w:szCs w:val="28"/>
          <w:rtl w:val="true"/>
          <w:lang w:bidi="ar-SA"/>
        </w:rPr>
        <w:t>المعروف بينهم القول بسراية النجاسة ممّا هو محكوم بها شرعاً إلى ما يلاقيه وهكذا ؛ بلغ ما بلغ</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فهاهنا جهات من البحث ، بعد الفراغ عن أنّ السراية من الأعيان النجسة إلى ملاقياتها ، تتوقّف على الرطوبة السارية ، كما مرّ الكلام فيه مستقصىً</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 w:name="__RefHeading___Toc212630_2142443653"/>
      <w:bookmarkStart w:id="22" w:name="_Toc7"/>
      <w:bookmarkEnd w:id="21"/>
      <w:r>
        <w:rPr>
          <w:rtl w:val="true"/>
        </w:rPr>
        <w:t xml:space="preserve">الجهة الاُولى </w:t>
      </w:r>
      <w:r>
        <w:rPr>
          <w:rtl w:val="true"/>
        </w:rPr>
        <w:t xml:space="preserve">: </w:t>
      </w:r>
      <w:r>
        <w:rPr>
          <w:rtl w:val="true"/>
        </w:rPr>
        <w:t>في سراية النجاسة من الأعيان النجسة</w:t>
      </w:r>
      <w:bookmarkEnd w:id="22"/>
    </w:p>
    <w:p>
      <w:pPr>
        <w:pStyle w:val="Heading5"/>
        <w:numPr>
          <w:ilvl w:val="4"/>
          <w:numId w:val="1"/>
        </w:numPr>
        <w:rPr/>
      </w:pPr>
      <w:bookmarkStart w:id="23" w:name="__RefHeading___Toc212632_2142443653"/>
      <w:bookmarkStart w:id="24" w:name="_Toc8"/>
      <w:bookmarkEnd w:id="23"/>
      <w:r>
        <w:rPr>
          <w:rtl w:val="true"/>
        </w:rPr>
        <w:t>اشارة</w:t>
      </w:r>
      <w:bookmarkEnd w:id="24"/>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الكلام في سرايتها إلى الملاقيات ، مقابل من أنكر ذلك إمّا مطلقاً ، أو في الجملة ، وهو لازم كلام علم الهدى ، حيث حكي عنه في مقام الاستدلال لجواز استعمال المائعات الطاهرة غير الماء في تطهير الثوب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تطهيره ليس إلاّ إزالة النجاسة عنه ، وقد زالت بغير الماء مشاهدةً</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xml:space="preserve">. </w:t>
      </w:r>
      <w:bookmarkStart w:id="25" w:name="pg15030_142975"/>
    </w:p>
    <w:p>
      <w:pPr>
        <w:pStyle w:val="BookText"/>
        <w:rPr/>
      </w:pPr>
      <w:bookmarkEnd w:id="25"/>
      <w:r>
        <w:rPr>
          <w:rFonts w:ascii="Amiri" w:hAnsi="Amiri" w:eastAsia="Amiri" w:cs="Amiri"/>
          <w:color w:val="111111"/>
          <w:sz w:val="28"/>
          <w:sz w:val="28"/>
          <w:szCs w:val="28"/>
          <w:rtl w:val="true"/>
          <w:lang w:bidi="ar-SA"/>
        </w:rPr>
        <w:t>وأوضح منه ما حكي عنه من جواز تطهير الأجسام الصقيلة بالمسح بحيث تزول عنها العين ؛ معلّلاً لذلك بزوال العلّة</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منهما أنّ الأعيان النجسة ، لا تؤثّر في تنجيس ملاقياتها حكماً ، وأنّ الطهارة للأشياء ليست إلاّ زوال عين النجاسة منها ، فإذا زالت العلّة ولا يبقى أثر منها تصير طاهرة ؛ إذ ليست النجاسة إلاّ تلطّخها بأعيانها ، وهذا مساوق للقول بعدم سراية النجاسة من الأعيان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المحدّث الكاشاني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نّه لا يخلو من قوّة ؛ إذ غاية ما يستفاد من الشرع</w:t>
      </w:r>
    </w:p>
    <w:p>
      <w:pPr>
        <w:pStyle w:val="BookText"/>
        <w:rPr/>
      </w:pPr>
      <w:r>
        <w:rPr>
          <w:rFonts w:ascii="Amiri" w:hAnsi="Amiri" w:eastAsia="Amiri" w:cs="Amiri"/>
          <w:color w:val="111111"/>
          <w:sz w:val="28"/>
          <w:sz w:val="28"/>
          <w:szCs w:val="28"/>
          <w:rtl w:val="true"/>
          <w:lang w:bidi="ar-SA"/>
        </w:rPr>
        <w:t xml:space="preserve">وجوب اجتناب أعيان النجاسات ، وأمّا وجوب غسلها بالماء من كلّ جسم فلا ، فما علم زوال النجاسة عنه قطعاً حكم بتطهّره، إلاّ ما خرج بدليل يقتضي اشتراط الماء ، كالثوب والبدن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يظهر طهارة البواطن بزوال العين ، وطهارة أعضاء الحيوان النجسة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الآدمي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 كما يستفاد من الصحاح</w:t>
      </w:r>
      <w:r>
        <w:rPr>
          <w:rFonts w:eastAsia="Amiri" w:cs="Amiri" w:ascii="Amiri" w:hAnsi="Amiri"/>
          <w:color w:val="111111"/>
          <w:sz w:val="28"/>
          <w:szCs w:val="28"/>
          <w:rtl w:val="true"/>
          <w:lang w:bidi="ar-SA"/>
        </w:rPr>
        <w:t>»</w:t>
      </w:r>
      <w:r>
        <w:rPr>
          <w:rStyle w:val="FootnoteAnchor"/>
          <w:rtl w:val="true"/>
        </w:rPr>
        <w:footnoteReference w:id="6"/>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ولعمري ، إنّ قول السيّد أظهر في هذا المقال من قول الكاشاني ، أو مثله حيث</w:t>
      </w:r>
    </w:p>
    <w:p>
      <w:pPr>
        <w:pStyle w:val="BookText"/>
        <w:rPr/>
      </w:pPr>
      <w:r>
        <w:rPr>
          <w:rFonts w:ascii="Amiri" w:hAnsi="Amiri" w:eastAsia="Amiri" w:cs="Amiri"/>
          <w:color w:val="111111"/>
          <w:sz w:val="28"/>
          <w:sz w:val="28"/>
          <w:szCs w:val="28"/>
          <w:rtl w:val="true"/>
          <w:lang w:bidi="ar-SA"/>
        </w:rPr>
        <w:t>تبعه في ذلك ، فلا وجه للطعن عليه بتفرّده</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 w:name="__RefHeading___Toc212634_2142443653"/>
      <w:bookmarkStart w:id="27" w:name="_Toc9"/>
      <w:bookmarkEnd w:id="26"/>
      <w:r>
        <w:rPr>
          <w:rtl w:val="true"/>
        </w:rPr>
        <w:t>فيما استدلّ به لعدم سراية النجاسة</w:t>
      </w:r>
      <w:bookmarkEnd w:id="27"/>
    </w:p>
    <w:p>
      <w:pPr>
        <w:pStyle w:val="BookText"/>
        <w:rPr/>
      </w:pPr>
      <w:r>
        <w:rPr>
          <w:rFonts w:ascii="Amiri" w:hAnsi="Amiri" w:eastAsia="Amiri" w:cs="Amiri"/>
          <w:color w:val="111111"/>
          <w:sz w:val="28"/>
          <w:sz w:val="28"/>
          <w:szCs w:val="28"/>
          <w:rtl w:val="true"/>
          <w:lang w:bidi="ar-SA"/>
        </w:rPr>
        <w:t xml:space="preserve">ويمكن أن يستدلّ على مطلوبهما بطوائف من الأخبار </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دلّت على أنّ اللّه جعل الأرض مسجداً وطهوراً ، وورودها في مقام </w:t>
      </w:r>
    </w:p>
    <w:p>
      <w:pPr>
        <w:pStyle w:val="BookText"/>
        <w:rPr/>
      </w:pPr>
      <w:r>
        <w:rPr>
          <w:rFonts w:ascii="Amiri" w:hAnsi="Amiri" w:eastAsia="Amiri" w:cs="Amiri"/>
          <w:color w:val="111111"/>
          <w:sz w:val="28"/>
          <w:sz w:val="28"/>
          <w:szCs w:val="28"/>
          <w:rtl w:val="true"/>
          <w:lang w:bidi="ar-SA"/>
        </w:rPr>
        <w:t xml:space="preserve">الامتنان يؤكّد إطلاقها ، فعن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أبي اُمامة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w:t>
      </w:r>
    </w:p>
    <w:p>
      <w:pPr>
        <w:pStyle w:val="BookText"/>
        <w:rPr/>
      </w:pPr>
      <w:r>
        <w:rPr>
          <w:rFonts w:ascii="IRNazanin" w:hAnsi="IRNazanin" w:eastAsia="IRNazanin"/>
          <w:color w:val="111111"/>
          <w:sz w:val="28"/>
          <w:sz w:val="28"/>
          <w:szCs w:val="28"/>
          <w:rtl w:val="true"/>
          <w:lang w:bidi="fa-IR"/>
        </w:rPr>
        <w:t xml:space="preserve">اللّه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فضّلت بأربع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لي الأرض مسجداً وطهوراً</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مرسلة أبان ، عن أبي عبداللّه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تبارك وتعالى أعطى محمّداً صلی الله علیه و آله وسلم شرائع نوح وإبراهيم وموسى وعيسى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جعل له الأرض مسجداً وطهوراً </w:t>
      </w:r>
      <w:r>
        <w:rPr>
          <w:rFonts w:eastAsia="IRNazanin" w:cs="IRNazanin"/>
          <w:color w:val="111111"/>
          <w:sz w:val="28"/>
          <w:szCs w:val="28"/>
          <w:rtl w:val="true"/>
          <w:lang w:bidi="fa-IR"/>
        </w:rPr>
        <w:t>. .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 xml:space="preserve">أبواب التيمّم ، الباب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إلى آخره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ودعوى عدم إطلاقها ؛ فإنّها في مقام الإخبار بالتشريع ، كأ نّها في غير محلّها ؛ فإنّ حكايته إنّما هي للعمل ، لا لنقل قضيّة كنقل التأريخ ، فلو كانت أرض خاصّة طهوراً لكان عليه البيان ، سيّما مع اقتضاء المقام التعميم ، كدعوى اختصاصها برفع الحدث ، لعدم الدليل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ومجرّد اشتمال بعضها على ذكر التيمّم لا يوجب الاختصاص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هذا القبيل صحيحة جميل ، عن أبي عبداللّه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جعل التراب طهوراً كما جعل الماء طهوراً</w:t>
      </w:r>
      <w:r>
        <w:rPr>
          <w:rFonts w:eastAsia="IRNazanin" w:cs="IRNazanin"/>
          <w:color w:val="111111"/>
          <w:sz w:val="28"/>
          <w:szCs w:val="28"/>
          <w:rtl w:val="true"/>
          <w:lang w:bidi="fa-IR"/>
        </w:rPr>
        <w:t>»</w:t>
      </w:r>
      <w:r>
        <w:rPr>
          <w:rStyle w:val="FootnoteAnchor"/>
          <w:rtl w:val="true"/>
        </w:rPr>
        <w:footnoteReference w:id="10"/>
      </w:r>
      <w:r>
        <w:rPr>
          <w:rFonts w:ascii="Amiri" w:hAnsi="Amiri" w:eastAsia="Amiri" w:cs="Amiri"/>
          <w:color w:val="111111"/>
          <w:sz w:val="28"/>
          <w:sz w:val="28"/>
          <w:szCs w:val="28"/>
          <w:rtl w:val="true"/>
          <w:lang w:bidi="ar-SA"/>
        </w:rPr>
        <w:t xml:space="preserve">سيّما إذا اُريد التشبيه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كون صدرها في مورد التيمّم ، لا يوجب 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 الكبرى الكلّية التي في مقام الامتنان المقتضي للتعميم </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وتقريب الاستدلال بهذه الطائفة للمطلوب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الطهارة لدى العرف </w:t>
      </w:r>
    </w:p>
    <w:p>
      <w:pPr>
        <w:pStyle w:val="BookText"/>
        <w:rPr/>
      </w:pPr>
      <w:r>
        <w:rPr>
          <w:rFonts w:ascii="Amiri" w:hAnsi="Amiri" w:eastAsia="Amiri" w:cs="Amiri"/>
          <w:color w:val="111111"/>
          <w:sz w:val="28"/>
          <w:sz w:val="28"/>
          <w:szCs w:val="28"/>
          <w:rtl w:val="true"/>
          <w:lang w:bidi="ar-SA"/>
        </w:rPr>
        <w:t xml:space="preserve">عبارة عن خلوّ الأشياء ونقائها عن القذارات ،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مؤثّرة في</w:t>
      </w:r>
    </w:p>
    <w:p>
      <w:pPr>
        <w:pStyle w:val="BookText"/>
        <w:rPr/>
      </w:pPr>
      <w:r>
        <w:rPr>
          <w:rFonts w:ascii="Amiri" w:hAnsi="Amiri" w:eastAsia="Amiri" w:cs="Amiri"/>
          <w:color w:val="111111"/>
          <w:sz w:val="28"/>
          <w:sz w:val="28"/>
          <w:szCs w:val="28"/>
          <w:rtl w:val="true"/>
          <w:lang w:bidi="ar-SA"/>
        </w:rPr>
        <w:t xml:space="preserve">إزالتها وإرجاعها إلى حالها الأصلية وزوالِ العلّة ، وهي بعينها دعوى السيّد ، ولازمه عدم سراية القذارات في الأشياء ؛ إذ الأرض لا تؤثّر إلاّ في زوال الأعيان ، وهو بعينه الطهارة عرفاً وعقلاً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الطائفة تدلّ على ما ذهب إليه من عدم اختصاص الطهور بالماء ، ويثبت بها لازمه ، وشاهدة أيضاً على ما لدى العقلاء في ماهية الطهارة والقذارة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قد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التعبير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على أنّ الأشياء تصير قذرة محتاجة إلى المطهّر ، غاية الأمر كما يكون الماء مطهّراً تكون الأرض مطهّرة ، وهو مخالف لمذهب السيّد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العرف لا يرى الطهارة إلاّ إزالة النجاسة عن الجسم وإرجاعَه إلى</w:t>
      </w:r>
    </w:p>
    <w:p>
      <w:pPr>
        <w:pStyle w:val="BookText"/>
        <w:rPr/>
      </w:pPr>
      <w:r>
        <w:rPr>
          <w:rFonts w:ascii="Amiri" w:hAnsi="Amiri" w:eastAsia="Amiri" w:cs="Amiri"/>
          <w:color w:val="111111"/>
          <w:sz w:val="28"/>
          <w:sz w:val="28"/>
          <w:szCs w:val="28"/>
          <w:rtl w:val="true"/>
          <w:lang w:bidi="ar-SA"/>
        </w:rPr>
        <w:t xml:space="preserve">حالته الذاتية ، وطهورية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كطهورية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إلاّ ذلك ، وهي معلومة بالمشاهدة ، كما قال السيّد في كلامه المتقدّم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دلّت على مطهّرية غير الماء لبعض النجاسات ، كصحيحة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وطأ على عَذِرة ، فساخت رجله فيها ، أينقض</w:t>
      </w:r>
    </w:p>
    <w:p>
      <w:pPr>
        <w:pStyle w:val="BookText"/>
        <w:rPr/>
      </w:pPr>
      <w:r>
        <w:rPr>
          <w:rFonts w:ascii="Amiri" w:hAnsi="Amiri" w:eastAsia="Amiri" w:cs="Amiri"/>
          <w:color w:val="111111"/>
          <w:sz w:val="28"/>
          <w:sz w:val="28"/>
          <w:szCs w:val="28"/>
          <w:rtl w:val="true"/>
          <w:lang w:bidi="ar-SA"/>
        </w:rPr>
        <w:t xml:space="preserve">ذلك وضوءه ، وهل يجب عليه غسلها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يغسلها إلاّ أن يقذِرها ، ولكنّه يمسحها حتّى يذهب أثرها ، ويصلّي</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قوّة دلالتها على مذهب السيّد ؛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وضعاً أو </w:t>
      </w:r>
    </w:p>
    <w:p>
      <w:pPr>
        <w:pStyle w:val="BookText"/>
        <w:rPr/>
      </w:pPr>
      <w:r>
        <w:rPr>
          <w:rFonts w:ascii="Amiri" w:hAnsi="Amiri" w:eastAsia="Amiri" w:cs="Amiri"/>
          <w:color w:val="111111"/>
          <w:sz w:val="28"/>
          <w:sz w:val="28"/>
          <w:szCs w:val="28"/>
          <w:rtl w:val="true"/>
          <w:lang w:bidi="ar-SA"/>
        </w:rPr>
        <w:t xml:space="preserve">انصرافاً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للإنسان ، أو الأعمّ منها وممّا لغير المأكول من السباع ، كالكلب والسِنَّوْر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وحملها على عذرة مأكول اللحم خلاف الظاهر جدّاً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المسح بالأرض خلاف ظاهرها ، بل الظاهر منها أنّ كلّ ما أذهب أثرها كافٍ ، والميزان فيه ذهاب الأثر بأيّ طريق كان ، وهو عين مدّعاه ، ولازمه عدم السراية حكماً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دعوى حكومة هذه الرواية على الروايات الواردة في غسل ملاقي القذارات</w:t>
      </w:r>
      <w:r>
        <w:rPr>
          <w:rStyle w:val="FootnoteAnchor"/>
          <w:rtl w:val="true"/>
        </w:rPr>
        <w:footnoteReference w:id="12"/>
      </w:r>
      <w:r>
        <w:rPr>
          <w:rFonts w:ascii="IRNazanin" w:hAnsi="IRNazanin" w:eastAsia="IRNazanin"/>
          <w:color w:val="111111"/>
          <w:sz w:val="28"/>
          <w:sz w:val="28"/>
          <w:szCs w:val="28"/>
          <w:rtl w:val="true"/>
          <w:lang w:bidi="fa-IR"/>
        </w:rPr>
        <w:t xml:space="preserve">؛ بدعوى أنّ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يغسلها إلاّ أن يقذِرها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على أنّ الأمر بالغسل فيها ؛ لرفع القذارة العرفية بجميع مراتبها ، لا لكون الماء ذا خصوصية شرعاً ، بل المعتبر لدى الشارع ليس إلاّ ذهاب الأثر بأيّ نحو اتّفق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وكموثّقة الحلبي أو صحيحته</w:t>
      </w:r>
      <w:r>
        <w:rPr>
          <w:rStyle w:val="FootnoteAnchor"/>
          <w:rtl w:val="true"/>
        </w:rPr>
        <w:footnoteReference w:id="13"/>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نزلنا في مكان بيننا وبين المسجد زقاق قذر ، فدخلت على أبي عبداللّه علیه السلام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أين نزلتم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دار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بينكم وبين المسجد زُقاقاً قذراً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قلنا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بيننا وبين المسجد زُقاقاً قذراً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 الأرض يطهّر بعضها بعضاً</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ومقتضى إطلاقها أنّ الأرض بإزالتها للعين موجبة للتطهّر من غير اختصاص بالمشي أو بالرجل وغير 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الطهارة في الأشياء عرفاً وعقلاً ، ليست إلاّ زوالَ القذارات</w:t>
      </w:r>
    </w:p>
    <w:p>
      <w:pPr>
        <w:pStyle w:val="BookText"/>
        <w:rPr/>
      </w:pPr>
      <w:r>
        <w:rPr>
          <w:rFonts w:ascii="Amiri" w:hAnsi="Amiri" w:eastAsia="Amiri" w:cs="Amiri"/>
          <w:color w:val="111111"/>
          <w:sz w:val="28"/>
          <w:sz w:val="28"/>
          <w:szCs w:val="28"/>
          <w:rtl w:val="true"/>
          <w:lang w:bidi="ar-SA"/>
        </w:rPr>
        <w:t xml:space="preserve">عنها ورجوعَها إلى حالتها الأصلية ؛ من غير حصول صفة وجودية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صحّة الاستدلال بروايات تدلّ على مطهّرية الشمس أو هي والريح في بعض ما</w:t>
      </w:r>
    </w:p>
    <w:p>
      <w:pPr>
        <w:pStyle w:val="BookText"/>
        <w:rPr/>
      </w:pPr>
      <w:r>
        <w:rPr>
          <w:rFonts w:ascii="Amiri" w:hAnsi="Amiri" w:eastAsia="Amiri" w:cs="Amiri"/>
          <w:color w:val="111111"/>
          <w:sz w:val="28"/>
          <w:sz w:val="28"/>
          <w:szCs w:val="28"/>
          <w:rtl w:val="true"/>
          <w:lang w:bidi="ar-SA"/>
        </w:rPr>
        <w:t xml:space="preserve">يذهب أثره بإشراق الشمس وتبخيرها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وبما هو كالضروري ؛ من أنّ زوال عين النجاسة عن بدن 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 لطهارته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دلّ على طهارة بصاق شارب الخمر</w:t>
      </w:r>
      <w:r>
        <w:rPr>
          <w:rStyle w:val="FootnoteAnchor"/>
          <w:rtl w:val="true"/>
        </w:rPr>
        <w:footnoteReference w:id="16"/>
      </w:r>
      <w:r>
        <w:rPr>
          <w:rFonts w:ascii="Amiri" w:hAnsi="Amiri" w:eastAsia="Amiri" w:cs="Amiri"/>
          <w:color w:val="111111"/>
          <w:sz w:val="28"/>
          <w:sz w:val="28"/>
          <w:szCs w:val="28"/>
          <w:rtl w:val="true"/>
          <w:lang w:bidi="ar-SA"/>
        </w:rPr>
        <w:t>وما دلّ على أ نّه ليس للاستنجاء حدّ إلاّ النقاء</w:t>
      </w:r>
      <w:r>
        <w:rPr>
          <w:rStyle w:val="FootnoteAnchor"/>
          <w:rtl w:val="true"/>
        </w:rPr>
        <w:footnoteReference w:id="17"/>
      </w:r>
      <w:r>
        <w:rPr>
          <w:rFonts w:ascii="Amiri" w:hAnsi="Amiri" w:eastAsia="Amiri" w:cs="Amiri"/>
          <w:color w:val="111111"/>
          <w:sz w:val="28"/>
          <w:sz w:val="28"/>
          <w:szCs w:val="28"/>
          <w:rtl w:val="true"/>
          <w:lang w:bidi="ar-SA"/>
        </w:rPr>
        <w:t>وبموثّق غياث الدالّ على جواز غسل الدم بالبصاق</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وبمرسلة ابن أبي عمير ، عن 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عجين عجن وخبز ، ثمّ علم أنّ الماء كانت فيه ميتة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 أكلت النار ما فيه</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وبما دلّ على طهارة الدَنّ الذي كان فيه الخمر ، ثمّ يجفّف ويجعل فيه الخلّ</w:t>
      </w:r>
      <w:r>
        <w:rPr>
          <w:rStyle w:val="FootnoteAnchor"/>
          <w:rtl w:val="true"/>
        </w:rPr>
        <w:footnoteReference w:id="20"/>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غير ذلك ، فإنّ كلّ تلك الموارد موافق للقواعد ، وليس للشارع </w:t>
      </w:r>
    </w:p>
    <w:p>
      <w:pPr>
        <w:pStyle w:val="BookText"/>
        <w:rPr/>
      </w:pPr>
      <w:r>
        <w:rPr>
          <w:rFonts w:ascii="Amiri" w:hAnsi="Amiri" w:eastAsia="Amiri" w:cs="Amiri"/>
          <w:color w:val="111111"/>
          <w:sz w:val="28"/>
          <w:sz w:val="28"/>
          <w:szCs w:val="28"/>
          <w:rtl w:val="true"/>
          <w:lang w:bidi="ar-SA"/>
        </w:rPr>
        <w:t>إعمال تعبّد فيها بعد عدم كون الطهارة أمراً مجعولاً تعبّدياً ، بل هي بمعنى</w:t>
      </w:r>
    </w:p>
    <w:p>
      <w:pPr>
        <w:pStyle w:val="BookText"/>
        <w:rPr/>
      </w:pPr>
      <w:r>
        <w:rPr>
          <w:rFonts w:ascii="Amiri" w:hAnsi="Amiri" w:eastAsia="Amiri" w:cs="Amiri"/>
          <w:color w:val="111111"/>
          <w:sz w:val="28"/>
          <w:sz w:val="28"/>
          <w:szCs w:val="28"/>
          <w:rtl w:val="true"/>
          <w:lang w:bidi="ar-SA"/>
        </w:rPr>
        <w:t xml:space="preserve">النظافة ، وهي تحصل بإزالة القذارة بأيّ نحو كان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ونحوها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أوضح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عبد الأعلى ،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الحجامة ، أفيها وضوء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 ولا يغسل مكانها ؛ لأنّ الحجّام مؤتمن إذا كان ينظّفه ، ولم يكن صبيّاً صغيراً</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الظاهر منها أنّ التنظيف بأيّ نحو ، يقع مقام الغسل في تحصيل الطهارة ، وليس المراد منه الغسل بالماء جزماً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فلعدم تعارف غسل الحجّام محلّ الحجامة ، بل المتعارف تنظيفه بثوب أو خرقة ، فحملها عليه حمل على الفرد النادر ، أو غير المحقّق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تبديل الغسل بالتنظيف وجعله مقابلاً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المناسب ذكر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على مغايرتهما ، فهي دالّة على أنّ الغسل لم يؤمر به إلاّ للتنظيف ، والحجّام إذا كان ينظّفه يحصل المقصود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يعرف سرّ الأمر بالغسل في سائر النجاسات ؛ وهو تحصيل النظافة عرفاً </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ضمّ تلك الروايات الكثيرة وغيرها ممّا لم نذكره ، يحصل الجزم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خلّيت الواقعة عن دليل تعبّدي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التنظيف عند الشارع ليس إلاّ ما لدى العقلاء ، وأنّ الأمر بالغسل بالماء فيما ورد ؛ إنّما هو لسهولة تحصيل الطهور به ولوفوره ، ولكونه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مجّانيته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أوقع وأسهل في تحصيله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ومعه لا يفهم من الأدلّة الآمرة بغسل الأشياء بالماء ، خصوصية تعبّدية ، ولا يفهم العرف أنّ التطهير والتنظيف لدى الشارع ، غير ما لدى العقلاء ، وأنّ الطهارة عنده ليست عبارة عن خلوّ الشيء عن القذارة العارضة ، بل هي أمر آخر ليس للعقلاء إلى فهمه سبيل ، فإنّ كل ذلك بعيد عن الأفهام ، مخالف لتلك الروايات الكثيرة ، يحتاج إثباته إلى دليل تعبّدي رادع للعقلاء عن ارتكازهم ، ولا تصلح الروايات الآمرة بالغسل لذلك ؛ لما عرفت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متفرّقة في الأبواب ظاهرة في عدم السراية ، كصحيحة حكم بن حكيم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أبول فلا اُصيب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أصاب يدي شيء من البول ، فأمسحه بالحائط وبالتراب ، ثمّ تعرق يدي ، فأمسح بها وجهي ، أو بعض جسدي ، أو يصيب ثوبي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وهي أيضاً موافقة لما تقدّم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ونحوها رواية سَماعة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الحسن موسى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أبول فأتمسّح بالأحجار ، فيجيء منّي البلل ما يفسد سراويلي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به بأس</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ورواية زيد الشحّام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 سأل أبا عبداللّه علیه السلام عن الثوب يكون فيه الجنابة ، فتصيبني السماء حتّى يبتلّ عليّ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وحملها على تطهّر الثوب بالمطر</w:t>
      </w:r>
      <w:r>
        <w:rPr>
          <w:rStyle w:val="FootnoteAnchor"/>
          <w:rtl w:val="true"/>
        </w:rPr>
        <w:footnoteReference w:id="25"/>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ورواية علي بن جعفر ، عن أخيه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الكنيف يصبّ فيه الماء ، فينضح على الثياب ، ما حاله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جافّاً فلا بأس</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وصحيحة أبي اُسامة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تصيبني السماء وعليّ ثوب ، فتبلّه وأنا جنب ، فيصيب بعض ما أصاب جسدي من المنيّ ، أفأُصلّي فيه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بناءً على أنّ المراد إصابة الثوب لنفس المنيّ الذي في الجسد ، لا للجسد الملاقي 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ورواية علي بن أبي حمزة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عبداللّه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وأنا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أجنب في ثوبه فيعرق فيه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أرى به بأساً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يعرق حتّى لو شاء أن يعصره عصره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فقطب أبو عبداللّه علیه السلام</w:t>
      </w:r>
    </w:p>
    <w:p>
      <w:pPr>
        <w:pStyle w:val="BookText"/>
        <w:rPr/>
      </w:pPr>
      <w:r>
        <w:rPr>
          <w:rFonts w:ascii="Amiri" w:hAnsi="Amiri" w:eastAsia="Amiri" w:cs="Amiri"/>
          <w:color w:val="111111"/>
          <w:sz w:val="28"/>
          <w:sz w:val="28"/>
          <w:szCs w:val="28"/>
          <w:rtl w:val="true"/>
          <w:lang w:bidi="ar-SA"/>
        </w:rPr>
        <w:t xml:space="preserve">في وجه الرجل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أبيتم فشيء من ماء فانضحه</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السؤال عن الثوب الذي فيه أثر الجنابة إذا عرق فيه ، ومعلوم أنّ العرق بالوجه المسؤول عنه يوجب ملاقاة البدن للأثر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والحمل على </w:t>
      </w:r>
    </w:p>
    <w:p>
      <w:pPr>
        <w:pStyle w:val="BookText"/>
        <w:rPr/>
      </w:pPr>
      <w:r>
        <w:rPr>
          <w:rFonts w:ascii="Amiri" w:hAnsi="Amiri" w:eastAsia="Amiri" w:cs="Amiri"/>
          <w:color w:val="111111"/>
          <w:sz w:val="28"/>
          <w:sz w:val="28"/>
          <w:szCs w:val="28"/>
          <w:rtl w:val="true"/>
          <w:lang w:bidi="ar-SA"/>
        </w:rPr>
        <w:t xml:space="preserve">السؤال عن عرق الجنب كما ترى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وموثّقة أبي اُسامة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 السلام عن الثوب الذي فيه الجنابة ، فتصيبني السماء حتّى يبتلّ عليّ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وتوجيهها بأنّ المطر طهّره</w:t>
      </w:r>
      <w:r>
        <w:rPr>
          <w:rStyle w:val="FootnoteAnchor"/>
          <w:rtl w:val="true"/>
        </w:rPr>
        <w:footnoteReference w:id="30"/>
      </w:r>
      <w:r>
        <w:rPr>
          <w:rFonts w:ascii="Amiri" w:hAnsi="Amiri" w:eastAsia="Amiri" w:cs="Amiri"/>
          <w:color w:val="111111"/>
          <w:sz w:val="28"/>
          <w:sz w:val="28"/>
          <w:szCs w:val="28"/>
          <w:rtl w:val="true"/>
          <w:lang w:bidi="ar-SA"/>
        </w:rPr>
        <w:t>بعيد ؛ فإنّ إزالة المنيّ تحتاج إلى الدلك</w:t>
      </w:r>
    </w:p>
    <w:p>
      <w:pPr>
        <w:pStyle w:val="BookText"/>
        <w:rPr/>
      </w:pPr>
      <w:r>
        <w:rPr>
          <w:rFonts w:ascii="IRNazanin" w:hAnsi="IRNazanin" w:eastAsia="IRNazanin"/>
          <w:color w:val="111111"/>
          <w:sz w:val="28"/>
          <w:sz w:val="28"/>
          <w:szCs w:val="28"/>
          <w:rtl w:val="true"/>
          <w:lang w:bidi="fa-IR"/>
        </w:rPr>
        <w:t xml:space="preserve">ونحوه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وأوضح منها صحيحة زرارة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يجنب في ثوبه ، أيتجفّف فيه من غسله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 لا بأس به ، إلاّ أن تكون النطفة فيه رطبة ، فإن كانت جافّة فلا بأس</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أنّ التفصيل بين الرطبة وغيرها ؛ لكون التجفيف بالرطبة موجباً لتلوّث البدن بها ، دون اليابسة التي لا يوجب ذلك معها إلاّ الملاقاة له بلا تلوّث بالنطفة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ممّا يعثر عليه المت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في مقابلها غير الروايات المستفيضة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المتواترة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الآمرة بالغسل </w:t>
      </w:r>
    </w:p>
    <w:p>
      <w:pPr>
        <w:pStyle w:val="BookText"/>
        <w:rPr/>
      </w:pPr>
      <w:r>
        <w:rPr>
          <w:rFonts w:ascii="IRNazanin" w:hAnsi="IRNazanin" w:eastAsia="IRNazanin"/>
          <w:color w:val="111111"/>
          <w:sz w:val="28"/>
          <w:sz w:val="28"/>
          <w:szCs w:val="28"/>
          <w:rtl w:val="true"/>
          <w:lang w:bidi="fa-IR"/>
        </w:rPr>
        <w:t>بالماء أو بالغسل</w:t>
      </w:r>
      <w:r>
        <w:rPr>
          <w:rStyle w:val="FootnoteAnchor"/>
          <w:rtl w:val="true"/>
        </w:rPr>
        <w:footnoteReference w:id="33"/>
      </w:r>
      <w:r>
        <w:rPr>
          <w:rFonts w:ascii="Amiri" w:hAnsi="Amiri" w:eastAsia="Amiri" w:cs="Amiri"/>
          <w:color w:val="111111"/>
          <w:sz w:val="28"/>
          <w:sz w:val="28"/>
          <w:szCs w:val="28"/>
          <w:rtl w:val="true"/>
          <w:lang w:bidi="ar-SA"/>
        </w:rPr>
        <w:t xml:space="preserve">المنصرف إلى كونه بالماء في أنواع النجاسات ، وهي لا تصلح لمعارضتها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المفهوم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تقدّم من أنّ الطهارة ليست لدى العقلاء إلاّ إزالة النجاسة</w:t>
      </w:r>
      <w:r>
        <w:rPr>
          <w:rStyle w:val="FootnoteAnchor"/>
          <w:rtl w:val="true"/>
        </w:rPr>
        <w:footnoteReference w:id="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بالغسل بالماء ليس إلاّ للتطهير والتنظيف من غير خصوصية للماء ، وإنّما خصّ بالذكر لسهولته وكثرته وأوقعيته للتطهير غالباً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فلعدم المفهوم لتلك الروايات ، فلا تنافي بينها وبين ما تقدّم من جواز التنظيف بغيره ، كالأرض والتراب والبصاق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لبعض الأخبار المتقدّمة نحو حكومة عليها ، كما تقدّم</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 ما دلّ على أنّ الاستنجاء في محلّ البول لا بدّ له من الماء ، ولا</w:t>
      </w:r>
    </w:p>
    <w:p>
      <w:pPr>
        <w:pStyle w:val="BookText"/>
        <w:rPr/>
      </w:pPr>
      <w:r>
        <w:rPr>
          <w:rFonts w:ascii="Amiri" w:hAnsi="Amiri" w:eastAsia="Amiri" w:cs="Amiri"/>
          <w:color w:val="111111"/>
          <w:sz w:val="28"/>
          <w:sz w:val="28"/>
          <w:szCs w:val="28"/>
          <w:rtl w:val="true"/>
          <w:lang w:bidi="ar-SA"/>
        </w:rPr>
        <w:t>يجوز بغيره</w:t>
      </w:r>
      <w:r>
        <w:rPr>
          <w:rStyle w:val="FootnoteAnchor"/>
          <w:rtl w:val="true"/>
        </w:rPr>
        <w:footnoteReference w:id="36"/>
      </w:r>
      <w:r>
        <w:rPr>
          <w:rFonts w:ascii="Amiri" w:hAnsi="Amiri" w:eastAsia="Amiri" w:cs="Amiri"/>
          <w:color w:val="111111"/>
          <w:sz w:val="28"/>
          <w:sz w:val="28"/>
          <w:szCs w:val="28"/>
          <w:rtl w:val="true"/>
          <w:lang w:bidi="ar-SA"/>
        </w:rPr>
        <w:t xml:space="preserve">مخصوص بمورده ، ولا يتعدّى منه إلى البول في سائر الموارد ، فضلاً عن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احتمال أن يكون اللابدّية إضافية في مقابل التحجّر ، لا سائر المائعات </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وغير ما دلّ على تغسيل ملاقي مثل الكلب والخنزير والكافر</w:t>
      </w:r>
      <w:r>
        <w:rPr>
          <w:rStyle w:val="FootnoteAnchor"/>
          <w:rtl w:val="true"/>
        </w:rPr>
        <w:footnoteReference w:id="37"/>
      </w:r>
      <w:r>
        <w:rPr>
          <w:rFonts w:ascii="Amiri" w:hAnsi="Amiri" w:eastAsia="Amiri" w:cs="Amiri"/>
          <w:color w:val="111111"/>
          <w:sz w:val="28"/>
          <w:sz w:val="28"/>
          <w:szCs w:val="28"/>
          <w:rtl w:val="true"/>
          <w:lang w:bidi="ar-SA"/>
        </w:rPr>
        <w:t xml:space="preserve">ممّا </w:t>
      </w:r>
    </w:p>
    <w:p>
      <w:pPr>
        <w:pStyle w:val="BookText"/>
        <w:rPr/>
      </w:pPr>
      <w:r>
        <w:rPr>
          <w:rFonts w:ascii="Amiri" w:hAnsi="Amiri" w:eastAsia="Amiri" w:cs="Amiri"/>
          <w:color w:val="111111"/>
          <w:sz w:val="28"/>
          <w:sz w:val="28"/>
          <w:szCs w:val="28"/>
          <w:rtl w:val="true"/>
          <w:lang w:bidi="ar-SA"/>
        </w:rPr>
        <w:t xml:space="preserve">لا يتلوّث الملاقي به ، وهو دليل على عدم كون النجاسة والطهارة لدى الشارع ما لدى العرف ، ولهذا حكم بنجاسة اُمور لا يستقذرها العرف ، وعدمِ نجاسة اُمور يستقذرها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يجاب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النجاسات الإلحاقية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كالكافر والكلب وغيرها ممّا لا يستقذرها العقلاء بما هم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نجاستها لكشف قذارة واقعية في ظاهر أجسامها من سنخ القذارات الصورية ؛ لعدم قذارة كذائية فيها ، بل الظاهر أنّ انسلاكها في سلك القذارات بجهات وعلل اُخرى سياسية أو غيرها ، وليس الحكم بغسل ملاقياتها للسراية كما في سائر النجاسات المستقذرة ، بل لاُمور اُخر وعلل شتّى غير السراية ، كتجنّب المسلمين عن الكفّار ، وعدم اختلاطهم بهم ، وكدفع مضرّات لم نطّلع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لم يكن الأمر بالغسل للسراية ، لم تكن تلك الروايات شاهدة على أنّ سائر النجاسات كذلك ؛ وأنّ الطهارة والنجاسة مطلقاً في عرف الشرع ونظر الشارع المقدّس ، غير ما عند العقلاء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إلحاق أشياء بها وإخراج أشياء منها ، لا يدلّ على مخالفة نظره مع العرف في أصل ماهية النجس والطاهر </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وغير الأدلّة الدالّة على انفعال الماء القليل وسائر المائعات</w:t>
      </w:r>
      <w:r>
        <w:rPr>
          <w:rStyle w:val="FootnoteAnchor"/>
          <w:rtl w:val="true"/>
        </w:rPr>
        <w:footnoteReference w:id="38"/>
      </w:r>
      <w:r>
        <w:rPr>
          <w:rFonts w:ascii="Amiri" w:hAnsi="Amiri" w:eastAsia="Amiri" w:cs="Amiri"/>
          <w:color w:val="111111"/>
          <w:sz w:val="28"/>
          <w:sz w:val="28"/>
          <w:szCs w:val="28"/>
          <w:rtl w:val="true"/>
          <w:lang w:bidi="ar-SA"/>
        </w:rPr>
        <w:t xml:space="preserve">وهي تبلغ في الكثرة حدّ التواتر </w:t>
      </w:r>
      <w:r>
        <w:rPr>
          <w:rFonts w:eastAsia="Amiri" w:cs="Amiri" w:ascii="Amiri" w:hAnsi="Amiri"/>
          <w:color w:val="111111"/>
          <w:sz w:val="28"/>
          <w:szCs w:val="28"/>
          <w:rtl w:val="true"/>
          <w:lang w:bidi="ar-SA"/>
        </w:rPr>
        <w:t xml:space="preserve">. </w:t>
      </w:r>
      <w:bookmarkStart w:id="28" w:name="pg15030_142986"/>
    </w:p>
    <w:p>
      <w:pPr>
        <w:pStyle w:val="BookText"/>
        <w:rPr/>
      </w:pPr>
      <w:bookmarkEnd w:id="28"/>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تلك مسألة برأسها لا تكون أوضح من هذه المسألة ، ولا ملازمة بينهما 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غاية ما يمكن لنا ذكره في هذا المختصر لتأييد مذهبهما </w:t>
      </w:r>
      <w:r>
        <w:rPr>
          <w:rFonts w:eastAsia="Amiri" w:cs="Amiri" w:ascii="Amiri" w:hAnsi="Amiri"/>
          <w:color w:val="111111"/>
          <w:sz w:val="28"/>
          <w:szCs w:val="28"/>
          <w:rtl w:val="true"/>
          <w:lang w:bidi="ar-SA"/>
        </w:rPr>
        <w:t>.</w:t>
      </w:r>
    </w:p>
    <w:p>
      <w:pPr>
        <w:pStyle w:val="Heading5"/>
        <w:numPr>
          <w:ilvl w:val="4"/>
          <w:numId w:val="1"/>
        </w:numPr>
        <w:rPr/>
      </w:pPr>
      <w:bookmarkStart w:id="29" w:name="__RefHeading___Toc212636_2142443653"/>
      <w:bookmarkStart w:id="30" w:name="_Toc10"/>
      <w:bookmarkEnd w:id="29"/>
      <w:r>
        <w:rPr>
          <w:rtl w:val="true"/>
        </w:rPr>
        <w:t>التحقيق في المقام</w:t>
      </w:r>
      <w:bookmarkEnd w:id="30"/>
    </w:p>
    <w:p>
      <w:pPr>
        <w:pStyle w:val="BookText"/>
        <w:rPr/>
      </w:pPr>
      <w:r>
        <w:rPr>
          <w:rFonts w:ascii="Amiri" w:hAnsi="Amiri" w:eastAsia="Amiri" w:cs="Amiri"/>
          <w:color w:val="111111"/>
          <w:sz w:val="28"/>
          <w:sz w:val="28"/>
          <w:szCs w:val="28"/>
          <w:rtl w:val="true"/>
          <w:lang w:bidi="ar-SA"/>
        </w:rPr>
        <w:t xml:space="preserve">لكن 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خلوّ كثير من تلك الأخبار من المناقشة إمّا في السند ، أو في الدلالة ، أو الجهة ، لو حاولنا ذكرها تفصيلاً لطال بنا البحث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الإنصاف خلوّ بعضها منها ، لكن مع ذلك كلّه لا يمكن الاتّكال في تلك</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عدّت من الضروريات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تلك الأخبار المعرض عنها أو عن إطلاقها خلفاً عن سلف ، وقد مرّ منّا مراراً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دليل حجّية أخبار الثقة ليس إلاّ</w:t>
      </w:r>
    </w:p>
    <w:p>
      <w:pPr>
        <w:pStyle w:val="BookText"/>
        <w:rPr/>
      </w:pPr>
      <w:r>
        <w:rPr>
          <w:rFonts w:ascii="IRNazanin" w:hAnsi="IRNazanin" w:eastAsia="IRNazanin"/>
          <w:color w:val="111111"/>
          <w:sz w:val="28"/>
          <w:sz w:val="28"/>
          <w:szCs w:val="28"/>
          <w:rtl w:val="true"/>
          <w:lang w:bidi="fa-IR"/>
        </w:rPr>
        <w:t>بناء العقلاء مع إمضاء الشارع</w:t>
      </w:r>
      <w:r>
        <w:rPr>
          <w:rStyle w:val="FootnoteAnchor"/>
          <w:rtl w:val="true"/>
        </w:rPr>
        <w:footnoteReference w:id="39"/>
      </w:r>
      <w:r>
        <w:rPr>
          <w:rFonts w:ascii="Amiri" w:hAnsi="Amiri" w:eastAsia="Amiri" w:cs="Amiri"/>
          <w:color w:val="111111"/>
          <w:sz w:val="28"/>
          <w:sz w:val="28"/>
          <w:szCs w:val="28"/>
          <w:rtl w:val="true"/>
          <w:lang w:bidi="ar-SA"/>
        </w:rPr>
        <w:t>، ومعلوم أنّ العقلاء لا يتّكلون على أخبار أعرض عنها نقلتها وغيرهم ، بل ادّعى جمع من الأعاظم الإجماع على تنجيس المتنجّس ، فضلاً عن النجس</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فهذه المسألة من المسائل التي يقال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كلّما ازدادت الأخبار فيها كثرة وصحّةً ، ازدادت وهناً وضعفاً</w:t>
      </w:r>
      <w:r>
        <w:rPr>
          <w:rFonts w:eastAsia="Amiri" w:cs="Amiri" w:ascii="Amiri" w:hAnsi="Amiri"/>
          <w:color w:val="111111"/>
          <w:sz w:val="28"/>
          <w:szCs w:val="28"/>
          <w:rtl w:val="true"/>
          <w:lang w:bidi="ar-SA"/>
        </w:rPr>
        <w:t>»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مع تظافر الأخبار على سراية النجاسة من المتنجّس كما تأتي ، فضلاً عن النجس </w:t>
      </w:r>
      <w:r>
        <w:rPr>
          <w:rFonts w:eastAsia="Amiri" w:cs="Amiri" w:ascii="Amiri" w:hAnsi="Amiri"/>
          <w:color w:val="111111"/>
          <w:sz w:val="28"/>
          <w:szCs w:val="28"/>
          <w:rtl w:val="true"/>
          <w:lang w:bidi="ar-SA"/>
        </w:rPr>
        <w:t xml:space="preserve">. </w:t>
      </w:r>
      <w:bookmarkStart w:id="31" w:name="pg15030_142987"/>
    </w:p>
    <w:p>
      <w:pPr>
        <w:pStyle w:val="Heading4"/>
        <w:numPr>
          <w:ilvl w:val="3"/>
          <w:numId w:val="1"/>
        </w:numPr>
        <w:rPr/>
      </w:pPr>
      <w:bookmarkStart w:id="32" w:name="__RefHeading___Toc212638_2142443653"/>
      <w:bookmarkStart w:id="33" w:name="_Toc11"/>
      <w:bookmarkEnd w:id="31"/>
      <w:bookmarkEnd w:id="32"/>
      <w:r>
        <w:rPr>
          <w:rtl w:val="true"/>
        </w:rPr>
        <w:t xml:space="preserve">الجهة الثانية </w:t>
      </w:r>
      <w:r>
        <w:rPr>
          <w:rtl w:val="true"/>
        </w:rPr>
        <w:t xml:space="preserve">: </w:t>
      </w:r>
      <w:r>
        <w:rPr>
          <w:rtl w:val="true"/>
        </w:rPr>
        <w:t>في أصل سراية النجاسة من المتنجّس</w:t>
      </w:r>
      <w:bookmarkEnd w:id="33"/>
    </w:p>
    <w:p>
      <w:pPr>
        <w:pStyle w:val="BookText"/>
        <w:rPr/>
      </w:pPr>
      <w:r>
        <w:rPr>
          <w:rFonts w:ascii="Amiri" w:hAnsi="Amiri" w:eastAsia="Amiri" w:cs="Amiri"/>
          <w:color w:val="111111"/>
          <w:sz w:val="28"/>
          <w:sz w:val="28"/>
          <w:szCs w:val="28"/>
          <w:rtl w:val="true"/>
          <w:lang w:bidi="ar-SA"/>
        </w:rPr>
        <w:t xml:space="preserve">بعد الفراغ عن السراية من الأعيان النجسة ، يقع الكلام في السراية من المتنجّس إلى ملاقيه ، إمّا في الجملة ، أو مطلقاً ولو بلغ ما بلغ ، وهي الجهة الثالثة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نسب الخلاف في أصل السراية إلى ابن إدريس</w:t>
      </w:r>
      <w:r>
        <w:rPr>
          <w:rStyle w:val="FootnoteAnchor"/>
          <w:rtl w:val="true"/>
        </w:rPr>
        <w:footnoteReference w:id="41"/>
      </w:r>
      <w:r>
        <w:rPr>
          <w:rFonts w:ascii="Amiri" w:hAnsi="Amiri" w:eastAsia="Amiri" w:cs="Amiri"/>
          <w:color w:val="111111"/>
          <w:sz w:val="28"/>
          <w:sz w:val="28"/>
          <w:szCs w:val="28"/>
          <w:rtl w:val="true"/>
          <w:lang w:bidi="ar-SA"/>
        </w:rPr>
        <w:t>، واختاره صريحاً المحدّث الكاشاني</w:t>
      </w:r>
      <w:r>
        <w:rPr>
          <w:rStyle w:val="FootnoteAnchor"/>
          <w:rtl w:val="true"/>
        </w:rPr>
        <w:footnoteReference w:id="42"/>
      </w:r>
      <w:r>
        <w:rPr>
          <w:rFonts w:ascii="Amiri" w:hAnsi="Amiri" w:eastAsia="Amiri" w:cs="Amiri"/>
          <w:color w:val="111111"/>
          <w:sz w:val="28"/>
          <w:sz w:val="28"/>
          <w:szCs w:val="28"/>
          <w:rtl w:val="true"/>
          <w:lang w:bidi="ar-SA"/>
        </w:rPr>
        <w:t xml:space="preserve">، لكن لم يظهر من الحلّي الإنكار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مطلق المتنجّسات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اختصاص كلامه بميّت الإنسان ؛ وإن كان ظاهر تعليله العموم ، لكن يظهر منه في بعض الموارد عدم العموم</w:t>
      </w:r>
      <w:r>
        <w:rPr>
          <w:rStyle w:val="FootnoteAnchor"/>
          <w:rtl w:val="true"/>
        </w:rPr>
        <w:footnoteReference w:id="43"/>
      </w:r>
      <w:r>
        <w:rPr>
          <w:rFonts w:ascii="Amiri" w:hAnsi="Amiri" w:eastAsia="Amiri" w:cs="Amiri"/>
          <w:color w:val="111111"/>
          <w:sz w:val="28"/>
          <w:sz w:val="28"/>
          <w:szCs w:val="28"/>
          <w:rtl w:val="true"/>
          <w:lang w:bidi="ar-SA"/>
        </w:rPr>
        <w:t>، ولهذا عدّ ذلك من متفرّدات الكاشاني</w:t>
      </w:r>
      <w:r>
        <w:rPr>
          <w:rStyle w:val="FootnoteAnchor"/>
          <w:rtl w:val="true"/>
        </w:rPr>
        <w:footnoteReference w:id="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لازم كلام السيّد</w:t>
      </w:r>
      <w:r>
        <w:rPr>
          <w:rStyle w:val="FootnoteAnchor"/>
          <w:rtl w:val="true"/>
        </w:rPr>
        <w:footnoteReference w:id="45"/>
      </w:r>
      <w:r>
        <w:rPr>
          <w:rFonts w:ascii="Amiri" w:hAnsi="Amiri" w:eastAsia="Amiri" w:cs="Amiri"/>
          <w:color w:val="111111"/>
          <w:sz w:val="28"/>
          <w:sz w:val="28"/>
          <w:szCs w:val="28"/>
          <w:rtl w:val="true"/>
          <w:lang w:bidi="ar-SA"/>
        </w:rPr>
        <w:t xml:space="preserve">ذلك أيضاً ، 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الكاشاني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المفاتيح</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إنّما يجب غسل ما لاقى عين النجاسة ، وأمّا ما لاقى الملاقي لها بعد ما اُزيل عنه بالتمسّح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لا يبقى فيه شيء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يجب غسله ، كما يستفاد من المعتبرة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 نّا لا نحتاج إلى دليل على ذلك </w:t>
      </w:r>
      <w:r>
        <w:rPr>
          <w:rFonts w:eastAsia="Amiri" w:cs="Amiri" w:ascii="Amiri" w:hAnsi="Amiri"/>
          <w:color w:val="111111"/>
          <w:sz w:val="28"/>
          <w:szCs w:val="28"/>
          <w:rtl w:val="true"/>
          <w:lang w:bidi="ar-SA"/>
        </w:rPr>
        <w:t>. . .»</w:t>
      </w:r>
      <w:r>
        <w:rPr>
          <w:rStyle w:val="FootnoteAnchor"/>
          <w:rtl w:val="true"/>
        </w:rPr>
        <w:footnoteReference w:id="46"/>
      </w:r>
      <w:r>
        <w:rPr>
          <w:rFonts w:ascii="IRNazanin" w:hAnsi="IRNazanin" w:eastAsia="IRNazanin"/>
          <w:color w:val="111111"/>
          <w:sz w:val="28"/>
          <w:sz w:val="28"/>
          <w:szCs w:val="28"/>
          <w:rtl w:val="true"/>
          <w:lang w:bidi="fa-IR"/>
        </w:rPr>
        <w:t xml:space="preserve">إلى آخره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ادّعى من عدم الدليل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الأدلّة المتفرّقة في الأبواب بلغت حدّ التواتر أو قريباً منه ؛ إن أراد عدم الدليل حتّى بالنسبة إلى المائعات ، كما هو </w:t>
      </w:r>
    </w:p>
    <w:p>
      <w:pPr>
        <w:pStyle w:val="BookText"/>
        <w:rPr/>
      </w:pPr>
      <w:r>
        <w:rPr>
          <w:rFonts w:ascii="Amiri" w:hAnsi="Amiri" w:eastAsia="Amiri" w:cs="Amiri"/>
          <w:color w:val="111111"/>
          <w:sz w:val="28"/>
          <w:sz w:val="28"/>
          <w:szCs w:val="28"/>
          <w:rtl w:val="true"/>
          <w:lang w:bidi="ar-SA"/>
        </w:rPr>
        <w:t>مقتضى إطلاقه ، وإلاّ فهي أيضاً كثيرة ، نذكر جملة منها مع الإشارة إلى مقدار</w:t>
      </w:r>
    </w:p>
    <w:p>
      <w:pPr>
        <w:pStyle w:val="BookText"/>
        <w:rPr/>
      </w:pPr>
      <w:r>
        <w:rPr>
          <w:rFonts w:ascii="Amiri" w:hAnsi="Amiri" w:eastAsia="Amiri" w:cs="Amiri"/>
          <w:color w:val="111111"/>
          <w:sz w:val="28"/>
          <w:sz w:val="28"/>
          <w:szCs w:val="28"/>
          <w:rtl w:val="true"/>
          <w:lang w:bidi="ar-SA"/>
        </w:rPr>
        <w:t xml:space="preserve">دلالتها بالنسبة إلى الوسائط ؛ حتّى يظهر حال الملاقيات مع الوسائط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الفضل أبي العبّاس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 السلام عن فضل الهرّة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حتّى انتهيت إلى الكلب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رجس نجس ، لا يتوضّأ بفضله ، واصبب ذلك الماء ، واغسله بالتراب أوّل مرّة ، ثمّ بالماء</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منها أنّ الماء الملاقي للكلب صار نجساً ، والإناء الملاقي للماء كذلك ، وأمر بغسله لسراية النجاسة منه إلى ما يلاقيه بعد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غاية ما يمكن استفادته منها ومن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البناء على ظهورها</w:t>
      </w:r>
    </w:p>
    <w:p>
      <w:pPr>
        <w:pStyle w:val="BookText"/>
        <w:rPr/>
      </w:pPr>
      <w:r>
        <w:rPr>
          <w:rFonts w:ascii="Amiri" w:hAnsi="Amiri" w:eastAsia="Amiri" w:cs="Amiri"/>
          <w:color w:val="111111"/>
          <w:sz w:val="28"/>
          <w:sz w:val="28"/>
          <w:szCs w:val="28"/>
          <w:rtl w:val="true"/>
          <w:lang w:bidi="ar-SA"/>
        </w:rPr>
        <w:t xml:space="preserve">في الوجوب الغيري ، كما هو المتعيّن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حرمة استعمالها حال كونها متنجّسة في المأكول والمشروب ، المطلوب فيهما النظافة والطهارة في الجملة ولو بالنسبة إلى المائعات التي يتنفّر الطبع من شربها في إناء يستقذره ، وأمّا تأثيرها في نجاسة ما فيها فلا</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العرف لا يشكّ في أنّ الأمر بغسل الإناء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 مع تفرّعه</w:t>
      </w:r>
    </w:p>
    <w:p>
      <w:pPr>
        <w:pStyle w:val="BookText"/>
        <w:rPr/>
      </w:pPr>
      <w:r>
        <w:rPr>
          <w:rFonts w:ascii="IRNazanin" w:hAnsi="IRNazanin" w:eastAsia="IRNazanin"/>
          <w:color w:val="111111"/>
          <w:sz w:val="28"/>
          <w:sz w:val="28"/>
          <w:szCs w:val="28"/>
          <w:rtl w:val="true"/>
          <w:lang w:bidi="fa-IR"/>
        </w:rPr>
        <w:t xml:space="preserve">على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رجس نجس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ليس إلاّ لتأثير الإناء في المائع المصبوب فيه ، ولا يشكّ في الفرق بين الأمر بغسل خارج الإناء الذي لا يلاقي المائع ، وداخله الملاقي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يكون استقذار العقلاء من المائعات المصبوبة في الإناء غير النظيف </w:t>
      </w:r>
    </w:p>
    <w:p>
      <w:pPr>
        <w:pStyle w:val="BookText"/>
        <w:rPr/>
      </w:pPr>
      <w:r>
        <w:rPr>
          <w:rFonts w:ascii="Amiri" w:hAnsi="Amiri" w:eastAsia="Amiri" w:cs="Amiri"/>
          <w:color w:val="111111"/>
          <w:sz w:val="28"/>
          <w:sz w:val="28"/>
          <w:szCs w:val="28"/>
          <w:rtl w:val="true"/>
          <w:lang w:bidi="ar-SA"/>
        </w:rPr>
        <w:t xml:space="preserve">دون الجامدات ؛ إلاّ لتأثّر الاُولى منه دون الثانية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فالاعتراف بتنفّر الطباع من الشرب في إناء مستقذر دون أكل الجوامد ، اعتراف بالسراية عرفاً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هذه الرواية تنجّس الملاقي للنجس وملاقيه وملاقي ملاقيه ، ومن تعليله أنّ ذلك حكم النجس من غير اختصاص بالكلب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واختصاصُ كيفية الغسل به بدليل آخر ، لا يوجب اختصاص سائر الأحكام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محمّد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الكلب يشرب من الإناء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 الإناء</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ونحوها ما دلّ على غسل الإناء من شرب الخنزير ، كصحيحة علي بن جعفر ، عن أخيه علیه السلام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حسنة</w:t>
      </w:r>
      <w:r>
        <w:rPr>
          <w:rStyle w:val="FootnoteAnchor"/>
          <w:rtl w:val="true"/>
        </w:rPr>
        <w:footnoteReference w:id="51"/>
      </w:r>
      <w:r>
        <w:rPr>
          <w:rFonts w:ascii="IRNazanin" w:hAnsi="IRNazanin" w:eastAsia="IRNazanin"/>
          <w:color w:val="111111"/>
          <w:sz w:val="28"/>
          <w:sz w:val="28"/>
          <w:szCs w:val="28"/>
          <w:rtl w:val="true"/>
          <w:lang w:bidi="fa-IR"/>
        </w:rPr>
        <w:t xml:space="preserve">المعلّى بن خُنيس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الخنزير يخرج من الماء فيمرّ على الطريق فيسيل منه الماء، أمرّ عليه حافياً؟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ليس </w:t>
      </w:r>
    </w:p>
    <w:p>
      <w:pPr>
        <w:pStyle w:val="BookText"/>
        <w:rPr/>
      </w:pPr>
      <w:r>
        <w:rPr>
          <w:rFonts w:ascii="Amiri" w:hAnsi="Amiri" w:eastAsia="Amiri" w:cs="Amiri"/>
          <w:color w:val="111111"/>
          <w:sz w:val="28"/>
          <w:sz w:val="28"/>
          <w:szCs w:val="28"/>
          <w:rtl w:val="true"/>
          <w:lang w:bidi="ar-SA"/>
        </w:rPr>
        <w:t>وراءه شيء جافّ؟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بأس؛ إنّ الأرض يطهّر بعضها بعضاً</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وهي كالصريح في نجاسة الرجل الملاقية لملاقي النجس </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دلّت على وجوب غسل آنية اليهود</w:t>
      </w:r>
      <w:r>
        <w:rPr>
          <w:rStyle w:val="FootnoteAnchor"/>
          <w:rtl w:val="true"/>
        </w:rPr>
        <w:footnoteReference w:id="53"/>
      </w:r>
      <w:r>
        <w:rPr>
          <w:rFonts w:ascii="Amiri" w:hAnsi="Amiri" w:eastAsia="Amiri" w:cs="Amiri"/>
          <w:color w:val="111111"/>
          <w:sz w:val="28"/>
          <w:sz w:val="28"/>
          <w:szCs w:val="28"/>
          <w:rtl w:val="true"/>
          <w:lang w:bidi="ar-SA"/>
        </w:rPr>
        <w:t>وآنية يشرب فيها الخمر</w:t>
      </w:r>
      <w:r>
        <w:rPr>
          <w:rStyle w:val="FootnoteAnchor"/>
          <w:rtl w:val="true"/>
        </w:rPr>
        <w:footnoteReference w:id="54"/>
      </w:r>
      <w:r>
        <w:rPr>
          <w:rFonts w:ascii="Amiri" w:hAnsi="Amiri" w:eastAsia="Amiri" w:cs="Amiri"/>
          <w:color w:val="111111"/>
          <w:sz w:val="28"/>
          <w:sz w:val="28"/>
          <w:szCs w:val="28"/>
          <w:rtl w:val="true"/>
          <w:lang w:bidi="ar-SA"/>
        </w:rPr>
        <w:t>وغسل أواني الخمر</w:t>
      </w:r>
      <w:r>
        <w:rPr>
          <w:rStyle w:val="FootnoteAnchor"/>
          <w:rtl w:val="true"/>
        </w:rPr>
        <w:footnoteReference w:id="55"/>
      </w:r>
      <w:r>
        <w:rPr>
          <w:rFonts w:ascii="Amiri" w:hAnsi="Amiri" w:eastAsia="Amiri" w:cs="Amiri"/>
          <w:color w:val="111111"/>
          <w:sz w:val="28"/>
          <w:sz w:val="28"/>
          <w:szCs w:val="28"/>
          <w:rtl w:val="true"/>
          <w:lang w:bidi="ar-SA"/>
        </w:rPr>
        <w:t xml:space="preserve">وغسل ما فيه الجُرَذ ميتاً </w:t>
      </w:r>
      <w:r>
        <w:rPr>
          <w:rStyle w:val="FootnoteAnchor"/>
          <w:rtl w:val="true"/>
        </w:rPr>
        <w:footnoteReference w:id="56"/>
      </w:r>
      <w:r>
        <w:rPr>
          <w:rFonts w:ascii="Amiri" w:hAnsi="Amiri" w:eastAsia="Amiri" w:cs="Amiri"/>
          <w:color w:val="111111"/>
          <w:sz w:val="28"/>
          <w:sz w:val="28"/>
          <w:szCs w:val="28"/>
          <w:rtl w:val="true"/>
          <w:lang w:bidi="ar-SA"/>
        </w:rPr>
        <w:t>وغسل الفراش والبساط وما فيه الحشو</w:t>
      </w:r>
      <w:r>
        <w:rPr>
          <w:rStyle w:val="FootnoteAnchor"/>
          <w:rtl w:val="true"/>
        </w:rPr>
        <w:footnoteReference w:id="57"/>
      </w:r>
      <w:r>
        <w:rPr>
          <w:rFonts w:ascii="Amiri" w:hAnsi="Amiri" w:eastAsia="Amiri" w:cs="Amiri"/>
          <w:color w:val="111111"/>
          <w:sz w:val="28"/>
          <w:sz w:val="28"/>
          <w:szCs w:val="28"/>
          <w:rtl w:val="true"/>
          <w:lang w:bidi="ar-SA"/>
        </w:rPr>
        <w:t>وغسل لحم القدر الذي قطرت فيه قطرة من الخمر</w:t>
      </w:r>
      <w:r>
        <w:rPr>
          <w:rStyle w:val="FootnoteAnchor"/>
          <w:rtl w:val="true"/>
        </w:rPr>
        <w:footnoteReference w:id="58"/>
      </w:r>
      <w:r>
        <w:rPr>
          <w:rFonts w:ascii="Amiri" w:hAnsi="Amiri" w:eastAsia="Amiri" w:cs="Amiri"/>
          <w:color w:val="111111"/>
          <w:sz w:val="28"/>
          <w:sz w:val="28"/>
          <w:szCs w:val="28"/>
          <w:rtl w:val="true"/>
          <w:lang w:bidi="ar-SA"/>
        </w:rPr>
        <w:t>وغسل الثوب الذي لاقى الطين الذي نجّسه شيء بعد المطر</w:t>
      </w:r>
      <w:r>
        <w:rPr>
          <w:rStyle w:val="FootnoteAnchor"/>
          <w:rtl w:val="true"/>
        </w:rPr>
        <w:footnoteReference w:id="59"/>
      </w:r>
      <w:r>
        <w:rPr>
          <w:rFonts w:ascii="Amiri" w:hAnsi="Amiri" w:eastAsia="Amiri" w:cs="Amiri"/>
          <w:color w:val="111111"/>
          <w:sz w:val="28"/>
          <w:sz w:val="28"/>
          <w:szCs w:val="28"/>
          <w:rtl w:val="true"/>
          <w:lang w:bidi="ar-SA"/>
        </w:rPr>
        <w:t>وغسل الفخذ الملاقي للذكر بعد مسحه بالحجر</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xml:space="preserve">. </w:t>
      </w:r>
      <w:bookmarkStart w:id="34" w:name="pg15030_142991"/>
    </w:p>
    <w:p>
      <w:pPr>
        <w:pStyle w:val="BookText"/>
        <w:rPr/>
      </w:pPr>
      <w:bookmarkEnd w:id="34"/>
      <w:r>
        <w:rPr>
          <w:rFonts w:ascii="Amiri" w:hAnsi="Amiri" w:eastAsia="Amiri" w:cs="Amiri"/>
          <w:color w:val="111111"/>
          <w:sz w:val="28"/>
          <w:sz w:val="28"/>
          <w:szCs w:val="28"/>
          <w:rtl w:val="true"/>
          <w:lang w:bidi="ar-SA"/>
        </w:rPr>
        <w:t>وما دلّ على عدم جواز الصلاة على البواري التي يبلّ قصبها بماء قذر قبل الجفاف</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الساباطي الآمرة بغسل كلّ ما أصابه ماءٌ مات فيه الفأرة</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ورواية العِيص الآمرة بغسل الثوب الذي أصابه قطرة من طَسْت فيه وَضوء من بول أو قذر</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وصحيحة معاوية بن عمّار الآمرة بغسل الثوب الملاقي للبئر النتن</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دلّت على انفعال الماء القليل ببعض المتنجّسات</w:t>
      </w:r>
      <w:r>
        <w:rPr>
          <w:rStyle w:val="FootnoteAnchor"/>
          <w:rtl w:val="true"/>
        </w:rPr>
        <w:footnoteReference w:id="65"/>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غير ذلك </w:t>
      </w:r>
      <w:r>
        <w:rPr>
          <w:rFonts w:eastAsia="Amiri" w:cs="Amiri" w:ascii="Amiri" w:hAnsi="Amiri"/>
          <w:color w:val="111111"/>
          <w:sz w:val="28"/>
          <w:szCs w:val="28"/>
          <w:rtl w:val="true"/>
          <w:lang w:bidi="ar-SA"/>
        </w:rPr>
        <w:t>.</w:t>
      </w:r>
    </w:p>
    <w:p>
      <w:pPr>
        <w:pStyle w:val="Heading4"/>
        <w:numPr>
          <w:ilvl w:val="3"/>
          <w:numId w:val="1"/>
        </w:numPr>
        <w:rPr/>
      </w:pPr>
      <w:bookmarkStart w:id="35" w:name="__RefHeading___Toc212640_2142443653"/>
      <w:bookmarkStart w:id="36" w:name="_Toc12"/>
      <w:bookmarkEnd w:id="35"/>
      <w:r>
        <w:rPr>
          <w:rtl w:val="true"/>
        </w:rPr>
        <w:t xml:space="preserve">الجهة الثالثة </w:t>
      </w:r>
      <w:r>
        <w:rPr>
          <w:rtl w:val="true"/>
        </w:rPr>
        <w:t xml:space="preserve">: </w:t>
      </w:r>
      <w:r>
        <w:rPr>
          <w:rtl w:val="true"/>
        </w:rPr>
        <w:t>في تنجّس الوسائط الكثيرة</w:t>
      </w:r>
      <w:bookmarkEnd w:id="36"/>
    </w:p>
    <w:p>
      <w:pPr>
        <w:pStyle w:val="Heading5"/>
        <w:numPr>
          <w:ilvl w:val="4"/>
          <w:numId w:val="1"/>
        </w:numPr>
        <w:rPr/>
      </w:pPr>
      <w:bookmarkStart w:id="37" w:name="__RefHeading___Toc212642_2142443653"/>
      <w:bookmarkStart w:id="38" w:name="_Toc13"/>
      <w:bookmarkEnd w:id="37"/>
      <w:r>
        <w:rPr>
          <w:rtl w:val="true"/>
        </w:rPr>
        <w:t>اشارة</w:t>
      </w:r>
      <w:bookmarkEnd w:id="38"/>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لا يظهر من تلك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كثرتها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التنجيس بواسطة أو واسطتين ، فلا بدّ من التماس دليل على تنجّس الوسائط الكثيرة ، سيّما إذا كانت الكثرة معتدّاً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والتشبّث بإلغاء الخصوصية من واسطة أو واسطتين إلى الوسائط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سيّما الكثيرة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محلّه بعد وضوح الفرق بين الكثرة والقلّة في الوسائط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وغاية ما يمكن الاستدلال على تنجّسها بالغة ما بلغت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الظاهر من كثير من الروايات أنّ ملاقي النجس يصير نجساً ، وبالملاقاة ينسلك الملاقي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بالكسر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كقوله علیه السلام في المستفيضة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بلغ الماء قدر كرّ لا ينجّسه شيء</w:t>
      </w:r>
      <w:r>
        <w:rPr>
          <w:rFonts w:eastAsia="IRNazanin" w:cs="IRNazanin"/>
          <w:color w:val="111111"/>
          <w:sz w:val="28"/>
          <w:szCs w:val="28"/>
          <w:rtl w:val="true"/>
          <w:lang w:bidi="fa-IR"/>
        </w:rPr>
        <w:t>»</w:t>
      </w:r>
      <w:r>
        <w:rPr>
          <w:rStyle w:val="FootnoteAnchor"/>
          <w:rtl w:val="true"/>
        </w:rPr>
        <w:footnoteReference w:id="66"/>
      </w:r>
      <w:r>
        <w:rPr>
          <w:rFonts w:ascii="Amiri" w:hAnsi="Amiri" w:eastAsia="Amiri" w:cs="Amiri"/>
          <w:color w:val="111111"/>
          <w:sz w:val="28"/>
          <w:sz w:val="28"/>
          <w:szCs w:val="28"/>
          <w:rtl w:val="true"/>
          <w:lang w:bidi="ar-SA"/>
        </w:rPr>
        <w:t xml:space="preserve">فإنّه بمفهومه يدلّ على أنّ ملاقاة الماء للنجس ، موجبة لصيرورته نجساً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 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 اللّه الماء طهوراً لا ينجّسه شيء إلاّ ما غيّر لونه </w:t>
      </w:r>
      <w:r>
        <w:rPr>
          <w:rFonts w:eastAsia="Amiri" w:cs="Amiri" w:ascii="Amiri" w:hAnsi="Amiri"/>
          <w:color w:val="111111"/>
          <w:sz w:val="28"/>
          <w:szCs w:val="28"/>
          <w:rtl w:val="true"/>
          <w:lang w:bidi="ar-SA"/>
        </w:rPr>
        <w:t>. . .»</w:t>
      </w:r>
      <w:r>
        <w:rPr>
          <w:rStyle w:val="FootnoteAnchor"/>
          <w:rtl w:val="true"/>
        </w:rPr>
        <w:footnoteReference w:id="67"/>
      </w:r>
      <w:r>
        <w:rPr>
          <w:rFonts w:ascii="IRNazanin" w:hAnsi="IRNazanin" w:eastAsia="IRNazanin"/>
          <w:color w:val="111111"/>
          <w:sz w:val="28"/>
          <w:sz w:val="28"/>
          <w:szCs w:val="28"/>
          <w:rtl w:val="true"/>
          <w:lang w:bidi="fa-IR"/>
        </w:rPr>
        <w:t xml:space="preserve">إلى آخره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وكقوله علیه السلام في الثوب الذي يستعيره الذمّي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أعرته إيّاه وهو طاهر ، ولم تستيقن أ نّه نجّسه ، فلا بأس أن تصلّي فيه حتّى تستيقن أ نّه نجّسه</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 لِه علیه السلام في النبيذ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يبلّ الميل ينجّس حبّاً من ماء</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غير ذلك </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ضمّ ذلك إلى التعليل في بعض الروايات المتقدّمة</w:t>
      </w:r>
      <w:r>
        <w:rPr>
          <w:rStyle w:val="FootnoteAnchor"/>
          <w:rtl w:val="true"/>
        </w:rPr>
        <w:footnoteReference w:id="70"/>
      </w:r>
      <w:r>
        <w:rPr>
          <w:rFonts w:ascii="Amiri" w:hAnsi="Amiri" w:eastAsia="Amiri" w:cs="Amiri"/>
          <w:color w:val="111111"/>
          <w:sz w:val="28"/>
          <w:sz w:val="28"/>
          <w:szCs w:val="28"/>
          <w:rtl w:val="true"/>
          <w:lang w:bidi="ar-SA"/>
        </w:rPr>
        <w:t xml:space="preserve">لغسل الملاقي بكونه </w:t>
      </w:r>
    </w:p>
    <w:p>
      <w:pPr>
        <w:pStyle w:val="BookText"/>
        <w:rPr/>
      </w:pPr>
      <w:r>
        <w:rPr>
          <w:rFonts w:ascii="Amiri" w:hAnsi="Amiri" w:eastAsia="Amiri" w:cs="Amiri"/>
          <w:color w:val="111111"/>
          <w:sz w:val="28"/>
          <w:sz w:val="28"/>
          <w:szCs w:val="28"/>
          <w:rtl w:val="true"/>
          <w:lang w:bidi="ar-SA"/>
        </w:rPr>
        <w:t>نجساً ، وضمّ إليه ارتكاز العرف على أنّ الأمر بغسل الملاقي للسراية ، ينتج</w:t>
      </w:r>
    </w:p>
    <w:p>
      <w:pPr>
        <w:pStyle w:val="BookText"/>
        <w:rPr/>
      </w:pPr>
      <w:r>
        <w:rPr>
          <w:rFonts w:ascii="Amiri" w:hAnsi="Amiri" w:eastAsia="Amiri" w:cs="Amiri"/>
          <w:color w:val="111111"/>
          <w:sz w:val="28"/>
          <w:sz w:val="28"/>
          <w:szCs w:val="28"/>
          <w:rtl w:val="true"/>
          <w:lang w:bidi="ar-SA"/>
        </w:rPr>
        <w:t xml:space="preserve">المطلوب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فرضت سلسلة مترتّبة من الملاقيات رأسها عين النجس ، فالملاقي الأوّل محكوم بأ نّه نجس ؛ لأنّ العين نجّسته بارتكاز العرف ودلالة الروايات ، وبمقتضى التعليل بأنّ النجس يغسل ملاقيه ، وبضميمة الارتكازِ بأنّ لزوم الغسل ليس لتعبّد محض ، بل للسراية وصيرورة الملاقي نجساً والتأييدِ بالروايات الحاكمة بصيرورته نجساً ، يحكم بنجاسة ملاقي الملاقي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في جميع السلسلة يحكم بلزوم غسل ملاقي كلّ نجس ، وبالارتكاز والروايات المتقدّمة يحكم بصيرورة الملاقي نجساً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التعليل والارتكاز وضميمة الروايات قاعدة كلّية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كلّ نجس منجّس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موجب لتحقّق مصداق آخر للنجس ، وهو أيضاً منجّس ، وهلمّ جرّاً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خلوّه عن إشكال بل منع ، بعد ما علمنا اختصاص الحكم المذكور في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المشتملة على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بولوغ الكلب ، وعدم الإسراء إلى سائر ملاقياتها ، فضلاً عن سائر النجاسات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أنّ ورود التقييد أو التخصيص في حكم لا يوجب رفع اليد عن عموم العلّة ، غير وجيهة ؛ فإنّه مع اختصاص هذا الحكم الظاهر به ، لا يبقى وثوق بعموم التعليل ، ولا ظهور له </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إلى الإشكال في كون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رجس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تعليلاً يمكن الاتّكال عليه لإسراء الحكم ، نعم فيه إشعار بأنّ التغليظ في نجاسة الكلب ربّما يوجب اختصاص الأحكام به ، أو بما هو من قبيله ، ولا دليل على كون سائر النجاسات </w:t>
      </w:r>
      <w:bookmarkStart w:id="39" w:name="pg15030_142994"/>
    </w:p>
    <w:p>
      <w:pPr>
        <w:pStyle w:val="BookText"/>
        <w:rPr/>
      </w:pPr>
      <w:bookmarkEnd w:id="39"/>
      <w:r>
        <w:rPr>
          <w:rFonts w:ascii="Amiri" w:hAnsi="Amiri" w:eastAsia="Amiri" w:cs="Amiri"/>
          <w:color w:val="111111"/>
          <w:sz w:val="28"/>
          <w:sz w:val="28"/>
          <w:szCs w:val="28"/>
          <w:rtl w:val="true"/>
          <w:lang w:bidi="ar-SA"/>
        </w:rPr>
        <w:t xml:space="preserve">مغلّظة نحوها ، فضلاً عن ملاقياتها ولو مع الوسائط المعلوم عدم غلظتها كذلك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مضافاً إلى أنّ التعليل الآخر في صحيحة اُخرى لأبي العبّاس ، يورث وهناً فيه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أصاب ثوبك من الكلب رطوبة فاغسله ، وإن أصابه جافّاً فاصبب عليه الماء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صار بهذه المنزلة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النبي صلی الله علیه و آله وسلم أمر بقتلها</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مع أنّ ما دلّت من الروايات على صيرورة الملاقي نجساً ، إنّما هو في ملاقي أعيان النجاسات ، لا ملاقي ملاقيها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والتشبّث بارتكاز العرف في الوسائط الكثيرة محلّ إشكال ومنع ، فاستفادة نجاستها ممّا تقدّم مشكلة بل ممنوعة </w:t>
      </w:r>
      <w:r>
        <w:rPr>
          <w:rFonts w:eastAsia="Amiri" w:cs="Amiri" w:ascii="Amiri" w:hAnsi="Amiri"/>
          <w:color w:val="111111"/>
          <w:sz w:val="28"/>
          <w:szCs w:val="28"/>
          <w:rtl w:val="true"/>
          <w:lang w:bidi="ar-SA"/>
        </w:rPr>
        <w:t>.</w:t>
      </w:r>
    </w:p>
    <w:p>
      <w:pPr>
        <w:pStyle w:val="Heading5"/>
        <w:numPr>
          <w:ilvl w:val="4"/>
          <w:numId w:val="1"/>
        </w:numPr>
        <w:rPr/>
      </w:pPr>
      <w:bookmarkStart w:id="40" w:name="__RefHeading___Toc212644_2142443653"/>
      <w:bookmarkStart w:id="41" w:name="_Toc14"/>
      <w:bookmarkEnd w:id="40"/>
      <w:r>
        <w:rPr>
          <w:rtl w:val="true"/>
        </w:rPr>
        <w:t>بيان حال الإجماعات المنقولة في المقام</w:t>
      </w:r>
      <w:bookmarkEnd w:id="41"/>
    </w:p>
    <w:p>
      <w:pPr>
        <w:pStyle w:val="BookText"/>
        <w:rPr/>
      </w:pPr>
      <w:r>
        <w:rPr>
          <w:rFonts w:ascii="Amiri" w:hAnsi="Amiri" w:eastAsia="Amiri" w:cs="Amiri"/>
          <w:color w:val="111111"/>
          <w:sz w:val="28"/>
          <w:sz w:val="28"/>
          <w:szCs w:val="28"/>
          <w:rtl w:val="true"/>
          <w:lang w:bidi="ar-SA"/>
        </w:rPr>
        <w:t xml:space="preserve">بقي الكلام في حال الإجماعات المنقولة ، فليعلم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المسألة بهذا الوجه لم تكن معنونة في كتب القدماء من أصحابنا ؛ على ما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تبّعت الكتب الموجودة عندي ، ولم أرَ النقل عنهم فيما هو معدّ لنقل الأقوال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عنون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مسألتين </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إذا ولغ الكلب في الإناء نجس الماء الذي فيه ، فإن وقع ذلك الماء على بدن الإنسان أو ثوبه وجب عليه غسله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دليلنا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غسله معلوم بالاتّفاق ؛ لنجاسة الماء</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ثانيتهما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أصاب الماء الذي يغسل به الإناء من ولوغ الكلب ثوبَ الإنسان أو جسدَه ، لا يجب غسله ؛ سواء كان من الدفعة الاُولى ، أو الثانية ، أو الثالثة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دليلنا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بنجاسة ذلك يحتاج إلى دليل ، وليس في الشرع ما</w:t>
      </w:r>
    </w:p>
    <w:p>
      <w:pPr>
        <w:pStyle w:val="BookText"/>
        <w:rPr/>
      </w:pPr>
      <w:r>
        <w:rPr>
          <w:rFonts w:ascii="Amiri" w:hAnsi="Amiri" w:eastAsia="Amiri" w:cs="Amiri"/>
          <w:color w:val="111111"/>
          <w:sz w:val="28"/>
          <w:sz w:val="28"/>
          <w:szCs w:val="28"/>
          <w:rtl w:val="true"/>
          <w:lang w:bidi="ar-SA"/>
        </w:rPr>
        <w:t>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تمسّك بالدليل العقلي المعروف في الغُسالة</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يتّضح من قوله في المسألة الاُولى إلاّ دعوى الاتّفاق على وجوب غسله ، وأمّا التعليل بنجاسة الماء فليس من معقد الاتّفاق ؛ حتّى يتوهّم الإجماع على أنّ كلّ نجس يجب غسل ملاقيه ، ويضمّ إليه ارتكازية السراية بالتقريب المتقدّم</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الظاهر من 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مسألة تنجيس ملاقي ملاقيه ليست ثابتةً بإجماع أو غيره ، وهي وإن كانت في الغُسالة التي وقعت محلّ البحث ، لكن تعليله بعدم الدليل دليلٌ على عدم قيام الإجماع على الكلّية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الدليل العقلي في الغُسالة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يجري في الغسلة</w:t>
      </w:r>
    </w:p>
    <w:p>
      <w:pPr>
        <w:pStyle w:val="BookText"/>
        <w:rPr/>
      </w:pPr>
      <w:r>
        <w:rPr>
          <w:rFonts w:ascii="Amiri" w:hAnsi="Amiri" w:eastAsia="Amiri" w:cs="Amiri"/>
          <w:color w:val="111111"/>
          <w:sz w:val="28"/>
          <w:sz w:val="28"/>
          <w:szCs w:val="28"/>
          <w:rtl w:val="true"/>
          <w:lang w:bidi="ar-SA"/>
        </w:rPr>
        <w:t xml:space="preserve">الأخيرة لا مطلقاً ، وقد صرّح بعدم الفرق بين الغسلات ، ومن هنا يظهر أنّ استدلاله بالدليل العقلي لبعض المقصود ؛ وهو الغسلة الأخيرة </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يدلّ على عدم إجماعية المسألة وعدم وضوحها في تلك الأعصار ، قوله في كتاب الصلاة في 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الجسم الصقيل مثل السيف والمرآة والقوارير إذا أصابته نجاسة ، فالظاهر أ نّه لا يطهر إلاّ بأن يغسل بالماء ، وبه قال الشافعي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أصحابنا 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يطهر بأن يمسح ذلك منه ، أو يغسل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اختاره المرتضى ، ولست أعرف به أثراً وبه قال أبو حنيفة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دليلنا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نّا قد علمنا حصول النجاسة في هذا الجسم ، والحكم بزوالها يحتاج</w:t>
      </w:r>
    </w:p>
    <w:p>
      <w:pPr>
        <w:pStyle w:val="BookText"/>
        <w:rPr/>
      </w:pPr>
      <w:r>
        <w:rPr>
          <w:rFonts w:ascii="Amiri" w:hAnsi="Amiri" w:eastAsia="Amiri" w:cs="Amiri"/>
          <w:color w:val="111111"/>
          <w:sz w:val="28"/>
          <w:sz w:val="28"/>
          <w:szCs w:val="28"/>
          <w:rtl w:val="true"/>
          <w:lang w:bidi="ar-SA"/>
        </w:rPr>
        <w:t>إلى شرع ، وليس في الشرع ما يدلّ على زوال هذا الحكم ممّا قالوه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تمسّك بدليل الاحتياط</w:t>
      </w:r>
      <w:r>
        <w:rPr>
          <w:rStyle w:val="FootnoteAnchor"/>
          <w:rtl w:val="true"/>
        </w:rPr>
        <w:footnoteReference w:id="74"/>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تقدّم أنّ لازم كلام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صريح ما نقل عنه في دليل مذهبه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p>
    <w:p>
      <w:pPr>
        <w:pStyle w:val="BookText"/>
        <w:rPr/>
      </w:pPr>
      <w:r>
        <w:rPr>
          <w:rFonts w:ascii="Amiri" w:hAnsi="Amiri" w:eastAsia="Amiri" w:cs="Amiri"/>
          <w:color w:val="111111"/>
          <w:sz w:val="28"/>
          <w:sz w:val="28"/>
          <w:szCs w:val="28"/>
          <w:rtl w:val="true"/>
          <w:lang w:bidi="ar-SA"/>
        </w:rPr>
        <w:t>ملاقي النجس ليس بنجس</w:t>
      </w:r>
      <w:r>
        <w:rPr>
          <w:rStyle w:val="FootnoteAnchor"/>
          <w:rtl w:val="true"/>
        </w:rPr>
        <w:footnoteReference w:id="75"/>
      </w:r>
      <w:r>
        <w:rPr>
          <w:rFonts w:ascii="Amiri" w:hAnsi="Amiri" w:eastAsia="Amiri" w:cs="Amiri"/>
          <w:color w:val="111111"/>
          <w:sz w:val="28"/>
          <w:sz w:val="28"/>
          <w:szCs w:val="28"/>
          <w:rtl w:val="true"/>
          <w:lang w:bidi="ar-SA"/>
        </w:rPr>
        <w:t>، فضلاً عن ملاقي المتنجّس ، ومع ذلك قد ترى أنّ</w:t>
      </w:r>
    </w:p>
    <w:p>
      <w:pPr>
        <w:pStyle w:val="BookText"/>
        <w:rPr/>
      </w:pPr>
      <w:r>
        <w:rPr>
          <w:rFonts w:ascii="Amiri" w:hAnsi="Amiri" w:eastAsia="Amiri" w:cs="Amiri"/>
          <w:color w:val="111111"/>
          <w:sz w:val="28"/>
          <w:sz w:val="28"/>
          <w:szCs w:val="28"/>
          <w:rtl w:val="true"/>
          <w:lang w:bidi="ar-SA"/>
        </w:rPr>
        <w:t xml:space="preserve">ظاهر كلام الشيخ وجود القائل غير السيّد فيها ، وعدم إجماع أو دليل آخر على خلافه ، وإلاّ لتمسّك به ، ولم يقل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والظاهر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يظهر منه عدم الجزم بالمسألة ، ولم يتمسّك بالأصل والاحتياط ، ولم يقل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لست أعرف به أثراً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فيظهر منه أنّ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في ملاقي عين النجس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إجماعية في عصره ، فضلاً عن ضروريتها ، فضلاً عن إجماعية نجاسة الملاقي مع الوسائط بالغة ما بلغت ، أو ضروريتها </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ابن إدريس أنّ ملاقي ملاقي النجس لا يحكم بنجاسته ؛ لعدم الدليل عليها </w:t>
      </w:r>
      <w:r>
        <w:rPr>
          <w:rStyle w:val="FootnoteAnchor"/>
          <w:rtl w:val="true"/>
        </w:rPr>
        <w:footnoteReference w:id="76"/>
      </w:r>
      <w:r>
        <w:rPr>
          <w:rFonts w:ascii="Amiri" w:hAnsi="Amiri" w:eastAsia="Amiri" w:cs="Amiri"/>
          <w:color w:val="111111"/>
          <w:sz w:val="28"/>
          <w:sz w:val="28"/>
          <w:szCs w:val="28"/>
          <w:rtl w:val="true"/>
          <w:lang w:bidi="ar-SA"/>
        </w:rPr>
        <w:t xml:space="preserve">، ولو كانت المسألة إجماعية لما قال 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كلامه مختصّ بالميّت مع الملاقاة بيبوسة</w:t>
      </w:r>
      <w:r>
        <w:rPr>
          <w:rStyle w:val="FootnoteAnchor"/>
          <w:rtl w:val="true"/>
        </w:rPr>
        <w:footnoteReference w:id="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من كلامه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دم الاختصاص باليابس ، بل يظهر منه أنّ النجاسات الحكمية مطلقاً ، لا تؤثّر في تنجيس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مراده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الملاقي الذي لا أثر فيه من الملاقاة، مقابل الأعيان النجسة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استدلال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ردّ الحلّي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اجتمع الأصحاب على نجاسة اليد الملاقية للميّت ، وأجمعوا على نجاسة المائع إذا وقعت فيه نجاسة ، لزم من مجموع القولين نجاسة ذلك المائع</w:t>
      </w:r>
      <w:r>
        <w:rPr>
          <w:rFonts w:eastAsia="Amiri" w:cs="Amiri" w:ascii="Amiri" w:hAnsi="Amiri"/>
          <w:color w:val="111111"/>
          <w:sz w:val="28"/>
          <w:szCs w:val="28"/>
          <w:rtl w:val="true"/>
          <w:lang w:bidi="ar-SA"/>
        </w:rPr>
        <w:t>»</w:t>
      </w:r>
      <w:r>
        <w:rPr>
          <w:rStyle w:val="FootnoteAnchor"/>
          <w:rtl w:val="true"/>
        </w:rPr>
        <w:footnoteReference w:id="78"/>
      </w:r>
      <w:r>
        <w:rPr>
          <w:rFonts w:ascii="Amiri" w:hAnsi="Amiri" w:eastAsia="Amiri" w:cs="Amiri"/>
          <w:color w:val="111111"/>
          <w:sz w:val="28"/>
          <w:sz w:val="28"/>
          <w:szCs w:val="28"/>
          <w:rtl w:val="true"/>
          <w:lang w:bidi="ar-SA"/>
        </w:rPr>
        <w:t xml:space="preserve">انتهى ، دليل على عدم إجماعية نجاسة الملاقيات ولو بلا واسطة ، وإلاّ لتمسّك به من غير احتياج إلى التمسّك بالإجماعين على نحو لا يخلو من إشكال ومصادرة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دعاوى متأخّري المتأخّرين الإجماع أو الضرورة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فجملة منها في مقابل المحدّث الكاشاني ، كالاُستاذ الأكبر والمحقّق القمّي والنراقي 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الأعظم</w:t>
      </w:r>
      <w:r>
        <w:rPr>
          <w:rStyle w:val="FootnoteAnchor"/>
          <w:rtl w:val="true"/>
        </w:rPr>
        <w:footnoteReference w:id="79"/>
      </w:r>
      <w:r>
        <w:rPr>
          <w:rFonts w:ascii="Amiri" w:hAnsi="Amiri" w:eastAsia="Amiri" w:cs="Amiri"/>
          <w:color w:val="111111"/>
          <w:sz w:val="28"/>
          <w:sz w:val="28"/>
          <w:szCs w:val="28"/>
          <w:rtl w:val="true"/>
          <w:lang w:bidi="ar-SA"/>
        </w:rPr>
        <w:t>وغيرهم</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والبعض منها الظاهر أو المصرّح بعدم الخلاف في الوسائط وهلمّ 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كالطباطبائي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w:t>
      </w:r>
      <w:r>
        <w:rPr>
          <w:rStyle w:val="FootnoteAnchor"/>
          <w:rtl w:val="true"/>
        </w:rPr>
        <w:footnoteReference w:id="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وثوق بها ؛ بعد ما عرفت من عدم كون </w:t>
      </w:r>
    </w:p>
    <w:p>
      <w:pPr>
        <w:pStyle w:val="BookText"/>
        <w:rPr/>
      </w:pPr>
      <w:r>
        <w:rPr>
          <w:rFonts w:ascii="Amiri" w:hAnsi="Amiri" w:eastAsia="Amiri" w:cs="Amiri"/>
          <w:color w:val="111111"/>
          <w:sz w:val="28"/>
          <w:sz w:val="28"/>
          <w:szCs w:val="28"/>
          <w:rtl w:val="true"/>
          <w:lang w:bidi="ar-SA"/>
        </w:rPr>
        <w:t xml:space="preserve">المسألة معنونة في كتب القدماء ، ومن غير ذلك ممّا تقدّم ذكره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جملة ثالثة لم يظهر دعوى الإجماع على الوسائط كذلك ، كالشهيد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استفادة الإجماع منه لأجل استثناء ابن إدريس فقط ، قال في حكم مسّ الميّت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مع الرطوبة فهي عينية محضة ، فلو لمس اللامس له برطوبةٍ آخر برطوبةٍ نجس أيضاً ، وهلمّ جرّاً ، وخلاف ابن إدريس في ذلك ضعيف</w:t>
      </w:r>
      <w:r>
        <w:rPr>
          <w:rFonts w:eastAsia="Amiri" w:cs="Amiri" w:ascii="Amiri" w:hAnsi="Amiri"/>
          <w:color w:val="111111"/>
          <w:sz w:val="28"/>
          <w:szCs w:val="28"/>
          <w:rtl w:val="true"/>
          <w:lang w:bidi="ar-SA"/>
        </w:rPr>
        <w:t>»</w:t>
      </w:r>
      <w:r>
        <w:rPr>
          <w:rStyle w:val="FootnoteAnchor"/>
          <w:rtl w:val="true"/>
        </w:rPr>
        <w:footnoteReference w:id="82"/>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الاستفادة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يظهر منه إلاّ الإجماع في مقابل ابن إدريس</w:t>
      </w:r>
    </w:p>
    <w:p>
      <w:pPr>
        <w:pStyle w:val="BookText"/>
        <w:rPr/>
      </w:pPr>
      <w:r>
        <w:rPr>
          <w:rFonts w:ascii="Amiri" w:hAnsi="Amiri" w:eastAsia="Amiri" w:cs="Amiri"/>
          <w:color w:val="111111"/>
          <w:sz w:val="28"/>
          <w:sz w:val="28"/>
          <w:szCs w:val="28"/>
          <w:rtl w:val="true"/>
          <w:lang w:bidi="ar-SA"/>
        </w:rPr>
        <w:t xml:space="preserve">القائل بعدم تنجيس المتنجّس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في الاستفادة أيضاً إشكالاً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لا يبعد ظهور كلام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الوسائط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فيما حكي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كلّ ما حكم بنجاسته شرعاً ، فهو يؤثّر التنجيس في غيره أيضاً مع الرطوبة عند جمهور الأصحاب ، لا نعرف فيه الخلاف إلاّ من العلاّمة وابن إدريس</w:t>
      </w:r>
      <w:r>
        <w:rPr>
          <w:rFonts w:eastAsia="Amiri" w:cs="Amiri" w:ascii="Amiri" w:hAnsi="Amiri"/>
          <w:color w:val="111111"/>
          <w:sz w:val="28"/>
          <w:szCs w:val="28"/>
          <w:rtl w:val="true"/>
          <w:lang w:bidi="ar-SA"/>
        </w:rPr>
        <w:t>»</w:t>
      </w:r>
      <w:r>
        <w:rPr>
          <w:rStyle w:val="FootnoteAnchor"/>
          <w:rtl w:val="true"/>
        </w:rPr>
        <w:footnoteReference w:id="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التأثير في التنجيس ، عبارة اُخرى عن صيرورة الملاقي محكوماً بنجاسته شرعاً ، فلا بدّ من تأثيره ، وهلمّ جرّاً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مضافاً إلى إمكان أن يكون الكلام في مقابل ابن إدريس والعلاّمة ،</w:t>
      </w:r>
    </w:p>
    <w:p>
      <w:pPr>
        <w:pStyle w:val="BookText"/>
        <w:rPr/>
      </w:pPr>
      <w:r>
        <w:rPr>
          <w:rFonts w:ascii="Amiri" w:hAnsi="Amiri" w:eastAsia="Amiri" w:cs="Amiri"/>
          <w:color w:val="111111"/>
          <w:sz w:val="28"/>
          <w:sz w:val="28"/>
          <w:szCs w:val="28"/>
          <w:rtl w:val="true"/>
          <w:lang w:bidi="ar-SA"/>
        </w:rPr>
        <w:t xml:space="preserve">فمن البعيد استفادة الوسائط الكثيرة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دعوى عدم معرفة الخلاف غير دعوى عدم الخلاف أو الإجماع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مع ما تقدّم من عدم كون المسألة إجماعية في الطبقة الاُولى ، وعدم تعرّض تلك الطبقة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الطبقة الثانية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للمسألة </w:t>
      </w:r>
      <w:r>
        <w:rPr>
          <w:rFonts w:eastAsia="Amiri" w:cs="Amiri" w:ascii="Amiri" w:hAnsi="Amiri"/>
          <w:color w:val="111111"/>
          <w:sz w:val="28"/>
          <w:szCs w:val="28"/>
          <w:rtl w:val="true"/>
          <w:lang w:bidi="ar-SA"/>
        </w:rPr>
        <w:t xml:space="preserve">. </w:t>
      </w:r>
      <w:bookmarkStart w:id="42" w:name="pg15030_142999"/>
    </w:p>
    <w:p>
      <w:pPr>
        <w:pStyle w:val="Heading5"/>
        <w:numPr>
          <w:ilvl w:val="4"/>
          <w:numId w:val="1"/>
        </w:numPr>
        <w:rPr/>
      </w:pPr>
      <w:bookmarkStart w:id="43" w:name="__RefHeading___Toc212646_2142443653"/>
      <w:bookmarkStart w:id="44" w:name="_Toc15"/>
      <w:bookmarkEnd w:id="42"/>
      <w:bookmarkEnd w:id="43"/>
      <w:r>
        <w:rPr>
          <w:rtl w:val="true"/>
        </w:rPr>
        <w:t>الشواهد الداخلية والخارجية في المقام</w:t>
      </w:r>
      <w:bookmarkEnd w:id="44"/>
    </w:p>
    <w:p>
      <w:pPr>
        <w:pStyle w:val="BookText"/>
        <w:rPr/>
      </w:pPr>
      <w:r>
        <w:rPr>
          <w:rFonts w:ascii="Amiri" w:hAnsi="Amiri" w:eastAsia="Amiri" w:cs="Amiri"/>
          <w:color w:val="111111"/>
          <w:sz w:val="28"/>
          <w:sz w:val="28"/>
          <w:szCs w:val="28"/>
          <w:rtl w:val="true"/>
          <w:lang w:bidi="ar-SA"/>
        </w:rPr>
        <w:t xml:space="preserve">ثمّ إنّ هاهنا شواهد داخلية وخارجية على عدم تنجّس الملاقيات مع الوسائط المتعدّدة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الاستشهاد عليه بروايات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عمّار الساباطي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 سأل أبا عبداللّه علیه السلام عن رجل يجد في إنائه فأرة ، وقد توضّأ من ذلك الإناء مراراً ، أو اغتسل منه ، أو غسل ثيابه ، وقد كانت الفأرة متسلّخة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كان رآها في الإناء قبل أن يغتسل أو يتوضّأ أو يغسل ثيابه ، ثمّ فعل ذلك بعد ما رآها في الإناء ، فعليه أن يغسل ثيابه ، ويغسل كلّ ما أصابه ذلك الماء ، ويعيد الوضوء والصلاة </w:t>
      </w:r>
      <w:r>
        <w:rPr>
          <w:rFonts w:eastAsia="IRNazanin" w:cs="IRNazanin"/>
          <w:color w:val="111111"/>
          <w:sz w:val="28"/>
          <w:szCs w:val="28"/>
          <w:rtl w:val="true"/>
          <w:lang w:bidi="fa-IR"/>
        </w:rPr>
        <w:t>. . .»</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 xml:space="preserve">الطهارة ، أبواب الماء المطلق ، 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إلى آخره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الظاهر أنّ الإناء المسؤول عنه ، هو مثل الحبّ الذي كان متعارفاً في تلك الأمكنة أن يصبّ فيه الماء لرفع الحوائج ؛ من الوضوء والغسل وغسل الثياب وغيرها ، وقد اتّفق رؤية الفأرة المتسلّخة فيه ، ومن الواضح أ نّه لو تنجّس يوماً يوجب ذلك نجاسة كثير ممّا في الأيدي ؛ لو قلنا بسراية النجاسة من الملاقيات هلمّ جرّاً ، فضلاً عن تنجّسه أيّاماً ، كما هو مقتضى ظاهر الرواية أو إطلاقها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شبهة في ابتلاء صاحب الحبّ بملاقيات الماء ، وملاقيات ملاقياته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وهكذا بعد مضيّ أيّام ، فلو صار الملاقاة مطلقاً موجبةً للنجاسة ، كان</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الإمام علیه السلام الأمر بغسل ملاقي ملاقي الماء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وهكذا ، فسكوتُه عنها مع العلم </w:t>
      </w:r>
    </w:p>
    <w:p>
      <w:pPr>
        <w:pStyle w:val="BookText"/>
        <w:rPr/>
      </w:pPr>
      <w:r>
        <w:rPr>
          <w:rFonts w:ascii="Amiri" w:hAnsi="Amiri" w:eastAsia="Amiri" w:cs="Amiri"/>
          <w:color w:val="111111"/>
          <w:sz w:val="28"/>
          <w:sz w:val="28"/>
          <w:szCs w:val="28"/>
          <w:rtl w:val="true"/>
          <w:lang w:bidi="ar-SA"/>
        </w:rPr>
        <w:t>عادة بالابتلاء ، وتخصيصُ التطهير بملاقي ذلك الماء المشعر بعدم لزوم تطهير</w:t>
      </w:r>
    </w:p>
    <w:p>
      <w:pPr>
        <w:pStyle w:val="BookText"/>
        <w:rPr/>
      </w:pP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نقل بدلالة نحو التعبير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على عدم السراية مع الوسائط ؛ فإنّ الماء تنجّس بالفأرة ، وملاقي الماء تنجّس به ، والأمرُ بغسل ملاقيه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منه الأواني والظروف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على تنجّس ملاقي ذلك الملاقي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الملاقي لذلك الملاقي الأخير فلا يؤثّر ذلك في نجاسته ، وإلاّ لأمر بغسلها مع الجزم بالابتلاء عادة ، بل كان عليه البيان بعد السؤال عن تكليف الرجل الذي ابتلى بذلك ، مع احتمال ابتلائه بملاقي الملاقي للماء ، فضلاً عن الجزم به ، فعدم البيان دليل على عدم التنجيس ، فضلاً عن الإشعار المذكور الموجب للإغراء ، والعياذ باللّه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بكّار بن أبي بكر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يضع الكوز الذي يغرف به من الحبّ في مكان قذر ، ثمّ يدخله الحبّ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يصبّ من الماء ثلاثة أكفّ ، ثمّ يدلك الكوز</w:t>
      </w:r>
      <w:r>
        <w:rPr>
          <w:rFonts w:eastAsia="IRNazanin" w:cs="IRNazanin"/>
          <w:color w:val="111111"/>
          <w:sz w:val="28"/>
          <w:szCs w:val="28"/>
          <w:rtl w:val="true"/>
          <w:lang w:bidi="fa-IR"/>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بناءً على أنّ المراد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المكان القذر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المتنجّس ، لا المكان الذي فيه عين النجس ، كما لا يبعد أن يكون منصرفاً إليه ، وإلاّ لخرجت عن الاستشهاد بها للمقام ، وتنسلك في الأدلّة الدالّة على كلام المحدّث الكاشاني </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 احتمال آخر في الرواية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المراد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يدخله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إرادة إدخاله فيه ، وقوله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يصبّ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إلى آخره ، بيان تطهير الكوز</w:t>
      </w:r>
      <w:r>
        <w:rPr>
          <w:rStyle w:val="FootnoteAnchor"/>
          <w:rtl w:val="true"/>
        </w:rPr>
        <w:footnoteReference w:id="86"/>
      </w:r>
      <w:r>
        <w:rPr>
          <w:rFonts w:ascii="Amiri" w:hAnsi="Amiri" w:eastAsia="Amiri" w:cs="Amiri"/>
          <w:color w:val="111111"/>
          <w:sz w:val="28"/>
          <w:sz w:val="28"/>
          <w:szCs w:val="28"/>
          <w:rtl w:val="true"/>
          <w:lang w:bidi="ar-SA"/>
        </w:rPr>
        <w:t xml:space="preserve">، لكنّه بعيد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الروايات التي تعرّضت لإكفاء الماء وإراقته ، مع السكوت عن حكم الإناء ، مع اقتضاء المقام بيانه لو تنجّس ، كصحيحة أحمد بن محمّد بن أبي نصر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 السلام عن الرجل يدخل يده في الإناء وهي قذرة ،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يكفئ الإناء</w:t>
      </w:r>
      <w:r>
        <w:rPr>
          <w:rFonts w:eastAsia="Amiri" w:cs="Amiri" w:ascii="Amiri" w:hAnsi="Amiri"/>
          <w:color w:val="111111"/>
          <w:sz w:val="28"/>
          <w:szCs w:val="28"/>
          <w:rtl w:val="true"/>
          <w:lang w:bidi="ar-SA"/>
        </w:rPr>
        <w:t>»</w:t>
      </w:r>
      <w:r>
        <w:rPr>
          <w:rStyle w:val="FootnoteAnchor"/>
          <w:rtl w:val="true"/>
        </w:rPr>
        <w:footnoteReference w:id="87"/>
      </w:r>
      <w:r>
        <w:rPr>
          <w:rFonts w:ascii="Amiri" w:hAnsi="Amiri" w:eastAsia="Amiri" w:cs="Amiri"/>
          <w:color w:val="111111"/>
          <w:sz w:val="28"/>
          <w:sz w:val="28"/>
          <w:szCs w:val="28"/>
          <w:rtl w:val="true"/>
          <w:lang w:bidi="ar-SA"/>
        </w:rPr>
        <w:t>وصحيحة أبي بصير</w:t>
      </w:r>
      <w:r>
        <w:rPr>
          <w:rStyle w:val="FootnoteAnchor"/>
          <w:rtl w:val="true"/>
        </w:rPr>
        <w:footnoteReference w:id="88"/>
      </w:r>
      <w:r>
        <w:rPr>
          <w:rFonts w:ascii="Amiri" w:hAnsi="Amiri" w:eastAsia="Amiri" w:cs="Amiri"/>
          <w:color w:val="111111"/>
          <w:sz w:val="28"/>
          <w:sz w:val="28"/>
          <w:szCs w:val="28"/>
          <w:rtl w:val="true"/>
          <w:lang w:bidi="ar-SA"/>
        </w:rPr>
        <w:t xml:space="preserve">وغيرهما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ونظيرها موثّقة السكوني ، عن جعفر ، عن أبيه علیهما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علياً علیه السلام سئل</w:t>
      </w:r>
    </w:p>
    <w:p>
      <w:pPr>
        <w:pStyle w:val="BookText"/>
        <w:rPr/>
      </w:pPr>
      <w:r>
        <w:rPr>
          <w:rFonts w:ascii="Amiri" w:hAnsi="Amiri" w:eastAsia="Amiri" w:cs="Amiri"/>
          <w:color w:val="111111"/>
          <w:sz w:val="28"/>
          <w:sz w:val="28"/>
          <w:szCs w:val="28"/>
          <w:rtl w:val="true"/>
          <w:lang w:bidi="ar-SA"/>
        </w:rPr>
        <w:t xml:space="preserve">عن قدر طبخت ، وإذا في القدر فأرة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يهراق مرقها ، ويغسل اللحم ويؤكل</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 xml:space="preserve">والمستعمل ، الباب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وصحيحة زرارة ، عن أبي جعفر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وقعت الفأرة في السمن فماتت ، فإن كان جامداً فألقها وما يليها ، وكل ما بقي ، وإن كان ذائباً فلا تأكله ، واستصبح به ، والزيت مثل ذلك</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الأطعمة والأشربة ، أبواب الأطعمة المحرّمة ، الباب</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إلى غير ذلك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والسكوت في مقام سئل عن التكليف في القضيّة المبتلى بها عن حال الأواني وسائر الملاقيات ، دليل على عدم تنجّسها ، سيّما في مثل الرواية الأخيرة ؛ فإنّ الاستصباح بالسمن والدهن في مدّة كثيرة مع كثرتهما ، لا يتخلّف عن الابتلاء بالملاقيات بلا وسط ومعه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كون الحكم معهوداً أو مرتكزاً تردّها نفس الروايات ، كدعوى كونها في مقام بيان حكم آخر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الشواهد الخارجية فكثيرة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فقهاء العامّة الذين كانوا مرجعاً للناس في تلك الأعصار من زمن الصادقين علیهما السلام إلى زمن الهادي والعسكري علیهما السلام قلّما اتّفق موافقتهم معنا في أعيان النجاسات وكيفية تطهيرها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فمالك والشافعي في الجديد خالفانا في نجاسة المنيّ</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وأبو حنيفة قال بإجزاء فركه إذا كان يابساً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والشافعي في أحد وجهيه والزُهري ذهبا إلى طهارة الميتة</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ومالك وداود والزُهري إلى طهارة الكلب</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وداود إلى طهارة الخمر</w:t>
      </w:r>
      <w:r>
        <w:rPr>
          <w:rStyle w:val="FootnoteAnchor"/>
          <w:rtl w:val="true"/>
        </w:rPr>
        <w:footnoteReference w:id="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حنيفة إلى طهارة المسكرات</w:t>
      </w:r>
      <w:r>
        <w:rPr>
          <w:rStyle w:val="FootnoteAnchor"/>
          <w:rtl w:val="true"/>
        </w:rPr>
        <w:footnoteReference w:id="97"/>
      </w:r>
      <w:r>
        <w:rPr>
          <w:rFonts w:ascii="IRNazanin" w:hAnsi="IRNazanin" w:eastAsia="IRNazanin"/>
          <w:color w:val="111111"/>
          <w:sz w:val="28"/>
          <w:sz w:val="28"/>
          <w:szCs w:val="28"/>
          <w:rtl w:val="true"/>
          <w:lang w:bidi="fa-IR"/>
        </w:rPr>
        <w:t xml:space="preserve">، وجمهورهم </w:t>
      </w:r>
    </w:p>
    <w:p>
      <w:pPr>
        <w:pStyle w:val="BookText"/>
        <w:rPr/>
      </w:pPr>
      <w:r>
        <w:rPr>
          <w:rFonts w:ascii="Amiri" w:hAnsi="Amiri" w:eastAsia="Amiri" w:cs="Amiri"/>
          <w:color w:val="111111"/>
          <w:sz w:val="28"/>
          <w:sz w:val="28"/>
          <w:szCs w:val="28"/>
          <w:rtl w:val="true"/>
          <w:lang w:bidi="ar-SA"/>
        </w:rPr>
        <w:t>إلى طهارة الفُقّاع وحلّيته</w:t>
      </w:r>
      <w:r>
        <w:rPr>
          <w:rStyle w:val="FootnoteAnchor"/>
          <w:rtl w:val="true"/>
        </w:rPr>
        <w:footnoteReference w:id="98"/>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341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وطهارة الكفّار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حنيفة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تطهر جلود الميتة بالدباغ إلاّ الخنزير</w:t>
      </w:r>
      <w:r>
        <w:rPr>
          <w:rFonts w:eastAsia="Amiri" w:cs="Amiri" w:ascii="Amiri" w:hAnsi="Amiri"/>
          <w:color w:val="111111"/>
          <w:sz w:val="28"/>
          <w:szCs w:val="28"/>
          <w:rtl w:val="true"/>
          <w:lang w:bidi="ar-SA"/>
        </w:rPr>
        <w:t>»</w:t>
      </w:r>
      <w:r>
        <w:rPr>
          <w:rStyle w:val="FootnoteAnchor"/>
          <w:rtl w:val="true"/>
        </w:rPr>
        <w:footnoteReference w:id="99"/>
      </w:r>
      <w:r>
        <w:rPr>
          <w:rFonts w:ascii="Amiri" w:hAnsi="Amiri" w:eastAsia="Amiri" w:cs="Amiri"/>
          <w:color w:val="111111"/>
          <w:sz w:val="28"/>
          <w:sz w:val="28"/>
          <w:szCs w:val="28"/>
          <w:rtl w:val="true"/>
          <w:lang w:bidi="ar-SA"/>
        </w:rPr>
        <w:t xml:space="preserve">وعن مالك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الخنزير</w:t>
      </w:r>
      <w:r>
        <w:rPr>
          <w:rFonts w:eastAsia="Amiri" w:cs="Amiri" w:ascii="Amiri" w:hAnsi="Amiri"/>
          <w:color w:val="111111"/>
          <w:sz w:val="28"/>
          <w:szCs w:val="28"/>
          <w:rtl w:val="true"/>
          <w:lang w:bidi="ar-SA"/>
        </w:rPr>
        <w:t>»</w:t>
      </w:r>
      <w:r>
        <w:rPr>
          <w:rStyle w:val="FootnoteAnchor"/>
          <w:rtl w:val="true"/>
        </w:rPr>
        <w:footnoteReference w:id="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الشافعي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الحيوان الطاهر</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حنيفة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يجب العدد في النجاسات</w:t>
      </w:r>
      <w:r>
        <w:rPr>
          <w:rFonts w:eastAsia="Amiri" w:cs="Amiri" w:ascii="Amiri" w:hAnsi="Amiri"/>
          <w:color w:val="111111"/>
          <w:sz w:val="28"/>
          <w:szCs w:val="28"/>
          <w:rtl w:val="true"/>
          <w:lang w:bidi="ar-SA"/>
        </w:rPr>
        <w:t>»</w:t>
      </w:r>
      <w:r>
        <w:rPr>
          <w:rStyle w:val="FootnoteAnchor"/>
          <w:rtl w:val="true"/>
        </w:rPr>
        <w:footnoteReference w:id="102"/>
      </w:r>
      <w:r>
        <w:rPr>
          <w:rFonts w:ascii="Amiri" w:hAnsi="Amiri" w:eastAsia="Amiri" w:cs="Amiri"/>
          <w:color w:val="111111"/>
          <w:sz w:val="28"/>
          <w:sz w:val="28"/>
          <w:szCs w:val="28"/>
          <w:rtl w:val="true"/>
          <w:lang w:bidi="ar-SA"/>
        </w:rPr>
        <w:t xml:space="preserve">وعن داود ومالك والزُهري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إناء الولوغ طاهر</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كثير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كالشافعي في أحد قوليه ومالك في إحدى الروايتين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نجاسة الماء القليل إلاّ بالتغيّر</w:t>
      </w:r>
      <w:r>
        <w:rPr>
          <w:rStyle w:val="FootnoteAnchor"/>
          <w:rtl w:val="true"/>
        </w:rPr>
        <w:footnoteReference w:id="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واختلفوا معنا في تحديد الكرّ أيضاً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أبي حنيفة جواز إزالة النجاسة بالمضاف</w:t>
      </w:r>
      <w:r>
        <w:rPr>
          <w:rStyle w:val="FootnoteAnchor"/>
          <w:rtl w:val="true"/>
        </w:rPr>
        <w:footnoteReference w:id="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أحمد روايتان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في إحدى الروايتين عدم تنجّس المضاف إن بلغ قلّتين</w:t>
      </w:r>
      <w:r>
        <w:rPr>
          <w:rStyle w:val="FootnoteAnchor"/>
          <w:rtl w:val="true"/>
        </w:rPr>
        <w:footnoteReference w:id="107"/>
      </w:r>
      <w:r>
        <w:rPr>
          <w:rFonts w:ascii="Amiri" w:hAnsi="Amiri" w:eastAsia="Amiri" w:cs="Amiri"/>
          <w:color w:val="111111"/>
          <w:sz w:val="28"/>
          <w:sz w:val="28"/>
          <w:szCs w:val="28"/>
          <w:rtl w:val="true"/>
          <w:lang w:bidi="ar-SA"/>
        </w:rPr>
        <w:t xml:space="preserve">، وفي الاُخرى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أصله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كالخلّ التمري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فكالماء</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حنيفة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يجب الاستنجاء من البول والغائط بالماء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إحدى الروايتين عن مالك</w:t>
      </w:r>
      <w:r>
        <w:rPr>
          <w:rStyle w:val="FootnoteAnchor"/>
          <w:rtl w:val="true"/>
        </w:rPr>
        <w:footnoteReference w:id="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الشافعي ومالك في الاُخرى وأحمد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يكفي في البول الحجر</w:t>
      </w:r>
      <w:r>
        <w:rPr>
          <w:rFonts w:eastAsia="Amiri" w:cs="Amiri" w:ascii="Amiri" w:hAnsi="Amiri"/>
          <w:color w:val="111111"/>
          <w:sz w:val="28"/>
          <w:szCs w:val="28"/>
          <w:rtl w:val="true"/>
          <w:lang w:bidi="ar-SA"/>
        </w:rPr>
        <w:t>»</w:t>
      </w:r>
      <w:r>
        <w:rPr>
          <w:rStyle w:val="FootnoteAnchor"/>
          <w:rtl w:val="true"/>
        </w:rPr>
        <w:footnoteReference w:id="110"/>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غير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فهذه جملة من موارد اختلافهم معنا في أبواب النجاسات والطهارات ، فلو كان أمر الملاقي وملاقي ملاقيه وهلمّ جرّاً كما ذكر في السراية ، لما بقي من الناس طاهر ، ومع اختلاط الخاصّة معهم في تلك الأعصار صارت حالهم كذلك ، ومع ذلك لم يسأل أحد من أصحاب الأئمّة علیهم السلام عن حال</w:t>
      </w:r>
    </w:p>
    <w:p>
      <w:pPr>
        <w:pStyle w:val="BookText"/>
        <w:rPr/>
      </w:pPr>
      <w:r>
        <w:rPr>
          <w:rFonts w:ascii="IRNazanin" w:hAnsi="IRNazanin" w:eastAsia="IRNazanin"/>
          <w:color w:val="111111"/>
          <w:sz w:val="28"/>
          <w:sz w:val="28"/>
          <w:szCs w:val="28"/>
          <w:rtl w:val="true"/>
          <w:lang w:bidi="fa-IR"/>
        </w:rPr>
        <w:t xml:space="preserve">الملاقيات لهم مطلقاً ، ولم يكن ذلك إلاّ لما رأوا أنّ الأئمّة علیهم السلام تعاشروا معهم كعشرتهم مع غيرهم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أضف إلى ذلك ما هو المشاهد من حال أهل البوادي ؛ وعدم احترازهم غالباً عن النجاسات وملاقياتها ، وكانت تلك الطوائف في زمن الأئمّة علیهم السلام </w:t>
      </w:r>
    </w:p>
    <w:p>
      <w:pPr>
        <w:pStyle w:val="BookText"/>
        <w:rPr/>
      </w:pPr>
      <w:r>
        <w:rPr>
          <w:rFonts w:ascii="Amiri" w:hAnsi="Amiri" w:eastAsia="Amiri" w:cs="Amiri"/>
          <w:color w:val="111111"/>
          <w:sz w:val="28"/>
          <w:sz w:val="28"/>
          <w:szCs w:val="28"/>
          <w:rtl w:val="true"/>
          <w:lang w:bidi="ar-SA"/>
        </w:rPr>
        <w:t>متردّدين في البلاد ، سيّما الحرمين الشريفين ، ولم يعهد من أحد من</w:t>
      </w:r>
    </w:p>
    <w:p>
      <w:pPr>
        <w:pStyle w:val="BookText"/>
        <w:rPr/>
      </w:pPr>
      <w:r>
        <w:rPr>
          <w:rFonts w:ascii="IRNazanin" w:hAnsi="IRNazanin" w:eastAsia="IRNazanin"/>
          <w:color w:val="111111"/>
          <w:sz w:val="28"/>
          <w:sz w:val="28"/>
          <w:szCs w:val="28"/>
          <w:rtl w:val="true"/>
          <w:lang w:bidi="fa-IR"/>
        </w:rPr>
        <w:t>الأئمّة علیهم السلام وأصحابهم وشيعتهم التنزّه عنهم ، أو السؤال عن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الهم وعن ملاقياتهم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وهذه الاُمور وغيرها ممّا توجب الجزم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قضيّة الملاقي ليست كما ذكر من السراية هلمّ جرّاً ، سيّما مع سهولة الملّة وسماحتها </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الفتوى بالنجاسة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مع الوسائط الكثيرة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جرأة على المولى ، والأشبه عدم النجاسة مع الوسائط الكثيرة ، والاحتياط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فيما علم تفصيلاً بالملاقاة ولو مع الوسائط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تركه </w:t>
      </w:r>
      <w:r>
        <w:rPr>
          <w:rFonts w:eastAsia="Amiri" w:cs="Amiri" w:ascii="Amiri" w:hAnsi="Amiri"/>
          <w:color w:val="111111"/>
          <w:sz w:val="28"/>
          <w:szCs w:val="28"/>
          <w:rtl w:val="true"/>
          <w:lang w:bidi="ar-SA"/>
        </w:rPr>
        <w:t xml:space="preserve">. </w:t>
      </w:r>
      <w:bookmarkStart w:id="45" w:name="pg15030_143006"/>
    </w:p>
    <w:p>
      <w:pPr>
        <w:pStyle w:val="Heading3"/>
        <w:numPr>
          <w:ilvl w:val="2"/>
          <w:numId w:val="1"/>
        </w:numPr>
        <w:rPr/>
      </w:pPr>
      <w:bookmarkStart w:id="46" w:name="__RefHeading___Toc212648_2142443653"/>
      <w:bookmarkStart w:id="47" w:name="_Toc16"/>
      <w:bookmarkEnd w:id="45"/>
      <w:bookmarkEnd w:id="46"/>
      <w:r>
        <w:rPr>
          <w:rtl w:val="true"/>
        </w:rPr>
        <w:t>المطلب الثاني</w:t>
      </w:r>
      <w:r>
        <w:rPr>
          <w:rtl w:val="true"/>
        </w:rPr>
        <w:t xml:space="preserve">: </w:t>
      </w:r>
      <w:r>
        <w:rPr>
          <w:rtl w:val="true"/>
        </w:rPr>
        <w:t>في إزالة النجاسة للصلاة</w:t>
      </w:r>
      <w:bookmarkEnd w:id="47"/>
    </w:p>
    <w:p>
      <w:pPr>
        <w:pStyle w:val="Heading3"/>
        <w:numPr>
          <w:ilvl w:val="2"/>
          <w:numId w:val="1"/>
        </w:numPr>
        <w:rPr/>
      </w:pPr>
      <w:bookmarkStart w:id="48" w:name="__RefHeading___Toc212650_2142443653"/>
      <w:bookmarkStart w:id="49" w:name="_Toc17"/>
      <w:bookmarkEnd w:id="48"/>
      <w:r>
        <w:rPr>
          <w:rtl w:val="true"/>
        </w:rPr>
        <w:t>في الوجوب الشرطي لإزالة النجاسة عن الثوب والبدن</w:t>
      </w:r>
      <w:bookmarkEnd w:id="49"/>
    </w:p>
    <w:p>
      <w:pPr>
        <w:pStyle w:val="Heading4"/>
        <w:numPr>
          <w:ilvl w:val="3"/>
          <w:numId w:val="1"/>
        </w:numPr>
        <w:rPr/>
      </w:pPr>
      <w:bookmarkStart w:id="50" w:name="__RefHeading___Toc212652_2142443653"/>
      <w:bookmarkStart w:id="51" w:name="_Toc18"/>
      <w:bookmarkEnd w:id="50"/>
      <w:r>
        <w:rPr>
          <w:rtl w:val="true"/>
        </w:rPr>
        <w:t>اشارة</w:t>
      </w:r>
      <w:bookmarkEnd w:id="51"/>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يجب إزالة النجاسة عينية كانت أو حكمية عن الثياب عدا ما استثني وعن ظاهر البدن للصلاة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واجبة كانت أو مندوبة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بالوجوب الشرطي الذي يتبعه الوجوب الشرعي المقدّمي عند وجوب ذيها أصلاً أو عارضاً</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الوجوب الشرعي المقدّمي ، فقد فرغنا عن بطلانه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عدم تعقّله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محلّه</w:t>
      </w:r>
      <w:r>
        <w:rPr>
          <w:rStyle w:val="FootnoteAnchor"/>
          <w:rtl w:val="true"/>
        </w:rPr>
        <w:footnoteReference w:id="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الوجوب الشرطي فهو موقوف على كون الشرط للصلاة إزالة النجاسة ، أو عدمَ النجاسة ، وهو محلّ بحث ونظر ، ولا بأس ببسط الكلام فيه ؛ لترتّب ثمرات مهمّة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ثبوتاً أن تكون الطهارة شرطاً للصلاة ، أو عدم القذارة شرطاً لها أو القذارة مانعة عنها </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والفرق بين الأوّلين واضح وإن كان في صحّة جعل العدم شرطاً كلام </w:t>
      </w:r>
      <w:r>
        <w:rPr>
          <w:rFonts w:eastAsia="Amiri" w:cs="Amiri" w:ascii="Amiri" w:hAnsi="Amiri"/>
          <w:color w:val="111111"/>
          <w:sz w:val="28"/>
          <w:szCs w:val="28"/>
          <w:rtl w:val="true"/>
          <w:lang w:bidi="ar-SA"/>
        </w:rPr>
        <w:t xml:space="preserve">. </w:t>
      </w:r>
      <w:bookmarkStart w:id="52" w:name="pg15030_143007"/>
    </w:p>
    <w:p>
      <w:pPr>
        <w:pStyle w:val="Heading4"/>
        <w:numPr>
          <w:ilvl w:val="3"/>
          <w:numId w:val="1"/>
        </w:numPr>
        <w:rPr/>
      </w:pPr>
      <w:bookmarkStart w:id="53" w:name="__RefHeading___Toc212654_2142443653"/>
      <w:bookmarkStart w:id="54" w:name="_Toc19"/>
      <w:bookmarkEnd w:id="52"/>
      <w:bookmarkEnd w:id="53"/>
      <w:r>
        <w:rPr>
          <w:rtl w:val="true"/>
        </w:rPr>
        <w:t>الفرق بين الشرطية والمانعية</w:t>
      </w:r>
      <w:bookmarkEnd w:id="54"/>
    </w:p>
    <w:p>
      <w:pPr>
        <w:pStyle w:val="BookText"/>
        <w:rPr/>
      </w:pPr>
      <w:r>
        <w:rPr>
          <w:rFonts w:ascii="Amiri" w:hAnsi="Amiri" w:eastAsia="Amiri" w:cs="Amiri"/>
          <w:color w:val="111111"/>
          <w:sz w:val="28"/>
          <w:sz w:val="28"/>
          <w:szCs w:val="28"/>
          <w:rtl w:val="true"/>
          <w:lang w:bidi="ar-SA"/>
        </w:rPr>
        <w:t xml:space="preserve">وأمّا الفرق بين الشرطية والمانعية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أنّ الشرط ما هو دخيل في الملاكات الواقعية ؛ إن كان المراد به شرط الماهية ، كما في المقام الذي لا يحتمل أن يكون الطهور شرطاً لوجودها ، لا دخيلاً في ماهيتها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الشرط لبّاً من مقوّمات حمل الملاك ، والصلاة بلا طهور لا تكون حاملة للملاك ؛ بناءً على شرطية الطهور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وبناءً على شرطية عدم القذارة فإنّ ماهية الصلاة المجرّدة عن القذارة حاملة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المانع فلا يتصوّر للماهية ، ولا يرجع إلى محصّل ، بل المانعية مطلقاً</w:t>
      </w:r>
    </w:p>
    <w:p>
      <w:pPr>
        <w:pStyle w:val="BookText"/>
        <w:rPr/>
      </w:pPr>
      <w:r>
        <w:rPr>
          <w:rFonts w:ascii="Amiri" w:hAnsi="Amiri" w:eastAsia="Amiri" w:cs="Amiri"/>
          <w:color w:val="111111"/>
          <w:sz w:val="28"/>
          <w:sz w:val="28"/>
          <w:szCs w:val="28"/>
          <w:rtl w:val="true"/>
          <w:lang w:bidi="ar-SA"/>
        </w:rPr>
        <w:t xml:space="preserve">ترجع إلى مقام الوجود ، ومنشأها الضدّية بين الشيئين ، وتصويرها في المقام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الملاك الذي في ماهية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دخالة لعدم القذارة ، أو وجود الطهارة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مضادّ لوجود القذارة أو المفسدة الواقعية الحاصلة منه ، وهذه المضادّة موجبة لمانعية الملاك الأقوى للملاك الأضعف ، من غير 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 وجود أحدهما بعدم الآخر ؛ حتّى ترجع المانعية إلى الاشتراط بعدم المانع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البياض والسواد متضادّان ، ويكون وجود كلٍّ مانعاً عن وجود الآخر من غير اشتراط وجود أحدهما بعدم الآخر ، ولا مقدّمية له ، بل نفس المضادّة موجبة للتمانع ، فإذا كان أحدهما أقوى مقتضياً يمنع عن تحقّق الآخر ، كذلك يتصوّر ذلك في الملاكات الواقعية ، فمع تحقّق المانع والملاك المضادّ الذي هو أقوى ، لا يمكن تحقّق الممنوع ، ومع عدم تحقّقه تقع الصلاة بلا ملاك وباطلة </w:t>
      </w:r>
      <w:r>
        <w:rPr>
          <w:rFonts w:eastAsia="Amiri" w:cs="Amiri" w:ascii="Amiri" w:hAnsi="Amiri"/>
          <w:color w:val="111111"/>
          <w:sz w:val="28"/>
          <w:szCs w:val="28"/>
          <w:rtl w:val="true"/>
          <w:lang w:bidi="ar-SA"/>
        </w:rPr>
        <w:t xml:space="preserve">. </w:t>
      </w:r>
      <w:bookmarkStart w:id="55" w:name="pg15030_143008"/>
    </w:p>
    <w:p>
      <w:pPr>
        <w:pStyle w:val="BookText"/>
        <w:rPr/>
      </w:pPr>
      <w:bookmarkEnd w:id="55"/>
      <w:r>
        <w:rPr>
          <w:rFonts w:ascii="Amiri" w:hAnsi="Amiri" w:eastAsia="Amiri" w:cs="Amiri"/>
          <w:color w:val="111111"/>
          <w:sz w:val="28"/>
          <w:sz w:val="28"/>
          <w:szCs w:val="28"/>
          <w:rtl w:val="true"/>
          <w:lang w:bidi="ar-SA"/>
        </w:rPr>
        <w:t xml:space="preserve">ولا تتوهّم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مستلزم للقول بالاشتغال في الشكّ في المانع ، وهو خلاف مختارك في مباحث البراءة والاشتغال</w:t>
      </w:r>
      <w:r>
        <w:rPr>
          <w:rStyle w:val="FootnoteAnchor"/>
          <w:rtl w:val="true"/>
        </w:rPr>
        <w:footnoteReference w:id="113"/>
      </w:r>
      <w:r>
        <w:rPr>
          <w:rFonts w:ascii="Amiri" w:hAnsi="Amiri" w:eastAsia="Amiri" w:cs="Amiri"/>
          <w:color w:val="111111"/>
          <w:sz w:val="28"/>
          <w:sz w:val="28"/>
          <w:szCs w:val="28"/>
          <w:rtl w:val="true"/>
          <w:lang w:bidi="ar-SA"/>
        </w:rPr>
        <w:t xml:space="preserve">،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احتمال عدم سقوط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لاحتمال عدم حصول الملاك الواقعي وأخصّية الغرض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يصير حجّة على العبد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ضرورة أنّ ما ذكرناه في مباحث البراءة ، إنّما هو في مقام الإثبات وتمامية الحجّة ،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العقل يحكم بالبراءة مع عدم تمامية حجّة المولى ، واحتمال بقاء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احتمال بقاء الملاك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يوجب تمامية حجّته بعد قيام العبد بما هو حجّة عليه ، والكلام هاهنا في الملاكات الواقعية وتصوّر المانعية والشرطية بحسب الثبوت ، فلا تناقض بين الكلامين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بعد تصوّر المانعية بنحو لا ترجع إلى شرطية العدم ، لو قام دليل ظاهر في المانعية لا يجوز رفع اليد عنه ، وإنّما نطرح الظاهر إن قلنا بعدم تعقّل المانعية ، وقد عرفت تعقّلها </w:t>
      </w:r>
      <w:r>
        <w:rPr>
          <w:rFonts w:eastAsia="Amiri" w:cs="Amiri" w:ascii="Amiri" w:hAnsi="Amiri"/>
          <w:color w:val="111111"/>
          <w:sz w:val="28"/>
          <w:szCs w:val="28"/>
          <w:rtl w:val="true"/>
          <w:lang w:bidi="ar-SA"/>
        </w:rPr>
        <w:t>.</w:t>
      </w:r>
    </w:p>
    <w:p>
      <w:pPr>
        <w:pStyle w:val="Heading4"/>
        <w:numPr>
          <w:ilvl w:val="3"/>
          <w:numId w:val="1"/>
        </w:numPr>
        <w:rPr/>
      </w:pPr>
      <w:bookmarkStart w:id="56" w:name="__RefHeading___Toc212656_2142443653"/>
      <w:bookmarkStart w:id="57" w:name="_Toc20"/>
      <w:bookmarkEnd w:id="56"/>
      <w:r>
        <w:rPr>
          <w:rtl w:val="true"/>
        </w:rPr>
        <w:t>امتناع الجمع بين شرطية شيء ومانعية ضدّه</w:t>
      </w:r>
      <w:bookmarkEnd w:id="57"/>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ما ذكرناه من تردّد الأمر بين شرطية الطهارة أو عدم القذارة ، وبين مانعية القذارة الراجعة إلى منع الجمع بينهما ، إنّما يصحّ لو امتنع الجمع بين شرطية الضدّ ومانعية ضدّه فيما لا ثالث لهما ، وكذا بين شرطية الشيء ومانعية نقيضه ، وإلاّ لما بقي مجال للتردّد ، ولا تتعارض الأدلّة لو فرض فيها ما هو ظاهرها الشرطية وما ظاهرها المانعية ، كما لا يخفى </w:t>
      </w:r>
      <w:r>
        <w:rPr>
          <w:rFonts w:eastAsia="Amiri" w:cs="Amiri" w:ascii="Amiri" w:hAnsi="Amiri"/>
          <w:color w:val="111111"/>
          <w:sz w:val="28"/>
          <w:szCs w:val="28"/>
          <w:rtl w:val="true"/>
          <w:lang w:bidi="ar-SA"/>
        </w:rPr>
        <w:t xml:space="preserve">. </w:t>
      </w:r>
      <w:bookmarkStart w:id="58" w:name="pg15030_143009"/>
    </w:p>
    <w:p>
      <w:pPr>
        <w:pStyle w:val="BookText"/>
        <w:rPr/>
      </w:pPr>
      <w:bookmarkEnd w:id="58"/>
      <w:r>
        <w:rPr>
          <w:rFonts w:ascii="Amiri" w:hAnsi="Amiri" w:eastAsia="Amiri" w:cs="Amiri"/>
          <w:color w:val="111111"/>
          <w:sz w:val="28"/>
          <w:sz w:val="28"/>
          <w:szCs w:val="28"/>
          <w:rtl w:val="true"/>
          <w:lang w:bidi="ar-SA"/>
        </w:rPr>
        <w:t xml:space="preserve">والتحقيق امتناع ذلك ، وعدم إمكان الجمع بين شرطية شيء ومانعية نقيضه أو ضدّه الذي لا ثالث له ؛ لأنّ اشتراط شيء لماهية المأمور به ، لا يعقل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الملاكات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مع دخالته في حاملية الملاك ؛ لئلاّ يلزم جُزافية الإرادة ، وكذا لا يمكن تعلّق الإرادة بالفاقد لما هو دخيل في تحصيل الملاك ، وكذا الحال في تعلّق الأمر الواقعي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فحينئذٍ لو كان عدم النجاسة مثلاً شرطاً لماهية المأمور به ، لا يعقل وقوع التمانع بين الملاك الواقعي لها مع وجود النجاسة ؛ إذ قد عرفت أنّ التمانع إنّما يكون بين الوجودين لا الماهيتين ، وأمّا الشرطية فترجع إلى قيد في الماهية ، مع عدمه لا تكون حاملة للملاك ، ومع عدم الملاك لا يعقل التمانع بين الملاكين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الماهية المشروطة بشرط مع فقده لا تكون ذات ملاك ، ولا متعلّقة للإرادة ولا للأمر ، ومعه لا يعقل التمانع الذي ظرفه الوجود بعد تمامية الملاك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بحسب التصوّر والثبوت </w:t>
      </w:r>
      <w:r>
        <w:rPr>
          <w:rFonts w:eastAsia="Amiri" w:cs="Amiri" w:ascii="Amiri" w:hAnsi="Amiri"/>
          <w:color w:val="111111"/>
          <w:sz w:val="28"/>
          <w:szCs w:val="28"/>
          <w:rtl w:val="true"/>
          <w:lang w:bidi="ar-SA"/>
        </w:rPr>
        <w:t>.</w:t>
      </w:r>
    </w:p>
    <w:p>
      <w:pPr>
        <w:pStyle w:val="Heading4"/>
        <w:numPr>
          <w:ilvl w:val="3"/>
          <w:numId w:val="1"/>
        </w:numPr>
        <w:rPr/>
      </w:pPr>
      <w:bookmarkStart w:id="59" w:name="__RefHeading___Toc212658_2142443653"/>
      <w:bookmarkStart w:id="60" w:name="_Toc21"/>
      <w:bookmarkEnd w:id="59"/>
      <w:r>
        <w:rPr>
          <w:rtl w:val="true"/>
        </w:rPr>
        <w:t>المأخوذ في الصلاة مانعية النجاسة لا شرطية الطهارة</w:t>
      </w:r>
      <w:bookmarkEnd w:id="60"/>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حال مقام الإثبات ودلالة الأدلّة ، فتتّضح بعد التنبيه إلى ما مرّ منّا من أنّ الطهارة الخبثية ليست أمراً وجودياً مضادّاً للقذارة ، بل هي عبارة عن خلوّ الجسم من القذارات ، ونقائه عنها </w:t>
      </w:r>
      <w:r>
        <w:rPr>
          <w:rStyle w:val="FootnoteAnchor"/>
          <w:rtl w:val="true"/>
        </w:rPr>
        <w:footnoteReference w:id="114"/>
      </w:r>
      <w:r>
        <w:rPr>
          <w:rFonts w:ascii="Amiri" w:hAnsi="Amiri" w:eastAsia="Amiri" w:cs="Amiri"/>
          <w:color w:val="111111"/>
          <w:sz w:val="28"/>
          <w:sz w:val="28"/>
          <w:szCs w:val="28"/>
          <w:rtl w:val="true"/>
          <w:lang w:bidi="ar-SA"/>
        </w:rPr>
        <w:t xml:space="preserve">، لا بمعنى دخالة هذا العنوان ، بل الطهارة عدمُ تلوّث الجسم الموجود بشيء من القذارات وكونُه على حالته الأصلية ؛ فإنّ الضرورة قاضية بأ نّه لم يكن في الجسم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أوصافه الذاتية والعرضية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وجودي </w:t>
      </w:r>
    </w:p>
    <w:p>
      <w:pPr>
        <w:pStyle w:val="BookText"/>
        <w:rPr/>
      </w:pPr>
      <w:r>
        <w:rPr>
          <w:rFonts w:ascii="Amiri" w:hAnsi="Amiri" w:eastAsia="Amiri" w:cs="Amiri"/>
          <w:color w:val="111111"/>
          <w:sz w:val="28"/>
          <w:sz w:val="28"/>
          <w:szCs w:val="28"/>
          <w:rtl w:val="true"/>
          <w:lang w:bidi="ar-SA"/>
        </w:rPr>
        <w:t xml:space="preserve">هو الطهارة مقابل القذارة ، فالطهارة عبارة اُخرى عن عدم القذارة ، وكذا النظافة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الطهارة من الأخباث المعنوية والصفات الخبيثة ، ليست إلاّ خلوّ النفس منها ، وأمّا حصول كمالات مقابلات لها فهي اُمور اُخر غير الطهارة منها ، كما يظهر بالتأمّل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ذكرناه هو الموافق للعرف واللغة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ادّعى بعض الأعيان من وضوح كون الطهارة ضدّاً وجودياً للقذارة الخبثية</w:t>
      </w:r>
      <w:r>
        <w:rPr>
          <w:rStyle w:val="FootnoteAnchor"/>
          <w:rtl w:val="true"/>
        </w:rPr>
        <w:footnoteReference w:id="115"/>
      </w:r>
      <w:r>
        <w:rPr>
          <w:rFonts w:ascii="Amiri" w:hAnsi="Amiri" w:eastAsia="Amiri" w:cs="Amiri"/>
          <w:color w:val="111111"/>
          <w:sz w:val="28"/>
          <w:sz w:val="28"/>
          <w:szCs w:val="28"/>
          <w:rtl w:val="true"/>
          <w:lang w:bidi="ar-SA"/>
        </w:rPr>
        <w:t xml:space="preserve">، في غير محلّه ، بل مدّعي وضوح خلافه غير مجازف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يعقل شرطية حيثية العدم للماهية المأمور بها ؛ لا بحسب الملاكات الواقعية ، ولا بحسب تعلّق الإرادة الجدّية ، ولا بحسب الأوامر المتعلّقة بمتعلّقاتها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الاُولى ، فلعدم إمكان مؤثّرية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بنحو جزء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يتوهّم ذلك في بعض الأمثلة العرفية ، ناشئ من الخلط وقلّة التدبّر ، وإلاّ فما ليس بشيء أصلاً كيف يمكن تأثيره ودخالته في أمر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التأثير ونحوه من الاُمور الوجودية لا يمكن اتّصاف العدم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يظهر امتناع تعلّق الإرادة والأمر به ؛ أي بما هو عدم حقيقة ، لا بمفهوم العدم الذي هو وجود بالحمل الشائع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ذكرناه ليس أمراً دقيقاً عقلياً خارجاً عن فهم العرف ؛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الميزان في هذه الأبواب هو الفهم العرفي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وبعد امتناع شرطية العدم ، لا محيص عن إرجاع ما يظهر منه الشرطية إلى مانعية الوجود التي قد عرفت تعقّلها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غالب الأدلّة ظاهرة في مانعية النجاسة ، لا شرطية الطهارة أو عدم النجاسة ، كقوله علیه السلام في مكاتبة خَيْران</w:t>
      </w:r>
    </w:p>
    <w:p>
      <w:pPr>
        <w:pStyle w:val="BookText"/>
        <w:rPr/>
      </w:pPr>
      <w:r>
        <w:rPr>
          <w:rFonts w:ascii="Amiri" w:hAnsi="Amiri" w:eastAsia="Amiri" w:cs="Amiri"/>
          <w:color w:val="111111"/>
          <w:sz w:val="28"/>
          <w:sz w:val="28"/>
          <w:szCs w:val="28"/>
          <w:rtl w:val="true"/>
          <w:lang w:bidi="ar-SA"/>
        </w:rPr>
        <w:t xml:space="preserve">الخادم في الخمر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فيه ؛ فإنّه رجس</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أبي يزيد القسمي في جلود الدارِش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فيها ؛ فإنّها تدبغ بخرء الكلاب</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 ما دلّت على نفي البأس عن الدم ما لم يكن مجتمعاً قدر الدرهم</w:t>
      </w:r>
      <w:r>
        <w:rPr>
          <w:rStyle w:val="FootnoteAnchor"/>
          <w:rtl w:val="true"/>
        </w:rPr>
        <w:footnoteReference w:id="118"/>
      </w:r>
      <w:r>
        <w:rPr>
          <w:rFonts w:ascii="Amiri" w:hAnsi="Amiri" w:eastAsia="Amiri" w:cs="Amiri"/>
          <w:color w:val="111111"/>
          <w:sz w:val="28"/>
          <w:sz w:val="28"/>
          <w:szCs w:val="28"/>
          <w:rtl w:val="true"/>
          <w:lang w:bidi="ar-SA"/>
        </w:rPr>
        <w:t xml:space="preserve">حيث يظهر منها البأس في مقداره ، وهو عين المانعية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دلّت على نفي البأس عن القذارة فيما لا تتمّ فيه الصلاة وحدها </w:t>
      </w:r>
      <w:r>
        <w:rPr>
          <w:rStyle w:val="FootnoteAnchor"/>
          <w:rtl w:val="true"/>
        </w:rPr>
        <w:footnoteReference w:id="119"/>
      </w:r>
      <w:r>
        <w:rPr>
          <w:rFonts w:ascii="Amiri" w:hAnsi="Amiri" w:eastAsia="Amiri" w:cs="Amiri"/>
          <w:color w:val="111111"/>
          <w:sz w:val="28"/>
          <w:sz w:val="28"/>
          <w:szCs w:val="28"/>
          <w:rtl w:val="true"/>
          <w:lang w:bidi="ar-SA"/>
        </w:rPr>
        <w:t>وما دلّت على إعادة الصلاة مع إتيانها في النجس في الموارد الخاصّة</w:t>
      </w:r>
      <w:r>
        <w:rPr>
          <w:rStyle w:val="FootnoteAnchor"/>
          <w:rtl w:val="true"/>
        </w:rPr>
        <w:footnoteReference w:id="120"/>
      </w:r>
      <w:r>
        <w:rPr>
          <w:rFonts w:ascii="Amiri" w:hAnsi="Amiri" w:eastAsia="Amiri" w:cs="Amiri"/>
          <w:color w:val="111111"/>
          <w:sz w:val="28"/>
          <w:sz w:val="28"/>
          <w:szCs w:val="28"/>
          <w:rtl w:val="true"/>
          <w:lang w:bidi="ar-SA"/>
        </w:rPr>
        <w:t xml:space="preserve">وهي كثيرة ، والمتفاهم منها عرفاً أنّ النجس موجب للإعادة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ما دلّت على وجوب الغسل والإعادة إذا صلّى في النجس</w:t>
      </w:r>
      <w:r>
        <w:rPr>
          <w:rStyle w:val="FootnoteAnchor"/>
          <w:rtl w:val="true"/>
        </w:rPr>
        <w:footnoteReference w:id="121"/>
      </w:r>
      <w:r>
        <w:rPr>
          <w:rFonts w:ascii="IRNazanin" w:hAnsi="IRNazanin" w:eastAsia="IRNazanin"/>
          <w:color w:val="111111"/>
          <w:sz w:val="28"/>
          <w:sz w:val="28"/>
          <w:szCs w:val="28"/>
          <w:rtl w:val="true"/>
          <w:lang w:bidi="fa-IR"/>
        </w:rPr>
        <w:t xml:space="preserve">وهي كثيرة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لك أن تتمسّك بقوله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تجوز الصلاة في شيء </w:t>
      </w:r>
      <w:bookmarkStart w:id="61" w:name="pg15030_143012"/>
    </w:p>
    <w:p>
      <w:pPr>
        <w:pStyle w:val="BookText"/>
        <w:rPr/>
      </w:pPr>
      <w:bookmarkEnd w:id="61"/>
      <w:r>
        <w:rPr>
          <w:rFonts w:ascii="Amiri" w:hAnsi="Amiri" w:eastAsia="Amiri" w:cs="Amiri"/>
          <w:color w:val="111111"/>
          <w:sz w:val="28"/>
          <w:sz w:val="28"/>
          <w:szCs w:val="28"/>
          <w:rtl w:val="true"/>
          <w:lang w:bidi="ar-SA"/>
        </w:rPr>
        <w:t>من الحديد ؛ فإنّه نجس ممسوخ</w:t>
      </w:r>
      <w:r>
        <w:rPr>
          <w:rFonts w:eastAsia="Amiri" w:cs="Amiri" w:ascii="Amiri" w:hAnsi="Amiri"/>
          <w:color w:val="111111"/>
          <w:sz w:val="28"/>
          <w:szCs w:val="28"/>
          <w:rtl w:val="true"/>
          <w:lang w:bidi="ar-SA"/>
        </w:rPr>
        <w:t>»</w:t>
      </w:r>
      <w:r>
        <w:rPr>
          <w:rStyle w:val="FootnoteAnchor"/>
          <w:rtl w:val="true"/>
        </w:rPr>
        <w:footnoteReference w:id="122"/>
      </w:r>
      <w:r>
        <w:rPr>
          <w:rFonts w:ascii="Amiri" w:hAnsi="Amiri" w:eastAsia="Amiri" w:cs="Amiri"/>
          <w:color w:val="111111"/>
          <w:sz w:val="28"/>
          <w:sz w:val="28"/>
          <w:szCs w:val="28"/>
          <w:rtl w:val="true"/>
          <w:lang w:bidi="ar-SA"/>
        </w:rPr>
        <w:t>فإنّه يظهر منها كراهة الصلاة في النجس الذي صار ممسوخاً، ويستأنس منه عدم الجواز في النجس غير الممسوخ، تأمّل</w:t>
      </w:r>
      <w:r>
        <w:rPr>
          <w:rFonts w:eastAsia="Amiri" w:cs="Amiri" w:ascii="Amiri" w:hAnsi="Amiri"/>
          <w:color w:val="111111"/>
          <w:sz w:val="28"/>
          <w:szCs w:val="28"/>
          <w:rtl w:val="true"/>
          <w:lang w:bidi="ar-SA"/>
        </w:rPr>
        <w:t>.</w:t>
      </w:r>
    </w:p>
    <w:p>
      <w:pPr>
        <w:pStyle w:val="Heading4"/>
        <w:numPr>
          <w:ilvl w:val="3"/>
          <w:numId w:val="1"/>
        </w:numPr>
        <w:rPr/>
      </w:pPr>
      <w:bookmarkStart w:id="62" w:name="__RefHeading___Toc212660_2142443653"/>
      <w:bookmarkStart w:id="63" w:name="_Toc22"/>
      <w:bookmarkEnd w:id="62"/>
      <w:r>
        <w:rPr>
          <w:rtl w:val="true"/>
        </w:rPr>
        <w:t>حول الروايات الظاهرة في شرطية الطهارة</w:t>
      </w:r>
      <w:bookmarkEnd w:id="63"/>
    </w:p>
    <w:p>
      <w:pPr>
        <w:pStyle w:val="BookText"/>
        <w:rPr/>
      </w:pPr>
      <w:r>
        <w:rPr>
          <w:rFonts w:ascii="IRNazanin" w:hAnsi="IRNazanin" w:eastAsia="IRNazanin"/>
          <w:color w:val="111111"/>
          <w:sz w:val="28"/>
          <w:sz w:val="28"/>
          <w:szCs w:val="28"/>
          <w:rtl w:val="true"/>
          <w:lang w:bidi="fa-IR"/>
        </w:rPr>
        <w:t xml:space="preserve">نعم ، بإزائها روايات ربّما تكون ظاهرة في شرطية الطهارة ، كقوله علیه السلام في صحيحة زرارة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w:t>
      </w:r>
      <w:r>
        <w:rPr>
          <w:rStyle w:val="FootnoteAnchor"/>
          <w:rtl w:val="true"/>
        </w:rPr>
        <w:footnoteReference w:id="123"/>
      </w:r>
      <w:r>
        <w:rPr>
          <w:rFonts w:ascii="Amiri" w:hAnsi="Amiri" w:eastAsia="Amiri" w:cs="Amiri"/>
          <w:color w:val="111111"/>
          <w:sz w:val="28"/>
          <w:sz w:val="28"/>
          <w:szCs w:val="28"/>
          <w:rtl w:val="true"/>
          <w:lang w:bidi="ar-SA"/>
        </w:rPr>
        <w:t xml:space="preserve">بناءً على شمولها للطهارة الخبثية ، أو ظهورها فيها بقرينة ذيلها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وصحيحة زرارة الثانية</w:t>
      </w:r>
      <w:r>
        <w:rPr>
          <w:rStyle w:val="FootnoteAnchor"/>
          <w:rtl w:val="true"/>
        </w:rPr>
        <w:footnoteReference w:id="124"/>
      </w:r>
      <w:r>
        <w:rPr>
          <w:rFonts w:ascii="IRNazanin" w:hAnsi="IRNazanin" w:eastAsia="IRNazanin"/>
          <w:color w:val="111111"/>
          <w:sz w:val="28"/>
          <w:sz w:val="28"/>
          <w:szCs w:val="28"/>
          <w:rtl w:val="true"/>
          <w:lang w:bidi="fa-IR"/>
        </w:rPr>
        <w:t xml:space="preserve">من أدلّة الاستصحاب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ثلثها الطهور</w:t>
      </w:r>
      <w:r>
        <w:rPr>
          <w:rFonts w:eastAsia="IRNazanin" w:cs="IRNazanin"/>
          <w:color w:val="111111"/>
          <w:sz w:val="28"/>
          <w:szCs w:val="28"/>
          <w:rtl w:val="true"/>
          <w:lang w:bidi="fa-IR"/>
        </w:rPr>
        <w:t>»</w:t>
      </w:r>
      <w:r>
        <w:rPr>
          <w:rStyle w:val="FootnoteAnchor"/>
          <w:rtl w:val="true"/>
        </w:rPr>
        <w:footnoteReference w:id="1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تعاد الصلاة إلاّ من خمس </w:t>
      </w:r>
      <w:r>
        <w:rPr>
          <w:rFonts w:eastAsia="IRNazanin" w:cs="IRNazanin"/>
          <w:color w:val="111111"/>
          <w:sz w:val="28"/>
          <w:szCs w:val="28"/>
          <w:rtl w:val="true"/>
          <w:lang w:bidi="fa-IR"/>
        </w:rPr>
        <w:t>. . .»</w:t>
      </w:r>
      <w:r>
        <w:rPr>
          <w:rStyle w:val="FootnoteAnchor"/>
          <w:rtl w:val="true"/>
        </w:rPr>
        <w:footnoteReference w:id="126"/>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وعدّ منها الطهور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عدّ الطهور من فروض الصلاة</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 xml:space="preserve">والطهور والقبلة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راجع وسائل الشيعة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الطهارة ، أبواب الوضوء ، الباب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بناءً على أعمّيته من الطهور من الخبث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وهو محلّ إشكال في كثير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قوله علیه السلام مثلاً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بناءً على ما تقدّم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إلاّ خلوَّ المحلّ من القذارة وكونَه على حالته الأصلية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إلاّ بإزالة القذارة والتطهّر منها ، وهو غير ظاهر</w:t>
      </w:r>
    </w:p>
    <w:p>
      <w:pPr>
        <w:pStyle w:val="BookText"/>
        <w:rPr/>
      </w:pPr>
      <w:r>
        <w:rPr>
          <w:rFonts w:ascii="Amiri" w:hAnsi="Amiri" w:eastAsia="Amiri" w:cs="Amiri"/>
          <w:color w:val="111111"/>
          <w:sz w:val="28"/>
          <w:sz w:val="28"/>
          <w:szCs w:val="28"/>
          <w:rtl w:val="true"/>
          <w:lang w:bidi="ar-SA"/>
        </w:rPr>
        <w:t xml:space="preserve">في شرطية الطهور ، بل غير ظاهر في شرطية الإزالة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يبعد دعوى ظهورها في أنّ النجاسة لمّا كانت مانعة عن الصلاة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بإزالتها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ولو نوقش في ذلك ، فرفع اليد عن مثله أولى من رفع اليد عن الأدلّة الكثيرة الدالّة على مانعية النجاسة ؛ لو لم نقل بتعيّنه بلحاظ ما تقدّم</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النجاسة مانعة ، لا الطهارة أو إزالة النجاسة شرط ، فما 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 إزالة النجاسات واجبة شرطاً للصلاة</w:t>
      </w:r>
      <w:r>
        <w:rPr>
          <w:rFonts w:eastAsia="Amiri" w:cs="Amiri" w:ascii="Amiri" w:hAnsi="Amiri"/>
          <w:color w:val="111111"/>
          <w:sz w:val="28"/>
          <w:szCs w:val="28"/>
          <w:rtl w:val="true"/>
          <w:lang w:bidi="ar-SA"/>
        </w:rPr>
        <w:t>»</w:t>
      </w:r>
      <w:r>
        <w:rPr>
          <w:rStyle w:val="FootnoteAnchor"/>
          <w:rtl w:val="true"/>
        </w:rPr>
        <w:footnoteReference w:id="129"/>
      </w:r>
      <w:r>
        <w:rPr>
          <w:rFonts w:ascii="Amiri" w:hAnsi="Amiri" w:eastAsia="Amiri" w:cs="Amiri"/>
          <w:color w:val="111111"/>
          <w:sz w:val="28"/>
          <w:sz w:val="28"/>
          <w:szCs w:val="28"/>
          <w:rtl w:val="true"/>
          <w:lang w:bidi="ar-SA"/>
        </w:rPr>
        <w:t xml:space="preserve">لا يخلو من تسامح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يجب عقلاً إزالتها ؛ لمانعيتها عن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غير فرق بين الواجبة والمندوبة ؛ لإطلاق الأدلّة </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غير فرق بين أنواع النجاسات ؛ للإجماع المنقول عن جملة من الأصحاب</w:t>
      </w:r>
      <w:r>
        <w:rPr>
          <w:rStyle w:val="FootnoteAnchor"/>
          <w:rtl w:val="true"/>
        </w:rPr>
        <w:footnoteReference w:id="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لزومها في الجملة من الواضحات ، والنصوص في الموارد الخاصّة مستفيضة أو متواترة ؛ بحيث لا يبقى للناظر فيها شكّ في مانعية مطلق النجاسات بإلغاء الخصوصية عن الموارد المنصوصة ، من غير احتياج إلى دعوى الإجماع المركّب</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بل المستفاد من جملة من الروايات عموم الحكم لمطلق النجاسات ، كصحيحة عبداللّه بن 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أبي أبا عبداللّه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وأنا حاضر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إنّي أعير الذمّي ثوبي ، وأنا أعلم أ نّه يشرب الخمر ، ويأكل لحم الخنزير ، فيردّه عليّ ، فأغسله قبل أن اُصلّي فيه ؟ فقال أبو عبداللّه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فيه ، ولا تغسله من أجل ذلك ؛ فإنّك أعرته إيّاه وهو طاهر ، ولم تستيقن أ نّه نجّسه ، فلا بأس أن تصلّي فيه حتّى تستيقن أ نّه نجّسه</w:t>
      </w:r>
      <w:r>
        <w:rPr>
          <w:rFonts w:eastAsia="IRNazanin" w:cs="IRNazanin"/>
          <w:color w:val="111111"/>
          <w:sz w:val="28"/>
          <w:szCs w:val="28"/>
          <w:rtl w:val="true"/>
          <w:lang w:bidi="fa-IR"/>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يعلم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غاية جواز الصلاة فيه العلم بتنجّسه ، ومقتضى الإطلاق ثبوت الحكم لمطلق النجاسات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وصحيحة زرارة ،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أصاب ثوبي دم رعاف أو غيره أو شيء من المنيّ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ظننت أ نّه قد أصابه ، ولم أتيقّن ذلك ، فنظرت فلم أرَ شيئاً ، ثمّ صلّيت فيه فرأيت فيه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تغسله ولا تعيد الصلاة</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ذلك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 نّك كنت على يقين من طهارتك ثمّ شككت ، فليس ينبغي لك أن تنقض اليقين بالشكّ أبداً</w:t>
      </w:r>
      <w:r>
        <w:rPr>
          <w:rFonts w:eastAsia="Amiri" w:cs="Amiri" w:ascii="Amiri" w:hAnsi="Amiri"/>
          <w:color w:val="111111"/>
          <w:sz w:val="28"/>
          <w:szCs w:val="28"/>
          <w:rtl w:val="true"/>
          <w:lang w:bidi="ar-SA"/>
        </w:rPr>
        <w:t>»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قد علمت أ نّه قد أصابه ، ولم أدرِ أين هو فأغسله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تغسل من ثوبك الناحية التي ترى أ نّه قد أصابها حتّى تكون على يقين من طهارتك </w:t>
      </w:r>
      <w:r>
        <w:rPr>
          <w:rFonts w:eastAsia="Amiri" w:cs="Amiri" w:ascii="Amiri" w:hAnsi="Amiri"/>
          <w:color w:val="111111"/>
          <w:sz w:val="28"/>
          <w:szCs w:val="28"/>
          <w:rtl w:val="true"/>
          <w:lang w:bidi="ar-SA"/>
        </w:rPr>
        <w:t>. . .»</w:t>
      </w:r>
      <w:r>
        <w:rPr>
          <w:rStyle w:val="FootnoteAnchor"/>
          <w:rtl w:val="true"/>
        </w:rPr>
        <w:footnoteReference w:id="133"/>
      </w:r>
      <w:r>
        <w:rPr>
          <w:rFonts w:ascii="IRNazanin" w:hAnsi="IRNazanin" w:eastAsia="IRNazanin"/>
          <w:color w:val="111111"/>
          <w:sz w:val="28"/>
          <w:sz w:val="28"/>
          <w:szCs w:val="28"/>
          <w:rtl w:val="true"/>
          <w:lang w:bidi="fa-IR"/>
        </w:rPr>
        <w:t xml:space="preserve">إلى آخره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فإنّ المستفاد منها أنّ الطهارة من جميع القذارات ، لازمة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من صدرها أنّ المذكور فيها من قبيل المثال لمطلق النجاسات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فلا إشكال في استفادة حكم مطلق النجاسات منها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إلى غير ذلك ممّا سيأتي الكلام في بعضها ، كرواية خَيْران الخادم</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غير فرق بين الثوب والبدن؛ للإجماع المتقدّم ولفحوى ما دلّت على لزوم إزالتها عن الثوب</w:t>
      </w:r>
      <w:r>
        <w:rPr>
          <w:rStyle w:val="FootnoteAnchor"/>
          <w:rtl w:val="true"/>
        </w:rPr>
        <w:footnoteReference w:id="135"/>
      </w:r>
      <w:r>
        <w:rPr>
          <w:rFonts w:ascii="Amiri" w:hAnsi="Amiri" w:eastAsia="Amiri" w:cs="Amiri"/>
          <w:color w:val="111111"/>
          <w:sz w:val="28"/>
          <w:sz w:val="28"/>
          <w:szCs w:val="28"/>
          <w:rtl w:val="true"/>
          <w:lang w:bidi="ar-SA"/>
        </w:rPr>
        <w:t>وللمستفيضة الدالّة على إعادة الصلاة على من نسي</w:t>
      </w:r>
    </w:p>
    <w:p>
      <w:pPr>
        <w:pStyle w:val="BookText"/>
        <w:rPr/>
      </w:pPr>
      <w:r>
        <w:rPr>
          <w:rFonts w:ascii="Amiri" w:hAnsi="Amiri" w:eastAsia="Amiri" w:cs="Amiri"/>
          <w:color w:val="111111"/>
          <w:sz w:val="28"/>
          <w:sz w:val="28"/>
          <w:szCs w:val="28"/>
          <w:rtl w:val="true"/>
          <w:lang w:bidi="ar-SA"/>
        </w:rPr>
        <w:t>غسل البول عن فخذه ، أو جسده ، أو ذكرِه ، أو نسي الاستنجاء فصلّى ، أو دخل في الصلاة</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ولصحيحة زرارة ، عن أبي جعفر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إلاّ بطهور ، ويجزيك عن الاستنجاء ثلاثة أحجار ، بذلك جرت السنّة من رسول اللّه صلی الله علیه و آله وسلم ، وأمّا البول فلا بدّ من غسله</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يظهر منها لزوم طهارة البدن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النجاسات ، وسيأتي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تمّة لفقه الحديث</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ولرواية علي بن جعفر ، عن أخيه موسى بن جعفر علیهما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النَضُوح يجعل فيه النبيذ ، أيصلح أن تصلّي المرأة وهو على رأسها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 حتّى تغتسل منه</w:t>
      </w:r>
      <w:r>
        <w:rPr>
          <w:rFonts w:eastAsia="IRNazanin" w:cs="IRNazanin"/>
          <w:color w:val="111111"/>
          <w:sz w:val="28"/>
          <w:szCs w:val="28"/>
          <w:rtl w:val="true"/>
          <w:lang w:bidi="fa-IR"/>
        </w:rPr>
        <w:t>»</w:t>
      </w:r>
      <w:r>
        <w:rPr>
          <w:rStyle w:val="FootnoteAnchor"/>
          <w:rtl w:val="true"/>
        </w:rPr>
        <w:footnoteReference w:id="139"/>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منها عدم الفرق بين الشعر وغيره ، كما أنّ مقتضى إطلاق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كصحيحة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الفرق بين الظفر والشعر 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غير فرق بين ما صدق عليه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 أو لا إذا كان للمصلّي نحو تلبّس به ، كالقطن والصوف غير المنسوجين الملفوفين بالبدن ، والحصير والحشيش كذلك ؛ لإمكان دعوى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 في الأدلّة من باب المثال ، أو لجري العادة على السؤال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ولرواية خَيْران الخادم الحسنة أو الصحيحة</w:t>
      </w:r>
      <w:r>
        <w:rPr>
          <w:rStyle w:val="FootnoteAnchor"/>
          <w:rtl w:val="true"/>
        </w:rPr>
        <w:footnoteReference w:id="14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الرجل أسأله عن الثوب يصيبه الخمر ولحم الخنزير ، أيصلّى فيه أم لا ؛ فإنّ أصحابنا قد اختلفوا فيه ،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فيه ؛ فإنّ اللّه إنّما حرّم شربها ، وقال بعضهم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تصلّ فيه ؟ فوقّع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تصلّ فيه ؛ فإنّه رجس </w:t>
      </w:r>
      <w:r>
        <w:rPr>
          <w:rFonts w:eastAsia="Amiri" w:cs="Amiri" w:ascii="Amiri" w:hAnsi="Amiri"/>
          <w:color w:val="111111"/>
          <w:sz w:val="28"/>
          <w:szCs w:val="28"/>
          <w:rtl w:val="true"/>
          <w:lang w:bidi="ar-SA"/>
        </w:rPr>
        <w:t>. . . »</w:t>
      </w:r>
      <w:r>
        <w:rPr>
          <w:rStyle w:val="FootnoteAnchor"/>
          <w:rtl w:val="true"/>
        </w:rPr>
        <w:footnoteReference w:id="141"/>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إلى آخره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يظهر من التعليل عدم جواز الصلاة في الرجس مطلقاً </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يقع الكلام في هذه الظرفية هل هي للمصلّي ، فيكون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 المصلّي وهو في رجس ، فلا تصدق في مثل الخاتم والسيف والخفّ والجَوْرَب </w:t>
      </w:r>
    </w:p>
    <w:p>
      <w:pPr>
        <w:pStyle w:val="BookText"/>
        <w:rPr/>
      </w:pPr>
      <w:r>
        <w:rPr>
          <w:rFonts w:ascii="Amiri" w:hAnsi="Amiri" w:eastAsia="Amiri" w:cs="Amiri"/>
          <w:color w:val="111111"/>
          <w:sz w:val="28"/>
          <w:sz w:val="28"/>
          <w:szCs w:val="28"/>
          <w:rtl w:val="true"/>
          <w:lang w:bidi="ar-SA"/>
        </w:rPr>
        <w:t xml:space="preserve">والتِكّة ، وغيرها ممّا لا تتمّ فيها الصلاة ، فتكون خارجة تخصّصاً ؛ ضرورة عدم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الإنسان في الخاتم والسيف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ممّا ليس لها نحو اشتمال على البدن ، كالقميص والرداء والقَباء ممّا هي صادقة فيها عرفاً بخلاف ما قبلها ؟</w:t>
      </w:r>
    </w:p>
    <w:p>
      <w:pPr>
        <w:pStyle w:val="BookText"/>
        <w:rPr/>
      </w:pPr>
      <w:r>
        <w:rPr>
          <w:rFonts w:ascii="Amiri" w:hAnsi="Amiri" w:eastAsia="Amiri" w:cs="Amiri"/>
          <w:color w:val="111111"/>
          <w:sz w:val="28"/>
          <w:sz w:val="28"/>
          <w:szCs w:val="28"/>
          <w:rtl w:val="true"/>
          <w:lang w:bidi="ar-SA"/>
        </w:rPr>
        <w:t xml:space="preserve">بل التأويل والادّعاء فيها أيضاً لا يخلو من إشكال ونحو ركاكة ، إلاّ في بعض الأحيان الذي ليس المقام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هي للصلاة بالمعنى المصدري أو حاصله بنحو من الادّعاء والتخيّل ، فيكون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 صلاتك في النجس ؟</w:t>
      </w:r>
    </w:p>
    <w:p>
      <w:pPr>
        <w:pStyle w:val="BookText"/>
        <w:rPr/>
      </w:pPr>
      <w:r>
        <w:rPr>
          <w:rFonts w:ascii="Amiri" w:hAnsi="Amiri" w:eastAsia="Amiri" w:cs="Amiri"/>
          <w:color w:val="111111"/>
          <w:sz w:val="28"/>
          <w:sz w:val="28"/>
          <w:szCs w:val="28"/>
          <w:rtl w:val="true"/>
          <w:lang w:bidi="ar-SA"/>
        </w:rPr>
        <w:t xml:space="preserve">وهو نحو ادّعاء واعتبار ليس للعرف تشخيص مراده إلاّ ببيان من المتكلّم ؛ وإقامة قرينة على مراده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دعوى أقربية الاحتمال الثاني بالنظر إلى الروايات وموارد الاستعمال في خصوص المقام ؛ لشيوع استعمال الظرفية في مثل الخفّ والنعل والجَوْرَب والجُرْمُوق والتِكّة والكمرة والمنديل والقَلَنْسوة والفصّ والسيف وأشباه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عرفت أنّ دعوى ظرفية هذه الاُمور للمصلّي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بنحو من التأويل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بعيدة ، وأمّا ظرفيتها لفعل الصلاة وحاصله فمبتنية على نحو اعتبار وادّعاء ، فلو قامت قرينة على اعتبار ظرفية تلك الاُمور له ، يتبع بمقدار دلالتها </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يمكن دعواه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شيوع استعمال الظرفية فيما يتلبّس المصلّي بنحو تلبّس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كالتختّم والتقلّد ، والتلبّس بنحو التكّة والكمرة وأشباهها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حمل ما يستفاد من الرواية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 في النجس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الأعمّ من الثياب ومن مثل هذا النحو من المتلبّسات ، فالاستعمال الشائع الكثير والمتعارف قرينة على إرادة الأعمّ ، فيكون خروج ما لا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 فيه الصلاة من قبيل الاستثناء </w:t>
      </w:r>
      <w:r>
        <w:rPr>
          <w:rFonts w:eastAsia="Amiri" w:cs="Amiri" w:ascii="Amiri" w:hAnsi="Amiri"/>
          <w:color w:val="111111"/>
          <w:sz w:val="28"/>
          <w:szCs w:val="28"/>
          <w:rtl w:val="true"/>
          <w:lang w:bidi="ar-SA"/>
        </w:rPr>
        <w:t xml:space="preserve">. </w:t>
      </w:r>
      <w:bookmarkStart w:id="64" w:name="pg15030_143018"/>
    </w:p>
    <w:p>
      <w:pPr>
        <w:pStyle w:val="Heading4"/>
        <w:numPr>
          <w:ilvl w:val="3"/>
          <w:numId w:val="1"/>
        </w:numPr>
        <w:rPr/>
      </w:pPr>
      <w:bookmarkStart w:id="65" w:name="__RefHeading___Toc212662_2142443653"/>
      <w:bookmarkStart w:id="66" w:name="_Toc23"/>
      <w:bookmarkEnd w:id="64"/>
      <w:bookmarkEnd w:id="65"/>
      <w:r>
        <w:rPr>
          <w:rtl w:val="true"/>
        </w:rPr>
        <w:t>جواز الصلاة مع المحمول النجس</w:t>
      </w:r>
      <w:bookmarkEnd w:id="66"/>
    </w:p>
    <w:p>
      <w:pPr>
        <w:pStyle w:val="BookText"/>
        <w:rPr/>
      </w:pPr>
      <w:r>
        <w:rPr>
          <w:rFonts w:ascii="Amiri" w:hAnsi="Amiri" w:eastAsia="Amiri" w:cs="Amiri"/>
          <w:color w:val="111111"/>
          <w:sz w:val="28"/>
          <w:sz w:val="28"/>
          <w:szCs w:val="28"/>
          <w:rtl w:val="true"/>
          <w:lang w:bidi="ar-SA"/>
        </w:rPr>
        <w:t xml:space="preserve">وأمّا إلحاق المحمول بها ، فلا بدّ من قيام دليل آخر غير ذلك ؛ لعدم الظرفية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للمصلّي ، وهو واضح ، ولا للصلاة ؛ لعدم قيام قرينة عليه بعد عدم تشخيص العرف ؛ لإناطته على اعتبار المعتبِر ، وهو يحتاج إلى قيام القرينة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كان استعمال الظرف في المحمول أيضاً شائعاً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كاستعماله في الملبوس وما يتلبّس به بنحو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الإلحاق وجيهاً ، لكن لم يثبت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التعبير في لسان الأدلّة سؤالاً وجواباً في المحمول والمصاحب ، على خلافه في اللباس وما يتلبّس 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ففي صحيحة علي بن جعفر ، عن أخيه موسى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فأرة</w:t>
      </w:r>
    </w:p>
    <w:p>
      <w:pPr>
        <w:pStyle w:val="BookText"/>
        <w:rPr/>
      </w:pPr>
      <w:r>
        <w:rPr>
          <w:rFonts w:ascii="Amiri" w:hAnsi="Amiri" w:eastAsia="Amiri" w:cs="Amiri"/>
          <w:color w:val="111111"/>
          <w:sz w:val="28"/>
          <w:sz w:val="28"/>
          <w:szCs w:val="28"/>
          <w:rtl w:val="true"/>
          <w:lang w:bidi="ar-SA"/>
        </w:rPr>
        <w:t xml:space="preserve">المسك تكون مع من يصلّي ، وهو في جيبه أو ثيابه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w:t>
      </w:r>
      <w:r>
        <w:rPr>
          <w:rStyle w:val="FootnoteAnchor"/>
          <w:rtl w:val="true"/>
        </w:rPr>
        <w:footnoteReference w:id="142"/>
      </w:r>
      <w:r>
        <w:rPr>
          <w:rFonts w:ascii="Amiri" w:hAnsi="Amiri" w:eastAsia="Amiri" w:cs="Amiri"/>
          <w:color w:val="111111"/>
          <w:sz w:val="28"/>
          <w:sz w:val="28"/>
          <w:szCs w:val="28"/>
          <w:rtl w:val="true"/>
          <w:lang w:bidi="ar-SA"/>
        </w:rPr>
        <w:t>ونحوها مكاتبة عبداللّه بن جعفر الآتية</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صحيحته الاُخرى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يصلّي ومعه دَبّة من جلد حمار أو بغل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 أن يصلّي وهي معه</w:t>
      </w:r>
      <w:r>
        <w:rPr>
          <w:rFonts w:eastAsia="Amiri" w:cs="Amiri" w:ascii="Amiri" w:hAnsi="Amiri"/>
          <w:color w:val="111111"/>
          <w:sz w:val="28"/>
          <w:szCs w:val="28"/>
          <w:rtl w:val="true"/>
          <w:lang w:bidi="ar-SA"/>
        </w:rPr>
        <w:t>»</w:t>
      </w:r>
      <w:r>
        <w:rPr>
          <w:rStyle w:val="FootnoteAnchor"/>
          <w:rtl w:val="true"/>
        </w:rPr>
        <w:footnoteReference w:id="144"/>
      </w:r>
      <w:r>
        <w:rPr>
          <w:rFonts w:ascii="Amiri" w:hAnsi="Amiri" w:eastAsia="Amiri" w:cs="Amiri"/>
          <w:color w:val="111111"/>
          <w:sz w:val="28"/>
          <w:sz w:val="28"/>
          <w:szCs w:val="28"/>
          <w:rtl w:val="true"/>
          <w:lang w:bidi="ar-SA"/>
        </w:rPr>
        <w:t>ونحوها صحيحته الاُخرى</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وعلى هذا التعبير ورد في الطير والدراهم في جملة من الروايات</w:t>
      </w:r>
      <w:r>
        <w:rPr>
          <w:rStyle w:val="FootnoteAnchor"/>
          <w:rtl w:val="true"/>
        </w:rPr>
        <w:footnoteReference w:id="146"/>
      </w:r>
      <w:r>
        <w:rPr>
          <w:rFonts w:ascii="Amiri" w:hAnsi="Amiri" w:eastAsia="Amiri" w:cs="Amiri"/>
          <w:color w:val="111111"/>
          <w:sz w:val="28"/>
          <w:sz w:val="28"/>
          <w:szCs w:val="28"/>
          <w:rtl w:val="true"/>
          <w:lang w:bidi="ar-SA"/>
        </w:rPr>
        <w:t>وفي المفتاح والسكّين</w:t>
      </w:r>
      <w:r>
        <w:rPr>
          <w:rStyle w:val="FootnoteAnchor"/>
          <w:rtl w:val="true"/>
        </w:rPr>
        <w:footnoteReference w:id="147"/>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غير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مرسلة عبداللّه بن سِنان ، عن أبي عبداللّه علیه السلام أ 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ما كان على</w:t>
      </w:r>
    </w:p>
    <w:p>
      <w:pPr>
        <w:pStyle w:val="BookText"/>
        <w:rPr/>
      </w:pPr>
      <w:r>
        <w:rPr>
          <w:rFonts w:ascii="Amiri" w:hAnsi="Amiri" w:eastAsia="Amiri" w:cs="Amiri"/>
          <w:color w:val="111111"/>
          <w:sz w:val="28"/>
          <w:sz w:val="28"/>
          <w:szCs w:val="28"/>
          <w:rtl w:val="true"/>
          <w:lang w:bidi="ar-SA"/>
        </w:rPr>
        <w:t xml:space="preserve">الإنسان أو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تجوز الصلاة فيه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 أن يصلّي فيه وإن كان فيه قذر ، مثل القلنسوة والتِكّة والكمرة والنعل والخفّين وما أشبه ذلك</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تدلّ على استعمال الظرف فيما مع الإنسان أو عليه ، بل الظاهر استعمالها فيما يتلبّس به المصلّي ، كالأمثلة المذكورة ، فإنّها مع الإنسان ، وبعضها عليه ، لكن مع نحو من التلبّس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قصر الأمثلة في الملبوسات ، فلو كان ما معه مختصّاً بالمحمول أو الأعمّ منه ، كان عليه ذكر مثال له ، سيّما على الأوّل </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قوله علیه السلام في موثّقة ابن بكير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الصلاة في وبره وروثه وبوله </w:t>
      </w:r>
      <w:r>
        <w:rPr>
          <w:rFonts w:eastAsia="IRNazanin" w:cs="IRNazanin"/>
          <w:color w:val="111111"/>
          <w:sz w:val="28"/>
          <w:szCs w:val="28"/>
          <w:rtl w:val="true"/>
          <w:lang w:bidi="fa-IR"/>
        </w:rPr>
        <w:t>. . .»</w:t>
      </w:r>
      <w:r>
        <w:rPr>
          <w:rStyle w:val="FootnoteAnchor"/>
          <w:rtl w:val="true"/>
        </w:rPr>
        <w:footnoteReference w:id="149"/>
      </w:r>
      <w:r>
        <w:rPr>
          <w:rFonts w:ascii="Amiri" w:hAnsi="Amiri" w:eastAsia="Amiri" w:cs="Amiri"/>
          <w:color w:val="111111"/>
          <w:sz w:val="28"/>
          <w:sz w:val="28"/>
          <w:szCs w:val="28"/>
          <w:rtl w:val="true"/>
          <w:lang w:bidi="ar-SA"/>
        </w:rPr>
        <w:t xml:space="preserve">إلى آخره وقوله في رواية فارس عن ذرق الدجاج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الصلاة فيه؟</w:t>
      </w:r>
      <w:r>
        <w:rPr>
          <w:rFonts w:eastAsia="Amiri" w:cs="Amiri" w:ascii="Amiri" w:hAnsi="Amiri"/>
          <w:color w:val="111111"/>
          <w:sz w:val="28"/>
          <w:szCs w:val="28"/>
          <w:rtl w:val="true"/>
          <w:lang w:bidi="ar-SA"/>
        </w:rPr>
        <w:t>»</w:t>
      </w:r>
      <w:r>
        <w:rPr>
          <w:rStyle w:val="FootnoteAnchor"/>
          <w:rtl w:val="true"/>
        </w:rPr>
        <w:footnoteReference w:id="150"/>
      </w:r>
      <w:r>
        <w:rPr>
          <w:rFonts w:ascii="Amiri" w:hAnsi="Amiri" w:eastAsia="Amiri" w:cs="Amiri"/>
          <w:color w:val="111111"/>
          <w:sz w:val="28"/>
          <w:sz w:val="28"/>
          <w:szCs w:val="28"/>
          <w:rtl w:val="true"/>
          <w:lang w:bidi="ar-SA"/>
        </w:rPr>
        <w:t xml:space="preserve">فليس في مورد المحمول ، بل فيما تلوّث اللباس بها ، فاستعمال الظرف باعتبار </w:t>
      </w:r>
    </w:p>
    <w:p>
      <w:pPr>
        <w:pStyle w:val="BookText"/>
        <w:rPr/>
      </w:pPr>
      <w:r>
        <w:rPr>
          <w:rFonts w:ascii="Amiri" w:hAnsi="Amiri" w:eastAsia="Amiri" w:cs="Amiri"/>
          <w:color w:val="111111"/>
          <w:sz w:val="28"/>
          <w:sz w:val="28"/>
          <w:szCs w:val="28"/>
          <w:rtl w:val="true"/>
          <w:lang w:bidi="ar-SA"/>
        </w:rPr>
        <w:t xml:space="preserve">الصلاة في الثوب المتلوّث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من جميع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الاستدلال بمثل رواية خَيْران الخادم</w:t>
      </w:r>
      <w:r>
        <w:rPr>
          <w:rStyle w:val="FootnoteAnchor"/>
          <w:rtl w:val="true"/>
        </w:rPr>
        <w:footnoteReference w:id="151"/>
      </w:r>
      <w:r>
        <w:rPr>
          <w:rFonts w:ascii="Amiri" w:hAnsi="Amiri" w:eastAsia="Amiri" w:cs="Amiri"/>
          <w:color w:val="111111"/>
          <w:sz w:val="28"/>
          <w:sz w:val="28"/>
          <w:szCs w:val="28"/>
          <w:rtl w:val="true"/>
          <w:lang w:bidi="ar-SA"/>
        </w:rPr>
        <w:t xml:space="preserve">لعدم صحّة الصلاة في المحمول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يستدلّ على المنع فيه بروايات أجنبيّة عن المقام ، كمكاتبة عبداللّه بن جعفر الواردة في فأرة المسك</w:t>
      </w:r>
      <w:r>
        <w:rPr>
          <w:rStyle w:val="FootnoteAnchor"/>
          <w:rtl w:val="true"/>
        </w:rPr>
        <w:footnoteReference w:id="152"/>
      </w:r>
      <w:r>
        <w:rPr>
          <w:rFonts w:ascii="Amiri" w:hAnsi="Amiri" w:eastAsia="Amiri" w:cs="Amiri"/>
          <w:color w:val="111111"/>
          <w:sz w:val="28"/>
          <w:sz w:val="28"/>
          <w:szCs w:val="28"/>
          <w:rtl w:val="true"/>
          <w:lang w:bidi="ar-SA"/>
        </w:rPr>
        <w:t>، وصحيحة علي بن جعفر الواردة في دَبّة من جلد الحمار والبغل</w:t>
      </w:r>
      <w:r>
        <w:rPr>
          <w:rStyle w:val="FootnoteAnchor"/>
          <w:rtl w:val="true"/>
        </w:rPr>
        <w:footnoteReference w:id="153"/>
      </w:r>
      <w:r>
        <w:rPr>
          <w:rFonts w:ascii="Amiri" w:hAnsi="Amiri" w:eastAsia="Amiri" w:cs="Amiri"/>
          <w:color w:val="111111"/>
          <w:sz w:val="28"/>
          <w:sz w:val="28"/>
          <w:szCs w:val="28"/>
          <w:rtl w:val="true"/>
          <w:lang w:bidi="ar-SA"/>
        </w:rPr>
        <w:t xml:space="preserve">، فإنّهما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دلالتهما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مربوطتين بالمقام ، بل ترجعان إلى مانعية الميتة وأجزائها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كان المراد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الطاهر كان له وجه ، لكنّه خلاف 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الكلام في الرواية في نجاسة الميتة</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وكرواية رِفاعة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أيصلّي في حِنّائه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 إذا كانت خرقته طاهرة</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الخرقة إذا كانت نجسة ، تسري لا محالة إلى البدن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يبعد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فيها وفي الحِنّاء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هذا التلبّس نحو التلبّس بالكمرة والتِكّة </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وكرواية وهب بن وهب ، عن جعفر ، عن أبيه علیهما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علياً علیه السلام قال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السيف بمنزلة الرداء تصلّي فيه ما لم ترَ فيه دماً ، والقوس بمنزلة الرداء</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فإنّها أيضاً مربوطة بما يتلبّس به ؛ فإنّ المراد منه السيف المتقلَّد والصلاة فيه لا المحمول ، ولهذا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بمنزلة الرداء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القوس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ولولا ضعف سندها </w:t>
      </w:r>
      <w:r>
        <w:rPr>
          <w:rStyle w:val="FootnoteAnchor"/>
          <w:rtl w:val="true"/>
        </w:rPr>
        <w:footnoteReference w:id="157"/>
      </w:r>
      <w:r>
        <w:rPr>
          <w:rFonts w:ascii="Amiri" w:hAnsi="Amiri" w:eastAsia="Amiri" w:cs="Amiri"/>
          <w:color w:val="111111"/>
          <w:sz w:val="28"/>
          <w:sz w:val="28"/>
          <w:szCs w:val="28"/>
          <w:rtl w:val="true"/>
          <w:lang w:bidi="ar-SA"/>
        </w:rPr>
        <w:t>لما كانت روايات ما لا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 فيه الصلاة معارضة معها ؛ لحكومتها عليها بواسطة التنزيل منزلة الرداء ، فخرج السيف والقوس عمّا لا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 نّها أخصّ من تلك الروايات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وكرواية علي بن جعفر ، عن أخيه موسى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وسألته عن الرجل يمرّ بالمكان فيه العَذِرة ، فتهبّ الريح فتسفي عليه من العَذِرة ، فيصيب ثوبه ورأسه ، يصلّي فيه قبل أن يغسله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 ينفضه ويصلّي فلا بأس</w:t>
      </w:r>
      <w:r>
        <w:rPr>
          <w:rFonts w:eastAsia="IRNazanin" w:cs="IRNazanin"/>
          <w:color w:val="111111"/>
          <w:sz w:val="28"/>
          <w:szCs w:val="28"/>
          <w:rtl w:val="true"/>
          <w:lang w:bidi="fa-IR"/>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الظاهر أ نّه من قبيل المتلبّسات التي يصدق معها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سفيَ الريح من العَذِرة على الثوب والرأس ، وصيرورتَهما مغبّرين بما هو نحو الذرّ ، يوجب نحو تلبّس بالنجاسة يصدق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تجوز الصلاة كذلك ، فلا يستفاد منها حكم المحمول الذي عرفت عدم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ضعف سندها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وقد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يدلّ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وجوب النفض ؛ لجريانه مجرى العادة ، والرواية بصدد بيان نفي الغسل</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وفيه ما لا يخفى ، سيّما إن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المستفاد من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 جواب شرط ، فكأ 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ينفضه ويصلّي فلا بأس</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اليد عن ظاهر الدليل الموافق لارتكاز مانعية النجاسة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بمجرّد احتمال الجري مجرى العادة ، ممّا لا وجه له ، فالوجه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مع احتماله لا تدلّ الرواية على مطلق المحمول بعد كون موردها غيره عرفاً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الاستدلال عليه بصحيحة زرارة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w:t>
      </w:r>
      <w:r>
        <w:rPr>
          <w:rStyle w:val="FootnoteAnchor"/>
          <w:rtl w:val="true"/>
        </w:rPr>
        <w:footnoteReference w:id="160"/>
      </w:r>
      <w:r>
        <w:rPr>
          <w:rFonts w:ascii="Amiri" w:hAnsi="Amiri" w:eastAsia="Amiri" w:cs="Amiri"/>
          <w:color w:val="111111"/>
          <w:sz w:val="28"/>
          <w:sz w:val="28"/>
          <w:szCs w:val="28"/>
          <w:rtl w:val="true"/>
          <w:lang w:bidi="ar-SA"/>
        </w:rPr>
        <w:t xml:space="preserve">الشاملة للطهور من الخبث ؛ بدعوى شمولها للمحمول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بمناسبة الحكم والموضوع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المصلّي المناجي لربّه القائم بين يدي الجبّار ، لا بدّ وأن يكون طاهراً</w:t>
      </w:r>
    </w:p>
    <w:p>
      <w:pPr>
        <w:pStyle w:val="BookText"/>
        <w:rPr/>
      </w:pPr>
      <w:r>
        <w:rPr>
          <w:rFonts w:ascii="Amiri" w:hAnsi="Amiri" w:eastAsia="Amiri" w:cs="Amiri"/>
          <w:color w:val="111111"/>
          <w:sz w:val="28"/>
          <w:sz w:val="28"/>
          <w:szCs w:val="28"/>
          <w:rtl w:val="true"/>
          <w:lang w:bidi="ar-SA"/>
        </w:rPr>
        <w:t xml:space="preserve">نقيّاً عن الأدناس والأرجاس مطلقاً في بدنه وثوبه ومصاحباته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ربّما يستأنس به من رواية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الفضل بن شاذان ، عن الرضا علیه السلام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اُمر بالوضوء وبدئ به ؛ لأن يكون العبد إذا قام بين يدي الجبّار عند مناجاته إيّاه ، مطيعاً له فيما أمره ، نقيّاً عن الأدناس والنجاسة</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نجاسة شيء منها لا تكون الصلاة بطهور ؛ ضرورة أنّ المراد منه مطلق </w:t>
      </w:r>
    </w:p>
    <w:p>
      <w:pPr>
        <w:pStyle w:val="BookText"/>
        <w:rPr/>
      </w:pPr>
      <w:r>
        <w:rPr>
          <w:rFonts w:ascii="Amiri" w:hAnsi="Amiri" w:eastAsia="Amiri" w:cs="Amiri"/>
          <w:color w:val="111111"/>
          <w:sz w:val="28"/>
          <w:sz w:val="28"/>
          <w:szCs w:val="28"/>
          <w:rtl w:val="true"/>
          <w:lang w:bidi="ar-SA"/>
        </w:rPr>
        <w:t xml:space="preserve">وجود الطهور ، لا صِرف وجوده ، وهو لا يتحقّق إلاّ مع كون المصلّي طاهراً بجميع ما معه وعليه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ولكنّ الإنصاف عدم جواز التعويل على هذه الاستحسانات</w:t>
      </w:r>
    </w:p>
    <w:p>
      <w:pPr>
        <w:pStyle w:val="BookText"/>
        <w:rPr/>
      </w:pPr>
      <w:r>
        <w:rPr>
          <w:rFonts w:ascii="Amiri" w:hAnsi="Amiri" w:eastAsia="Amiri" w:cs="Amiri"/>
          <w:color w:val="111111"/>
          <w:sz w:val="28"/>
          <w:sz w:val="28"/>
          <w:szCs w:val="28"/>
          <w:rtl w:val="true"/>
          <w:lang w:bidi="ar-SA"/>
        </w:rPr>
        <w:t>والاعتبارات في تعميم الصحيحة للبدن والثوب ، فضلاً عن المحمول ، مع ما نرى من إعمال تعبّدات في العبادة بعيدة عن العقول ، كجواز الصلاة فيما لا تتمّ الصلاة فيه ولو كان متلطّخاً بالقذارة ، وجوازها في الدم القليل غير الدماء</w:t>
      </w:r>
    </w:p>
    <w:p>
      <w:pPr>
        <w:pStyle w:val="BookText"/>
        <w:rPr/>
      </w:pPr>
      <w:r>
        <w:rPr>
          <w:rFonts w:ascii="Amiri" w:hAnsi="Amiri" w:eastAsia="Amiri" w:cs="Amiri"/>
          <w:color w:val="111111"/>
          <w:sz w:val="28"/>
          <w:sz w:val="28"/>
          <w:szCs w:val="28"/>
          <w:rtl w:val="true"/>
          <w:lang w:bidi="ar-SA"/>
        </w:rPr>
        <w:t xml:space="preserve">الثلاثة ، وإجزاء الأحجار في الغائط دون البول ، مع أقذريته عرفاً ، فأمثال ما ذكر وغيرها ممّا هو وارد في باب التعبّديات ، توجب عدم الاتّكال على الاعتبارات والمقايسات العقلية ، كمقايسة محضر الربّ الجليل بمحاضر أشراف البشر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تكون بمثابة يمكن التعدّي عن موردها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الطهارة عن الحدث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مطلق الوجود الشامل للمحمول ، فخالية عن الشاهد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بمساعدة فهم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وجوده بالنسبة إلى البدن ، وعدم الاختصاص بمحلّ النجو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إسراؤه إلى اللباس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المحمول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إشكال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 شئت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المراد من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الصلاة لا بدّ وأن تكون طاهرة ، فلا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تّصف هي بالطهارة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العقول قاصرة عن إدراك كيفية طهارتها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المراد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الأمر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تقدير ،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بطهور بدن المصلّي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المصلّي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بدنه ولباسه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w:t>
      </w:r>
    </w:p>
    <w:p>
      <w:pPr>
        <w:pStyle w:val="BookText"/>
        <w:rPr/>
      </w:pPr>
      <w:r>
        <w:rPr>
          <w:rFonts w:ascii="Amiri" w:hAnsi="Amiri" w:eastAsia="Amiri" w:cs="Amiri"/>
          <w:color w:val="111111"/>
          <w:sz w:val="28"/>
          <w:sz w:val="28"/>
          <w:szCs w:val="28"/>
          <w:rtl w:val="true"/>
          <w:lang w:bidi="ar-SA"/>
        </w:rPr>
        <w:t>ملابساته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محموله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طريق إلى إثبات شيء منها إلاّ بدنه الذي يدلّ</w:t>
      </w:r>
    </w:p>
    <w:p>
      <w:pPr>
        <w:pStyle w:val="BookText"/>
        <w:rPr/>
      </w:pPr>
      <w:r>
        <w:rPr>
          <w:rFonts w:ascii="Amiri" w:hAnsi="Amiri" w:eastAsia="Amiri" w:cs="Amiri"/>
          <w:color w:val="111111"/>
          <w:sz w:val="28"/>
          <w:sz w:val="28"/>
          <w:szCs w:val="28"/>
          <w:rtl w:val="true"/>
          <w:lang w:bidi="ar-SA"/>
        </w:rPr>
        <w:t xml:space="preserve">عليه ذيل الصحيحة ، وغاية ما يمكن دعواه هو التعميم بالنسبة إلى ما يصلّي فيه ، فيكون مساوقاً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في 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غير شامل للمحمول الذي كالأجنبيّ عن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وأضعف ممّا تقدّم أو نحوها التمسّك بصحيحة زرارة المعروفة في الاستصحاب ،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قد علمت أ نّه أصابه ، ولم أدرِ أين هو فأغسله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تغسل من ثوبك الناحية التي ترى أ نّه أصابها ؛ حتّى تكون على يقين من طهارتك</w:t>
      </w:r>
      <w:r>
        <w:rPr>
          <w:rFonts w:eastAsia="Amiri" w:cs="Amiri" w:ascii="Amiri" w:hAnsi="Amiri"/>
          <w:color w:val="111111"/>
          <w:sz w:val="28"/>
          <w:szCs w:val="28"/>
          <w:rtl w:val="true"/>
          <w:lang w:bidi="ar-SA"/>
        </w:rPr>
        <w:t>»</w:t>
      </w:r>
      <w:r>
        <w:rPr>
          <w:rStyle w:val="FootnoteAnchor"/>
          <w:rtl w:val="true"/>
        </w:rPr>
        <w:footnoteReference w:id="162"/>
      </w:r>
      <w:r>
        <w:rPr>
          <w:rFonts w:ascii="Amiri" w:hAnsi="Amiri" w:eastAsia="Amiri" w:cs="Amiri"/>
          <w:color w:val="111111"/>
          <w:sz w:val="28"/>
          <w:sz w:val="28"/>
          <w:szCs w:val="28"/>
          <w:rtl w:val="true"/>
          <w:lang w:bidi="ar-SA"/>
        </w:rPr>
        <w:t xml:space="preserve">؛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انتساب الطهارة إليه ، دالّ على لزوم طهارته وطهارة جميع ما عليه وفيه ومعه</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ما لا يخفى من الوهن ؛ ضرورة أنّ الانتساب إلى اللابس إنّما يكون بنحو من التأويل والدعوى ، وهما في اللباس صحيحان ؛ لأنّ المصحّح هو التلبّس ، فيصحّ أن يقال مع نجاسة اللباس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طهارته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مثل المحمول ، فهل يصحّ لمن يكون في جيبه سكّين نجس 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 بيده سيف نجس يقول ذلك ؟ </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لا تصحّ الدعوى في بعض الألبسة والملابسات ، كالخاتم والسيف المتقلّد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فرض صحّة الدعوى لا يوجب وقوعها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تدلّ الرواية إلاّ على لزوم طهارة الإنسان ولباسه ، لا مطلق متلبّساته ، فضلاً عن محمولاته </w:t>
      </w:r>
    </w:p>
    <w:p>
      <w:pPr>
        <w:pStyle w:val="BookText"/>
        <w:rPr/>
      </w:pPr>
      <w:r>
        <w:rPr>
          <w:rFonts w:ascii="Amiri" w:hAnsi="Amiri" w:eastAsia="Amiri" w:cs="Amiri"/>
          <w:color w:val="111111"/>
          <w:sz w:val="28"/>
          <w:sz w:val="28"/>
          <w:szCs w:val="28"/>
          <w:rtl w:val="true"/>
          <w:lang w:bidi="ar-SA"/>
        </w:rPr>
        <w:t xml:space="preserve">التي لا يصحّ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طهارتك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حتّى مجازاً وادّعاءً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فمقتضى الأصل جواز الصلاة مع المحمول النجس ؛ من غير فرق بين كونه عين النجاسة أو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قارورة مشدودة الرأس بالرصاص فيها بول أو نجاسة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لأصحابنا فيه نصّ ، والذي يقتضيه المذهب أ نّه لا ينقض الصلاة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كذلك ؛ للأصل السالم عن الدليل الحاكم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بعد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يبطل الصلاة لدليل الاحتياط ، كان قويّاً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القول بالاشتغال في الشكّ في القيود والموانع ، وهو ضعيف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ولأنّ على المسألة الإجماع ؛ فإنّ خلاف ابن أبي هريرة لا يعتدّ</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Style w:val="FootnoteAnchor"/>
          <w:rtl w:val="true"/>
        </w:rPr>
        <w:footnoteReference w:id="164"/>
      </w:r>
      <w:r>
        <w:rPr>
          <w:rFonts w:ascii="Amiri" w:hAnsi="Amiri" w:eastAsia="Amiri" w:cs="Amiri"/>
          <w:color w:val="111111"/>
          <w:sz w:val="28"/>
          <w:sz w:val="28"/>
          <w:szCs w:val="28"/>
          <w:rtl w:val="true"/>
          <w:lang w:bidi="ar-SA"/>
        </w:rPr>
        <w:t xml:space="preserve">فالظاهر منه إجماع القوم بدليل ما تقدّم منه ، وبدليل استثناء ابن أبي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احتمال أن يكون مراده الإجماع على القاعدة فبعيد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يمكن الاستدلال على الجواز في عين النجاسة بصحيحة علي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 سأل أخاه موسى بن جعفر علیه السلام عن الرجل يكون به الثُؤْلول أو الجرح ، هل له أن يقطع الثُؤْلول وهو في صلاته ، أو ينتف بعض لحمه من ذلك الجرح ويطرحه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لم يتخوّف أن يسيل الدم فلا بأس ، وإن تخوّف أن يسيل الدم فلا يفعله</w:t>
      </w:r>
      <w:r>
        <w:rPr>
          <w:rFonts w:eastAsia="IRNazanin" w:cs="IRNazanin"/>
          <w:color w:val="111111"/>
          <w:sz w:val="28"/>
          <w:szCs w:val="28"/>
          <w:rtl w:val="true"/>
          <w:lang w:bidi="fa-IR"/>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اللحم الذي على الجرح أو حوله ، ليس مثل الثُؤْلول الذي ترفضه الطبيعة </w:t>
      </w:r>
    </w:p>
    <w:p>
      <w:pPr>
        <w:pStyle w:val="BookText"/>
        <w:rPr/>
      </w:pPr>
      <w:r>
        <w:rPr>
          <w:rFonts w:ascii="Amiri" w:hAnsi="Amiri" w:eastAsia="Amiri" w:cs="Amiri"/>
          <w:color w:val="111111"/>
          <w:sz w:val="28"/>
          <w:sz w:val="28"/>
          <w:szCs w:val="28"/>
          <w:rtl w:val="true"/>
          <w:lang w:bidi="ar-SA"/>
        </w:rPr>
        <w:t xml:space="preserve">بإذن اللّه تعالى ، وقلنا في محلّه بعدم نجاسته ، وعدمِ كونه ميتة أو في حكمها </w:t>
      </w:r>
      <w:r>
        <w:rPr>
          <w:rStyle w:val="FootnoteAnchor"/>
          <w:rtl w:val="true"/>
        </w:rPr>
        <w:footnoteReference w:id="166"/>
      </w:r>
      <w:r>
        <w:rPr>
          <w:rFonts w:ascii="Amiri" w:hAnsi="Amiri" w:eastAsia="Amiri" w:cs="Amiri"/>
          <w:color w:val="111111"/>
          <w:sz w:val="28"/>
          <w:sz w:val="28"/>
          <w:szCs w:val="28"/>
          <w:rtl w:val="true"/>
          <w:lang w:bidi="ar-SA"/>
        </w:rPr>
        <w:t xml:space="preserve">، لأنّ اللحم الفاسد بتبع الجرح ممّا تحلّه الحياة ، وذهاب حياته لأجل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يوجب عدم كونه ممّا تحلّه الحياة ، فنفي البأس عنه دليل على عدم مانعية المحمول النجس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لم يتخوّف أن يسيل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كناية عن عدم كونه ممّا تحلّه الحياة ، والخوف من السيلان كناية عمّا تحلّه ، كما ترى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كتوهّم عدم صدق المحمول على النتف والرمي ، فإنّ قلّة زمان الحمل لا يوجب نفي 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يقال بانصراف الدليل ، فيلزم منه الالتزام بعدم مانعية سائر الموانع مع قلّته ، فيقال بجواز لبس ما لا يؤكل والنجس عمداً وطرحه فوراً ، وهو كما ترى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الطرح الذي في لسان السائل ليس به غايته ؛ أي ليس نظره إلى قلّة الزمان ، بل نظره إلى جواز الأخذ في حال الصلاة ، فلا يبعد فهم جوازه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مع حفظ القطعة المأخوذة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الرواية ، تأمّل </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 الاستدلال للمطلوب بموثّقة محمّد بن مسلم ، عن أحدهما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الرجل يمسّ أنفه في الصلاة فيرى دماً ، كيف يصنع أينصرف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يابساً فليرمِ به ، ولا بأس</w:t>
      </w:r>
      <w:r>
        <w:rPr>
          <w:rFonts w:eastAsia="IRNazanin" w:cs="IRNazanin"/>
          <w:color w:val="111111"/>
          <w:sz w:val="28"/>
          <w:szCs w:val="28"/>
          <w:rtl w:val="true"/>
          <w:lang w:bidi="fa-IR"/>
        </w:rPr>
        <w:t>»</w:t>
      </w:r>
      <w:r>
        <w:rPr>
          <w:rStyle w:val="FootnoteAnchor"/>
          <w:rtl w:val="true"/>
        </w:rPr>
        <w:footnoteReference w:id="1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التفصيل بين الرطب واليابس ، دليل على أنّ الدم لو كان رطباً كان مانعاً ، فالمفروض فيه ما كان </w:t>
      </w:r>
    </w:p>
    <w:p>
      <w:pPr>
        <w:pStyle w:val="BookText"/>
        <w:rPr/>
      </w:pPr>
      <w:r>
        <w:rPr>
          <w:rFonts w:ascii="Amiri" w:hAnsi="Amiri" w:eastAsia="Amiri" w:cs="Amiri"/>
          <w:color w:val="111111"/>
          <w:sz w:val="28"/>
          <w:sz w:val="28"/>
          <w:szCs w:val="28"/>
          <w:rtl w:val="true"/>
          <w:lang w:bidi="ar-SA"/>
        </w:rPr>
        <w:t xml:space="preserve">بمقدار غير معفوّ عنه ، ومع ذلك نفى البأس عن يابسه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التفصيل لأجل أ نّه مع عدم يبسه ، يمكن أن يسري إلى اللباس والبدن ، فصار زائداً عن المعفوّ عنه ، دون ما إذا كان يابساً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بُعد كون</w:t>
      </w:r>
    </w:p>
    <w:p>
      <w:pPr>
        <w:pStyle w:val="BookText"/>
        <w:rPr/>
      </w:pPr>
      <w:r>
        <w:rPr>
          <w:rFonts w:ascii="Amiri" w:hAnsi="Amiri" w:eastAsia="Amiri" w:cs="Amiri"/>
          <w:color w:val="111111"/>
          <w:sz w:val="28"/>
          <w:sz w:val="28"/>
          <w:szCs w:val="28"/>
          <w:rtl w:val="true"/>
          <w:lang w:bidi="ar-SA"/>
        </w:rPr>
        <w:t xml:space="preserve">الدم اليابس المأخوذ بمسّ الأنف ، زائداً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التعرّض للفرد النادر لا مانع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وحملها على عدم بيان الحكم الشرعي بعيد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عين النجاسة وغيرها ، والتفصيل ضعيف</w:t>
      </w:r>
      <w:r>
        <w:rPr>
          <w:rStyle w:val="FootnoteAnchor"/>
          <w:rtl w:val="true"/>
        </w:rPr>
        <w:footnoteReference w:id="168"/>
      </w:r>
      <w:r>
        <w:rPr>
          <w:rFonts w:ascii="Amiri" w:hAnsi="Amiri" w:eastAsia="Amiri" w:cs="Amiri"/>
          <w:color w:val="111111"/>
          <w:sz w:val="28"/>
          <w:sz w:val="28"/>
          <w:szCs w:val="28"/>
          <w:rtl w:val="true"/>
          <w:lang w:bidi="ar-SA"/>
        </w:rPr>
        <w:t xml:space="preserve">، لعلّ منشأه رواية الفأرة والدَبّة وقد عرفت حالهما </w:t>
      </w:r>
      <w:r>
        <w:rPr>
          <w:rStyle w:val="FootnoteAnchor"/>
          <w:rtl w:val="true"/>
        </w:rPr>
        <w:footnoteReference w:id="1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قال أحد بالتفصيل بين عينها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بعكس ما ذهب إليه المفصّل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بالعفو في العين كان أوجه ؛ لمكان الروايتين المتقدّمتين ، لكنّ الوجه عدم التفصيل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المحمول بين ما تتمّ فيه الصلاة وغيره ، ولا وجه للتفريق بينهما</w:t>
      </w:r>
    </w:p>
    <w:p>
      <w:pPr>
        <w:pStyle w:val="BookText"/>
        <w:rPr/>
      </w:pPr>
      <w:r>
        <w:rPr>
          <w:rFonts w:ascii="Amiri" w:hAnsi="Amiri" w:eastAsia="Amiri" w:cs="Amiri"/>
          <w:color w:val="111111"/>
          <w:sz w:val="28"/>
          <w:sz w:val="28"/>
          <w:szCs w:val="28"/>
          <w:rtl w:val="true"/>
          <w:lang w:bidi="ar-SA"/>
        </w:rPr>
        <w:t xml:space="preserve">إلاّ تخيّل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المحمول مطلقاً ، وقد خرج ما لا تتمّ بالأدلّة الآتية ، وبقي غيره ، وقد عرفت بطلانه</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وإلاّ توهّم دلالة مرسلة عبداللّه بن سِنان المتقدّمة</w:t>
      </w:r>
      <w:r>
        <w:rPr>
          <w:rStyle w:val="FootnoteAnchor"/>
          <w:rtl w:val="true"/>
        </w:rPr>
        <w:footnoteReference w:id="171"/>
      </w:r>
      <w:r>
        <w:rPr>
          <w:rFonts w:ascii="Amiri" w:hAnsi="Amiri" w:eastAsia="Amiri" w:cs="Amiri"/>
          <w:color w:val="111111"/>
          <w:sz w:val="28"/>
          <w:sz w:val="28"/>
          <w:szCs w:val="28"/>
          <w:rtl w:val="true"/>
          <w:lang w:bidi="ar-SA"/>
        </w:rPr>
        <w:t xml:space="preserve">عليه ؛ بدعوى أنّ المراد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المحمول ، وقد فصّل فيها بين ما تتمّ الصلاة فيه وغيره ، وقد مرّ ما فيها ، فراجع</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 xml:space="preserve">. </w:t>
      </w:r>
      <w:bookmarkStart w:id="67" w:name="pg15030_143028"/>
    </w:p>
    <w:p>
      <w:pPr>
        <w:pStyle w:val="Heading4"/>
        <w:numPr>
          <w:ilvl w:val="3"/>
          <w:numId w:val="1"/>
        </w:numPr>
        <w:rPr/>
      </w:pPr>
      <w:bookmarkStart w:id="68" w:name="__RefHeading___Toc212664_2142443653"/>
      <w:bookmarkStart w:id="69" w:name="_Toc24"/>
      <w:bookmarkEnd w:id="67"/>
      <w:bookmarkEnd w:id="68"/>
      <w:r>
        <w:rPr>
          <w:rtl w:val="true"/>
        </w:rPr>
        <w:t>جواز الصلاة فيما لا تتمّ فيه الصلاة منفرداً مع نجاسته</w:t>
      </w:r>
      <w:bookmarkEnd w:id="69"/>
    </w:p>
    <w:p>
      <w:pPr>
        <w:pStyle w:val="BookText"/>
        <w:rPr/>
      </w:pPr>
      <w:r>
        <w:rPr>
          <w:rFonts w:ascii="Amiri" w:hAnsi="Amiri" w:eastAsia="Amiri" w:cs="Amiri"/>
          <w:color w:val="111111"/>
          <w:sz w:val="28"/>
          <w:sz w:val="28"/>
          <w:szCs w:val="28"/>
          <w:rtl w:val="true"/>
          <w:lang w:bidi="ar-SA"/>
        </w:rPr>
        <w:t xml:space="preserve">ثمّ إنّه لا إشكال نصّاً وفتوى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استثناء ما لا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 فيه الصلاة منفرداً ، وقد حكي عليه الإجماع أو الاتّفاق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w:t>
      </w:r>
      <w:r>
        <w:rPr>
          <w:rStyle w:val="FootnoteAnchor"/>
          <w:rtl w:val="true"/>
        </w:rPr>
        <w:footnoteReference w:id="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علمائنا </w:t>
      </w:r>
      <w:r>
        <w:rPr>
          <w:rStyle w:val="FootnoteAnchor"/>
          <w:rtl w:val="true"/>
        </w:rPr>
        <w:footnoteReference w:id="1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الأصحاب</w:t>
      </w:r>
      <w:r>
        <w:rPr>
          <w:rStyle w:val="FootnoteAnchor"/>
          <w:rtl w:val="true"/>
        </w:rPr>
        <w:footnoteReference w:id="175"/>
      </w:r>
      <w:r>
        <w:rPr>
          <w:rFonts w:ascii="Amiri" w:hAnsi="Amiri" w:eastAsia="Amiri" w:cs="Amiri"/>
          <w:color w:val="111111"/>
          <w:sz w:val="28"/>
          <w:sz w:val="28"/>
          <w:szCs w:val="28"/>
          <w:rtl w:val="true"/>
          <w:lang w:bidi="ar-SA"/>
        </w:rPr>
        <w:t xml:space="preserve">،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الاُستاذ</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أعلم في أصل الحكم خلافاً بين الأصحاب</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 يجبر ضعف الروايات سنداً ، ودلالةً إن كان ضعف في دلالة ما هي معتبرة الإسناد ، فإنّه قد يقال</w:t>
      </w:r>
      <w:r>
        <w:rPr>
          <w:rStyle w:val="FootnoteAnchor"/>
          <w:rtl w:val="true"/>
        </w:rPr>
        <w:footnoteReference w:id="1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الروايات في الباب بين ما هي ضعيفة دلالة مع اعتبار سندها ، كصحيحة زرارة أو موثّقته</w:t>
      </w:r>
      <w:r>
        <w:rPr>
          <w:rStyle w:val="FootnoteAnchor"/>
          <w:rtl w:val="true"/>
        </w:rPr>
        <w:footnoteReference w:id="178"/>
      </w:r>
      <w:r>
        <w:rPr>
          <w:rFonts w:ascii="IRNazanin" w:hAnsi="IRNazanin" w:eastAsia="IRNazanin"/>
          <w:color w:val="111111"/>
          <w:sz w:val="28"/>
          <w:sz w:val="28"/>
          <w:szCs w:val="28"/>
          <w:rtl w:val="true"/>
          <w:lang w:bidi="fa-IR"/>
        </w:rPr>
        <w:t xml:space="preserve">، عن أحدهما علیهما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 ما كان </w:t>
      </w:r>
    </w:p>
    <w:p>
      <w:pPr>
        <w:pStyle w:val="BookText"/>
        <w:rPr/>
      </w:pPr>
      <w:r>
        <w:rPr>
          <w:rFonts w:ascii="Amiri" w:hAnsi="Amiri" w:eastAsia="Amiri" w:cs="Amiri"/>
          <w:color w:val="111111"/>
          <w:sz w:val="28"/>
          <w:sz w:val="28"/>
          <w:szCs w:val="28"/>
          <w:rtl w:val="true"/>
          <w:lang w:bidi="ar-SA"/>
        </w:rPr>
        <w:t>لا تجوز فيه الصلاة وحده فلا بأس بأن يكون عليه الشيء ، مثل القَلَنْسوة</w:t>
      </w:r>
    </w:p>
    <w:p>
      <w:pPr>
        <w:pStyle w:val="BookText"/>
        <w:rPr/>
      </w:pPr>
      <w:r>
        <w:rPr>
          <w:rFonts w:ascii="Amiri" w:hAnsi="Amiri" w:eastAsia="Amiri" w:cs="Amiri"/>
          <w:color w:val="111111"/>
          <w:sz w:val="28"/>
          <w:sz w:val="28"/>
          <w:szCs w:val="28"/>
          <w:rtl w:val="true"/>
          <w:lang w:bidi="ar-SA"/>
        </w:rPr>
        <w:t>والتِكّة والجَوْرَب</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في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إجمالاً غير معلوم 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 كونه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متّضح المقصود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وبين ما هي واضحة الدلالة غير معتبرة الإسناد ، كمرسلة إبراهيم</w:t>
      </w:r>
      <w:r>
        <w:rPr>
          <w:rStyle w:val="FootnoteAnchor"/>
          <w:rtl w:val="true"/>
        </w:rPr>
        <w:footnoteReference w:id="180"/>
      </w:r>
      <w:r>
        <w:rPr>
          <w:rFonts w:ascii="Amiri" w:hAnsi="Amiri" w:eastAsia="Amiri" w:cs="Amiri"/>
          <w:color w:val="111111"/>
          <w:sz w:val="28"/>
          <w:sz w:val="28"/>
          <w:szCs w:val="28"/>
          <w:rtl w:val="true"/>
          <w:lang w:bidi="ar-SA"/>
        </w:rPr>
        <w:t>وابن سِنان</w:t>
      </w:r>
      <w:r>
        <w:rPr>
          <w:rStyle w:val="FootnoteAnchor"/>
          <w:rtl w:val="true"/>
        </w:rPr>
        <w:footnoteReference w:id="181"/>
      </w:r>
      <w:r>
        <w:rPr>
          <w:rFonts w:ascii="Amiri" w:hAnsi="Amiri" w:eastAsia="Amiri" w:cs="Amiri"/>
          <w:color w:val="111111"/>
          <w:sz w:val="28"/>
          <w:sz w:val="28"/>
          <w:szCs w:val="28"/>
          <w:rtl w:val="true"/>
          <w:lang w:bidi="ar-SA"/>
        </w:rPr>
        <w:t>وحمّاد</w:t>
      </w:r>
      <w:r>
        <w:rPr>
          <w:rStyle w:val="FootnoteAnchor"/>
          <w:rtl w:val="true"/>
        </w:rPr>
        <w:footnoteReference w:id="182"/>
      </w:r>
      <w:r>
        <w:rPr>
          <w:rFonts w:ascii="Amiri" w:hAnsi="Amiri" w:eastAsia="Amiri" w:cs="Amiri"/>
          <w:color w:val="111111"/>
          <w:sz w:val="28"/>
          <w:sz w:val="28"/>
          <w:szCs w:val="28"/>
          <w:rtl w:val="true"/>
          <w:lang w:bidi="ar-SA"/>
        </w:rPr>
        <w:t>وكرواية زرارة</w:t>
      </w:r>
      <w:r>
        <w:rPr>
          <w:rStyle w:val="FootnoteAnchor"/>
          <w:rtl w:val="true"/>
        </w:rPr>
        <w:footnoteReference w:id="183"/>
      </w:r>
      <w:r>
        <w:rPr>
          <w:rFonts w:ascii="Amiri" w:hAnsi="Amiri" w:eastAsia="Amiri" w:cs="Amiri"/>
          <w:color w:val="111111"/>
          <w:sz w:val="28"/>
          <w:sz w:val="28"/>
          <w:szCs w:val="28"/>
          <w:rtl w:val="true"/>
          <w:lang w:bidi="ar-SA"/>
        </w:rPr>
        <w:t>وحفص بن أبي عيسى</w:t>
      </w:r>
      <w:r>
        <w:rPr>
          <w:rStyle w:val="FootnoteAnchor"/>
          <w:rtl w:val="true"/>
        </w:rPr>
        <w:footnoteReference w:id="184"/>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ورود الإشكال بشيء مع استفاضة الروايات وعمل </w:t>
      </w:r>
      <w:bookmarkStart w:id="70" w:name="pg15030_143030"/>
    </w:p>
    <w:p>
      <w:pPr>
        <w:pStyle w:val="BookText"/>
        <w:rPr/>
      </w:pPr>
      <w:bookmarkEnd w:id="70"/>
      <w:r>
        <w:rPr>
          <w:rFonts w:ascii="Amiri" w:hAnsi="Amiri" w:eastAsia="Amiri" w:cs="Amiri"/>
          <w:color w:val="111111"/>
          <w:sz w:val="28"/>
          <w:sz w:val="28"/>
          <w:szCs w:val="28"/>
          <w:rtl w:val="true"/>
          <w:lang w:bidi="ar-SA"/>
        </w:rPr>
        <w:t xml:space="preserve">الأصحاب بها قديماً وحديثاً ؛ لا في الإسناد ، ولا في دلالة الموثّقة ؛ فإنّه لا يشكّ أحد في أنّ المراد قذارة المذكورات ، لا حمل القذر ؛ لعدم التناسب معها ، ولا حمل سائر الموانع ، والتشكيك فيه وسوسة ، ولهذا لم يعهد من أحدٍ الإشكال فيها من هذه الجهة ، فالمسألة لا إشكال فيها إجمالاً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الحكم عامّ لجميع مصاديق ما لا تتمّ ؛ سواء كانت من المذكورات أو غيرها ، فما عن القطب من الحصر</w:t>
      </w:r>
      <w:r>
        <w:rPr>
          <w:rStyle w:val="FootnoteAnchor"/>
          <w:rtl w:val="true"/>
        </w:rPr>
        <w:footnoteReference w:id="186"/>
      </w:r>
      <w:r>
        <w:rPr>
          <w:rFonts w:ascii="Amiri" w:hAnsi="Amiri" w:eastAsia="Amiri" w:cs="Amiri"/>
          <w:color w:val="111111"/>
          <w:sz w:val="28"/>
          <w:sz w:val="28"/>
          <w:szCs w:val="28"/>
          <w:rtl w:val="true"/>
          <w:lang w:bidi="ar-SA"/>
        </w:rPr>
        <w:t xml:space="preserve">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يبعد عدم استفادة الحصر من عبارته المحكيّة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w:t>
      </w:r>
      <w:r>
        <w:rPr>
          <w:rStyle w:val="FootnoteAnchor"/>
          <w:rtl w:val="true"/>
        </w:rPr>
        <w:footnoteReference w:id="1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 ذلك إلى أبي الصلاح وسلاّر</w:t>
      </w:r>
      <w:r>
        <w:rPr>
          <w:rStyle w:val="FootnoteAnchor"/>
          <w:rtl w:val="true"/>
        </w:rPr>
        <w:footnoteReference w:id="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ولعلّهم اقتصروا على مورد اتّفاق النصّ والفتوى بعد الخدشة في الروايات بما مرّت منّا ، تأمّل </w:t>
      </w:r>
      <w:r>
        <w:rPr>
          <w:rFonts w:eastAsia="Amiri" w:cs="Amiri" w:ascii="Amiri" w:hAnsi="Amiri"/>
          <w:color w:val="111111"/>
          <w:sz w:val="28"/>
          <w:szCs w:val="28"/>
          <w:rtl w:val="true"/>
          <w:lang w:bidi="ar-SA"/>
        </w:rPr>
        <w:t>.</w:t>
      </w:r>
    </w:p>
    <w:p>
      <w:pPr>
        <w:pStyle w:val="Heading4"/>
        <w:numPr>
          <w:ilvl w:val="3"/>
          <w:numId w:val="1"/>
        </w:numPr>
        <w:rPr/>
      </w:pPr>
      <w:bookmarkStart w:id="71" w:name="__RefHeading___Toc212666_2142443653"/>
      <w:bookmarkStart w:id="72" w:name="_Toc25"/>
      <w:bookmarkEnd w:id="71"/>
      <w:r>
        <w:rPr>
          <w:rtl w:val="true"/>
        </w:rPr>
        <w:t xml:space="preserve">فروع الأوّل </w:t>
      </w:r>
      <w:r>
        <w:rPr>
          <w:rtl w:val="true"/>
        </w:rPr>
        <w:t xml:space="preserve">: </w:t>
      </w:r>
      <w:r>
        <w:rPr>
          <w:rtl w:val="true"/>
        </w:rPr>
        <w:t xml:space="preserve">في تحقيق المراد من </w:t>
      </w:r>
      <w:r>
        <w:rPr>
          <w:rtl w:val="true"/>
        </w:rPr>
        <w:t>«</w:t>
      </w:r>
      <w:r>
        <w:rPr>
          <w:rtl w:val="true"/>
        </w:rPr>
        <w:t>ما لا تجوز الصلاة فيه وحده</w:t>
      </w:r>
      <w:r>
        <w:rPr>
          <w:rtl w:val="true"/>
        </w:rPr>
        <w:t>»</w:t>
      </w:r>
      <w:bookmarkEnd w:id="72"/>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يحتمل في بادئ النظر أن يكون المراد من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ما كان لا يجوز فيه الصلاة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 كلّ ما لا تجوز مطلقاً وبنحو السلب الكلّي ، في مقابل جوازها في الجملة وبنحو الإيجاب الجزئي ؛ بمعنى أنّ الموضوع للعفو ما لا تتمّ الصلاة فيه ؛ لا من الرجال ، ولا من النساء ، ولا من صغير الجثّة ، ولا كبيرها ، فإذا صحّ الصلاة في الجملة يرتفع العفو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وأن يكون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كلّ ما لا تجوز في الجملة بنحو السلب الجزئي ، يكون</w:t>
      </w:r>
    </w:p>
    <w:p>
      <w:pPr>
        <w:pStyle w:val="BookText"/>
        <w:rPr/>
      </w:pPr>
      <w:r>
        <w:rPr>
          <w:rFonts w:ascii="Amiri" w:hAnsi="Amiri" w:eastAsia="Amiri" w:cs="Amiri"/>
          <w:color w:val="111111"/>
          <w:sz w:val="28"/>
          <w:sz w:val="28"/>
          <w:szCs w:val="28"/>
          <w:rtl w:val="true"/>
          <w:lang w:bidi="ar-SA"/>
        </w:rPr>
        <w:t xml:space="preserve">موضوعاً للعفو ، في مقابل الإيجاب الكلّي ، فإذا لم تصحّ ولو من مكلّف ، يكون معفوّاً عنه من جميع المكلّفين ، ولازمه العفو عن كلّ ثوب لا يصحّ الصلاة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من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للرجال والنساء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يكون المراد ما لا تتمّ بالقياس إلى صنف الرجال وصنف النساء ، فيكون مثل المقنعة والقميص غيرَ معفوّ عنه للرجال ؛ لجواز صلاتهم فيه منفرداً ، ومعفوّاً عنه للنساء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يكون عدم التمام بالقياس إلى أشخاص المكلّفين ، فيكون بعض الثياب معفوّاً عنه عن صغير الجثّة لا كبيرها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وجوه أوجهها الأوّل ، لا للأمثلة المذكورة في الروايات ؛ فإنّها لا توجب التقييد في موضوع الحكم بصِرف كونها من قبيله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تأي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 الوجه الآتي بها ، بل لا يبعد أن تكون الأمثلة مرجّحة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لأجل أنّ الظاهر أنّ الحكم لطبيعة الصلاة ، وعدمها بعدم جميع الأفراد عرفاً ، كما أنّ وجودها بوجود فرد ما ، فما لا تتمّ الصلاة فيه إنّما يصدق إذا لم تتمّ فيه مطلقاً ، وإلاّ فيصدق أ نّه ممّا تتمّ فيه ، وهو الموافق لفهم العرف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الثالث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الروايات متعرّضة لحال الرجال ، كنوع الأحكام المشتركة بينهم وبين النساء ،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شكّ بين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بإلغاء الخصوصية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يفهم أنّ الحكم أعمّ ومشترك بين الصنفين ، ومقتضى ذلك أنّ ما لا تتمّ الصلاة فيه للرجال ، تصحّ صلاتهم فيه مع القذارة ، وما لا تتمّ للنساء تصحّ صلاتهنّ فيه </w:t>
      </w:r>
      <w:r>
        <w:rPr>
          <w:rFonts w:eastAsia="Amiri" w:cs="Amiri" w:ascii="Amiri" w:hAnsi="Amiri"/>
          <w:color w:val="111111"/>
          <w:sz w:val="28"/>
          <w:szCs w:val="28"/>
          <w:rtl w:val="true"/>
          <w:lang w:bidi="ar-SA"/>
        </w:rPr>
        <w:t xml:space="preserve">. </w:t>
      </w:r>
      <w:bookmarkStart w:id="73" w:name="pg15030_143032"/>
    </w:p>
    <w:p>
      <w:pPr>
        <w:pStyle w:val="BookText"/>
        <w:rPr/>
      </w:pPr>
      <w:bookmarkEnd w:id="73"/>
      <w:r>
        <w:rPr>
          <w:rFonts w:ascii="Amiri" w:hAnsi="Amiri" w:eastAsia="Amiri" w:cs="Amiri"/>
          <w:color w:val="111111"/>
          <w:sz w:val="28"/>
          <w:sz w:val="28"/>
          <w:szCs w:val="28"/>
          <w:rtl w:val="true"/>
          <w:lang w:bidi="ar-SA"/>
        </w:rPr>
        <w:t xml:space="preserve">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العرف لمّا علم أنّ ما لا تتمّ للرجال مغاير لما لا تتمّ للنساء ، لا ينقدح في ذهنه إلاّ أنّ لكلّ صنف حكمه ، فكلّ صنف لا تتمّ صلاته في شيء تصحّ صلاته فيه مع القذارة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الاحتمالان الآخران فضعيفان ، سيّما الأخير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والأقوى هو الوجه الأوّل وإن كان الثاني لا يخلو من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شككنا في ترجيح أحد الوجهين ، كان المرجع عموم عدم جواز الصلاة في النجس ؛ لإجمال المخصّص المنفصل ، والمتيقّن منه مورد الأمثلة المذكورة وأشباهها </w:t>
      </w:r>
      <w:r>
        <w:rPr>
          <w:rFonts w:eastAsia="Amiri" w:cs="Amiri" w:ascii="Amiri" w:hAnsi="Amiri"/>
          <w:color w:val="111111"/>
          <w:sz w:val="28"/>
          <w:szCs w:val="28"/>
          <w:rtl w:val="true"/>
          <w:lang w:bidi="ar-SA"/>
        </w:rPr>
        <w:t>.</w:t>
      </w:r>
    </w:p>
    <w:p>
      <w:pPr>
        <w:pStyle w:val="Heading4"/>
        <w:numPr>
          <w:ilvl w:val="3"/>
          <w:numId w:val="1"/>
        </w:numPr>
        <w:rPr/>
      </w:pPr>
      <w:bookmarkStart w:id="74" w:name="__RefHeading___Toc212668_2142443653"/>
      <w:bookmarkStart w:id="75" w:name="_Toc26"/>
      <w:bookmarkEnd w:id="74"/>
      <w:r>
        <w:rPr>
          <w:rtl w:val="true"/>
        </w:rPr>
        <w:t xml:space="preserve">الثاني </w:t>
      </w:r>
      <w:r>
        <w:rPr>
          <w:rtl w:val="true"/>
        </w:rPr>
        <w:t xml:space="preserve">: </w:t>
      </w:r>
      <w:r>
        <w:rPr>
          <w:rtl w:val="true"/>
        </w:rPr>
        <w:t>في عدم كون العمامة ممّا لا تتمّ الصلاة فيها</w:t>
      </w:r>
      <w:bookmarkEnd w:id="75"/>
    </w:p>
    <w:p>
      <w:pPr>
        <w:pStyle w:val="BookText"/>
        <w:rPr/>
      </w:pPr>
      <w:r>
        <w:rPr>
          <w:rFonts w:ascii="Amiri" w:hAnsi="Amiri" w:eastAsia="Amiri" w:cs="Amiri"/>
          <w:color w:val="111111"/>
          <w:sz w:val="28"/>
          <w:sz w:val="28"/>
          <w:szCs w:val="28"/>
          <w:rtl w:val="true"/>
          <w:lang w:bidi="ar-SA"/>
        </w:rPr>
        <w:t xml:space="preserve">عن الصدوقين عدّ العمامة ممّا لا تتمّ الصلاة فيها </w:t>
      </w:r>
      <w:r>
        <w:rPr>
          <w:rStyle w:val="FootnoteAnchor"/>
          <w:rtl w:val="true"/>
        </w:rPr>
        <w:footnoteReference w:id="189"/>
      </w:r>
      <w:r>
        <w:rPr>
          <w:rFonts w:ascii="Amiri" w:hAnsi="Amiri" w:eastAsia="Amiri" w:cs="Amiri"/>
          <w:color w:val="111111"/>
          <w:sz w:val="28"/>
          <w:sz w:val="28"/>
          <w:szCs w:val="28"/>
          <w:rtl w:val="true"/>
          <w:lang w:bidi="ar-SA"/>
        </w:rPr>
        <w:t xml:space="preserve">، وهو موافق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للفقه الرضوي</w:t>
      </w:r>
      <w:r>
        <w:rPr>
          <w:rFonts w:eastAsia="Amiri" w:cs="Amiri" w:ascii="Amiri" w:hAnsi="Amiri"/>
          <w:color w:val="111111"/>
          <w:sz w:val="28"/>
          <w:szCs w:val="28"/>
          <w:rtl w:val="true"/>
          <w:lang w:bidi="ar-SA"/>
        </w:rPr>
        <w:t>»</w:t>
      </w:r>
      <w:r>
        <w:rPr>
          <w:rStyle w:val="FootnoteAnchor"/>
          <w:rtl w:val="true"/>
        </w:rPr>
        <w:footnoteReference w:id="190"/>
      </w:r>
      <w:r>
        <w:rPr>
          <w:rFonts w:ascii="Amiri" w:hAnsi="Amiri" w:eastAsia="Amiri" w:cs="Amiri"/>
          <w:color w:val="111111"/>
          <w:sz w:val="28"/>
          <w:sz w:val="28"/>
          <w:szCs w:val="28"/>
          <w:rtl w:val="true"/>
          <w:lang w:bidi="ar-SA"/>
        </w:rPr>
        <w:t xml:space="preserve">وربّما يحمل كلامهما على العمامة التي تكون كذلك لصغرها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العمامة بالهيئة الفعلية المعهودة لا تتمّ فيها ، وهو الميزان فيما لا تتمّ ، وإلاّ لأمكن تغيير القَلَنْسوة أيضاً بنحو يتمّ الصلاة فيها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 الروايات أنّ الثياب على نوعين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يصدق عليها أ نّها موصوفة بجواز الصلاة فيها وحدها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بخلاف ذلك </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والموضوع لجواز الصلاة مع القذارة ، هو الثوب الذي له هذا الوصف العنواني </w:t>
      </w:r>
    </w:p>
    <w:p>
      <w:pPr>
        <w:pStyle w:val="BookText"/>
        <w:rPr/>
      </w:pPr>
      <w:r>
        <w:rPr>
          <w:rFonts w:ascii="Amiri" w:hAnsi="Amiri" w:eastAsia="Amiri" w:cs="Amiri"/>
          <w:color w:val="111111"/>
          <w:sz w:val="28"/>
          <w:sz w:val="28"/>
          <w:szCs w:val="28"/>
          <w:rtl w:val="true"/>
          <w:lang w:bidi="ar-SA"/>
        </w:rPr>
        <w:t>من غير لحاظ كونه على المصلّي ، ولا لحاظ إتيان الصلاة معه فعلاً ، فالقلنسوة</w:t>
      </w:r>
    </w:p>
    <w:p>
      <w:pPr>
        <w:pStyle w:val="BookText"/>
        <w:rPr/>
      </w:pPr>
      <w:r>
        <w:rPr>
          <w:rFonts w:ascii="Amiri" w:hAnsi="Amiri" w:eastAsia="Amiri" w:cs="Amiri"/>
          <w:color w:val="111111"/>
          <w:sz w:val="28"/>
          <w:sz w:val="28"/>
          <w:szCs w:val="28"/>
          <w:rtl w:val="true"/>
          <w:lang w:bidi="ar-SA"/>
        </w:rPr>
        <w:t xml:space="preserve">متّصفة فعلاً بأ نّها ممّا لا تجوز الصلاة فيها وحدها ؛ سواء صلّى فيها مصلٍّ أو لا ، والرداء متّصف بجواز الصلاة فيه ؛ صلّى فيه مصلٍّ أو لا ، والعمامة من الثياب التي تتّصف بالوصف العنواني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جواز الصلاة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بأيّة هيئة كانت ، كما أنّ الرداء</w:t>
      </w:r>
    </w:p>
    <w:p>
      <w:pPr>
        <w:pStyle w:val="BookText"/>
        <w:rPr/>
      </w:pPr>
      <w:r>
        <w:rPr>
          <w:rFonts w:ascii="Amiri" w:hAnsi="Amiri" w:eastAsia="Amiri" w:cs="Amiri"/>
          <w:color w:val="111111"/>
          <w:sz w:val="28"/>
          <w:sz w:val="28"/>
          <w:szCs w:val="28"/>
          <w:rtl w:val="true"/>
          <w:lang w:bidi="ar-SA"/>
        </w:rPr>
        <w:t xml:space="preserve">كذلك ؛ كان ملفوفاً أو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يلحظ في الثياب هيئة فعلية ، بل الملحوظ نفس الثياب ، ولا شبهة في أنّ العمامة كالمئزر في صدق جواز الصلاة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الأمثلة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دلالتها على قول الصدوق ؛ لظهورها في أنّ المدار جواز الصلاة فيها وحدها بالفعل لا بالفرض</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غير وجيه ؛ لأنّ الظاهر منها النظر إلى ذات الثياب لا هيئاتها ، فكما أنّ الرداء بذاته يصدق عليه جواز الصلاة فيه ولو كان ملفوفاً ، كذلك العمامة ، فهي قطعة كرباس مثلاً يجوز الصلاة فيها ؛ أي يمكن جعلها ساتراً ، وهو ثابت لها بأيّة هيئة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لوحظ فعلية جواز الصلاة فيها حقيقة ، لا يصدق ذلك على شيء إلاّ مع جعله مئزراً بالفعل ، واعتبار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خلاف الضرورة ؛ للزوم البناء على العفو عن سائر الألبسة عدا الساتر الفعلي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المتفاهم من الروايات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الجواز الفعلي لا يصدق إلاّ مع فعلية التلبّس والتستّر به وهو غير مقصود بالبداهة ، والوصف العنواني صادق حتّى مع لفّه وكونه على هيئة العمامة </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النقض بالقلنسوة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 نّه يمكن تغييرها بنحو يجوز الصلاة فيها فهو كما ترى </w:t>
      </w:r>
      <w:r>
        <w:rPr>
          <w:rFonts w:eastAsia="Amiri" w:cs="Amiri" w:ascii="Amiri" w:hAnsi="Amiri"/>
          <w:color w:val="111111"/>
          <w:sz w:val="28"/>
          <w:szCs w:val="28"/>
          <w:rtl w:val="true"/>
          <w:lang w:bidi="ar-SA"/>
        </w:rPr>
        <w:t xml:space="preserve">. </w:t>
      </w:r>
      <w:bookmarkStart w:id="76" w:name="pg15030_143034"/>
    </w:p>
    <w:p>
      <w:pPr>
        <w:pStyle w:val="Heading4"/>
        <w:numPr>
          <w:ilvl w:val="3"/>
          <w:numId w:val="1"/>
        </w:numPr>
        <w:rPr/>
      </w:pPr>
      <w:bookmarkStart w:id="77" w:name="__RefHeading___Toc212670_2142443653"/>
      <w:bookmarkStart w:id="78" w:name="_Toc27"/>
      <w:bookmarkEnd w:id="76"/>
      <w:bookmarkEnd w:id="77"/>
      <w:r>
        <w:rPr>
          <w:rtl w:val="true"/>
        </w:rPr>
        <w:t xml:space="preserve">الثالث </w:t>
      </w:r>
      <w:r>
        <w:rPr>
          <w:rtl w:val="true"/>
        </w:rPr>
        <w:t xml:space="preserve">: </w:t>
      </w:r>
      <w:r>
        <w:rPr>
          <w:rtl w:val="true"/>
        </w:rPr>
        <w:t>في عدم اعتبار كون الملابس المعفوّ عنها في محالّها</w:t>
      </w:r>
      <w:bookmarkEnd w:id="78"/>
    </w:p>
    <w:p>
      <w:pPr>
        <w:pStyle w:val="BookText"/>
        <w:rPr/>
      </w:pPr>
      <w:r>
        <w:rPr>
          <w:rFonts w:ascii="Amiri" w:hAnsi="Amiri" w:eastAsia="Amiri" w:cs="Amiri"/>
          <w:color w:val="111111"/>
          <w:sz w:val="28"/>
          <w:sz w:val="28"/>
          <w:szCs w:val="28"/>
          <w:rtl w:val="true"/>
          <w:lang w:bidi="ar-SA"/>
        </w:rPr>
        <w:t xml:space="preserve">اعتبر العلاّمة وجمع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الشيخ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الملابس المعفوّ عنها في محالّها مدّعياً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نّه المتبادر من إطلاق النصّ ومعاقد الإجماعات ، فلو شدّ تكّته في وسطه أو حملها على عاتقه لم تجز الصلاة</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أخذها من محالّها وحملها من غير تلبّس ، فعدم الجواز مبنيّ على عدم جواز حمل المتنجّس ، وقد مرّ جوازه</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مع التلبّس بها في غير محلّها فالظاهر أيضاً الجواز ؛ لأنّ الظاهر من الروايات أنّ ما له هذا الوصف العنواني لصغره ، يكون تمام الموضوع لجواز الصلاة فيه من غير دخالة شيء آخر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يلحظ فيها حال الصلاة والمصلّي فعلاً حتّى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المتبادر تلبّسه بها في محلّها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 مبنيّ على العفو ، كما هو ظاهر تعبير الفقهاء ، وهو مناسب لكون تلك الألبسة في محلّها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المقتضي للمنع موجود ، لكن مصلحة التسهيل على المكلّف أوجبت العفو عنها ، فيقتصر على ما إذا كانت في محلّها </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مدفوع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إشعار في شيء من روايات الباب بالعفو ، ولم يتّضح من تعبير بعض الفقهاء بذلك أن يكون مراده وجود الاقتضاء فيها ، بل الظاهر جريانه </w:t>
      </w:r>
      <w:bookmarkStart w:id="79" w:name="pg15030_143035"/>
    </w:p>
    <w:p>
      <w:pPr>
        <w:pStyle w:val="BookText"/>
        <w:rPr/>
      </w:pPr>
      <w:bookmarkEnd w:id="79"/>
      <w:r>
        <w:rPr>
          <w:rFonts w:ascii="Amiri" w:hAnsi="Amiri" w:eastAsia="Amiri" w:cs="Amiri"/>
          <w:color w:val="111111"/>
          <w:sz w:val="28"/>
          <w:sz w:val="28"/>
          <w:szCs w:val="28"/>
          <w:rtl w:val="true"/>
          <w:lang w:bidi="ar-SA"/>
        </w:rPr>
        <w:t>مجرى العادة ؛ وتبعاً لذكر دم الجروح والقروح الذي يظهر من نفس الواقعة فيه</w:t>
      </w:r>
    </w:p>
    <w:p>
      <w:pPr>
        <w:pStyle w:val="BookText"/>
        <w:rPr/>
      </w:pPr>
      <w:r>
        <w:rPr>
          <w:rFonts w:ascii="Amiri" w:hAnsi="Amiri" w:eastAsia="Amiri" w:cs="Amiri"/>
          <w:color w:val="111111"/>
          <w:sz w:val="28"/>
          <w:sz w:val="28"/>
          <w:szCs w:val="28"/>
          <w:rtl w:val="true"/>
          <w:lang w:bidi="ar-SA"/>
        </w:rPr>
        <w:t xml:space="preserve">العفو ، فدعوى العفو في المقام بهذا المعنى خالية عن الشاهد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العفو ، لكن لا يلزم منه رفع اليد عن ظاهر الرواية وإطلاقها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الانصراف ممنوعة ، وإلاّ فلقائل أن يدّعي الانصراف في دليل المنع أيضاً ، فالأقوى عدم الفرق بين كونها في المحالّ وعدمه </w:t>
      </w:r>
      <w:r>
        <w:rPr>
          <w:rFonts w:eastAsia="Amiri" w:cs="Amiri" w:ascii="Amiri" w:hAnsi="Amiri"/>
          <w:color w:val="111111"/>
          <w:sz w:val="28"/>
          <w:szCs w:val="28"/>
          <w:rtl w:val="true"/>
          <w:lang w:bidi="ar-SA"/>
        </w:rPr>
        <w:t>.</w:t>
      </w:r>
    </w:p>
    <w:p>
      <w:pPr>
        <w:pStyle w:val="Heading4"/>
        <w:numPr>
          <w:ilvl w:val="3"/>
          <w:numId w:val="1"/>
        </w:numPr>
        <w:rPr/>
      </w:pPr>
      <w:bookmarkStart w:id="80" w:name="__RefHeading___Toc212672_2142443653"/>
      <w:bookmarkStart w:id="81" w:name="_Toc28"/>
      <w:bookmarkEnd w:id="80"/>
      <w:r>
        <w:rPr>
          <w:rtl w:val="true"/>
        </w:rPr>
        <w:t xml:space="preserve">الرابع </w:t>
      </w:r>
      <w:r>
        <w:rPr>
          <w:rtl w:val="true"/>
        </w:rPr>
        <w:t xml:space="preserve">: </w:t>
      </w:r>
      <w:r>
        <w:rPr>
          <w:rtl w:val="true"/>
        </w:rPr>
        <w:t>في المحمول الذي لا تتمّ فيه بناءً على عدم جواز حمل المتنجّس</w:t>
      </w:r>
      <w:bookmarkEnd w:id="81"/>
    </w:p>
    <w:p>
      <w:pPr>
        <w:pStyle w:val="BookText"/>
        <w:rPr/>
      </w:pPr>
      <w:r>
        <w:rPr>
          <w:rFonts w:ascii="Amiri" w:hAnsi="Amiri" w:eastAsia="Amiri" w:cs="Amiri"/>
          <w:color w:val="111111"/>
          <w:sz w:val="28"/>
          <w:sz w:val="28"/>
          <w:szCs w:val="28"/>
          <w:rtl w:val="true"/>
          <w:lang w:bidi="ar-SA"/>
        </w:rPr>
        <w:t>بناءً على عدم جواز حمل المتنجّس ، لا فرق بين ما تتمّ فيه الصلاة وغيره ؛</w:t>
      </w:r>
    </w:p>
    <w:p>
      <w:pPr>
        <w:pStyle w:val="BookText"/>
        <w:rPr/>
      </w:pPr>
      <w:r>
        <w:rPr>
          <w:rFonts w:ascii="Amiri" w:hAnsi="Amiri" w:eastAsia="Amiri" w:cs="Amiri"/>
          <w:color w:val="111111"/>
          <w:sz w:val="28"/>
          <w:sz w:val="28"/>
          <w:szCs w:val="28"/>
          <w:rtl w:val="true"/>
          <w:lang w:bidi="ar-SA"/>
        </w:rPr>
        <w:t>إن قلنا باستفادة عدم جوازه من غير ما دلّ على عدم جواز الصلاة في النجس ، كصحيحة زرارة</w:t>
      </w:r>
      <w:r>
        <w:rPr>
          <w:rStyle w:val="FootnoteAnchor"/>
          <w:rtl w:val="true"/>
        </w:rPr>
        <w:footnoteReference w:id="196"/>
      </w:r>
      <w:r>
        <w:rPr>
          <w:rFonts w:ascii="Amiri" w:hAnsi="Amiri" w:eastAsia="Amiri" w:cs="Amiri"/>
          <w:color w:val="111111"/>
          <w:sz w:val="28"/>
          <w:sz w:val="28"/>
          <w:szCs w:val="28"/>
          <w:rtl w:val="true"/>
          <w:lang w:bidi="ar-SA"/>
        </w:rPr>
        <w:t xml:space="preserve">وغيرها ، ومنعنا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المحمول ؛ لأنّ أدلّة التجويز إنّما أجازت فيما لا تتمّ الصلاة فيها إذا كانت قذرة ، والمحمول</w:t>
      </w:r>
    </w:p>
    <w:p>
      <w:pPr>
        <w:pStyle w:val="BookText"/>
        <w:rPr/>
      </w:pPr>
      <w:r>
        <w:rPr>
          <w:rFonts w:ascii="IRNazanin" w:hAnsi="IRNazanin" w:eastAsia="IRNazanin"/>
          <w:color w:val="111111"/>
          <w:sz w:val="28"/>
          <w:sz w:val="28"/>
          <w:szCs w:val="28"/>
          <w:rtl w:val="true"/>
          <w:lang w:bidi="fa-IR"/>
        </w:rPr>
        <w:t xml:space="preserve">خارج عنه فرضاً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 لو قلنا بصدق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وقلنا باستفادة حكمه من الكبرى الدالّة على عدم جواز الصلاة في النجس ، فمقتضى أدلّة العفو التفصيل في المحمول أيضاً ، كالتفصيل في الملبوس </w:t>
      </w:r>
      <w:r>
        <w:rPr>
          <w:rFonts w:eastAsia="Amiri" w:cs="Amiri" w:ascii="Amiri" w:hAnsi="Amiri"/>
          <w:color w:val="111111"/>
          <w:sz w:val="28"/>
          <w:szCs w:val="28"/>
          <w:rtl w:val="true"/>
          <w:lang w:bidi="ar-SA"/>
        </w:rPr>
        <w:t>.</w:t>
      </w:r>
    </w:p>
    <w:p>
      <w:pPr>
        <w:pStyle w:val="Heading4"/>
        <w:numPr>
          <w:ilvl w:val="3"/>
          <w:numId w:val="1"/>
        </w:numPr>
        <w:rPr/>
      </w:pPr>
      <w:bookmarkStart w:id="82" w:name="__RefHeading___Toc212674_2142443653"/>
      <w:bookmarkStart w:id="83" w:name="_Toc29"/>
      <w:bookmarkEnd w:id="82"/>
      <w:r>
        <w:rPr>
          <w:rtl w:val="true"/>
        </w:rPr>
        <w:t xml:space="preserve">الخامس </w:t>
      </w:r>
      <w:r>
        <w:rPr>
          <w:rtl w:val="true"/>
        </w:rPr>
        <w:t xml:space="preserve">: </w:t>
      </w:r>
      <w:r>
        <w:rPr>
          <w:rtl w:val="true"/>
        </w:rPr>
        <w:t>في جواز الصلاة فيما لا تتمّ فيه مهما كان جنسه ونجاسته</w:t>
      </w:r>
      <w:bookmarkEnd w:id="83"/>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مقتضى إطلاق النصّ والفتوى ، عدم الفرق في العفو بين النجاسات التي من فضلات غير مأكول اللحم أو غيرها ، وكذا عدم الفرق بين ما يكون ما </w:t>
      </w:r>
    </w:p>
    <w:p>
      <w:pPr>
        <w:pStyle w:val="BookText"/>
        <w:rPr/>
      </w:pPr>
      <w:r>
        <w:rPr>
          <w:rFonts w:ascii="Amiri" w:hAnsi="Amiri" w:eastAsia="Amiri" w:cs="Amiri"/>
          <w:color w:val="111111"/>
          <w:sz w:val="28"/>
          <w:sz w:val="28"/>
          <w:szCs w:val="28"/>
          <w:rtl w:val="true"/>
          <w:lang w:bidi="ar-SA"/>
        </w:rPr>
        <w:t xml:space="preserve">لا تتمّ من أعيان النجاسات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كالخفّ المتّخذ من جلد الميتة ، والقَلَنْسوة</w:t>
      </w:r>
    </w:p>
    <w:p>
      <w:pPr>
        <w:pStyle w:val="BookText"/>
        <w:rPr/>
      </w:pPr>
      <w:r>
        <w:rPr>
          <w:rFonts w:ascii="Amiri" w:hAnsi="Amiri" w:eastAsia="Amiri" w:cs="Amiri"/>
          <w:color w:val="111111"/>
          <w:sz w:val="28"/>
          <w:sz w:val="28"/>
          <w:szCs w:val="28"/>
          <w:rtl w:val="true"/>
          <w:lang w:bidi="ar-SA"/>
        </w:rPr>
        <w:t xml:space="preserve">المنسوجة من شعر الكلب والخنزير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غيرها</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المناسب بالبحث عنه هاهنا هو حيثية إطلاق نصوص العفو لما ذكر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البحث عن أدلّة عدم الجواز فيما لا يؤكل أو في الميتة ونجس العين ومقدار دلالتها ومعارضتها ، فهو موكول إلى محلّ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عدم الإطلاق في الأدلّة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غير موثّقة زرارة</w:t>
      </w:r>
      <w:r>
        <w:rPr>
          <w:rStyle w:val="FootnoteAnchor"/>
          <w:rtl w:val="true"/>
        </w:rPr>
        <w:footnoteReference w:id="198"/>
      </w:r>
      <w:r>
        <w:rPr>
          <w:rFonts w:ascii="Amiri" w:hAnsi="Amiri" w:eastAsia="Amiri" w:cs="Amiri"/>
          <w:color w:val="111111"/>
          <w:sz w:val="28"/>
          <w:sz w:val="28"/>
          <w:szCs w:val="28"/>
          <w:rtl w:val="true"/>
          <w:lang w:bidi="ar-SA"/>
        </w:rPr>
        <w:t xml:space="preserve">، فلأنّ الظاهر منه هو العفو من حيث النجاسة ، لا الموانع الاُخر ، ولهذا لا يتوهّم إطلاقها لما إذا كان ما لا تتمّ مغصوباً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العفو عن النجس حيثي ؛ لا يقتضي رفع مانعية اُخرى تكون مستقلّة في المانعية ، كغير المأكول ، والميتة بناءً على مانعيتها من غير جهة النجاسة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الموثّقة</w:t>
      </w:r>
      <w:r>
        <w:rPr>
          <w:rStyle w:val="FootnoteAnchor"/>
          <w:rtl w:val="true"/>
        </w:rPr>
        <w:footnoteReference w:id="199"/>
      </w:r>
      <w:r>
        <w:rPr>
          <w:rFonts w:ascii="IRNazanin" w:hAnsi="IRNazanin" w:eastAsia="IRNazanin"/>
          <w:color w:val="111111"/>
          <w:sz w:val="28"/>
          <w:sz w:val="28"/>
          <w:szCs w:val="28"/>
          <w:rtl w:val="true"/>
          <w:lang w:bidi="fa-IR"/>
        </w:rPr>
        <w:t xml:space="preserve">، فلأنّ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يكون عليه 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له إطلاق ، بل الظاهر أ نّه إشارة إلى شيء خاصّ ، وإلاّ لقال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منكّراً ، وهو</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إمّا القذر ، كما هو الظاهر ولو بقرينة سائر الروايات ، أو مجمل لا يدلّ على المقصود </w:t>
      </w:r>
      <w:r>
        <w:rPr>
          <w:rFonts w:eastAsia="Amiri" w:cs="Amiri" w:ascii="Amiri" w:hAnsi="Amiri"/>
          <w:color w:val="111111"/>
          <w:sz w:val="28"/>
          <w:szCs w:val="28"/>
          <w:rtl w:val="true"/>
          <w:lang w:bidi="ar-SA"/>
        </w:rPr>
        <w:t xml:space="preserve">. </w:t>
      </w:r>
      <w:bookmarkStart w:id="84" w:name="pg15030_143037"/>
    </w:p>
    <w:p>
      <w:pPr>
        <w:pStyle w:val="Heading4"/>
        <w:numPr>
          <w:ilvl w:val="3"/>
          <w:numId w:val="1"/>
        </w:numPr>
        <w:rPr/>
      </w:pPr>
      <w:bookmarkStart w:id="85" w:name="__RefHeading___Toc212676_2142443653"/>
      <w:bookmarkStart w:id="86" w:name="_Toc30"/>
      <w:bookmarkEnd w:id="84"/>
      <w:bookmarkEnd w:id="85"/>
      <w:r>
        <w:rPr>
          <w:rtl w:val="true"/>
        </w:rPr>
        <w:t>فصل في العفو عن دم الجروح والقروح في الصلاة</w:t>
      </w:r>
      <w:bookmarkEnd w:id="86"/>
    </w:p>
    <w:p>
      <w:pPr>
        <w:pStyle w:val="BookText"/>
        <w:rPr/>
      </w:pPr>
      <w:r>
        <w:rPr>
          <w:rFonts w:ascii="Amiri" w:hAnsi="Amiri" w:eastAsia="Amiri" w:cs="Amiri"/>
          <w:color w:val="111111"/>
          <w:sz w:val="28"/>
          <w:sz w:val="28"/>
          <w:szCs w:val="28"/>
          <w:rtl w:val="true"/>
          <w:lang w:bidi="ar-SA"/>
        </w:rPr>
        <w:t xml:space="preserve">لا إشكال نصّاً وفتوى في العفو عن دم القروح والجروح في الجملة ، وعليه الإجماع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w:t>
      </w:r>
      <w:r>
        <w:rPr>
          <w:rStyle w:val="FootnoteAnchor"/>
          <w:rtl w:val="true"/>
        </w:rPr>
        <w:footnoteReference w:id="200"/>
      </w:r>
      <w:r>
        <w:rPr>
          <w:rFonts w:ascii="Amiri" w:hAnsi="Amiri" w:eastAsia="Amiri" w:cs="Amiri"/>
          <w:color w:val="111111"/>
          <w:sz w:val="28"/>
          <w:sz w:val="28"/>
          <w:szCs w:val="28"/>
          <w:rtl w:val="true"/>
          <w:lang w:bidi="ar-SA"/>
        </w:rPr>
        <w:t xml:space="preserve">، لكن عبارات القوم مختلفة في اعتبار الدوام والسيلان وعدمه ، ومشقّةِ الإزالة وعدمها ، ووجوبِ التقليل وعدمه ، ووجوبِ إبدال الخرقة مع الإمكان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والعفوِ لو ترشرش عليه من دمِ غيره وعدمه ، ووجوبِ العصب وعدمه ، وأنّ الغاية هي الاندمال ، أو قطع الدم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وقبل الورود في أصل المسألة ، لا بأس بذكر أمر يبتني عليه بعض فروعها ، ويترتّب عليه ثمرات في غير المقام وهو </w:t>
      </w:r>
      <w:r>
        <w:rPr>
          <w:rFonts w:eastAsia="Amiri" w:cs="Amiri" w:ascii="Amiri" w:hAnsi="Amiri"/>
          <w:color w:val="111111"/>
          <w:sz w:val="28"/>
          <w:szCs w:val="28"/>
          <w:rtl w:val="true"/>
          <w:lang w:bidi="ar-SA"/>
        </w:rPr>
        <w:t>:</w:t>
      </w:r>
    </w:p>
    <w:p>
      <w:pPr>
        <w:pStyle w:val="Heading4"/>
        <w:numPr>
          <w:ilvl w:val="3"/>
          <w:numId w:val="1"/>
        </w:numPr>
        <w:rPr/>
      </w:pPr>
      <w:bookmarkStart w:id="87" w:name="__RefHeading___Toc212678_2142443653"/>
      <w:bookmarkStart w:id="88" w:name="_Toc31"/>
      <w:bookmarkEnd w:id="87"/>
      <w:r>
        <w:rPr>
          <w:rtl w:val="true"/>
        </w:rPr>
        <w:t>هل المانع صِرف وجود النجاسة أو الطبيعة السارية؟</w:t>
      </w:r>
      <w:bookmarkEnd w:id="88"/>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بعد ما فرغنا فيما سلف عن أنّ النجاسة مانعة عن الصلاة ، لا أنّ الطهارة شرط فيها </w:t>
      </w:r>
      <w:r>
        <w:rPr>
          <w:rStyle w:val="FootnoteAnchor"/>
          <w:rtl w:val="true"/>
        </w:rPr>
        <w:footnoteReference w:id="201"/>
      </w:r>
      <w:r>
        <w:rPr>
          <w:rFonts w:ascii="Amiri" w:hAnsi="Amiri" w:eastAsia="Amiri" w:cs="Amiri"/>
          <w:color w:val="111111"/>
          <w:sz w:val="28"/>
          <w:sz w:val="28"/>
          <w:szCs w:val="28"/>
          <w:rtl w:val="true"/>
          <w:lang w:bidi="ar-SA"/>
        </w:rPr>
        <w:t xml:space="preserve">، يقع الكلام في المانع وكيفية مانعيته ؛ بمعنى أنّ المانع هل هو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بين أنواع النجاسات ، فيكون المانع شيئاً واحداً هو النجس ، أو كلّ نوع من أنواعها مانع مستقلّ بنحو تمام الموضوع أو بعضه ، </w:t>
      </w:r>
    </w:p>
    <w:p>
      <w:pPr>
        <w:pStyle w:val="BookText"/>
        <w:rPr/>
      </w:pPr>
      <w:r>
        <w:rPr>
          <w:rFonts w:ascii="Amiri" w:hAnsi="Amiri" w:eastAsia="Amiri" w:cs="Amiri"/>
          <w:color w:val="111111"/>
          <w:sz w:val="28"/>
          <w:sz w:val="28"/>
          <w:szCs w:val="28"/>
          <w:rtl w:val="true"/>
          <w:lang w:bidi="ar-SA"/>
        </w:rPr>
        <w:t>فيكون المنيّ بعنوانه مانعاً ، والبول كذلك بناءً على تمام الموضوعية ، أو المنيّ أو البول النجسان كذلك بناءً على جزء الموضوعية ؟</w:t>
      </w:r>
    </w:p>
    <w:p>
      <w:pPr>
        <w:pStyle w:val="BookText"/>
        <w:rPr/>
      </w:pPr>
      <w:r>
        <w:rPr>
          <w:rFonts w:ascii="Amiri" w:hAnsi="Amiri" w:eastAsia="Amiri" w:cs="Amiri"/>
          <w:color w:val="111111"/>
          <w:sz w:val="28"/>
          <w:sz w:val="28"/>
          <w:szCs w:val="28"/>
          <w:rtl w:val="true"/>
          <w:lang w:bidi="ar-SA"/>
        </w:rPr>
        <w:t xml:space="preserve">وعلى أيّ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يكون المانع بعنوان صِرف الوجود أو الطبيعة السارية ؟</w:t>
      </w:r>
    </w:p>
    <w:p>
      <w:pPr>
        <w:pStyle w:val="BookText"/>
        <w:rPr/>
      </w:pPr>
      <w:r>
        <w:rPr>
          <w:rFonts w:ascii="Amiri" w:hAnsi="Amiri" w:eastAsia="Amiri" w:cs="Amiri"/>
          <w:color w:val="111111"/>
          <w:sz w:val="28"/>
          <w:sz w:val="28"/>
          <w:szCs w:val="28"/>
          <w:rtl w:val="true"/>
          <w:lang w:bidi="ar-SA"/>
        </w:rPr>
        <w:t xml:space="preserve">ولوازم الصور معلومة ، فإنّه إن كان المانع النجس الجامع بعنوان صِرف الوجود ، لو اضطرّ المكلّف إلى بعض النجاسات في صلاته ، لا يجب التطهير من سائر الأنواع ، ولا تقليل ما يضطرّ إليها ، بخلاف ما لو كان بالوجود الساري ، فيجب عليه التطهير والتقليل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الحال بالنسبة إلى كلّ نوع لو قلنا بمانعيته مستقلاًّ ، أو بنحو جزء الموضوع ، فإن قلنا بمانعية كلّ نوع بنحو صِرف الوجود ، فإذا اضطرّ إلى ارتكاب نوع منها ، لا يجب تقليله ، لكن يجب تطهير سائر الأنواع غير المضطرّ إليها ، بخلاف ما إذا كان بنحو الوجود الساري ، فإنّه يجب عليه التقليل والتطهير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يكون الاعتبار في بعض الأنواع بنحو صِرف الوجود وفي بعضها بنحو الوجود الساري ، ولوازمه معلومة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بحسب مقام الثبوت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بحسب مقام الدلالة والإثبات ، فيمكن أن يستدلّ برواية خَيْران الخادم المتقدّمة</w:t>
      </w:r>
      <w:r>
        <w:rPr>
          <w:rStyle w:val="FootnoteAnchor"/>
          <w:rtl w:val="true"/>
        </w:rPr>
        <w:footnoteReference w:id="202"/>
      </w:r>
      <w:r>
        <w:rPr>
          <w:rFonts w:ascii="IRNazanin" w:hAnsi="IRNazanin" w:eastAsia="IRNazanin"/>
          <w:color w:val="111111"/>
          <w:sz w:val="28"/>
          <w:sz w:val="28"/>
          <w:szCs w:val="28"/>
          <w:rtl w:val="true"/>
          <w:lang w:bidi="fa-IR"/>
        </w:rPr>
        <w:t xml:space="preserve">على أنّ المانع هو النجاسة بعنوانها ؛ بأن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 فيه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 في الثوب الذي أصابه الخمر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يدلّ على أنّ تمام الموضوع لعدم جواز الصلاة ، هو الرجس من غير دخالة الخمر فيه ، </w:t>
      </w:r>
    </w:p>
    <w:p>
      <w:pPr>
        <w:pStyle w:val="BookText"/>
        <w:rPr/>
      </w:pPr>
      <w:r>
        <w:rPr>
          <w:rFonts w:ascii="IRNazanin" w:hAnsi="IRNazanin" w:eastAsia="IRNazanin"/>
          <w:color w:val="111111"/>
          <w:sz w:val="28"/>
          <w:sz w:val="28"/>
          <w:szCs w:val="28"/>
          <w:rtl w:val="true"/>
          <w:lang w:bidi="fa-IR"/>
        </w:rPr>
        <w:t xml:space="preserve">لا بنحو تمام الموضوع ، ولا جزئه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ومقتضى عموم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النجس بعنوانه مانع في جميع أنواع النجاسات ومع مانعية النجاسة التي هي صفة زائدة على الذات لازمة لها ، لا يكون المانع ذات العناوين ، وإلاّ نسبت المانعية إليها ؛ لأولوية الانتساب إلى الذات من الانتساب إلى الصفة الزائدة ، أو تعيّنه ، فالانتساب إلى الرجس بعنوانه الظاهر في أ نّه مانع ، دليل على أن لا مانعية لذوات العناوين ، ولا دخالة لها رأساً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وتدلّ عليه صحيحة عبداللّه بن سِنان ، عن أبي عبداللّه علیه السلام في الثوب الذي يستعيره الذمّي ، وفيها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بأس أن تصلّي فيه حتّى تستيقن أ نّه نجّسه</w:t>
      </w:r>
      <w:r>
        <w:rPr>
          <w:rFonts w:eastAsia="IRNazanin" w:cs="IRNazanin"/>
          <w:color w:val="111111"/>
          <w:sz w:val="28"/>
          <w:szCs w:val="28"/>
          <w:rtl w:val="true"/>
          <w:lang w:bidi="fa-IR"/>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ويدلّ عليه أيضاً بعض ما ورد فيما لا تتمّ الصلاة فيه</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يمكن الاستدلال برواية خَيْران الخادم على أنّ المانع هو الطبيعة السارية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النهي إذا تعلّق بطبيعة ، يكون ظاهره الزجر عن تلك الطبيعة ، ولازمه العرفي مبغوضيتها بأيّ وجود تحقّقت به ، بخلاف الأمر كما حقّق في محلّه</w:t>
      </w:r>
      <w:r>
        <w:rPr>
          <w:rStyle w:val="FootnoteAnchor"/>
          <w:rtl w:val="true"/>
        </w:rPr>
        <w:footnoteReference w:id="2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الأوامر والنواهي النفسيتين </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الحال في الإرشاديتين مثل المقام ، فإنّ النهي عن الصلاة في النجس وإن كان إرشاداً إلى مانعيته ، لكن ليس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مستعمل في عنوان المانع ؛ بحيث يكون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 في النجس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النجس مانع ؛ حتّى يتوهّم </w:t>
      </w:r>
    </w:p>
    <w:p>
      <w:pPr>
        <w:pStyle w:val="BookText"/>
        <w:rPr/>
      </w:pPr>
      <w:r>
        <w:rPr>
          <w:rFonts w:ascii="Amiri" w:hAnsi="Amiri" w:eastAsia="Amiri" w:cs="Amiri"/>
          <w:color w:val="111111"/>
          <w:sz w:val="28"/>
          <w:sz w:val="28"/>
          <w:szCs w:val="28"/>
          <w:rtl w:val="true"/>
          <w:lang w:bidi="ar-SA"/>
        </w:rPr>
        <w:t xml:space="preserve">ظهوره في صِرف الوجود ، على تأمّل فيه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هو مستعمل في معناه الموضوع له ؛ أي الزجر عن الصلاة في النجس ، لكن المتفاهم العرفي من الزجر الكذائي هو أ نّه لمانعية النجس ، لا للمبغوضية النفسية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ريب في أنّ الزجر عن الصلاة في النجس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كالزجر عن شرب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لازمه الزجر عن الطبيعة بأيّ وجود وجدت ، ولازمه مانعيتها لجميع أنحاء تحقّقها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وتدلّ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أبي يزيد القسمي ، عن أبي الحسن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 سأله عن جلود الدارِش التي يتّخذ منها الخفاف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 فيها ؛ فإنّها تدبغ بخرء الكلاب</w:t>
      </w:r>
      <w:r>
        <w:rPr>
          <w:rFonts w:eastAsia="IRNazanin" w:cs="IRNazanin"/>
          <w:color w:val="111111"/>
          <w:sz w:val="28"/>
          <w:szCs w:val="28"/>
          <w:rtl w:val="true"/>
          <w:lang w:bidi="fa-IR"/>
        </w:rPr>
        <w:t>»</w:t>
      </w:r>
      <w:r>
        <w:rPr>
          <w:rStyle w:val="FootnoteAnchor"/>
          <w:rtl w:val="true"/>
        </w:rPr>
        <w:footnoteReference w:id="206"/>
      </w:r>
      <w:r>
        <w:rPr>
          <w:rFonts w:ascii="Amiri" w:hAnsi="Amiri" w:eastAsia="Amiri" w:cs="Amiri"/>
          <w:color w:val="111111"/>
          <w:sz w:val="28"/>
          <w:sz w:val="28"/>
          <w:szCs w:val="28"/>
          <w:rtl w:val="true"/>
          <w:lang w:bidi="ar-SA"/>
        </w:rPr>
        <w:t xml:space="preserve">ويتمّ المطلوب بعدم الفصل جزماً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المتفاهم من التعليل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بضميمة الارتكاز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خرء</w:t>
      </w:r>
    </w:p>
    <w:p>
      <w:pPr>
        <w:pStyle w:val="BookText"/>
        <w:rPr/>
      </w:pPr>
      <w:r>
        <w:rPr>
          <w:rFonts w:ascii="Amiri" w:hAnsi="Amiri" w:eastAsia="Amiri" w:cs="Amiri"/>
          <w:color w:val="111111"/>
          <w:sz w:val="28"/>
          <w:sz w:val="28"/>
          <w:szCs w:val="28"/>
          <w:rtl w:val="true"/>
          <w:lang w:bidi="ar-SA"/>
        </w:rPr>
        <w:t xml:space="preserve">الكلاب لنجاسته منهيّ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ينبغي الشكّ فيه بعد دلالة الأدلّة المتقدّمة على</w:t>
      </w:r>
    </w:p>
    <w:p>
      <w:pPr>
        <w:pStyle w:val="BookText"/>
        <w:rPr/>
      </w:pPr>
      <w:r>
        <w:rPr>
          <w:rFonts w:ascii="Amiri" w:hAnsi="Amiri" w:eastAsia="Amiri" w:cs="Amiri"/>
          <w:color w:val="111111"/>
          <w:sz w:val="28"/>
          <w:sz w:val="28"/>
          <w:szCs w:val="28"/>
          <w:rtl w:val="true"/>
          <w:lang w:bidi="ar-SA"/>
        </w:rPr>
        <w:t xml:space="preserve">أنّ المانع هو القذارة ، لا العناوين الذاتية ، فيصيرمفادها كرواية خَيْران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 يعلم الوجه في دلالة موثّقة عمّار ، عن أبي عبداللّه علیه السلام وفيها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 في ثوب قد أصابه خمر أو مسكر حتّى يغسل</w:t>
      </w:r>
      <w:r>
        <w:rPr>
          <w:rFonts w:eastAsia="IRNazanin" w:cs="IRNazanin"/>
          <w:color w:val="111111"/>
          <w:sz w:val="28"/>
          <w:szCs w:val="28"/>
          <w:rtl w:val="true"/>
          <w:lang w:bidi="fa-IR"/>
        </w:rPr>
        <w:t>»</w:t>
      </w:r>
      <w:r>
        <w:rPr>
          <w:rStyle w:val="FootnoteAnchor"/>
          <w:rtl w:val="true"/>
        </w:rPr>
        <w:footnoteReference w:id="207"/>
      </w:r>
      <w:r>
        <w:rPr>
          <w:rFonts w:ascii="Amiri" w:hAnsi="Amiri" w:eastAsia="Amiri" w:cs="Amiri"/>
          <w:color w:val="111111"/>
          <w:sz w:val="28"/>
          <w:sz w:val="28"/>
          <w:szCs w:val="28"/>
          <w:rtl w:val="true"/>
          <w:lang w:bidi="ar-SA"/>
        </w:rPr>
        <w:t xml:space="preserve">بالتقريب المتقدّم ، سيّما مع إشعار به في نفسها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غاية ما يمكن أن يقال في تقريب مانعية الطبيعة السارية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مع ذلك لا تخلو من إشكال بل منع ؛ لأنّ الظاهر من تلك الروايات تعلّق النهي بطبيعة الصلاة ؛ بمعنى أنّ المنهيّ عنه هو الصلاة في النجس ، أو ثوب أصابه الخمر ، ولازمه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بالتقريب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عن جميع مصاديق الصلاة في النجس ، لا في جميع مصاديق النجس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فمعنى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 في وبر ما لا يؤكل</w:t>
      </w:r>
      <w:r>
        <w:rPr>
          <w:rFonts w:eastAsia="IRNazanin" w:cs="IRNazanin"/>
          <w:color w:val="111111"/>
          <w:sz w:val="28"/>
          <w:szCs w:val="28"/>
          <w:rtl w:val="true"/>
          <w:lang w:bidi="fa-IR"/>
        </w:rPr>
        <w:t>»</w:t>
      </w:r>
      <w:r>
        <w:rPr>
          <w:rStyle w:val="FootnoteAnchor"/>
          <w:rtl w:val="true"/>
        </w:rPr>
        <w:footnoteReference w:id="2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الانحلال، أو على التقريب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النهي عن إيجاد المكلّف الصلاة مطلقاً وبأيّ مصداق منها في وبر ما لا يؤكل ، لا عدم التلبّس بأيّ مصداق من الوبر ؛ ضرورة أنّ ما يقال في الانحلال</w:t>
      </w:r>
      <w:r>
        <w:rPr>
          <w:rStyle w:val="FootnoteAnchor"/>
          <w:rtl w:val="true"/>
        </w:rPr>
        <w:footnoteReference w:id="209"/>
      </w:r>
      <w:r>
        <w:rPr>
          <w:rFonts w:ascii="Amiri" w:hAnsi="Amiri" w:eastAsia="Amiri" w:cs="Amiri"/>
          <w:color w:val="111111"/>
          <w:sz w:val="28"/>
          <w:sz w:val="28"/>
          <w:szCs w:val="28"/>
          <w:rtl w:val="true"/>
          <w:lang w:bidi="ar-SA"/>
        </w:rPr>
        <w:t>أو ما قلنا في لازم النهي</w:t>
      </w:r>
      <w:r>
        <w:rPr>
          <w:rStyle w:val="FootnoteAnchor"/>
          <w:rtl w:val="true"/>
        </w:rPr>
        <w:footnoteReference w:id="210"/>
      </w:r>
      <w:r>
        <w:rPr>
          <w:rFonts w:ascii="Amiri" w:hAnsi="Amiri" w:eastAsia="Amiri" w:cs="Amiri"/>
          <w:color w:val="111111"/>
          <w:sz w:val="28"/>
          <w:sz w:val="28"/>
          <w:szCs w:val="28"/>
          <w:rtl w:val="true"/>
          <w:lang w:bidi="ar-SA"/>
        </w:rPr>
        <w:t xml:space="preserve">، إنّما هو في الطبيعة التي جعلت تلو النهي ، وصارت منهيّاً عنها ، وهي الصلاة في الوبر على أن يكون ظرفاً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المتفاهم من الروايات مانعية النجس عن كلّ صلاة ، لا مانعية كلّ مصداق منه عن الصلاة </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الفرق بين النواهي النفسية والإرشادية ؛ فإنّ وقوع جميع مصاديق الطبيعة في الاُولى على صفة المبغوضية الفعلية ، لا مانع منه ، بخلاف الثانية ؛ لعدم إمكان اتّصاف المصداق الثاني بالمانعية الفعلية مع اتّصاف المصداق المتقدّم بها ، فلا بدّ من الالتزام بالمانعية الشأنية أو التقديرية ، وهو خلاف ظاهر الأدلّة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يرد النقض بالموانع الاُخر من غير سنخ النجاسة ؛ لأنّ الأدلّة في كلّ نوع غير ناظرة إلى حال الأدلّة الاُخرى ، فضلاً عن حال تقدّم بعض المصاديق وتأخّرها ، وهذا بخلاف الدليل الواحد الظاهر في النهي الفعلي عن الصلاة في النجس الظاهر في فعلية المانعية، وهي تناسب مانعية صِرف الوجود، ولهذا يمكن دعوى ظهور الأدلّة في مانعية صِرف الوجود من النجس لطبيعة الصلاة السارية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نوقش في هذا الأخير ، فلا أقلّ من عدم دلالة الروايات على مانعية الوجود الساري بما 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لرواية أبي يزيد القسمي نوع إشعار به لا يبلغ حدّ الظهور والدلالة ، مع</w:t>
      </w:r>
    </w:p>
    <w:p>
      <w:pPr>
        <w:pStyle w:val="BookText"/>
        <w:rPr/>
      </w:pPr>
      <w:r>
        <w:rPr>
          <w:rFonts w:ascii="Amiri" w:hAnsi="Amiri" w:eastAsia="Amiri" w:cs="Amiri"/>
          <w:color w:val="111111"/>
          <w:sz w:val="28"/>
          <w:sz w:val="28"/>
          <w:szCs w:val="28"/>
          <w:rtl w:val="true"/>
          <w:lang w:bidi="ar-SA"/>
        </w:rPr>
        <w:t xml:space="preserve">ضعف سندها جدّاً </w:t>
      </w:r>
      <w:r>
        <w:rPr>
          <w:rStyle w:val="FootnoteAnchor"/>
          <w:rtl w:val="true"/>
        </w:rPr>
        <w:footnoteReference w:id="211"/>
      </w:r>
      <w:r>
        <w:rPr>
          <w:rFonts w:ascii="Amiri" w:hAnsi="Amiri" w:eastAsia="Amiri" w:cs="Amiri"/>
          <w:color w:val="111111"/>
          <w:sz w:val="28"/>
          <w:sz w:val="28"/>
          <w:szCs w:val="28"/>
          <w:rtl w:val="true"/>
          <w:lang w:bidi="ar-SA"/>
        </w:rPr>
        <w:t>، كالإشعار في صحيحة علي بن جعفر الواردة في الثُؤْلول</w:t>
      </w:r>
    </w:p>
    <w:p>
      <w:pPr>
        <w:pStyle w:val="BookText"/>
        <w:rPr/>
      </w:pPr>
      <w:r>
        <w:rPr>
          <w:rFonts w:ascii="IRNazanin" w:hAnsi="IRNazanin" w:eastAsia="IRNazanin"/>
          <w:color w:val="111111"/>
          <w:sz w:val="28"/>
          <w:sz w:val="28"/>
          <w:szCs w:val="28"/>
          <w:rtl w:val="true"/>
          <w:lang w:bidi="fa-IR"/>
        </w:rPr>
        <w:t>والجرح</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صحيحة الحلبي</w:t>
      </w:r>
      <w:r>
        <w:rPr>
          <w:rStyle w:val="FootnoteAnchor"/>
          <w:rtl w:val="true"/>
        </w:rPr>
        <w:footnoteReference w:id="213"/>
      </w:r>
      <w:r>
        <w:rPr>
          <w:rFonts w:ascii="Amiri" w:hAnsi="Amiri" w:eastAsia="Amiri" w:cs="Amiri"/>
          <w:color w:val="111111"/>
          <w:sz w:val="28"/>
          <w:sz w:val="28"/>
          <w:szCs w:val="28"/>
          <w:rtl w:val="true"/>
          <w:lang w:bidi="ar-SA"/>
        </w:rPr>
        <w:t>وموثّقة ابن سِنان</w:t>
      </w:r>
      <w:r>
        <w:rPr>
          <w:rStyle w:val="FootnoteAnchor"/>
          <w:rtl w:val="true"/>
        </w:rPr>
        <w:footnoteReference w:id="214"/>
      </w:r>
      <w:r>
        <w:rPr>
          <w:rFonts w:ascii="Amiri" w:hAnsi="Amiri" w:eastAsia="Amiri" w:cs="Amiri"/>
          <w:color w:val="111111"/>
          <w:sz w:val="28"/>
          <w:sz w:val="28"/>
          <w:szCs w:val="28"/>
          <w:rtl w:val="true"/>
          <w:lang w:bidi="ar-SA"/>
        </w:rPr>
        <w:t xml:space="preserve">الواردتان في كيفية غسل </w:t>
      </w:r>
    </w:p>
    <w:p>
      <w:pPr>
        <w:pStyle w:val="BookText"/>
        <w:rPr/>
      </w:pPr>
      <w:r>
        <w:rPr>
          <w:rFonts w:ascii="Amiri" w:hAnsi="Amiri" w:eastAsia="Amiri" w:cs="Amiri"/>
          <w:color w:val="111111"/>
          <w:sz w:val="28"/>
          <w:sz w:val="28"/>
          <w:szCs w:val="28"/>
          <w:rtl w:val="true"/>
          <w:lang w:bidi="ar-SA"/>
        </w:rPr>
        <w:t xml:space="preserve">الجرح فلا ينبغي توهّم الإشعار فيهما ، فضلاً عن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 نّهما غير واردتين في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الدليل على أنّ المانع هو الوجود الساري للنجاسة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يمكن الاستدلال بجملة من الروايات على عدم مانعيته ، مثل ما وردت في جواز الصلاة في الثوب النجس مع تعذّر الإزالة ، كصحيحة الحلبي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 السلام عن رجل أجنب في ثوبه ، وليس معه ثوب غيره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يصلّي فيه ، فإذا وجد الماء غسله</w:t>
      </w:r>
      <w:r>
        <w:rPr>
          <w:rFonts w:eastAsia="IRNazanin" w:cs="IRNazanin"/>
          <w:color w:val="111111"/>
          <w:sz w:val="28"/>
          <w:szCs w:val="28"/>
          <w:rtl w:val="true"/>
          <w:lang w:bidi="fa-IR"/>
        </w:rPr>
        <w:t>»</w:t>
      </w:r>
      <w:r>
        <w:rPr>
          <w:rStyle w:val="FootnoteAnchor"/>
          <w:rtl w:val="true"/>
        </w:rPr>
        <w:footnoteReference w:id="2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صحيحة عبدالرحمان بن أبي عبداللّه‌</w:t>
      </w:r>
      <w:r>
        <w:rPr>
          <w:rStyle w:val="FootnoteAnchor"/>
          <w:rtl w:val="true"/>
        </w:rPr>
        <w:footnoteReference w:id="216"/>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وكصحيحة علي بن جعفر، عن أخيه موسى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عريان، وحضرت الصلاة ، فأصاب ثوباً نصفه دم أو كلّه دم ، يصلّي فيه ، أو يصلّي عرياناً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وجد ماءً غسله ، وإن لم يجد ماءً صلّى فيه ، ولم يصلّ عرياناً</w:t>
      </w:r>
      <w:r>
        <w:rPr>
          <w:rFonts w:eastAsia="IRNazanin" w:cs="IRNazanin"/>
          <w:color w:val="111111"/>
          <w:sz w:val="28"/>
          <w:szCs w:val="28"/>
          <w:rtl w:val="true"/>
          <w:lang w:bidi="fa-IR"/>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عدم الأمر بفرك المنيّ والدم عن الثوب مع أنّ لهما عيناً قابلة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سيّما الثوب الذي كلّه أو نصفه 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على عدم لزوم فركهما وتقليلهما ، ولازمه كون المانع صِرف الوجود ، لا الساري منه </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وردت في المقام ؛ أي دم القرح والجرح ، كصحيحة أبي بصير قال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دخلت على أبي جعفر علیه السلام وهو يصلّي ، فقال قائدي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 ثوبه دماً ، فلمّا انصرف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قائدي أخبرني أنّ بثوبك دماً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بي دماميل ، ولست أغسل ثوبي حتّى تبرأ</w:t>
      </w:r>
      <w:r>
        <w:rPr>
          <w:rFonts w:eastAsia="IRNazanin" w:cs="IRNazanin"/>
          <w:color w:val="111111"/>
          <w:sz w:val="28"/>
          <w:szCs w:val="28"/>
          <w:rtl w:val="true"/>
          <w:lang w:bidi="fa-IR"/>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وموثّقة عبدالرحمان بن أبي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الجرح</w:t>
      </w:r>
    </w:p>
    <w:p>
      <w:pPr>
        <w:pStyle w:val="BookText"/>
        <w:rPr/>
      </w:pPr>
      <w:r>
        <w:rPr>
          <w:rFonts w:ascii="Amiri" w:hAnsi="Amiri" w:eastAsia="Amiri" w:cs="Amiri"/>
          <w:color w:val="111111"/>
          <w:sz w:val="28"/>
          <w:sz w:val="28"/>
          <w:szCs w:val="28"/>
          <w:rtl w:val="true"/>
          <w:lang w:bidi="ar-SA"/>
        </w:rPr>
        <w:t xml:space="preserve">يكون في مكان لا يقدر على ربطه ، فيسيل منه الدم والقيح فيصيب ثوبي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دعه ، فلا يضرّك أن لا تغسله</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وصحيحة ليث المرادي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يكون به الدماميل والقروح ، فجلده وثيابه مملوءة دماً وقيحاً ، وثيابه بمنزلة جلده ، فقال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يصلّي في ثيابه ولا يغسلها ، ولا شيء عليه</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ورواية سَماعة ، عن أبي عبداللّه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بالرجل جرح سائل فأصاب ثوبه من دمه ، فلا يغسله حتّى يبرأ وينقطع الدم</w:t>
      </w:r>
      <w:r>
        <w:rPr>
          <w:rFonts w:eastAsia="IRNazanin" w:cs="IRNazanin"/>
          <w:color w:val="111111"/>
          <w:sz w:val="28"/>
          <w:szCs w:val="28"/>
          <w:rtl w:val="true"/>
          <w:lang w:bidi="fa-IR"/>
        </w:rPr>
        <w:t>»</w:t>
      </w:r>
      <w:r>
        <w:rPr>
          <w:rStyle w:val="FootnoteAnchor"/>
          <w:rtl w:val="true"/>
        </w:rPr>
        <w:footnoteReference w:id="221"/>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غير ذلك </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أقرب الاحتمالات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 نّه بعد الابتلاء بالدم زائداً على المقدار المعفوّ عنه وحرجية غسل الدماميل نوعاً أو شخصاً ، لا يكون الدم في </w:t>
      </w:r>
    </w:p>
    <w:p>
      <w:pPr>
        <w:pStyle w:val="BookText"/>
        <w:rPr/>
      </w:pPr>
      <w:r>
        <w:rPr>
          <w:rFonts w:ascii="Amiri" w:hAnsi="Amiri" w:eastAsia="Amiri" w:cs="Amiri"/>
          <w:color w:val="111111"/>
          <w:sz w:val="28"/>
          <w:sz w:val="28"/>
          <w:szCs w:val="28"/>
          <w:rtl w:val="true"/>
          <w:lang w:bidi="ar-SA"/>
        </w:rPr>
        <w:t xml:space="preserve">الثوب والبدن مانعاً عن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احتمال حرجية غسل الثوب نوعاً أو شخصاً فواضح البطلان ، سيّما إلى أن يبرأ القرح والجرح ؛ ضرورة أنّ البرء والاندمال تدريجي التحقّق ، وقبله يوماً أو أزيد لا يكون الدم سائلاً ، ولا تعويض الثوب أو غسله حرجياً ؛ لا نوعاً ولا شخصاً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فعدم لزوم الغسل والتعويض إلى زمان البرء ، إمّا للعفو عن المانع بعد فرض مانعية الطبيعة السارية ، أو لعدم مانعية الزائد عن صِرف وجود الزائد عن مقدار الدرهم بعد الابتلاء به وحرجية غسله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والعفو مع فرض المانعية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جهة موجبة له ؛ من الحرج نوعاً أو شخصاً ، بل</w:t>
      </w:r>
    </w:p>
    <w:p>
      <w:pPr>
        <w:pStyle w:val="BookText"/>
        <w:rPr/>
      </w:pPr>
      <w:r>
        <w:rPr>
          <w:rFonts w:ascii="IRNazanin" w:hAnsi="IRNazanin" w:eastAsia="IRNazanin"/>
          <w:color w:val="111111"/>
          <w:sz w:val="28"/>
          <w:sz w:val="28"/>
          <w:szCs w:val="28"/>
          <w:rtl w:val="true"/>
          <w:lang w:bidi="fa-IR"/>
        </w:rPr>
        <w:t xml:space="preserve">مع سهولة التعويض ، كما هو كذلك نوعاً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بعيد في نفسه ، بل عن سوق الروايات ؛ فإنّ الظاهر من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يضرّك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لست أغسله حتّى تبرأ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يبعد أن يكون عدم اقتضائه للمانعية ، لا العفو عن المقتضي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إقامة الدليل على أنّ المانع صِرف الوجود ، غير لازمة ، وعدم الدليل على مانعية الطبيعة السارية كافٍ ؛ بعد جريان الأصل أو الاُصول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يمكن أن يستدلّ لمانعية الطبيعة السارية بموثّقة سَماعة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به الجرح والقرح ، فلا يستطيع أن يربطه ، ولا يغسل دمه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يصلّي ولا يغسل ثوبه كلّ يوم إلاّ مرّة واحدة ؛ فإنّه لا يستطيع أن يغسل ثوبه كلّ ساعة</w:t>
      </w:r>
      <w:r>
        <w:rPr>
          <w:rFonts w:eastAsia="Amiri" w:cs="Amiri" w:ascii="Amiri" w:hAnsi="Amiri"/>
          <w:color w:val="111111"/>
          <w:sz w:val="28"/>
          <w:szCs w:val="28"/>
          <w:rtl w:val="true"/>
          <w:lang w:bidi="ar-SA"/>
        </w:rPr>
        <w:t>»</w:t>
      </w:r>
      <w:r>
        <w:rPr>
          <w:rStyle w:val="FootnoteAnchor"/>
          <w:rtl w:val="true"/>
        </w:rPr>
        <w:footnoteReference w:id="222"/>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محمّد بن مسلم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مستطرفات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صاحب القرحة التي لا يستطيع صاحبها ربطها ولا حبس دمها يصلّي ، ولا يغسل ثوبه في اليوم أكثر من مرّة</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منهما لزوم غسل الثوب مرّة في اليوم ، ولولا مانعية الطبيعة السارية لما كان وجه للزومه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من تعليل الاُولى أنّ عدم لزوم الغسل زائداً على مرّة واحدة لعدم استطاعته ، وإلاّ فالمقتضي له محقّق ، وهو لا يتمّ إلاّ مع مانعية الوجود الساري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دلالتهما على ما ذكر فرع لزوم الغسل في اليوم مرّة واحدة ، ولا يمكن الالتزام به ؛ إمّا لإعراض الأصحاب عن ظاهرهما وعدم الإفتاء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لأنّ مقتضى الجمع بينهما وبين ما تقدّم حملهما على الاستحباب ؛ ضرورة عدم إمكان حمل صحيحة أبي بصير المتقدّمة</w:t>
      </w:r>
      <w:r>
        <w:rPr>
          <w:rStyle w:val="FootnoteAnchor"/>
          <w:rtl w:val="true"/>
        </w:rPr>
        <w:footnoteReference w:id="224"/>
      </w:r>
      <w:r>
        <w:rPr>
          <w:rFonts w:ascii="IRNazanin" w:hAnsi="IRNazanin" w:eastAsia="IRNazanin"/>
          <w:color w:val="111111"/>
          <w:sz w:val="28"/>
          <w:sz w:val="28"/>
          <w:szCs w:val="28"/>
          <w:rtl w:val="true"/>
          <w:lang w:bidi="fa-IR"/>
        </w:rPr>
        <w:t>على غسل أبي جعفر علیه السلام ثوبَه</w:t>
      </w:r>
    </w:p>
    <w:p>
      <w:pPr>
        <w:pStyle w:val="BookText"/>
        <w:rPr/>
      </w:pPr>
      <w:r>
        <w:rPr>
          <w:rFonts w:ascii="Amiri" w:hAnsi="Amiri" w:eastAsia="Amiri" w:cs="Amiri"/>
          <w:color w:val="111111"/>
          <w:sz w:val="28"/>
          <w:sz w:val="28"/>
          <w:szCs w:val="28"/>
          <w:rtl w:val="true"/>
          <w:lang w:bidi="ar-SA"/>
        </w:rPr>
        <w:t xml:space="preserve">كلّ يوم مرّة ؛ فإنّها ليست من قبيل المطلق القابل للتقييد ، بل هو إخبار منه عن عدم غسله إلى زمان البرء ، فاللازم حملهما على الاستحباب ، فيكون التعليل لأمر استحبابي لا لزومي ، فدلّت الاُولى على أ نّه لو كان مستطيعاً لكان الراجح عليه الغسل لا اللازم ، وهو لا يتمّ إلاّ بما ذكرناه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لازم ما ذكرناه أمر لا يمكن الالتزام به ؛ لمخالفته لارتكاز المتشرّعة ، بل من البعيد التزام أحد من الأصحاب به ؛ وهو عدم مانعية سائر النجاسات عن الصلاة بعد ابتلاء المكلّف بواحدة منها ، فيقال 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البول </w:t>
      </w:r>
    </w:p>
    <w:p>
      <w:pPr>
        <w:pStyle w:val="BookText"/>
        <w:rPr/>
      </w:pPr>
      <w:r>
        <w:rPr>
          <w:rFonts w:ascii="Amiri" w:hAnsi="Amiri" w:eastAsia="Amiri" w:cs="Amiri"/>
          <w:color w:val="111111"/>
          <w:sz w:val="28"/>
          <w:sz w:val="28"/>
          <w:szCs w:val="28"/>
          <w:rtl w:val="true"/>
          <w:lang w:bidi="ar-SA"/>
        </w:rPr>
        <w:t>والمنيّ وغيرهما مانعة ، ويجوز للمكلّف الصلاة مع التلوّث بها عمداً ، والالتزام به في النوع غير المبتلى به غير ممكن ، وأمّا في المبتلى به فليس بذلك البعد ، كما هو مورد الروايات المتقدّمة في الدم والمنيّ</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التزم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بعضهم مدّعياً عليه الإجماع ؛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الإحكام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ترشرش عليه من دمِ غيره فلا عفو</w:t>
      </w:r>
      <w:r>
        <w:rPr>
          <w:rStyle w:val="FootnoteAnchor"/>
          <w:rtl w:val="true"/>
        </w:rPr>
        <w:footnoteReference w:id="226"/>
      </w:r>
      <w:r>
        <w:rPr>
          <w:rFonts w:ascii="Amiri" w:hAnsi="Amiri" w:eastAsia="Amiri" w:cs="Amiri"/>
          <w:color w:val="111111"/>
          <w:sz w:val="28"/>
          <w:sz w:val="28"/>
          <w:szCs w:val="28"/>
          <w:rtl w:val="true"/>
          <w:lang w:bidi="ar-SA"/>
        </w:rPr>
        <w:t xml:space="preserve">، ونقله الاُستاذ الآقا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أيّده اللّه تعالى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بعض من قرب زمانه ، وردّه بالإجماع على عدم الفرق بين الدمين ، وبمطلقات أخبار العفو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وإليه أشار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نقص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سائر الحيوان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 ثبوت العفو إن أصاب الدم ماءً ، فأصاب الماء الثوب</w:t>
      </w:r>
      <w:r>
        <w:rPr>
          <w:rStyle w:val="FootnoteAnchor"/>
          <w:rtl w:val="true"/>
        </w:rPr>
        <w:footnoteReference w:id="227"/>
      </w:r>
      <w:r>
        <w:rPr>
          <w:rFonts w:ascii="Amiri" w:hAnsi="Amiri" w:eastAsia="Amiri" w:cs="Amiri"/>
          <w:color w:val="111111"/>
          <w:sz w:val="28"/>
          <w:sz w:val="28"/>
          <w:szCs w:val="28"/>
          <w:rtl w:val="true"/>
          <w:lang w:bidi="ar-SA"/>
        </w:rPr>
        <w:t xml:space="preserve">،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تقويته</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الاُستاذ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الاتّفاق على عدم العفو إن أصاب الدم نجاسة خارجية</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 xml:space="preserve">. </w:t>
      </w:r>
      <w:bookmarkStart w:id="89" w:name="pg15030_143048"/>
    </w:p>
    <w:p>
      <w:pPr>
        <w:pStyle w:val="BookText"/>
        <w:rPr/>
      </w:pPr>
      <w:bookmarkEnd w:id="89"/>
      <w:r>
        <w:rPr>
          <w:rFonts w:ascii="Amiri" w:hAnsi="Amiri" w:eastAsia="Amiri" w:cs="Amiri"/>
          <w:color w:val="111111"/>
          <w:sz w:val="28"/>
          <w:sz w:val="28"/>
          <w:szCs w:val="28"/>
          <w:rtl w:val="true"/>
          <w:lang w:bidi="ar-SA"/>
        </w:rPr>
        <w:t xml:space="preserve">فالتفصيل بين النوع المبتلى به وغيره غير بعيد ؛ وإن كان الاحتياط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سيّما في بعض الفروع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المراعاة </w:t>
      </w:r>
      <w:r>
        <w:rPr>
          <w:rFonts w:eastAsia="Amiri" w:cs="Amiri" w:ascii="Amiri" w:hAnsi="Amiri"/>
          <w:color w:val="111111"/>
          <w:sz w:val="28"/>
          <w:szCs w:val="28"/>
          <w:rtl w:val="true"/>
          <w:lang w:bidi="ar-SA"/>
        </w:rPr>
        <w:t>.</w:t>
      </w:r>
    </w:p>
    <w:p>
      <w:pPr>
        <w:pStyle w:val="Heading4"/>
        <w:numPr>
          <w:ilvl w:val="3"/>
          <w:numId w:val="1"/>
        </w:numPr>
        <w:rPr/>
      </w:pPr>
      <w:bookmarkStart w:id="90" w:name="__RefHeading___Toc212680_2142443653"/>
      <w:bookmarkStart w:id="91" w:name="_Toc32"/>
      <w:bookmarkEnd w:id="90"/>
      <w:r>
        <w:rPr>
          <w:rtl w:val="true"/>
        </w:rPr>
        <w:t>المحتملات في العفو عن دم القروح والجروح</w:t>
      </w:r>
      <w:bookmarkEnd w:id="91"/>
    </w:p>
    <w:p>
      <w:pPr>
        <w:pStyle w:val="BookText"/>
        <w:rPr/>
      </w:pPr>
      <w:r>
        <w:rPr>
          <w:rFonts w:ascii="Amiri" w:hAnsi="Amiri" w:eastAsia="Amiri" w:cs="Amiri"/>
          <w:color w:val="111111"/>
          <w:sz w:val="28"/>
          <w:sz w:val="28"/>
          <w:szCs w:val="28"/>
          <w:rtl w:val="true"/>
          <w:lang w:bidi="ar-SA"/>
        </w:rPr>
        <w:t xml:space="preserve">إذا عرفت ذلك ، فالمحتملات في باب دم القرح والجرح كثيرة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ككون الحكم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نفس القروح والجروح وما يتلوّث بدمهما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دائراً مدار الحرج الشخصي ، فلا يكون في الباب تعبّد خاصّ ، ويكون ممّا قال فيه أبو عبداللّه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يعرف هذا وأشباهه من كتاب اللّه</w:t>
      </w:r>
      <w:r>
        <w:rPr>
          <w:rFonts w:eastAsia="IRNazanin" w:cs="IRNazanin"/>
          <w:color w:val="111111"/>
          <w:sz w:val="28"/>
          <w:szCs w:val="28"/>
          <w:rtl w:val="true"/>
          <w:lang w:bidi="fa-IR"/>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الحرج النوعي ، فيكون التعبّد في المقام لأجله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كون حكم نفس القرح والجرح دائراً مداره شخصاً أو نوعاً ، دون الثياب وما يتلوّث بالدم ، فلا يكون فيهما مانعاً كما تقدّم</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يكون معفوّاً عنه على فرض المانعية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كون حكم نفسهما العفو مع الاستمرار واللزوم أو مطلقاً مع فرض عدم المانعية في غيرهما أو العفو </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كون الحكم فيهما وما يتلوّث بدمهما مبنيّاً على العفو إمّا مطلقاً ، أو مع الاستمرار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والاستمرار أينما يعتبر يمكن أن يكون المراد منه الاستمرار الفعلي في جميع الأوقات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شأنيته ؛ أي تكون له مادّة قابلة لدفع الدم وجريانه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غير ذلك من الاحتمالات </w:t>
      </w:r>
      <w:r>
        <w:rPr>
          <w:rFonts w:eastAsia="Amiri" w:cs="Amiri" w:ascii="Amiri" w:hAnsi="Amiri"/>
          <w:color w:val="111111"/>
          <w:sz w:val="28"/>
          <w:szCs w:val="28"/>
          <w:rtl w:val="true"/>
          <w:lang w:bidi="ar-SA"/>
        </w:rPr>
        <w:t xml:space="preserve">. </w:t>
      </w:r>
      <w:bookmarkStart w:id="92" w:name="pg15030_143049"/>
    </w:p>
    <w:p>
      <w:pPr>
        <w:pStyle w:val="BookText"/>
        <w:rPr/>
      </w:pPr>
      <w:bookmarkEnd w:id="92"/>
      <w:r>
        <w:rPr>
          <w:rFonts w:ascii="Amiri" w:hAnsi="Amiri" w:eastAsia="Amiri" w:cs="Amiri"/>
          <w:color w:val="111111"/>
          <w:sz w:val="28"/>
          <w:sz w:val="28"/>
          <w:szCs w:val="28"/>
          <w:rtl w:val="true"/>
          <w:lang w:bidi="ar-SA"/>
        </w:rPr>
        <w:t xml:space="preserve">ثمّ إنّ بعضَها مقطوع الفساد بحسب مفاد الأدلّة ، كالاحتمالين الأوّلين ؛ ضرورة عدم حرجية غسل الثياب أو تبديلها إلى زمان البرء ؛ لا شخصاً ولا نوعاً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وبعضَها مبنيّ على عدم مانعية الدم بطبيعته السارية ، وقد مرّ الكلام فيه</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والأولى عطف الكلام على بعض الاحتمالات المعتدّ بها </w:t>
      </w:r>
      <w:r>
        <w:rPr>
          <w:rFonts w:eastAsia="Amiri" w:cs="Amiri" w:ascii="Amiri" w:hAnsi="Amiri"/>
          <w:color w:val="111111"/>
          <w:sz w:val="28"/>
          <w:szCs w:val="28"/>
          <w:rtl w:val="true"/>
          <w:lang w:bidi="ar-SA"/>
        </w:rPr>
        <w:t>:</w:t>
      </w:r>
    </w:p>
    <w:p>
      <w:pPr>
        <w:pStyle w:val="Heading4"/>
        <w:numPr>
          <w:ilvl w:val="3"/>
          <w:numId w:val="1"/>
        </w:numPr>
        <w:rPr/>
      </w:pPr>
      <w:bookmarkStart w:id="93" w:name="__RefHeading___Toc212682_2142443653"/>
      <w:bookmarkStart w:id="94" w:name="_Toc33"/>
      <w:bookmarkEnd w:id="93"/>
      <w:r>
        <w:rPr>
          <w:rtl w:val="true"/>
        </w:rPr>
        <w:t>في احتمال اختصاص العفو بصورة حرجية الغسل نوعاً</w:t>
      </w:r>
      <w:bookmarkEnd w:id="94"/>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موضوع العفو هل القرح والجرح إذا كان غسلهما حرجياً ؛ بمعنى أ نّه مع حرجية غسلهما يعمّ العفو الثيابَ وغيرها ممّا يتلوّث به عادة مطلقاً ؛ حرجياً كان غسلهما أو لا ؟</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مانعية الطبيعة السارية ، لا بدّ في رفع اليد عن دليل المانعية من دليل ، والظاهر قصور الأدلّة عن إفادة العفو عن مطلق دم القروح والجروح ، والمتيقّن منها ما يلزم منه الحرج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صحيحة أبي بصير ، عن أبي جعفر علیه السلام </w:t>
      </w:r>
      <w:r>
        <w:rPr>
          <w:rStyle w:val="FootnoteAnchor"/>
          <w:rtl w:val="true"/>
        </w:rPr>
        <w:footnoteReference w:id="233"/>
      </w:r>
      <w:r>
        <w:rPr>
          <w:rFonts w:ascii="IRNazanin" w:hAnsi="IRNazanin" w:eastAsia="IRNazanin"/>
          <w:color w:val="111111"/>
          <w:sz w:val="28"/>
          <w:sz w:val="28"/>
          <w:szCs w:val="28"/>
          <w:rtl w:val="true"/>
          <w:lang w:bidi="fa-IR"/>
        </w:rPr>
        <w:t xml:space="preserve">فمع كونها قضيّة شخصية ، ولم يتّضح أنّ دماميله علیه السلام على أيّة كيفية ، أنّ الظاهر أنّ الدماميل مع كثرتها يعسر عادة غسلها ، ويكون تطهيرها حرجياً ولو نوعاً ، سيّما في اليدين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لا يبعد أن يكون الدُمَّل غير مطلق الجراح عرفاً ، بل ما له مادّة معتدّ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يستفاد منها العفو عن مطلق القروح </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موثّقة سَماعة</w:t>
      </w:r>
      <w:r>
        <w:rPr>
          <w:rStyle w:val="FootnoteAnchor"/>
          <w:rtl w:val="true"/>
        </w:rPr>
        <w:footnoteReference w:id="234"/>
      </w:r>
      <w:r>
        <w:rPr>
          <w:rFonts w:ascii="Amiri" w:hAnsi="Amiri" w:eastAsia="Amiri" w:cs="Amiri"/>
          <w:color w:val="111111"/>
          <w:sz w:val="28"/>
          <w:sz w:val="28"/>
          <w:szCs w:val="28"/>
          <w:rtl w:val="true"/>
          <w:lang w:bidi="ar-SA"/>
        </w:rPr>
        <w:t xml:space="preserve">يكون عدم استطاعة الغسل مفروضاً ، والمراد منه غسل </w:t>
      </w:r>
    </w:p>
    <w:p>
      <w:pPr>
        <w:pStyle w:val="BookText"/>
        <w:rPr/>
      </w:pPr>
      <w:r>
        <w:rPr>
          <w:rFonts w:ascii="Amiri" w:hAnsi="Amiri" w:eastAsia="Amiri" w:cs="Amiri"/>
          <w:color w:val="111111"/>
          <w:sz w:val="28"/>
          <w:sz w:val="28"/>
          <w:szCs w:val="28"/>
          <w:rtl w:val="true"/>
          <w:lang w:bidi="ar-SA"/>
        </w:rPr>
        <w:t xml:space="preserve">نفس الجرح والقرح ، لا غسل الدم عن الثوب ، كما يظهر من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غسل جميع الدم الحاصل منهما باعتبار عدم إمكان غسلهما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موثّقة عبد الرحمان</w:t>
      </w:r>
      <w:r>
        <w:rPr>
          <w:rStyle w:val="FootnoteAnchor"/>
          <w:rtl w:val="true"/>
        </w:rPr>
        <w:footnoteReference w:id="235"/>
      </w:r>
      <w:r>
        <w:rPr>
          <w:rFonts w:ascii="Amiri" w:hAnsi="Amiri" w:eastAsia="Amiri" w:cs="Amiri"/>
          <w:color w:val="111111"/>
          <w:sz w:val="28"/>
          <w:sz w:val="28"/>
          <w:szCs w:val="28"/>
          <w:rtl w:val="true"/>
          <w:lang w:bidi="ar-SA"/>
        </w:rPr>
        <w:t xml:space="preserve">كان المفروض سيلان الدم والقيح ، وغسل مثله في معرض الضرر ، ويكون فيه الحرج ولو نوعاً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يقدر على ربطه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 على احتياجه إلى الربط ، ومثله يكون معتدّاً به ، وغسله حرجياً نوعاً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والمفروض في صحيحة محمّد بن مسلم</w:t>
      </w:r>
      <w:r>
        <w:rPr>
          <w:rStyle w:val="FootnoteAnchor"/>
          <w:rtl w:val="true"/>
        </w:rPr>
        <w:footnoteReference w:id="236"/>
      </w:r>
      <w:r>
        <w:rPr>
          <w:rFonts w:ascii="Amiri" w:hAnsi="Amiri" w:eastAsia="Amiri" w:cs="Amiri"/>
          <w:color w:val="111111"/>
          <w:sz w:val="28"/>
          <w:sz w:val="28"/>
          <w:szCs w:val="28"/>
          <w:rtl w:val="true"/>
          <w:lang w:bidi="ar-SA"/>
        </w:rPr>
        <w:t xml:space="preserve">أ نّها لا تزال تدمي ، وغسل مثلها حرجي بلا شبهة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مورد صحيحة ليث المرادي</w:t>
      </w:r>
      <w:r>
        <w:rPr>
          <w:rStyle w:val="FootnoteAnchor"/>
          <w:rtl w:val="true"/>
        </w:rPr>
        <w:footnoteReference w:id="2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جرح 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سَماعة</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ورواية عمّار</w:t>
      </w:r>
      <w:r>
        <w:rPr>
          <w:rStyle w:val="FootnoteAnchor"/>
          <w:rtl w:val="true"/>
        </w:rPr>
        <w:footnoteReference w:id="239"/>
      </w:r>
      <w:r>
        <w:rPr>
          <w:rFonts w:ascii="Amiri" w:hAnsi="Amiri" w:eastAsia="Amiri" w:cs="Amiri"/>
          <w:color w:val="111111"/>
          <w:sz w:val="28"/>
          <w:sz w:val="28"/>
          <w:szCs w:val="28"/>
          <w:rtl w:val="true"/>
          <w:lang w:bidi="ar-SA"/>
        </w:rPr>
        <w:t xml:space="preserve">مع ضعفها بعلي بن خالد ، ظاهرة فيما يكون معتدّاً به ؛ فإنّ </w:t>
      </w:r>
      <w:bookmarkStart w:id="95" w:name="pg15030_143051"/>
    </w:p>
    <w:p>
      <w:pPr>
        <w:pStyle w:val="BookText"/>
        <w:rPr/>
      </w:pPr>
      <w:bookmarkEnd w:id="9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الانفجار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يصدق إلاّ مع مادّة كثيرة معتدّ بها ، فيكون غسله حرجياً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الحرج النوعي في غسل نفس الجرح والقرح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بمعنى دوران الحكم مدار الحرج حتّى يلزم منه وجوب الغسل عند قرب الاندمال ؛ لعدم الحرج فيه نوعاً ، بل بمعنى أنّ المعتبر كونهما على وجه يكون غسلهما ولو في زمان طغيانهما حرجياً ، فحينئذٍ يكون الدم مطلقاً معفوّاً عنه ولو في زمان لا يكون الغسل حرجياً ، والثوب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مستلزم للعفو عن مطلق الجرح والقرح ؛ لعدم الفرق بين ما هو قريب بالاندمال وما هو في رتبته ، مدفوع بكونه قياساً ممنوعاً </w:t>
      </w:r>
      <w:r>
        <w:rPr>
          <w:rFonts w:eastAsia="Amiri" w:cs="Amiri" w:ascii="Amiri" w:hAnsi="Amiri"/>
          <w:color w:val="111111"/>
          <w:sz w:val="28"/>
          <w:szCs w:val="28"/>
          <w:rtl w:val="true"/>
          <w:lang w:bidi="ar-SA"/>
        </w:rPr>
        <w:t>.</w:t>
      </w:r>
    </w:p>
    <w:p>
      <w:pPr>
        <w:pStyle w:val="Heading4"/>
        <w:numPr>
          <w:ilvl w:val="3"/>
          <w:numId w:val="1"/>
        </w:numPr>
        <w:rPr/>
      </w:pPr>
      <w:bookmarkStart w:id="96" w:name="__RefHeading___Toc212684_2142443653"/>
      <w:bookmarkStart w:id="97" w:name="_Toc34"/>
      <w:bookmarkEnd w:id="96"/>
      <w:r>
        <w:rPr>
          <w:rtl w:val="true"/>
        </w:rPr>
        <w:t>في احتمال اعتبار الاستمرار وتحديده</w:t>
      </w:r>
      <w:bookmarkEnd w:id="97"/>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الاستمرار هل هو معتبر أم لا ؟</w:t>
      </w:r>
    </w:p>
    <w:p>
      <w:pPr>
        <w:pStyle w:val="BookText"/>
        <w:rPr/>
      </w:pPr>
      <w:r>
        <w:rPr>
          <w:rFonts w:ascii="Amiri" w:hAnsi="Amiri" w:eastAsia="Amiri" w:cs="Amiri"/>
          <w:color w:val="111111"/>
          <w:sz w:val="28"/>
          <w:sz w:val="28"/>
          <w:szCs w:val="28"/>
          <w:rtl w:val="true"/>
          <w:lang w:bidi="ar-SA"/>
        </w:rPr>
        <w:t>لا شبهة في أنّ الاستمرار الفعلي وعدم الفتور في جميع الأوقات غير معتبر ، كما هو ظاهر النصوص ؛ فإنّ الظاهر من صحيحة أبي بصير</w:t>
      </w:r>
      <w:r>
        <w:rPr>
          <w:rStyle w:val="FootnoteAnchor"/>
          <w:rtl w:val="true"/>
        </w:rPr>
        <w:footnoteReference w:id="240"/>
      </w:r>
      <w:r>
        <w:rPr>
          <w:rFonts w:ascii="Amiri" w:hAnsi="Amiri" w:eastAsia="Amiri" w:cs="Amiri"/>
          <w:color w:val="111111"/>
          <w:sz w:val="28"/>
          <w:sz w:val="28"/>
          <w:szCs w:val="28"/>
          <w:rtl w:val="true"/>
          <w:lang w:bidi="ar-SA"/>
        </w:rPr>
        <w:t xml:space="preserve">، أنّ الغاية لعدم وجوب الغسل هي البرء ، ومعلوم أ نّه تدريجي الحصول ، وينقطع الدم وسيلانه قبله بيوم أو أيّام حسب اختلاف الدماميل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رواية سَماعة ، عن أبي عبداللّه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بالرجل جرح سائل فأصاب ثوبه من دمه ، فلا يغسله حتّى يبرأ وينقطع الدم</w:t>
      </w:r>
      <w:r>
        <w:rPr>
          <w:rFonts w:eastAsia="IRNazanin" w:cs="IRNazanin"/>
          <w:color w:val="111111"/>
          <w:sz w:val="28"/>
          <w:szCs w:val="28"/>
          <w:rtl w:val="true"/>
          <w:lang w:bidi="fa-IR"/>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فالظاهر أنّ البرء غاية لا الانقطاع ، وذكره جارٍ مجرى العادة ؛ لكونه لازم </w:t>
      </w:r>
    </w:p>
    <w:p>
      <w:pPr>
        <w:pStyle w:val="BookText"/>
        <w:rPr/>
      </w:pPr>
      <w:r>
        <w:rPr>
          <w:rFonts w:ascii="IRNazanin" w:hAnsi="IRNazanin" w:eastAsia="IRNazanin"/>
          <w:color w:val="111111"/>
          <w:sz w:val="28"/>
          <w:sz w:val="28"/>
          <w:szCs w:val="28"/>
          <w:rtl w:val="true"/>
          <w:lang w:bidi="fa-IR"/>
        </w:rPr>
        <w:t xml:space="preserve">البرء ، فلا يظهر منه القيدية وليس المراد بقوله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جرح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السيلان الفعلي في كلّ زمان ، بل المراد الذي له مادّة سائلة يسيل منه الدم دفعة بعد دفعة ، وإلاّ فليس في الجروح ما يكون دائم السيلان فعلاً إلى زمان البرء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مضافاً إلى عدم المفهوم للقيد ولا للشرطية ؛ لكونها محقّقة للموضوع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يراد من قوله في صحيحة ابن مسلم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تزال تدمي</w:t>
      </w:r>
      <w:r>
        <w:rPr>
          <w:rFonts w:eastAsia="Amiri" w:cs="Amiri" w:ascii="Amiri" w:hAnsi="Amiri"/>
          <w:color w:val="111111"/>
          <w:sz w:val="28"/>
          <w:szCs w:val="28"/>
          <w:rtl w:val="true"/>
          <w:lang w:bidi="ar-SA"/>
        </w:rPr>
        <w:t>»</w:t>
      </w:r>
      <w:r>
        <w:rPr>
          <w:rStyle w:val="FootnoteAnchor"/>
          <w:rtl w:val="true"/>
        </w:rPr>
        <w:footnoteReference w:id="242"/>
      </w:r>
      <w:r>
        <w:rPr>
          <w:rFonts w:ascii="IRNazanin" w:hAnsi="IRNazanin" w:eastAsia="IRNazanin"/>
          <w:color w:val="111111"/>
          <w:sz w:val="28"/>
          <w:sz w:val="28"/>
          <w:szCs w:val="28"/>
          <w:rtl w:val="true"/>
          <w:lang w:bidi="fa-IR"/>
        </w:rPr>
        <w:t xml:space="preserve">السيلان الدائمي الفعلي ؛ لما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 نّه في السؤال ، لا في كلامه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السيلان الفعلي ضعيف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المتيقّن من مورد الروايات كونهما داميتين ؛ بمعنى أن يكون لهما مادّة معتدّ بها يكون لها شأنية السريان والإدماء ، فتكون صاحبة الدم والمادّة ، فلا يشمل العفو مطلق الدماميل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تزال تدمي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إطلاق في الباب يشمل غير الداميات والسائلات بالمعنى المتقدّم ؛ أمّا صحيحة أبي بصير فواضح ؛ لكون القضيّة شخصية ، مع أنّ خروج الدماميل ملازم نوعاً لشأنية السيلان وكونها ذا مادّة قابلة له ، سيّما في الأبدان السمينة البدينة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w:t>
      </w:r>
    </w:p>
    <w:p>
      <w:pPr>
        <w:pStyle w:val="BookText"/>
        <w:rPr/>
      </w:pPr>
      <w:r>
        <w:rPr>
          <w:rFonts w:ascii="Amiri" w:hAnsi="Amiri" w:eastAsia="Amiri" w:cs="Amiri"/>
          <w:color w:val="111111"/>
          <w:sz w:val="28"/>
          <w:sz w:val="28"/>
          <w:szCs w:val="28"/>
          <w:rtl w:val="true"/>
          <w:lang w:bidi="ar-SA"/>
        </w:rPr>
        <w:t xml:space="preserve">موثّقة سَماعة ذلك ؛ لأنّ ما يحتاج إلى الربط ملازم لها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الحال في سائر الروايات حتّى رواية عمّار</w:t>
      </w:r>
      <w:r>
        <w:rPr>
          <w:rStyle w:val="FootnoteAnchor"/>
          <w:rtl w:val="true"/>
        </w:rPr>
        <w:footnoteReference w:id="243"/>
      </w: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الانفجار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إلاّ في ما له مادّة سائلة </w:t>
      </w:r>
      <w:r>
        <w:rPr>
          <w:rFonts w:eastAsia="Amiri" w:cs="Amiri" w:ascii="Amiri" w:hAnsi="Amiri"/>
          <w:color w:val="111111"/>
          <w:sz w:val="28"/>
          <w:szCs w:val="28"/>
          <w:rtl w:val="true"/>
          <w:lang w:bidi="ar-SA"/>
        </w:rPr>
        <w:t xml:space="preserve">. </w:t>
      </w:r>
      <w:bookmarkStart w:id="98" w:name="pg15030_143053"/>
    </w:p>
    <w:p>
      <w:pPr>
        <w:pStyle w:val="BookText"/>
        <w:rPr/>
      </w:pPr>
      <w:bookmarkEnd w:id="98"/>
      <w:r>
        <w:rPr>
          <w:rFonts w:ascii="Amiri" w:hAnsi="Amiri" w:eastAsia="Amiri" w:cs="Amiri"/>
          <w:color w:val="111111"/>
          <w:sz w:val="28"/>
          <w:sz w:val="28"/>
          <w:szCs w:val="28"/>
          <w:rtl w:val="true"/>
          <w:lang w:bidi="ar-SA"/>
        </w:rPr>
        <w:t>ثمّ إنّه بناءً على مانعية النجاسات بطبائعها السائلة ، لا يكون سائر النجاسات معفوّاً عنها إذا أصابت الدم المعفوّ عنه ؛ حتّى دم نفسه ، فضلاً عن دم غيره ، فضلاً</w:t>
      </w:r>
    </w:p>
    <w:p>
      <w:pPr>
        <w:pStyle w:val="BookText"/>
        <w:rPr/>
      </w:pPr>
      <w:r>
        <w:rPr>
          <w:rFonts w:ascii="IRNazanin" w:hAnsi="IRNazanin" w:eastAsia="IRNazanin"/>
          <w:color w:val="111111"/>
          <w:sz w:val="28"/>
          <w:sz w:val="28"/>
          <w:szCs w:val="28"/>
          <w:rtl w:val="true"/>
          <w:lang w:bidi="fa-IR"/>
        </w:rPr>
        <w:t xml:space="preserve">عن سائر النجاسات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الظاهر عدم العفو عن الماء الواصل لهذا الدم فتنجّس 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 الرطوبات الملازمة للقرح والجرح كالعرق والقيح وكذا الدواء الموضوع عليهما ، معفوّ عنها </w:t>
      </w:r>
      <w:r>
        <w:rPr>
          <w:rFonts w:eastAsia="Amiri" w:cs="Amiri" w:ascii="Amiri" w:hAnsi="Amiri"/>
          <w:color w:val="111111"/>
          <w:sz w:val="28"/>
          <w:szCs w:val="28"/>
          <w:rtl w:val="true"/>
          <w:lang w:bidi="ar-SA"/>
        </w:rPr>
        <w:t>.</w:t>
      </w:r>
    </w:p>
    <w:p>
      <w:pPr>
        <w:pStyle w:val="Heading4"/>
        <w:numPr>
          <w:ilvl w:val="3"/>
          <w:numId w:val="1"/>
        </w:numPr>
        <w:rPr/>
      </w:pPr>
      <w:bookmarkStart w:id="99" w:name="__RefHeading___Toc212686_2142443653"/>
      <w:bookmarkStart w:id="100" w:name="_Toc35"/>
      <w:bookmarkEnd w:id="99"/>
      <w:r>
        <w:rPr>
          <w:rtl w:val="true"/>
        </w:rPr>
        <w:t>حكم الدم المشكوك كونه من القروح</w:t>
      </w:r>
      <w:bookmarkEnd w:id="100"/>
    </w:p>
    <w:p>
      <w:pPr>
        <w:pStyle w:val="BookText"/>
        <w:rPr/>
      </w:pPr>
      <w:r>
        <w:rPr>
          <w:rFonts w:ascii="Amiri" w:hAnsi="Amiri" w:eastAsia="Amiri" w:cs="Amiri"/>
          <w:color w:val="111111"/>
          <w:sz w:val="28"/>
          <w:sz w:val="28"/>
          <w:szCs w:val="28"/>
          <w:rtl w:val="true"/>
          <w:lang w:bidi="ar-SA"/>
        </w:rPr>
        <w:t xml:space="preserve">ولو شكّ في دم أ نّه من القروح أو لا ، فالأحوط عدم العفو وإن كان العفو لا يخلو من وجه ؛ لأنّ المانع عن الصلاة ليس مطلق الدم ، بل الدم المسفوح ، وقد خرج منه ما سفح بالجرح والقرح ، فصار الموضوع بحسب الواقع واللبّ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 المسفوح لا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القضيّة المعدولة ،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 الذي لا يكون مسفوحاً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نعت القضيّة الموجبة السالبة المحمول ولا حالة سابقة لهما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واستصحاب العدم الأزلي لإثبات القضيّة على أحد النحوين مثبت ، كاستصحاب عدم خروجه منهما ، أو استصحاب كون هذا الدم غير خارج منهما ، أو لم يكن خارجاً منهما ؛ فإنّ هذه العناوين ليست موضوعة للحكم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الموضوع الدم المسفوح بالقيد المتقدّم ، وتلك الاستصحابات لا تثبته إلاّ</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الأصل المثبت ، والتفصيل موكول إلى محلّه</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 xml:space="preserve">. </w:t>
      </w:r>
      <w:bookmarkStart w:id="101" w:name="pg15030_143054"/>
    </w:p>
    <w:p>
      <w:pPr>
        <w:pStyle w:val="Heading4"/>
        <w:numPr>
          <w:ilvl w:val="3"/>
          <w:numId w:val="1"/>
        </w:numPr>
        <w:rPr/>
      </w:pPr>
      <w:bookmarkStart w:id="102" w:name="__RefHeading___Toc212688_2142443653"/>
      <w:bookmarkStart w:id="103" w:name="_Toc36"/>
      <w:bookmarkEnd w:id="101"/>
      <w:bookmarkEnd w:id="102"/>
      <w:r>
        <w:rPr>
          <w:rtl w:val="true"/>
        </w:rPr>
        <w:t>فصل في العفو عن الدم القليل</w:t>
      </w:r>
      <w:bookmarkEnd w:id="103"/>
    </w:p>
    <w:p>
      <w:pPr>
        <w:pStyle w:val="BookText"/>
        <w:rPr/>
      </w:pPr>
      <w:r>
        <w:rPr>
          <w:rFonts w:ascii="Amiri" w:hAnsi="Amiri" w:eastAsia="Amiri" w:cs="Amiri"/>
          <w:color w:val="111111"/>
          <w:sz w:val="28"/>
          <w:sz w:val="28"/>
          <w:szCs w:val="28"/>
          <w:rtl w:val="true"/>
          <w:lang w:bidi="ar-SA"/>
        </w:rPr>
        <w:t xml:space="preserve">وعفي عن قليل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ما استثني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في الثوب بلا إشكال ، وحكي عليه الإجماع مستفيضاً </w:t>
      </w:r>
      <w:r>
        <w:rPr>
          <w:rStyle w:val="FootnoteAnchor"/>
          <w:rtl w:val="true"/>
        </w:rPr>
        <w:footnoteReference w:id="2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العمدة في إطلاق الحكم ، وإلاّ فربّما يمكن</w:t>
      </w:r>
    </w:p>
    <w:p>
      <w:pPr>
        <w:pStyle w:val="BookText"/>
        <w:rPr/>
      </w:pPr>
      <w:r>
        <w:rPr>
          <w:rFonts w:ascii="Amiri" w:hAnsi="Amiri" w:eastAsia="Amiri" w:cs="Amiri"/>
          <w:color w:val="111111"/>
          <w:sz w:val="28"/>
          <w:sz w:val="28"/>
          <w:szCs w:val="28"/>
          <w:rtl w:val="true"/>
          <w:lang w:bidi="ar-SA"/>
        </w:rPr>
        <w:t xml:space="preserve">المناقشة في دلالة الروايات وإطلاقها بالنسبة إلى العالم العامد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صحيحة ابن أبي يعفور</w:t>
      </w:r>
      <w:r>
        <w:rPr>
          <w:rStyle w:val="FootnoteAnchor"/>
          <w:rtl w:val="true"/>
        </w:rPr>
        <w:footnoteReference w:id="246"/>
      </w:r>
      <w:r>
        <w:rPr>
          <w:rFonts w:ascii="Amiri" w:hAnsi="Amiri" w:eastAsia="Amiri" w:cs="Amiri"/>
          <w:color w:val="111111"/>
          <w:sz w:val="28"/>
          <w:sz w:val="28"/>
          <w:szCs w:val="28"/>
          <w:rtl w:val="true"/>
          <w:lang w:bidi="ar-SA"/>
        </w:rPr>
        <w:t xml:space="preserve">فموردها الناسي ، ودعوى فهم عدم المانعية مطلقاً بإلغاء الخصوصية ، ممنوعة بعد اختلاف الحكم في الناسي وغيره في موارد ، فمن الجائز اختصاص العفو به في الدم القليل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رواية إسماعيل الجُعْفي ، عن أبي جعفر علیه السلام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 في الدم يكون في الثوب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أقلّ من قدر الدرهم فلا يعيد الصلاة ، وإن كان أكثر من قدر الدرهم وكان رآه فلم يغسله حتّى صلّى فليعد صلاته ، وإن لم يكن رآه </w:t>
      </w:r>
    </w:p>
    <w:p>
      <w:pPr>
        <w:pStyle w:val="BookText"/>
        <w:rPr/>
      </w:pPr>
      <w:r>
        <w:rPr>
          <w:rFonts w:ascii="Amiri" w:hAnsi="Amiri" w:eastAsia="Amiri" w:cs="Amiri"/>
          <w:color w:val="111111"/>
          <w:sz w:val="28"/>
          <w:sz w:val="28"/>
          <w:szCs w:val="28"/>
          <w:rtl w:val="true"/>
          <w:lang w:bidi="ar-SA"/>
        </w:rPr>
        <w:t>حتّى صلّى فلا يعيد الصلاة</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فمع ضعفها سنداً </w:t>
      </w:r>
      <w:r>
        <w:rPr>
          <w:rStyle w:val="FootnoteAnchor"/>
          <w:rtl w:val="true"/>
        </w:rPr>
        <w:footnoteReference w:id="248"/>
      </w:r>
      <w:r>
        <w:rPr>
          <w:rFonts w:ascii="IRNazanin" w:hAnsi="IRNazanin" w:eastAsia="IRNazanin"/>
          <w:color w:val="111111"/>
          <w:sz w:val="28"/>
          <w:sz w:val="28"/>
          <w:szCs w:val="28"/>
          <w:rtl w:val="true"/>
          <w:lang w:bidi="fa-IR"/>
        </w:rPr>
        <w:t xml:space="preserve">، أنّ الظاهر أنّ مقول قول أبي جعفر علیه السلام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كان أقلّ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إلى آخره ، ولم يذكر الجُعْفي خصوصيات السؤال ، ويظهر من الجواب أنّ سؤاله كان فيمن صلّى مع الدم ، ولم يتّضح أ نّه كان مختصّاً بالناسي ، أو العامد ، أو الأعمّ ، ومجرّد عدم ذكره لا يدلّ على الأعمّ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واحتمال كون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الدم يكون في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أبي جعفر علیه السلام بعيد ، بل غير مناسب لابتداء الكلام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يمكن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كان أكثر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قرينة على أعمّية السؤال والجواب في الدم الأقلّ ، لكنّه محلّ إشكال وتأمّل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الظاهر من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وكان رآه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إلى آخره ، أنّ رؤيته السابقة صارت موجبة للإعادة ، وهو مخصوص بالناسي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دلالتِها على العفو مطلقاً تأمّل ، فتأمّل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كدلالةِ مرسلة جميل ، عن أبي جعفر وأبي عبداللّه علیهما السلام أ نّهما قالا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بأن يصلّي الرجل في الثوب وفيه الدم متفرّقاً شبه النضح ، وإن كان قد رآه صاحبه قبل ذلك فلا بأس به ما لم يكن مجتمعاً قدر الدرهم</w:t>
      </w:r>
      <w:r>
        <w:rPr>
          <w:rFonts w:eastAsia="IRNazanin" w:cs="IRNazanin"/>
          <w:color w:val="111111"/>
          <w:sz w:val="28"/>
          <w:szCs w:val="28"/>
          <w:rtl w:val="true"/>
          <w:lang w:bidi="fa-IR"/>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مع ضعف سندها بعلي بن 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ومجرّد أنّ الراوي عنه أحمد بن محمّد </w:t>
      </w:r>
    </w:p>
    <w:p>
      <w:pPr>
        <w:pStyle w:val="BookText"/>
        <w:rPr/>
      </w:pPr>
      <w:r>
        <w:rPr>
          <w:rFonts w:ascii="Amiri" w:hAnsi="Amiri" w:eastAsia="Amiri" w:cs="Amiri"/>
          <w:color w:val="111111"/>
          <w:sz w:val="28"/>
          <w:sz w:val="28"/>
          <w:szCs w:val="28"/>
          <w:rtl w:val="true"/>
          <w:lang w:bidi="ar-SA"/>
        </w:rPr>
        <w:t xml:space="preserve">ابن عيسى ، وهو كان يخرج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يروي عن الضعفاء ويعتمد المراسيل ، لا يوجب وثاقة الراوي</w:t>
      </w:r>
      <w:r>
        <w:rPr>
          <w:rStyle w:val="FootnoteAnchor"/>
          <w:rtl w:val="true"/>
        </w:rPr>
        <w:footnoteReference w:id="250"/>
      </w:r>
      <w:r>
        <w:rPr>
          <w:rFonts w:ascii="Amiri" w:hAnsi="Amiri" w:eastAsia="Amiri" w:cs="Amiri"/>
          <w:color w:val="111111"/>
          <w:sz w:val="28"/>
          <w:sz w:val="28"/>
          <w:szCs w:val="28"/>
          <w:rtl w:val="true"/>
          <w:lang w:bidi="ar-SA"/>
        </w:rPr>
        <w:t>وهو ظاهر ، ولا موثّقية الصدور</w:t>
      </w:r>
      <w:r>
        <w:rPr>
          <w:rStyle w:val="FootnoteAnchor"/>
          <w:rtl w:val="true"/>
        </w:rPr>
        <w:footnoteReference w:id="251"/>
      </w:r>
      <w:r>
        <w:rPr>
          <w:rFonts w:ascii="Amiri" w:hAnsi="Amiri" w:eastAsia="Amiri" w:cs="Amiri"/>
          <w:color w:val="111111"/>
          <w:sz w:val="28"/>
          <w:sz w:val="28"/>
          <w:szCs w:val="28"/>
          <w:rtl w:val="true"/>
          <w:lang w:bidi="ar-SA"/>
        </w:rPr>
        <w:t>؛ لاحتمال اتّكاله على أمر لم يكن عندنا معتمداً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كون المرسل جميلاً وهو من أصحاب الإجماع ، لا يوجب اعتبارها </w:t>
      </w:r>
      <w:r>
        <w:rPr>
          <w:rStyle w:val="FootnoteAnchor"/>
          <w:rtl w:val="true"/>
        </w:rPr>
        <w:footnoteReference w:id="252"/>
      </w:r>
      <w:r>
        <w:rPr>
          <w:rFonts w:ascii="Amiri" w:hAnsi="Amiri" w:eastAsia="Amiri" w:cs="Amiri"/>
          <w:color w:val="111111"/>
          <w:sz w:val="28"/>
          <w:sz w:val="28"/>
          <w:szCs w:val="28"/>
          <w:rtl w:val="true"/>
          <w:lang w:bidi="ar-SA"/>
        </w:rPr>
        <w:t>؛ لعدم دليل مقنع على ما ذكروا في أصحاب الإجماع ، وقد مرّ شطر من الكلام فيهم في باب العصير</w:t>
      </w:r>
      <w:r>
        <w:rPr>
          <w:rStyle w:val="FootnoteAnchor"/>
          <w:rtl w:val="true"/>
        </w:rPr>
        <w:footnoteReference w:id="2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يمكن المناقشة في دلالتها ؛ لاحتمال 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 كان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إلى آخره وصليةً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اُعيد للفصل الطويل بينه وبين سابقه ، وللتوطئة للقيد المذكور ؛ أي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لم يكن مجتمعاً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إلى آخره ، فيكون التالي للوصلية أخفى الأفراد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كان العفو مطلقاً حتّى بالنسبة إلى العامد ، كان حقّ العبارة غير ما ذكرت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فعلى الوصلية تدلّ الرواية على العفو بالنسبة إلى من رأى ، فنسيه وصلّى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قلنا بشرطية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الظاهر من الرواية عدمَ البأس بشبه النضح مطلقاً ، على تأمّل ، والتفصيلَ بين قدر الدرهم وأقلّه في غيره ، فلا يبعد أن يكون الظاهر حينئذٍ أيضاً بيان حال الناسي ؛ لظهور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رآه صاحبه قبل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أنّ المقتضي للإعادة رؤيته قبلاً ، وفي العامد يكون المقتضي العلم به فعلاً لا سابقاً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دلالة فيها على العفو مطلقاً ولو عن العامد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صحيحة محمّد بن مسلم ،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الدم يكون في الثوب عليّ وأنا في الصلاة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رأيته وعليك ثوب غيره فأطرحه وصلّ في غيره ، وإن لم يكن عليك ثوب غيره فامض في صلاتك ، ولا إعادة عليك ؛ ما لم يزد على مقدار الدرهم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كان أقلّ من ذلك فليس بشيء ؛ رأيته من قبلُ أو لم تره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كنت قد رأيته وهو أكثر من مقدار الدرهم فضيّعت غسله وصلّيت فيه صلاة كثيرة ، فأعد ما صلّيت فيه</w:t>
      </w:r>
      <w:r>
        <w:rPr>
          <w:rFonts w:eastAsia="IRNazanin" w:cs="IRNazanin"/>
          <w:color w:val="111111"/>
          <w:sz w:val="28"/>
          <w:szCs w:val="28"/>
          <w:rtl w:val="true"/>
          <w:lang w:bidi="fa-IR"/>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فالتفصيل فيها بين الثوب المنحصر وغيره ، وهو مسألة اُخرى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واحتمال أنّ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كان 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مستأنف ، لا من فروع الثوب المنحصر ، بعيد غايته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 نّه على فرضه يكون مخصوصاً بالناسي ؛ بمناسبة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رأيته من قبلُ أو لم 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بالتقريب المتقدّم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وما لم يزد على مقدار الدرهم من ذلك فليس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بزيادة الواو ، وحذف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أقلّ</w:t>
      </w:r>
      <w:r>
        <w:rPr>
          <w:rFonts w:eastAsia="Amiri" w:cs="Amiri" w:ascii="Amiri" w:hAnsi="Amiri"/>
          <w:color w:val="111111"/>
          <w:sz w:val="28"/>
          <w:szCs w:val="28"/>
          <w:rtl w:val="true"/>
          <w:lang w:bidi="ar-SA"/>
        </w:rPr>
        <w:t>»</w:t>
      </w:r>
      <w:r>
        <w:rPr>
          <w:rStyle w:val="FootnoteAnchor"/>
          <w:rtl w:val="true"/>
        </w:rPr>
        <w:footnoteReference w:id="255"/>
      </w: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حذفه بلا زيادة الواو</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 xml:space="preserve">النجاسات ، الباب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1621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نسخة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مقروءة على المحدّث المجلسي كتبت الواو في ذيل السطر ، مع علامة النسخة ، يظهر منها أنّ نسخة الأصل بلا واو ، وفي نسخة </w:t>
      </w:r>
    </w:p>
    <w:p>
      <w:pPr>
        <w:pStyle w:val="BookText"/>
        <w:rPr/>
      </w:pPr>
      <w:r>
        <w:rPr>
          <w:rFonts w:ascii="IRNazanin" w:hAnsi="IRNazanin" w:eastAsia="IRNazanin"/>
          <w:color w:val="111111"/>
          <w:sz w:val="28"/>
          <w:sz w:val="28"/>
          <w:szCs w:val="28"/>
          <w:rtl w:val="true"/>
          <w:lang w:bidi="fa-IR"/>
        </w:rPr>
        <w:t xml:space="preserve">زيادتها ، وليس فيها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فتكون العبارة كذلك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لم يزد على مقدار الدرهم من ذلك فليس بشيء ؛ رأيته أو لم تره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إلى آخره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فعلى نسخة زيادة الواو وسقوط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الرواية على مذهب المشهور من جهةٍ ؛ أي التفصيل بين القليل والكثير مطلقاً ، وجواز الصلاة مع قليله ولو عمداً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الاتّكال على هذه النسخة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مخالفتها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Style w:val="FootnoteAnchor"/>
          <w:rtl w:val="true"/>
        </w:rPr>
        <w:footnoteReference w:id="257"/>
      </w:r>
      <w:r>
        <w:rPr>
          <w:rFonts w:ascii="Amiri" w:hAnsi="Amiri" w:eastAsia="Amiri" w:cs="Amiri"/>
          <w:color w:val="111111"/>
          <w:sz w:val="28"/>
          <w:sz w:val="28"/>
          <w:szCs w:val="28"/>
          <w:rtl w:val="true"/>
          <w:lang w:bidi="ar-SA"/>
        </w:rPr>
        <w:t>بل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مشكل ، سيّما مع مخالفتها لمذهب المشهور من جهة اُخرى ، كما يأتي</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رواية أبي بصير ، عن أبي عبداللّه أو أبي جعفر علیهما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 الصلاة من دم لا تبصره غير دم الحيض ، فإنّ قليله وكثيره في الثوب إن رآه أو لم يره سواء</w:t>
      </w:r>
      <w:r>
        <w:rPr>
          <w:rFonts w:eastAsia="IRNazanin" w:cs="IRNazanin"/>
          <w:color w:val="111111"/>
          <w:sz w:val="28"/>
          <w:szCs w:val="28"/>
          <w:rtl w:val="true"/>
          <w:lang w:bidi="fa-IR"/>
        </w:rPr>
        <w:t>»</w:t>
      </w:r>
      <w:r>
        <w:rPr>
          <w:rStyle w:val="FootnoteAnchor"/>
          <w:rtl w:val="true"/>
        </w:rPr>
        <w:footnoteReference w:id="259"/>
      </w:r>
      <w:r>
        <w:rPr>
          <w:rFonts w:ascii="IRNazanin" w:hAnsi="IRNazanin" w:eastAsia="IRNazanin"/>
          <w:color w:val="111111"/>
          <w:sz w:val="28"/>
          <w:sz w:val="28"/>
          <w:szCs w:val="28"/>
          <w:rtl w:val="true"/>
          <w:lang w:bidi="fa-IR"/>
        </w:rPr>
        <w:t xml:space="preserve">فمع ضعف سندها </w:t>
      </w:r>
      <w:r>
        <w:rPr>
          <w:rStyle w:val="FootnoteAnchor"/>
          <w:rtl w:val="true"/>
        </w:rPr>
        <w:footnoteReference w:id="260"/>
      </w:r>
      <w:r>
        <w:rPr>
          <w:rFonts w:ascii="Amiri" w:hAnsi="Amiri" w:eastAsia="Amiri" w:cs="Amiri"/>
          <w:color w:val="111111"/>
          <w:sz w:val="28"/>
          <w:sz w:val="28"/>
          <w:szCs w:val="28"/>
          <w:rtl w:val="true"/>
          <w:lang w:bidi="ar-SA"/>
        </w:rPr>
        <w:t xml:space="preserve">، منصرفة عن العمد </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المناقشة في هذه المسألة المجمع عليها في غير محلّها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bookmarkStart w:id="104" w:name="pg15030_143059"/>
    </w:p>
    <w:p>
      <w:pPr>
        <w:pStyle w:val="BookText"/>
        <w:rPr/>
      </w:pPr>
      <w:bookmarkEnd w:id="104"/>
      <w:r>
        <w:rPr>
          <w:rFonts w:ascii="Amiri" w:hAnsi="Amiri" w:eastAsia="Amiri" w:cs="Amiri"/>
          <w:color w:val="111111"/>
          <w:sz w:val="28"/>
          <w:sz w:val="28"/>
          <w:szCs w:val="28"/>
          <w:rtl w:val="true"/>
          <w:lang w:bidi="ar-SA"/>
        </w:rPr>
        <w:t xml:space="preserve">الظاهر أنّ المناقشة في إطلاق بعض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كرواية الجُعْفي وبعض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مقتضى موثّقة داود بن سِرحان ، عن 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الرجل يصلّي ، فأبصر في ثوبه دماً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يتمّ</w:t>
      </w:r>
      <w:r>
        <w:rPr>
          <w:rFonts w:eastAsia="IRNazanin" w:cs="IRNazanin"/>
          <w:color w:val="111111"/>
          <w:sz w:val="28"/>
          <w:szCs w:val="28"/>
          <w:rtl w:val="true"/>
          <w:lang w:bidi="fa-IR"/>
        </w:rPr>
        <w:t>»</w:t>
      </w:r>
      <w:r>
        <w:rPr>
          <w:rStyle w:val="FootnoteAnchor"/>
          <w:rtl w:val="true"/>
        </w:rPr>
        <w:footnoteReference w:id="261"/>
      </w:r>
      <w:r>
        <w:rPr>
          <w:rFonts w:ascii="Amiri" w:hAnsi="Amiri" w:eastAsia="Amiri" w:cs="Amiri"/>
          <w:color w:val="111111"/>
          <w:sz w:val="28"/>
          <w:sz w:val="28"/>
          <w:szCs w:val="28"/>
          <w:rtl w:val="true"/>
          <w:lang w:bidi="ar-SA"/>
        </w:rPr>
        <w:t xml:space="preserve">صحّة الصلاة في الدم مطلقاً ، خرج منه الزائد على مقدار العفو إجماعاً ونصوصاً ، وبقي الباقي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التفصيل بين أثناء الصلاة وغيره ، فاسد مخالف للإجماع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الإشكال في المسألة من هذه الجهة </w:t>
      </w:r>
      <w:r>
        <w:rPr>
          <w:rFonts w:eastAsia="Amiri" w:cs="Amiri" w:ascii="Amiri" w:hAnsi="Amiri"/>
          <w:color w:val="111111"/>
          <w:sz w:val="28"/>
          <w:szCs w:val="28"/>
          <w:rtl w:val="true"/>
          <w:lang w:bidi="ar-SA"/>
        </w:rPr>
        <w:t>.</w:t>
      </w:r>
    </w:p>
    <w:p>
      <w:pPr>
        <w:pStyle w:val="Heading4"/>
        <w:numPr>
          <w:ilvl w:val="3"/>
          <w:numId w:val="1"/>
        </w:numPr>
        <w:rPr/>
      </w:pPr>
      <w:bookmarkStart w:id="105" w:name="__RefHeading___Toc212690_2142443653"/>
      <w:bookmarkStart w:id="106" w:name="_Toc37"/>
      <w:bookmarkEnd w:id="105"/>
      <w:r>
        <w:rPr>
          <w:rtl w:val="true"/>
        </w:rPr>
        <w:t>إلحاق البدن بالثوب في العفو</w:t>
      </w:r>
      <w:bookmarkEnd w:id="106"/>
    </w:p>
    <w:p>
      <w:pPr>
        <w:pStyle w:val="BookText"/>
        <w:rPr/>
      </w:pPr>
      <w:r>
        <w:rPr>
          <w:rFonts w:ascii="Amiri" w:hAnsi="Amiri" w:eastAsia="Amiri" w:cs="Amiri"/>
          <w:color w:val="111111"/>
          <w:sz w:val="28"/>
          <w:sz w:val="28"/>
          <w:szCs w:val="28"/>
          <w:rtl w:val="true"/>
          <w:lang w:bidi="ar-SA"/>
        </w:rPr>
        <w:t xml:space="preserve">كما لا ينبغي الإشكال في إلحاق البدن بالثوب ؛ لعدم القول بالفرق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مقتضى تصريح جمع</w:t>
      </w:r>
      <w:r>
        <w:rPr>
          <w:rStyle w:val="FootnoteAnchor"/>
          <w:rtl w:val="true"/>
        </w:rPr>
        <w:footnoteReference w:id="262"/>
      </w:r>
      <w:r>
        <w:rPr>
          <w:rFonts w:ascii="IRNazanin" w:hAnsi="IRNazanin" w:eastAsia="IRNazanin"/>
          <w:color w:val="111111"/>
          <w:sz w:val="28"/>
          <w:sz w:val="28"/>
          <w:szCs w:val="28"/>
          <w:rtl w:val="true"/>
          <w:lang w:bidi="fa-IR"/>
        </w:rPr>
        <w:t>وإطلاق آخر</w:t>
      </w:r>
      <w:r>
        <w:rPr>
          <w:rStyle w:val="FootnoteAnchor"/>
          <w:rtl w:val="true"/>
        </w:rPr>
        <w:footnoteReference w:id="263"/>
      </w:r>
      <w:r>
        <w:rPr>
          <w:rFonts w:ascii="Amiri" w:hAnsi="Amiri" w:eastAsia="Amiri" w:cs="Amiri"/>
          <w:color w:val="111111"/>
          <w:sz w:val="28"/>
          <w:sz w:val="28"/>
          <w:szCs w:val="28"/>
          <w:rtl w:val="true"/>
          <w:lang w:bidi="ar-SA"/>
        </w:rPr>
        <w:t xml:space="preserve">الإجماع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سكوت جمع عن البدن</w:t>
      </w:r>
      <w:r>
        <w:rPr>
          <w:rStyle w:val="FootnoteAnchor"/>
          <w:rtl w:val="true"/>
        </w:rPr>
        <w:footnoteReference w:id="264"/>
      </w:r>
      <w:r>
        <w:rPr>
          <w:rFonts w:ascii="Amiri" w:hAnsi="Amiri" w:eastAsia="Amiri" w:cs="Amiri"/>
          <w:color w:val="111111"/>
          <w:sz w:val="28"/>
          <w:sz w:val="28"/>
          <w:szCs w:val="28"/>
          <w:rtl w:val="true"/>
          <w:lang w:bidi="ar-SA"/>
        </w:rPr>
        <w:t>، لا يوجب استظهار الفتوى بالاختصاص ، سيّما أنّ مثل الصدوق يوافق لفظ النصّ في التعبير</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النسخ المشهورة</w:t>
      </w:r>
      <w:r>
        <w:rPr>
          <w:rStyle w:val="FootnoteAnchor"/>
          <w:rtl w:val="true"/>
        </w:rPr>
        <w:footnoteReference w:id="2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ألحق البدن به ، ويظهر منه </w:t>
      </w:r>
    </w:p>
    <w:p>
      <w:pPr>
        <w:pStyle w:val="BookText"/>
        <w:rPr/>
      </w:pPr>
      <w:r>
        <w:rPr>
          <w:rFonts w:ascii="Amiri" w:hAnsi="Amiri" w:eastAsia="Amiri" w:cs="Amiri"/>
          <w:color w:val="111111"/>
          <w:sz w:val="28"/>
          <w:sz w:val="28"/>
          <w:szCs w:val="28"/>
          <w:rtl w:val="true"/>
          <w:lang w:bidi="ar-SA"/>
        </w:rPr>
        <w:t xml:space="preserve">الإجماع عليه ، وهو قرينة على أنّ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267"/>
      </w:r>
      <w:r>
        <w:rPr>
          <w:rFonts w:ascii="Amiri" w:hAnsi="Amiri" w:eastAsia="Amiri" w:cs="Amiri"/>
          <w:color w:val="111111"/>
          <w:sz w:val="28"/>
          <w:sz w:val="28"/>
          <w:szCs w:val="28"/>
          <w:rtl w:val="true"/>
          <w:lang w:bidi="ar-SA"/>
        </w:rPr>
        <w:t xml:space="preserve">ليس مخالفاً للخلاف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دعوى السيّد إجماع الإمامية على العفو في البدن</w:t>
      </w:r>
      <w:r>
        <w:rPr>
          <w:rStyle w:val="FootnoteAnchor"/>
          <w:rtl w:val="true"/>
        </w:rPr>
        <w:footnoteReference w:id="268"/>
      </w:r>
      <w:r>
        <w:rPr>
          <w:rFonts w:ascii="Amiri" w:hAnsi="Amiri" w:eastAsia="Amiri" w:cs="Amiri"/>
          <w:color w:val="111111"/>
          <w:sz w:val="28"/>
          <w:sz w:val="28"/>
          <w:szCs w:val="28"/>
          <w:rtl w:val="true"/>
          <w:lang w:bidi="ar-SA"/>
        </w:rPr>
        <w:t xml:space="preserve">، دليل على أنّ رأي اُستاذه المفيد موافق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ابن زُهرة ، فكلامه في دم القروح والجروح ، وهو أمر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 نّه لا يظهر منه الاختصاص ، بل مقتضى مجموع كلامه عدمه ، وإنّما ذكر الثوب مثالاً ، ولهذا ذكره أيضاً في الدماء الثلاثة</w:t>
      </w:r>
      <w:r>
        <w:rPr>
          <w:rStyle w:val="FootnoteAnchor"/>
          <w:rtl w:val="true"/>
        </w:rPr>
        <w:footnoteReference w:id="269"/>
      </w:r>
      <w:r>
        <w:rPr>
          <w:rFonts w:ascii="Amiri" w:hAnsi="Amiri" w:eastAsia="Amiri" w:cs="Amiri"/>
          <w:color w:val="111111"/>
          <w:sz w:val="28"/>
          <w:sz w:val="28"/>
          <w:szCs w:val="28"/>
          <w:rtl w:val="true"/>
          <w:lang w:bidi="ar-SA"/>
        </w:rPr>
        <w:t xml:space="preserve">مع القطع بعدم إرادته الخصوصية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سلاّر ، فقد عقد البحث رأساً في تطهير الثياب عن النجاسات ، فلا يظهر</w:t>
      </w:r>
    </w:p>
    <w:p>
      <w:pPr>
        <w:pStyle w:val="BookText"/>
        <w:rPr/>
      </w:pPr>
      <w:r>
        <w:rPr>
          <w:rFonts w:ascii="Amiri" w:hAnsi="Amiri" w:eastAsia="Amiri" w:cs="Amiri"/>
          <w:color w:val="111111"/>
          <w:sz w:val="28"/>
          <w:sz w:val="28"/>
          <w:szCs w:val="28"/>
          <w:rtl w:val="true"/>
          <w:lang w:bidi="ar-SA"/>
        </w:rPr>
        <w:t>منه القيدية</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مضافاً إلى إمكان استفادة الإلحاق من رواية أبي بصير ، عن أبي عبداللّه أو أبي جعفر علیهما السلام المتقدّمة</w:t>
      </w:r>
      <w:r>
        <w:rPr>
          <w:rStyle w:val="FootnoteAnchor"/>
          <w:rtl w:val="true"/>
        </w:rPr>
        <w:footnoteReference w:id="271"/>
      </w:r>
      <w:r>
        <w:rPr>
          <w:rFonts w:ascii="Amiri" w:hAnsi="Amiri" w:eastAsia="Amiri" w:cs="Amiri"/>
          <w:color w:val="111111"/>
          <w:sz w:val="28"/>
          <w:sz w:val="28"/>
          <w:szCs w:val="28"/>
          <w:rtl w:val="true"/>
          <w:lang w:bidi="ar-SA"/>
        </w:rPr>
        <w:t xml:space="preserve">، فإنّ مقتضى إطلاق صدرها عدم وجوب الإعادة في الدم القليل في الثوب والبدن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ذكر الثوب في التعليل الراجع إلى المستثنى ، فالمقطوع عدم قيديته ، بل ذكر من باب المثال ؛ ضرورة وجوب تطهير البدن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دم الحيض ، فلا يجوز تقديره في الصدر ودعوى دخالته في الحكم ، كما لا تتّجه دعوى عدم الإطلاق في الصدر ؛ بتوهّم أ نّه بصدد بيان الفرق بين الدمين ، أو أنّ الصدر </w:t>
      </w:r>
    </w:p>
    <w:p>
      <w:pPr>
        <w:pStyle w:val="BookText"/>
        <w:rPr/>
      </w:pPr>
      <w:r>
        <w:rPr>
          <w:rFonts w:ascii="Amiri" w:hAnsi="Amiri" w:eastAsia="Amiri" w:cs="Amiri"/>
          <w:color w:val="111111"/>
          <w:sz w:val="28"/>
          <w:sz w:val="28"/>
          <w:szCs w:val="28"/>
          <w:rtl w:val="true"/>
          <w:lang w:bidi="ar-SA"/>
        </w:rPr>
        <w:t xml:space="preserve">توطئة لبيان حكم دم الحيض ، فإنّ كلّ ذلك تكلّف وتهجّس مخالف للظاهر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المستفاد منها أصل التفصيل ، وأمّ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مقدار المعفوّ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فمستفاد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سائر الروايات ؛ بعد الجزم بعدم التفصيل فيه بين الثوب والبدن ، ومن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ابن مسلم المتقدّمة</w:t>
      </w:r>
      <w:r>
        <w:rPr>
          <w:rStyle w:val="FootnoteAnchor"/>
          <w:rtl w:val="true"/>
        </w:rPr>
        <w:footnoteReference w:id="272"/>
      </w:r>
      <w:r>
        <w:rPr>
          <w:rFonts w:ascii="IRNazanin" w:hAnsi="IRNazanin" w:eastAsia="IRNazanin"/>
          <w:color w:val="111111"/>
          <w:sz w:val="28"/>
          <w:sz w:val="28"/>
          <w:szCs w:val="28"/>
          <w:rtl w:val="true"/>
          <w:lang w:bidi="fa-IR"/>
        </w:rPr>
        <w:t xml:space="preserve">؛ فإنّ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كان أقلّ من ذلك فليس بشيء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في أنّ القليل منه لأجل قلّته ليس بشيء ، ولا يكون مانعاً ، وأنّ القلّة بما هي ، تمام الموضوع لعدم المانعية ، ولو كان الثوب دخيلاً في الحكم لم يتّجه ذلك التعبير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يمكن الاستئناس لعدم دخالة الثوب في الروايات بمقطوعية عدم دخالته في الدم الذي بمقدار الدرهم أو أكثر ، مع أ نّه مذكور فيها أيضاً ، فالقطع بعدم دخالته في غير المعفوّ عنه وأ نّه ذكر تبعاً للسائل أو من باب المثال ، يقرّب أنّ ذكره في المعفوّ عنه أيضاً كذلك ؛ فإنّ التفرقة بين الفقرات خلاف ظاهر السياق وارتكاز العرف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رواية مثنّى بن عبدالسلام ،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حككت جلدي ، فخرج منه دم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اجتمع قدر حمّصة فاغسله ، وإلاّ فلا</w:t>
      </w:r>
      <w:r>
        <w:rPr>
          <w:rFonts w:eastAsia="IRNazanin" w:cs="IRNazanin"/>
          <w:color w:val="111111"/>
          <w:sz w:val="28"/>
          <w:szCs w:val="28"/>
          <w:rtl w:val="true"/>
          <w:lang w:bidi="fa-IR"/>
        </w:rPr>
        <w:t>»</w:t>
      </w:r>
      <w:r>
        <w:rPr>
          <w:rStyle w:val="FootnoteAnchor"/>
          <w:rtl w:val="true"/>
        </w:rPr>
        <w:footnoteReference w:id="273"/>
      </w:r>
      <w:r>
        <w:rPr>
          <w:rFonts w:ascii="Amiri" w:hAnsi="Amiri" w:eastAsia="Amiri" w:cs="Amiri"/>
          <w:color w:val="111111"/>
          <w:sz w:val="28"/>
          <w:sz w:val="28"/>
          <w:szCs w:val="28"/>
          <w:rtl w:val="true"/>
          <w:lang w:bidi="ar-SA"/>
        </w:rPr>
        <w:t xml:space="preserve">بعد عدم إمكان التفصيل بين الثوب والبدن في مقدار الدم ، وفساد حمل الرواية على عدم نجاسته إذا كان أقلّ من حمّصة ؛ لمخالفته لارتكاز العقلاء والمتشرّعة ، بل للقطع بفساده ، فلا محيص عن حملها على عدم مانعية الأقلّ منها ، وهو يعطي </w:t>
      </w:r>
      <w:bookmarkStart w:id="107" w:name="pg15030_143062"/>
    </w:p>
    <w:p>
      <w:pPr>
        <w:pStyle w:val="BookText"/>
        <w:rPr/>
      </w:pPr>
      <w:bookmarkEnd w:id="107"/>
      <w:r>
        <w:rPr>
          <w:rFonts w:ascii="Amiri" w:hAnsi="Amiri" w:eastAsia="Amiri" w:cs="Amiri"/>
          <w:color w:val="111111"/>
          <w:sz w:val="28"/>
          <w:sz w:val="28"/>
          <w:szCs w:val="28"/>
          <w:rtl w:val="true"/>
          <w:lang w:bidi="ar-SA"/>
        </w:rPr>
        <w:t>التفصيل بين القليل والكثير في البدن ، وإن كانت في مقداره محمولة على بعض المحامل</w:t>
      </w:r>
      <w:r>
        <w:rPr>
          <w:rStyle w:val="FootnoteAnchor"/>
          <w:rtl w:val="true"/>
        </w:rPr>
        <w:footnoteReference w:id="274"/>
      </w:r>
      <w:r>
        <w:rPr>
          <w:rFonts w:ascii="Amiri" w:hAnsi="Amiri" w:eastAsia="Amiri" w:cs="Amiri"/>
          <w:color w:val="111111"/>
          <w:sz w:val="28"/>
          <w:sz w:val="28"/>
          <w:szCs w:val="28"/>
          <w:rtl w:val="true"/>
          <w:lang w:bidi="ar-SA"/>
        </w:rPr>
        <w:t xml:space="preserve">، 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أصل الحكم </w:t>
      </w:r>
      <w:r>
        <w:rPr>
          <w:rFonts w:eastAsia="Amiri" w:cs="Amiri" w:ascii="Amiri" w:hAnsi="Amiri"/>
          <w:color w:val="111111"/>
          <w:sz w:val="28"/>
          <w:szCs w:val="28"/>
          <w:rtl w:val="true"/>
          <w:lang w:bidi="ar-SA"/>
        </w:rPr>
        <w:t>.</w:t>
      </w:r>
    </w:p>
    <w:p>
      <w:pPr>
        <w:pStyle w:val="Heading4"/>
        <w:numPr>
          <w:ilvl w:val="3"/>
          <w:numId w:val="1"/>
        </w:numPr>
        <w:rPr/>
      </w:pPr>
      <w:bookmarkStart w:id="108" w:name="__RefHeading___Toc212692_2142443653"/>
      <w:bookmarkStart w:id="109" w:name="_Toc38"/>
      <w:bookmarkEnd w:id="108"/>
      <w:r>
        <w:rPr>
          <w:rtl w:val="true"/>
        </w:rPr>
        <w:t>هل الدرهم غاية للرخصة أو للمنع ؟</w:t>
      </w:r>
      <w:bookmarkEnd w:id="109"/>
    </w:p>
    <w:p>
      <w:pPr>
        <w:pStyle w:val="BookText"/>
        <w:rPr/>
      </w:pPr>
      <w:r>
        <w:rPr>
          <w:rFonts w:ascii="Amiri" w:hAnsi="Amiri" w:eastAsia="Amiri" w:cs="Amiri"/>
          <w:color w:val="111111"/>
          <w:sz w:val="28"/>
          <w:sz w:val="28"/>
          <w:szCs w:val="28"/>
          <w:rtl w:val="true"/>
          <w:lang w:bidi="ar-SA"/>
        </w:rPr>
        <w:t xml:space="preserve">وإنّما الإشكال في أنّ مقدار الدرهم غاية للرخصة أو للمنع ، فالمشهور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الالتباس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الثاني</w:t>
      </w:r>
      <w:r>
        <w:rPr>
          <w:rStyle w:val="FootnoteAnchor"/>
          <w:rtl w:val="true"/>
        </w:rPr>
        <w:footnoteReference w:id="275"/>
      </w:r>
      <w:r>
        <w:rPr>
          <w:rFonts w:ascii="Amiri" w:hAnsi="Amiri" w:eastAsia="Amiri" w:cs="Amiri"/>
          <w:color w:val="111111"/>
          <w:sz w:val="28"/>
          <w:sz w:val="28"/>
          <w:szCs w:val="28"/>
          <w:rtl w:val="true"/>
          <w:lang w:bidi="ar-SA"/>
        </w:rPr>
        <w:t xml:space="preserve">، 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وذهب سلاّر إلى الأوّل</w:t>
      </w:r>
      <w:r>
        <w:rPr>
          <w:rStyle w:val="FootnoteAnchor"/>
          <w:rtl w:val="true"/>
        </w:rPr>
        <w:footnoteReference w:id="277"/>
      </w:r>
      <w:r>
        <w:rPr>
          <w:rFonts w:ascii="Amiri" w:hAnsi="Amiri" w:eastAsia="Amiri" w:cs="Amiri"/>
          <w:color w:val="111111"/>
          <w:sz w:val="28"/>
          <w:sz w:val="28"/>
          <w:szCs w:val="28"/>
          <w:rtl w:val="true"/>
          <w:lang w:bidi="ar-SA"/>
        </w:rPr>
        <w:t>، وربّما نسب</w:t>
      </w:r>
      <w:r>
        <w:rPr>
          <w:rStyle w:val="FootnoteAnchor"/>
          <w:rtl w:val="true"/>
        </w:rPr>
        <w:footnoteReference w:id="278"/>
      </w:r>
      <w:r>
        <w:rPr>
          <w:rFonts w:ascii="Amiri" w:hAnsi="Amiri" w:eastAsia="Amiri" w:cs="Amiri"/>
          <w:color w:val="111111"/>
          <w:sz w:val="28"/>
          <w:sz w:val="28"/>
          <w:szCs w:val="28"/>
          <w:rtl w:val="true"/>
          <w:lang w:bidi="ar-SA"/>
        </w:rPr>
        <w:t xml:space="preserve">ذلك إلى 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انتصاره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خلاف الواقع ؛ فإنّه بعد ما صرّح بأ نّه ممّا انفردت به الإمامية هو جواز الصلاة في</w:t>
      </w:r>
    </w:p>
    <w:p>
      <w:pPr>
        <w:pStyle w:val="BookText"/>
        <w:rPr/>
      </w:pPr>
      <w:r>
        <w:rPr>
          <w:rFonts w:ascii="Amiri" w:hAnsi="Amiri" w:eastAsia="Amiri" w:cs="Amiri"/>
          <w:color w:val="111111"/>
          <w:sz w:val="28"/>
          <w:sz w:val="28"/>
          <w:szCs w:val="28"/>
          <w:rtl w:val="true"/>
          <w:lang w:bidi="ar-SA"/>
        </w:rPr>
        <w:t>ثوب أو بدن أصاب منه ما ينقص مقداره عن سعة الدرهم ، ونقل عن الشافعي القول بعدم الاعتبار بالدرهم في جميع النجاسات</w:t>
      </w:r>
      <w:r>
        <w:rPr>
          <w:rStyle w:val="FootnoteAnchor"/>
          <w:rtl w:val="true"/>
        </w:rPr>
        <w:footnoteReference w:id="279"/>
      </w:r>
      <w:r>
        <w:rPr>
          <w:rFonts w:ascii="Amiri" w:hAnsi="Amiri" w:eastAsia="Amiri" w:cs="Amiri"/>
          <w:color w:val="111111"/>
          <w:sz w:val="28"/>
          <w:sz w:val="28"/>
          <w:szCs w:val="28"/>
          <w:rtl w:val="true"/>
          <w:lang w:bidi="ar-SA"/>
        </w:rPr>
        <w:t xml:space="preserve">، وعن أبي حنيفة القول باعتبار مقداره في جميعها </w:t>
      </w:r>
      <w:r>
        <w:rPr>
          <w:rStyle w:val="FootnoteAnchor"/>
          <w:rtl w:val="true"/>
        </w:rPr>
        <w:footnoteReference w:id="28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فاعتباره في بعضها دون بعض هو التفرّد</w:t>
      </w:r>
      <w:r>
        <w:rPr>
          <w:rFonts w:eastAsia="Amiri" w:cs="Amiri" w:ascii="Amiri" w:hAnsi="Amiri"/>
          <w:color w:val="111111"/>
          <w:sz w:val="28"/>
          <w:szCs w:val="28"/>
          <w:rtl w:val="true"/>
          <w:lang w:bidi="ar-SA"/>
        </w:rPr>
        <w:t>»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ويمكن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الشيعة غير متفرّدة بهذه التفرقة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حكى </w:t>
      </w:r>
    </w:p>
    <w:p>
      <w:pPr>
        <w:pStyle w:val="BookText"/>
        <w:rPr/>
      </w:pPr>
      <w:r>
        <w:rPr>
          <w:rFonts w:ascii="Amiri" w:hAnsi="Amiri" w:eastAsia="Amiri" w:cs="Amiri"/>
          <w:color w:val="111111"/>
          <w:sz w:val="28"/>
          <w:sz w:val="28"/>
          <w:szCs w:val="28"/>
          <w:rtl w:val="true"/>
          <w:lang w:bidi="ar-SA"/>
        </w:rPr>
        <w:t xml:space="preserve">قول زفر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نظير قول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حكى قول حسن بن صالح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مضاهٍ لقول الإمامية</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ومراده في أصل التفصيل والتفرقة بين الدم وغيره ، لا في مقداره ؛ ضرورة أنّ قوليهما مختلفان في المقدار ، فإنّ الأوّل جعل الدرهم معفوّاً عنه دون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في خلال كلامه في مقام الاستدلال ممّا يوهم خلاف المشهور ، فلا بدّ من حمله على صدر كلامه ؛ دفعاً للتناقض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ليس في خلال البحث بصدد بيان الخصوصيات ، بل بصدد بيان أصل التفرقة ، فالمخالف هو سلاّر ظاهراً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وتدلّ على المشهور صحيحة ابن أبي يعفور ومرسلة جميل بل ورواية إسماعيل الجُعْفي</w:t>
      </w:r>
      <w:r>
        <w:rPr>
          <w:rStyle w:val="FootnoteAnchor"/>
          <w:rtl w:val="true"/>
        </w:rPr>
        <w:footnoteReference w:id="282"/>
      </w:r>
      <w:r>
        <w:rPr>
          <w:rFonts w:ascii="Amiri" w:hAnsi="Amiri" w:eastAsia="Amiri" w:cs="Amiri"/>
          <w:color w:val="111111"/>
          <w:sz w:val="28"/>
          <w:sz w:val="28"/>
          <w:szCs w:val="28"/>
          <w:rtl w:val="true"/>
          <w:lang w:bidi="ar-SA"/>
        </w:rPr>
        <w:t xml:space="preserve">فإنّ الظاهر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أقلّ فكذا ، وإن كان أكثر فكذا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الجملة الثانية بيان لمفهوم الجملة الاُولى ، وإنّما خصّ بالذكر بعض المصاديق الشائعة منه ؛ لأنّ المساوي لمقدار الدرهم قليل الوجود ، بخلاف الأكثر منه ، ولا مفهوم للجملة الثانية التي بصدد بيان مفهوم الاُولى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فتوهّم</w:t>
      </w:r>
    </w:p>
    <w:p>
      <w:pPr>
        <w:pStyle w:val="BookText"/>
        <w:rPr/>
      </w:pPr>
      <w:r>
        <w:rPr>
          <w:rFonts w:ascii="Amiri" w:hAnsi="Amiri" w:eastAsia="Amiri" w:cs="Amiri"/>
          <w:color w:val="111111"/>
          <w:sz w:val="28"/>
          <w:sz w:val="28"/>
          <w:szCs w:val="28"/>
          <w:rtl w:val="true"/>
          <w:lang w:bidi="ar-SA"/>
        </w:rPr>
        <w:t xml:space="preserve">أنّ مفهومي الجملتين متعارضان ، بل مفهوم الثانية معارض للروايتين المتقدّمتين ، أيضاً ضعيف </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وأضعف منه توهّم كون الجملة الاُولى بيان بعض مصاديق مفهوم الجملة الثانية عكس ما قلناه ؛ ضرورة أ نّه في غاية الحزازة ، ومخالف للمحاورات العرفية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 يحتمل أن لا يكون لمثل الجملتين مفهوم ، فكان مقدار المساوي مسكوتاً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الأقرب ما ذكرناه وإن لا يختلف الحكم على هذا الاحتمال ، غاية الأمر لا تكون هذه الرواية متعرّضة للمقدار المساوي ، فنأخذ فيه بالروايتين المتقدّمتين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صحيحة محمّد بن مسلم المتقدّمة</w:t>
      </w:r>
      <w:r>
        <w:rPr>
          <w:rStyle w:val="FootnoteAnchor"/>
          <w:rtl w:val="true"/>
        </w:rPr>
        <w:footnoteReference w:id="283"/>
      </w:r>
      <w:r>
        <w:rPr>
          <w:rFonts w:ascii="IRNazanin" w:hAnsi="IRNazanin" w:eastAsia="IRNazanin"/>
          <w:color w:val="111111"/>
          <w:sz w:val="28"/>
          <w:sz w:val="28"/>
          <w:szCs w:val="28"/>
          <w:rtl w:val="true"/>
          <w:lang w:bidi="fa-IR"/>
        </w:rPr>
        <w:t xml:space="preserve">، فعلى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يبعد أن يكون مفادها كرواية الجُعْفي ؛ فإنّ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لم يزد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تتمّة حكم انحصار الثوب مع رؤية الدم في الأثناء ، وهو مسألة اُخرى ، والظاهر أنّ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كان أقلّ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اُخرى برأسها ، لا في موضوع الثوب المنحصر حتّى يكون تتمّة للجملة السابقة ؛ فإنّ جعله من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تمّتها يوجب التكرار في حكم الزائد عن مقدار الدرهم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مضافاً إلى أنّ ظاهر الذيل ينافي كونه في الفرض السابق ، فحينئذٍ تكون الشرطيتان نظير الشرطيتين في رواية الجُعْفي ، وقد عرفت حالهما ، فلو فرض كونها من تتمّتها فتكون مسألة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فرض انحصار الثوب ، تأمّل </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على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معارضة لسائر الروايات ، لكن قد عرفت عدم جواز الاعتماد على نسخته</w:t>
      </w:r>
      <w:r>
        <w:rPr>
          <w:rStyle w:val="FootnoteAnchor"/>
          <w:rtl w:val="true"/>
        </w:rPr>
        <w:footnoteReference w:id="284"/>
      </w:r>
      <w:r>
        <w:rPr>
          <w:rFonts w:ascii="Amiri" w:hAnsi="Amiri" w:eastAsia="Amiri" w:cs="Amiri"/>
          <w:color w:val="111111"/>
          <w:sz w:val="28"/>
          <w:sz w:val="28"/>
          <w:szCs w:val="28"/>
          <w:rtl w:val="true"/>
          <w:lang w:bidi="ar-SA"/>
        </w:rPr>
        <w:t xml:space="preserve">، وعلى فرض التعارض لا يعتمد عليها ؛ لمخالفتها للمشهور ، وكونها شاذّة ، ولموافقتها لأبي حنيفة ، ومخالفتها للقواعد والعمومات ، فلا إشكال في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إن كان الدم مجتمعاً قدر الدرهم </w:t>
      </w:r>
      <w:r>
        <w:rPr>
          <w:rFonts w:eastAsia="Amiri" w:cs="Amiri" w:ascii="Amiri" w:hAnsi="Amiri"/>
          <w:color w:val="111111"/>
          <w:sz w:val="28"/>
          <w:szCs w:val="28"/>
          <w:rtl w:val="true"/>
          <w:lang w:bidi="ar-SA"/>
        </w:rPr>
        <w:t xml:space="preserve">. </w:t>
      </w:r>
      <w:bookmarkStart w:id="110" w:name="pg15030_143065"/>
    </w:p>
    <w:p>
      <w:pPr>
        <w:pStyle w:val="Heading4"/>
        <w:numPr>
          <w:ilvl w:val="3"/>
          <w:numId w:val="1"/>
        </w:numPr>
        <w:rPr/>
      </w:pPr>
      <w:bookmarkStart w:id="111" w:name="__RefHeading___Toc212694_2142443653"/>
      <w:bookmarkStart w:id="112" w:name="_Toc39"/>
      <w:bookmarkEnd w:id="110"/>
      <w:bookmarkEnd w:id="111"/>
      <w:r>
        <w:rPr>
          <w:rtl w:val="true"/>
        </w:rPr>
        <w:t>حكم الدم المتفرّق</w:t>
      </w:r>
      <w:bookmarkEnd w:id="112"/>
    </w:p>
    <w:p>
      <w:pPr>
        <w:pStyle w:val="BookText"/>
        <w:rPr/>
      </w:pPr>
      <w:r>
        <w:rPr>
          <w:rFonts w:ascii="Amiri" w:hAnsi="Amiri" w:eastAsia="Amiri" w:cs="Amiri"/>
          <w:color w:val="111111"/>
          <w:sz w:val="28"/>
          <w:sz w:val="28"/>
          <w:szCs w:val="28"/>
          <w:rtl w:val="true"/>
          <w:lang w:bidi="ar-SA"/>
        </w:rPr>
        <w:t xml:space="preserve">وأمّا إن كان متفرّقاً ، فإن لم يكن قدره لو اجتمع فلا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خلاف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2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مساواته للمجتمع في العفو عنه ؛ لإطلاق الأدلّة ، وخصوص ما تقدّم</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كان قدره أو زائداً ففيه خلاف ، فعن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سعيد</w:t>
      </w:r>
      <w:r>
        <w:rPr>
          <w:rStyle w:val="FootnoteAnchor"/>
          <w:rtl w:val="true"/>
        </w:rPr>
        <w:footnoteReference w:id="287"/>
      </w:r>
      <w:r>
        <w:rPr>
          <w:rFonts w:ascii="Amiri" w:hAnsi="Amiri" w:eastAsia="Amiri" w:cs="Amiri"/>
          <w:color w:val="111111"/>
          <w:sz w:val="28"/>
          <w:sz w:val="28"/>
          <w:szCs w:val="28"/>
          <w:rtl w:val="true"/>
          <w:lang w:bidi="ar-SA"/>
        </w:rPr>
        <w:t>والأردبيلي</w:t>
      </w:r>
      <w:r>
        <w:rPr>
          <w:rStyle w:val="FootnoteAnchor"/>
          <w:rtl w:val="true"/>
        </w:rPr>
        <w:footnoteReference w:id="288"/>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من متأخّري المتأخّرين العفو</w:t>
      </w:r>
      <w:r>
        <w:rPr>
          <w:rStyle w:val="FootnoteAnchor"/>
          <w:rtl w:val="true"/>
        </w:rPr>
        <w:footnoteReference w:id="2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 نّه المشهور</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w:t>
      </w:r>
      <w:r>
        <w:rPr>
          <w:rStyle w:val="FootnoteAnchor"/>
          <w:rtl w:val="true"/>
        </w:rPr>
        <w:footnoteReference w:id="291"/>
      </w:r>
      <w:r>
        <w:rPr>
          <w:rFonts w:ascii="Amiri" w:hAnsi="Amiri" w:eastAsia="Amiri" w:cs="Amiri"/>
          <w:color w:val="111111"/>
          <w:sz w:val="28"/>
          <w:sz w:val="28"/>
          <w:szCs w:val="28"/>
          <w:rtl w:val="true"/>
          <w:lang w:bidi="ar-SA"/>
        </w:rPr>
        <w:t xml:space="preserve">وعن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جملة من كتبه</w:t>
      </w:r>
      <w:r>
        <w:rPr>
          <w:rStyle w:val="FootnoteAnchor"/>
          <w:rtl w:val="true"/>
        </w:rPr>
        <w:footnoteReference w:id="2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p>
    <w:p>
      <w:pPr>
        <w:pStyle w:val="BookText"/>
        <w:rPr/>
      </w:pPr>
      <w:r>
        <w:rPr>
          <w:rFonts w:ascii="Amiri" w:hAnsi="Amiri" w:eastAsia="Amiri" w:cs="Amiri"/>
          <w:color w:val="111111"/>
          <w:sz w:val="28"/>
          <w:sz w:val="28"/>
          <w:szCs w:val="28"/>
          <w:rtl w:val="true"/>
          <w:lang w:bidi="ar-SA"/>
        </w:rPr>
        <w:t>وافرة ممّن تأخّر عنه</w:t>
      </w:r>
      <w:r>
        <w:rPr>
          <w:rStyle w:val="FootnoteAnchor"/>
          <w:rtl w:val="true"/>
        </w:rPr>
        <w:footnoteReference w:id="293"/>
      </w:r>
      <w:r>
        <w:rPr>
          <w:rFonts w:ascii="Amiri" w:hAnsi="Amiri" w:eastAsia="Amiri" w:cs="Amiri"/>
          <w:color w:val="111111"/>
          <w:sz w:val="28"/>
          <w:sz w:val="28"/>
          <w:szCs w:val="28"/>
          <w:rtl w:val="true"/>
          <w:lang w:bidi="ar-SA"/>
        </w:rPr>
        <w:t>عدمه ، بل عن بعضهم دعوى الشهرة عليه</w:t>
      </w:r>
      <w:r>
        <w:rPr>
          <w:rStyle w:val="FootnoteAnchor"/>
          <w:rtl w:val="true"/>
        </w:rPr>
        <w:footnoteReference w:id="294"/>
      </w:r>
      <w:r>
        <w:rPr>
          <w:rFonts w:ascii="Amiri" w:hAnsi="Amiri" w:eastAsia="Amiri" w:cs="Amiri"/>
          <w:color w:val="111111"/>
          <w:sz w:val="28"/>
          <w:sz w:val="28"/>
          <w:szCs w:val="28"/>
          <w:rtl w:val="true"/>
          <w:lang w:bidi="ar-SA"/>
        </w:rPr>
        <w:t>، وعن جملة نسبته إلى أكثر المتأخّرين</w:t>
      </w:r>
      <w:r>
        <w:rPr>
          <w:rStyle w:val="FootnoteAnchor"/>
          <w:rtl w:val="true"/>
        </w:rPr>
        <w:footnoteReference w:id="295"/>
      </w:r>
      <w:r>
        <w:rPr>
          <w:rFonts w:ascii="Amiri" w:hAnsi="Amiri" w:eastAsia="Amiri" w:cs="Amiri"/>
          <w:color w:val="111111"/>
          <w:sz w:val="28"/>
          <w:sz w:val="28"/>
          <w:szCs w:val="28"/>
          <w:rtl w:val="true"/>
          <w:lang w:bidi="ar-SA"/>
        </w:rPr>
        <w:t xml:space="preserve">، وهو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w:t>
      </w:r>
      <w:r>
        <w:rPr>
          <w:rStyle w:val="FootnoteAnchor"/>
          <w:rtl w:val="true"/>
        </w:rPr>
        <w:footnoteReference w:id="296"/>
      </w:r>
      <w:r>
        <w:rPr>
          <w:rFonts w:ascii="Amiri" w:hAnsi="Amiri" w:eastAsia="Amiri" w:cs="Amiri"/>
          <w:color w:val="111111"/>
          <w:sz w:val="28"/>
          <w:sz w:val="28"/>
          <w:szCs w:val="28"/>
          <w:rtl w:val="true"/>
          <w:lang w:bidi="ar-SA"/>
        </w:rPr>
        <w:t xml:space="preserve">على 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بالعفو إلاّ أن يتفاحش</w:t>
      </w:r>
      <w:r>
        <w:rPr>
          <w:rStyle w:val="FootnoteAnchor"/>
          <w:rtl w:val="true"/>
        </w:rPr>
        <w:footnoteReference w:id="297"/>
      </w:r>
      <w:r>
        <w:rPr>
          <w:rFonts w:ascii="Amiri" w:hAnsi="Amiri" w:eastAsia="Amiri" w:cs="Amiri"/>
          <w:color w:val="111111"/>
          <w:sz w:val="28"/>
          <w:sz w:val="28"/>
          <w:szCs w:val="28"/>
          <w:rtl w:val="true"/>
          <w:lang w:bidi="ar-SA"/>
        </w:rPr>
        <w:t>، لكنّ عبارته فيه على خلاف ما نسب إليه ، فراجع</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ومنشأ اختلافهم الاختلاف في فهم الروايات ، فقد استدلّ كلّ من القائل بالعفو وعدمه برواية ابن أبي يعفور ، ومحتملاتها كثيرة لا يمكن الركون إلى واحد منها ، ولا استظهار واحد من القولين منها ؛ لاحتمال أن 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الدرهم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يكون مقدار الدرهم مجتمعاً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مرفوعاً اسماً للفعل الناقص ، وخبره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مجتمعاً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وأن يكون منصوباً خبراً له ، واسمه الضمير الراجع إلى الدم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مجتمعاً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خبراً بعد خبر ، أو الراجع إلى نقط الدم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مجتمعاً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خبراً ثانياً ؛ إمّا لسهولة أمر التذكير والتأنيث ، أو لكونها مضافة إلى المذكّر الممكن قيامه مقامها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التقديرين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مجتمعاً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حالاً محقّقة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مقدار</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الضمير ، وأن يكون حالاً مقدّرة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وعلى جميع الاحتمالات تكون ظاهرة في العفو ، إلاّ على تقدير كون الحال مقدّرة ، وقد 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باتّفاق أئمّة الأدب على اشتراط كون الحال مقدّرة بمخالفة زمان العامل مع الحال</w:t>
      </w:r>
      <w:r>
        <w:rPr>
          <w:rFonts w:eastAsia="Amiri" w:cs="Amiri" w:ascii="Amiri" w:hAnsi="Amiri"/>
          <w:color w:val="111111"/>
          <w:sz w:val="28"/>
          <w:szCs w:val="28"/>
          <w:rtl w:val="true"/>
          <w:lang w:bidi="ar-SA"/>
        </w:rPr>
        <w:t>»</w:t>
      </w:r>
      <w:r>
        <w:rPr>
          <w:rStyle w:val="FootnoteAnchor"/>
          <w:rtl w:val="true"/>
        </w:rPr>
        <w:footnoteReference w:id="299"/>
      </w:r>
      <w:r>
        <w:rPr>
          <w:rFonts w:ascii="Amiri" w:hAnsi="Amiri" w:eastAsia="Amiri" w:cs="Amiri"/>
          <w:color w:val="111111"/>
          <w:sz w:val="28"/>
          <w:sz w:val="28"/>
          <w:szCs w:val="28"/>
          <w:rtl w:val="true"/>
          <w:lang w:bidi="ar-SA"/>
        </w:rPr>
        <w:t>وهو مفقود في المقام ، فعلى فرض صحّة ذلك يكون</w:t>
      </w:r>
    </w:p>
    <w:p>
      <w:pPr>
        <w:pStyle w:val="BookText"/>
        <w:rPr/>
      </w:pPr>
      <w:r>
        <w:rPr>
          <w:rFonts w:ascii="Amiri" w:hAnsi="Amiri" w:eastAsia="Amiri" w:cs="Amiri"/>
          <w:color w:val="111111"/>
          <w:sz w:val="28"/>
          <w:sz w:val="28"/>
          <w:szCs w:val="28"/>
          <w:rtl w:val="true"/>
          <w:lang w:bidi="ar-SA"/>
        </w:rPr>
        <w:t xml:space="preserve">هذا الاحتمال مرجوحاً ؛ وإن كان انقطاع الاستثناء على سائر الاحتمالات مخالفَ الظاهر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الاتّكال على تلك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تلك الاحتمالات الكثيرة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لإثبات كلّ من طرفي الدعوى مشكل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ظاهر مرسلة جميل</w:t>
      </w:r>
      <w:r>
        <w:rPr>
          <w:rStyle w:val="FootnoteAnchor"/>
          <w:rtl w:val="true"/>
        </w:rPr>
        <w:footnoteReference w:id="300"/>
      </w:r>
      <w:r>
        <w:rPr>
          <w:rFonts w:ascii="IRNazanin" w:hAnsi="IRNazanin" w:eastAsia="IRNazanin"/>
          <w:color w:val="111111"/>
          <w:sz w:val="28"/>
          <w:sz w:val="28"/>
          <w:szCs w:val="28"/>
          <w:rtl w:val="true"/>
          <w:lang w:bidi="fa-IR"/>
        </w:rPr>
        <w:t xml:space="preserve">العفو ؛ فإنّ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 كان قد رآه صاحبه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إلى آخره ، وصلية ، وإلاّ يلزم التفصيل بين شبه النضح وغيره في العلم به وعدمه ، وهو خلاف الواقع ، وعلى الوصلية تكون ظاهرة في العفو ؛ فإنّ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 بأس به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إلى آخره ، بيان للجملة المتقدّمة ؛ أي لا بأس بالدم ما لم يكن مجتمعاً قدر الدرهم ، فشبه النضح لا بأس به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الاتّكال عليها مشكل ؛ لضعف سندها </w:t>
      </w:r>
      <w:r>
        <w:rPr>
          <w:rStyle w:val="FootnoteAnchor"/>
          <w:rtl w:val="true"/>
        </w:rPr>
        <w:footnoteReference w:id="301"/>
      </w:r>
      <w:r>
        <w:rPr>
          <w:rFonts w:ascii="Amiri" w:hAnsi="Amiri" w:eastAsia="Amiri" w:cs="Amiri"/>
          <w:color w:val="111111"/>
          <w:sz w:val="28"/>
          <w:sz w:val="28"/>
          <w:szCs w:val="28"/>
          <w:rtl w:val="true"/>
          <w:lang w:bidi="ar-SA"/>
        </w:rPr>
        <w:t xml:space="preserve">، وعدم جابر له ؛ لأنّ الأصحاب وإن أفتوا بمضمون روايات الباب ، لكن لمّا كانت بينها روايات صحيحة معتمدة لا يظهر منهم الاتّكال على تلك المرسلة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رواية إسماعيل الجُعْفي</w:t>
      </w:r>
      <w:r>
        <w:rPr>
          <w:rStyle w:val="FootnoteAnchor"/>
          <w:rtl w:val="true"/>
        </w:rPr>
        <w:footnoteReference w:id="302"/>
      </w:r>
      <w:r>
        <w:rPr>
          <w:rFonts w:ascii="Amiri" w:hAnsi="Amiri" w:eastAsia="Amiri" w:cs="Amiri"/>
          <w:color w:val="111111"/>
          <w:sz w:val="28"/>
          <w:sz w:val="28"/>
          <w:szCs w:val="28"/>
          <w:rtl w:val="true"/>
          <w:lang w:bidi="ar-SA"/>
        </w:rPr>
        <w:t>وصحيحة محمّد بن مسلم</w:t>
      </w:r>
      <w:r>
        <w:rPr>
          <w:rStyle w:val="FootnoteAnchor"/>
          <w:rtl w:val="true"/>
        </w:rPr>
        <w:footnoteReference w:id="303"/>
      </w:r>
      <w:r>
        <w:rPr>
          <w:rFonts w:ascii="Amiri" w:hAnsi="Amiri" w:eastAsia="Amiri" w:cs="Amiri"/>
          <w:color w:val="111111"/>
          <w:sz w:val="28"/>
          <w:sz w:val="28"/>
          <w:szCs w:val="28"/>
          <w:rtl w:val="true"/>
          <w:lang w:bidi="ar-SA"/>
        </w:rPr>
        <w:t xml:space="preserve">فيمكن أن يستدلّ بهما للطرفين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بالدم والثوب جنسهما ، فيكون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جنس الدم في جنس الثوب أقلّ من قدر الدرهم فلا يعيد ، وإن كان أكثر فيعيد ، وإطلاقهما شامل للمتفرّق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 على طبيعتي الدم والثوب ، وهما صادقتان على المصداق الخارجي الفعلي ، وليس في الخارج من طبيعة الدم إلاّ هذا المصداق ، وذاك ، وذلك ، وكذا الثوب ، وأمّا مجموع الدمين والدماء فليس مصداقاً للدم ، ولا موجوداً في الخارج ، وفرض الاجتماع لا يوجب إلاّ المصداق الفرضي لا الفعلي ، وهذا خلاف ظواهر الأدلّة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 مصداق محقّق في الخارج منه أقلّ من مقدار الدرهم فرضاً ، وغير ذلك غير موجود خارجاً إلاّ بحسب الفرض والتعليق المخالف للظاهر ، فالروايتان دالّتان على القول بالعفو إن كان العرف مساعداً على ما ذكرناه ، كما لا يبعد </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يمكن الاستدلال عليه برواية أبي بصير المعمول بها عند الأصحاب ، عن أبي جعفر أو أبي عبداللّه علیهما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 الصلاة من دم لا تبصره غير دم الحيض ، فإنّ قليله وكثيره في الثوب إن رآه وإن لم يره سواء</w:t>
      </w:r>
      <w:r>
        <w:rPr>
          <w:rFonts w:eastAsia="IRNazanin" w:cs="IRNazanin"/>
          <w:color w:val="111111"/>
          <w:sz w:val="28"/>
          <w:szCs w:val="28"/>
          <w:rtl w:val="true"/>
          <w:lang w:bidi="fa-IR"/>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فإنّ ما في الخارج شبه النضح مصاديق كثيرة يصدق على كلّ منها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نّها دم لا 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ومجموعها ليس إلاّ مصداقاً تخيّلياً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يكون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كناية عن الدم القليل المقابل للكثير ، وقلنا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العرف يرى الدماء التي على شبه النضح كثيراً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وتدلّ على العفو صحيحة الحلبي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 السلام عن دم البراغيث يكون في الثوب ، هل يمنعه ذلك من الصلاة فيه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 وإن كثر فلا بأس أيضاً بشبهه من الرعاف ، ينضحه ولا يغسله</w:t>
      </w:r>
      <w:r>
        <w:rPr>
          <w:rFonts w:eastAsia="IRNazanin" w:cs="IRNazanin"/>
          <w:color w:val="111111"/>
          <w:sz w:val="28"/>
          <w:szCs w:val="28"/>
          <w:rtl w:val="true"/>
          <w:lang w:bidi="fa-IR"/>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الظاهر أنّ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ينضحه ولا يغسله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إلى دم البراغيث ؛ لأ نّه مورد السؤال والجواب ، وإنّما ذكر الرعاف استطراداً وتطفّلاً ، والمنظور الأصلي بيان حكم دم البراغيث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وللمناسبة بينه وبين النضح ، كما هو وارد في بعض موارد اُخر نظيره ممّا لا يكون قذراً ، كالملاقي مع الكلب يابساً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وللقرينة العقلية على عدم كون المراد منه دم الرعاف ؛ حيث يوجب النضح تكثير النجس لا تطهيره ، فلا شبهة في رجوعهما إلى دم البراغيث ، فلا إشكال في الرواية من هذه الحيثية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دلالتها على المطلوب فواضحة ، بل تدلّ على العفو وإن كثر وتفاحش ؛ لظهور التشبيه فيه ، فلا إشكال في الرواية سنداً ولا دلالة </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وتدلّ عليه إطلاق مرفوعة أبي عبداللّه ،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دمك </w:t>
      </w:r>
      <w:bookmarkStart w:id="113" w:name="pg15030_143070"/>
    </w:p>
    <w:p>
      <w:pPr>
        <w:pStyle w:val="BookText"/>
        <w:rPr/>
      </w:pPr>
      <w:bookmarkEnd w:id="113"/>
      <w:r>
        <w:rPr>
          <w:rFonts w:ascii="Amiri" w:hAnsi="Amiri" w:eastAsia="Amiri" w:cs="Amiri"/>
          <w:color w:val="111111"/>
          <w:sz w:val="28"/>
          <w:sz w:val="28"/>
          <w:szCs w:val="28"/>
          <w:rtl w:val="true"/>
          <w:lang w:bidi="ar-SA"/>
        </w:rPr>
        <w:t xml:space="preserve">أنظف من دم غيرك ، إذا كان في ثوبك شبه النضح من دمك فلا بأس ، وإن كان دم غيرك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قليلاً أو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فاغسله</w:t>
      </w:r>
      <w:r>
        <w:rPr>
          <w:rFonts w:eastAsia="Amiri" w:cs="Amiri" w:ascii="Amiri" w:hAnsi="Amiri"/>
          <w:color w:val="111111"/>
          <w:sz w:val="28"/>
          <w:szCs w:val="28"/>
          <w:rtl w:val="true"/>
          <w:lang w:bidi="ar-SA"/>
        </w:rPr>
        <w:t>»</w:t>
      </w:r>
      <w:r>
        <w:rPr>
          <w:rStyle w:val="FootnoteAnchor"/>
          <w:rtl w:val="true"/>
        </w:rPr>
        <w:footnoteReference w:id="306"/>
      </w:r>
      <w:r>
        <w:rPr>
          <w:rFonts w:ascii="Amiri" w:hAnsi="Amiri" w:eastAsia="Amiri" w:cs="Amiri"/>
          <w:color w:val="111111"/>
          <w:sz w:val="28"/>
          <w:sz w:val="28"/>
          <w:szCs w:val="28"/>
          <w:rtl w:val="true"/>
          <w:lang w:bidi="ar-SA"/>
        </w:rPr>
        <w:t xml:space="preserve">بعد حمل ذيلها على الاستحباب في الدم القليل ، وكون المراد بالكثير مقابل النضح ؛ لعدم الفصل في الدماء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قوّة القول الأوّل </w:t>
      </w:r>
      <w:r>
        <w:rPr>
          <w:rFonts w:eastAsia="Amiri" w:cs="Amiri" w:ascii="Amiri" w:hAnsi="Amiri"/>
          <w:color w:val="111111"/>
          <w:sz w:val="28"/>
          <w:szCs w:val="28"/>
          <w:rtl w:val="true"/>
          <w:lang w:bidi="ar-SA"/>
        </w:rPr>
        <w:t>.</w:t>
      </w:r>
    </w:p>
    <w:p>
      <w:pPr>
        <w:pStyle w:val="Heading4"/>
        <w:numPr>
          <w:ilvl w:val="3"/>
          <w:numId w:val="1"/>
        </w:numPr>
        <w:rPr/>
      </w:pPr>
      <w:bookmarkStart w:id="114" w:name="__RefHeading___Toc212696_2142443653"/>
      <w:bookmarkStart w:id="115" w:name="_Toc40"/>
      <w:bookmarkEnd w:id="114"/>
      <w:r>
        <w:rPr>
          <w:rtl w:val="true"/>
        </w:rPr>
        <w:t>عدم الفرق في الدم المتفرّق بين المتفاحش وغيره</w:t>
      </w:r>
      <w:bookmarkEnd w:id="115"/>
    </w:p>
    <w:p>
      <w:pPr>
        <w:pStyle w:val="BookText"/>
        <w:rPr/>
      </w:pPr>
      <w:r>
        <w:rPr>
          <w:rFonts w:ascii="Amiri" w:hAnsi="Amiri" w:eastAsia="Amiri" w:cs="Amiri"/>
          <w:color w:val="111111"/>
          <w:sz w:val="28"/>
          <w:sz w:val="28"/>
          <w:szCs w:val="28"/>
          <w:rtl w:val="true"/>
          <w:lang w:bidi="ar-SA"/>
        </w:rPr>
        <w:t xml:space="preserve">ومقتضى إطلاق الروايات عدم الفرق بين المتفاحش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ظهور صحيحة الحلبي فيه 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انصرافها عن المتفاحش</w:t>
      </w:r>
      <w:r>
        <w:rPr>
          <w:rStyle w:val="FootnoteAnchor"/>
          <w:rtl w:val="true"/>
        </w:rPr>
        <w:footnoteReference w:id="307"/>
      </w:r>
      <w:r>
        <w:rPr>
          <w:rFonts w:ascii="Amiri" w:hAnsi="Amiri" w:eastAsia="Amiri" w:cs="Amiri"/>
          <w:color w:val="111111"/>
          <w:sz w:val="28"/>
          <w:sz w:val="28"/>
          <w:szCs w:val="28"/>
          <w:rtl w:val="true"/>
          <w:lang w:bidi="ar-SA"/>
        </w:rPr>
        <w:t xml:space="preserve">في غير محلّها ، كما أنّ الاستبعاد في الأحكام التعبّدية المجهولة المناط ، في غير محلّه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w:t>
      </w:r>
      <w:r>
        <w:rPr>
          <w:rStyle w:val="FootnoteAnchor"/>
          <w:rtl w:val="true"/>
        </w:rPr>
        <w:footnoteReference w:id="308"/>
      </w:r>
      <w:r>
        <w:rPr>
          <w:rFonts w:ascii="Amiri" w:hAnsi="Amiri" w:eastAsia="Amiri" w:cs="Amiri"/>
          <w:color w:val="111111"/>
          <w:sz w:val="28"/>
          <w:sz w:val="28"/>
          <w:szCs w:val="28"/>
          <w:rtl w:val="true"/>
          <w:lang w:bidi="ar-SA"/>
        </w:rPr>
        <w:t xml:space="preserve">فلا ركون إليها بعد ضعفها سنداً ، ووهنها متناً </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الاحتياط حسن على كلّ حال ، سيّما مع كون الثوب واحداً ، وسيّما مع التفاحش جدّاً </w:t>
      </w:r>
      <w:r>
        <w:rPr>
          <w:rFonts w:eastAsia="Amiri" w:cs="Amiri" w:ascii="Amiri" w:hAnsi="Amiri"/>
          <w:color w:val="111111"/>
          <w:sz w:val="28"/>
          <w:szCs w:val="28"/>
          <w:rtl w:val="true"/>
          <w:lang w:bidi="ar-SA"/>
        </w:rPr>
        <w:t xml:space="preserve">. </w:t>
      </w:r>
      <w:bookmarkStart w:id="116" w:name="pg15030_143071"/>
    </w:p>
    <w:p>
      <w:pPr>
        <w:pStyle w:val="Heading4"/>
        <w:numPr>
          <w:ilvl w:val="3"/>
          <w:numId w:val="1"/>
        </w:numPr>
        <w:rPr/>
      </w:pPr>
      <w:bookmarkStart w:id="117" w:name="__RefHeading___Toc212698_2142443653"/>
      <w:bookmarkStart w:id="118" w:name="_Toc41"/>
      <w:bookmarkEnd w:id="116"/>
      <w:bookmarkEnd w:id="117"/>
      <w:r>
        <w:rPr>
          <w:rtl w:val="true"/>
        </w:rPr>
        <w:t>حول ما استثني من أدلّة العفو</w:t>
      </w:r>
      <w:bookmarkEnd w:id="118"/>
    </w:p>
    <w:p>
      <w:pPr>
        <w:pStyle w:val="BookText"/>
        <w:rPr/>
      </w:pPr>
      <w:r>
        <w:rPr>
          <w:rFonts w:ascii="Amiri" w:hAnsi="Amiri" w:eastAsia="Amiri" w:cs="Amiri"/>
          <w:color w:val="111111"/>
          <w:sz w:val="28"/>
          <w:sz w:val="28"/>
          <w:szCs w:val="28"/>
          <w:rtl w:val="true"/>
          <w:lang w:bidi="ar-SA"/>
        </w:rPr>
        <w:t xml:space="preserve">ثمّ إنّه قد استثني من أدلّة العفو موارد </w:t>
      </w:r>
      <w:r>
        <w:rPr>
          <w:rFonts w:eastAsia="Amiri" w:cs="Amiri" w:ascii="Amiri" w:hAnsi="Amiri"/>
          <w:color w:val="111111"/>
          <w:sz w:val="28"/>
          <w:szCs w:val="28"/>
          <w:rtl w:val="true"/>
          <w:lang w:bidi="ar-SA"/>
        </w:rPr>
        <w:t>:</w:t>
      </w:r>
    </w:p>
    <w:p>
      <w:pPr>
        <w:pStyle w:val="Heading4"/>
        <w:numPr>
          <w:ilvl w:val="3"/>
          <w:numId w:val="1"/>
        </w:numPr>
        <w:rPr/>
      </w:pPr>
      <w:bookmarkStart w:id="119" w:name="__RefHeading___Toc212700_2142443653"/>
      <w:bookmarkStart w:id="120" w:name="_Toc42"/>
      <w:bookmarkEnd w:id="119"/>
      <w:r>
        <w:rPr>
          <w:rtl w:val="true"/>
        </w:rPr>
        <w:t xml:space="preserve">منها </w:t>
      </w:r>
      <w:r>
        <w:rPr>
          <w:rtl w:val="true"/>
        </w:rPr>
        <w:t xml:space="preserve">: </w:t>
      </w:r>
      <w:r>
        <w:rPr>
          <w:rtl w:val="true"/>
        </w:rPr>
        <w:t>الدماء الثلاثة</w:t>
      </w:r>
      <w:bookmarkEnd w:id="120"/>
    </w:p>
    <w:p>
      <w:pPr>
        <w:pStyle w:val="BookText"/>
        <w:rPr/>
      </w:pP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الشهيدين</w:t>
      </w:r>
      <w:r>
        <w:rPr>
          <w:rStyle w:val="FootnoteAnchor"/>
          <w:rtl w:val="true"/>
        </w:rPr>
        <w:footnoteReference w:id="309"/>
      </w:r>
      <w:r>
        <w:rPr>
          <w:rFonts w:ascii="Amiri" w:hAnsi="Amiri" w:eastAsia="Amiri" w:cs="Amiri"/>
          <w:color w:val="111111"/>
          <w:sz w:val="28"/>
          <w:sz w:val="28"/>
          <w:szCs w:val="28"/>
          <w:rtl w:val="true"/>
          <w:lang w:bidi="ar-SA"/>
        </w:rPr>
        <w:t xml:space="preserve">، 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w:t>
      </w:r>
      <w:r>
        <w:rPr>
          <w:rStyle w:val="FootnoteAnchor"/>
          <w:rtl w:val="true"/>
        </w:rPr>
        <w:footnoteReference w:id="310"/>
      </w:r>
      <w:r>
        <w:rPr>
          <w:rFonts w:ascii="Amiri" w:hAnsi="Amiri" w:eastAsia="Amiri" w:cs="Amiri"/>
          <w:color w:val="111111"/>
          <w:sz w:val="28"/>
          <w:sz w:val="28"/>
          <w:szCs w:val="28"/>
          <w:rtl w:val="true"/>
          <w:lang w:bidi="ar-SA"/>
        </w:rPr>
        <w:t xml:space="preserve">، ولا يبعد استظهار دعوى الإجماع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311"/>
      </w: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الخلاف فيه</w:t>
      </w:r>
      <w:r>
        <w:rPr>
          <w:rStyle w:val="FootnoteAnchor"/>
          <w:rtl w:val="true"/>
        </w:rPr>
        <w:footnoteReference w:id="312"/>
      </w:r>
      <w:r>
        <w:rPr>
          <w:rFonts w:ascii="Amiri" w:hAnsi="Amiri" w:eastAsia="Amiri" w:cs="Amiri"/>
          <w:color w:val="111111"/>
          <w:sz w:val="28"/>
          <w:sz w:val="28"/>
          <w:szCs w:val="28"/>
          <w:rtl w:val="true"/>
          <w:lang w:bidi="ar-SA"/>
        </w:rPr>
        <w:t xml:space="preserve">، بل عن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دين الإمامية</w:t>
      </w:r>
      <w:r>
        <w:rPr>
          <w:rStyle w:val="FootnoteAnchor"/>
          <w:rtl w:val="true"/>
        </w:rPr>
        <w:footnoteReference w:id="3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إلحاق النفاس بالحيض</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مضافاً إلى رواية أبي بصير المتقدّمة</w:t>
      </w:r>
      <w:r>
        <w:rPr>
          <w:rStyle w:val="FootnoteAnchor"/>
          <w:rtl w:val="true"/>
        </w:rPr>
        <w:footnoteReference w:id="315"/>
      </w:r>
      <w:r>
        <w:rPr>
          <w:rFonts w:ascii="IRNazanin" w:hAnsi="IRNazanin" w:eastAsia="IRNazanin"/>
          <w:color w:val="111111"/>
          <w:sz w:val="28"/>
          <w:sz w:val="28"/>
          <w:szCs w:val="28"/>
          <w:rtl w:val="true"/>
          <w:lang w:bidi="fa-IR"/>
        </w:rPr>
        <w:t xml:space="preserve">بالنسبة إلى دم الحيض ، وهي مرويّة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 أو أبي عبداللّه علیهما السلام</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عن أبي عبداللّه وأبي جعفر علیهما السلام كليهما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والإشكال فيها بالقطع</w:t>
      </w:r>
      <w:r>
        <w:rPr>
          <w:rStyle w:val="FootnoteAnchor"/>
          <w:rtl w:val="true"/>
        </w:rPr>
        <w:footnoteReference w:id="317"/>
      </w:r>
      <w:r>
        <w:rPr>
          <w:rFonts w:ascii="IRNazanin" w:hAnsi="IRNazanin" w:eastAsia="IRNazanin"/>
          <w:color w:val="111111"/>
          <w:sz w:val="28"/>
          <w:sz w:val="28"/>
          <w:szCs w:val="28"/>
          <w:rtl w:val="true"/>
          <w:lang w:bidi="fa-IR"/>
        </w:rPr>
        <w:t xml:space="preserve">غير وجيه ، مضافاً إلى أنّ قطع مثل أبي بصير لا يضرّ ؛ بعد القطع بأنّ مثله لا يقول إلاّ مع السماع عن المعصوم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أنّ تضعيفها بأبي سعيد المُكاري</w:t>
      </w:r>
      <w:r>
        <w:rPr>
          <w:rStyle w:val="FootnoteAnchor"/>
          <w:rtl w:val="true"/>
        </w:rPr>
        <w:footnoteReference w:id="318"/>
      </w:r>
      <w:r>
        <w:rPr>
          <w:rFonts w:ascii="Amiri" w:hAnsi="Amiri" w:eastAsia="Amiri" w:cs="Amiri"/>
          <w:color w:val="111111"/>
          <w:sz w:val="28"/>
          <w:sz w:val="28"/>
          <w:szCs w:val="28"/>
          <w:rtl w:val="true"/>
          <w:lang w:bidi="ar-SA"/>
        </w:rPr>
        <w:t>في غير محلّه بعد الجبر بعمل الأصحاب ، كما أشار إليه المحقّق</w:t>
      </w:r>
      <w:r>
        <w:rPr>
          <w:rStyle w:val="FootnoteAnchor"/>
          <w:rtl w:val="true"/>
        </w:rPr>
        <w:footnoteReference w:id="319"/>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وظاهرها بل صريحها عدم العفو عن الأقلّ من الدرهم ، فإنّ الاستثناء فيه عن دم لم تبصره ، وهو أقلّ من الدرهم ، فالمراد بالقليل هو مثل ما في المستثنى منه ، وهو واضح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دم النفاس ، فمضافاً إلى الإجماعات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يضرّ بها نسبة الإلحاق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الشيخ ؛ بحيث يظهر منه اختصاصه به</w:t>
      </w:r>
      <w:r>
        <w:rPr>
          <w:rStyle w:val="FootnoteAnchor"/>
          <w:rtl w:val="true"/>
        </w:rPr>
        <w:footnoteReference w:id="320"/>
      </w:r>
      <w:r>
        <w:rPr>
          <w:rFonts w:ascii="Amiri" w:hAnsi="Amiri" w:eastAsia="Amiri" w:cs="Amiri"/>
          <w:color w:val="111111"/>
          <w:sz w:val="28"/>
          <w:sz w:val="28"/>
          <w:szCs w:val="28"/>
          <w:rtl w:val="true"/>
          <w:lang w:bidi="ar-SA"/>
        </w:rPr>
        <w:t>، فإنّه خلاف الوجدان ؛ لأنّ كثيراً ممّن تقدّم على المحقّق لم يفرّق بين الدماء الثلاثة ، بل ادّعى</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الإجماع أو عدم الخلاف عليه</w:t>
      </w:r>
      <w:r>
        <w:rPr>
          <w:rStyle w:val="FootnoteAnchor"/>
          <w:rtl w:val="true"/>
        </w:rPr>
        <w:footnoteReference w:id="3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الإجماعات المدّعاة في اتّحاد حكم النفاس مع الحيض إلاّ فيما استثني</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وأمّا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النفاس حيض محتبس</w:t>
      </w:r>
      <w:r>
        <w:rPr>
          <w:rStyle w:val="FootnoteAnchor"/>
          <w:rtl w:val="true"/>
        </w:rPr>
        <w:footnoteReference w:id="323"/>
      </w:r>
      <w:r>
        <w:rPr>
          <w:rFonts w:ascii="Amiri" w:hAnsi="Amiri" w:eastAsia="Amiri" w:cs="Amiri"/>
          <w:color w:val="111111"/>
          <w:sz w:val="28"/>
          <w:sz w:val="28"/>
          <w:szCs w:val="28"/>
          <w:rtl w:val="true"/>
          <w:lang w:bidi="ar-SA"/>
        </w:rPr>
        <w:t xml:space="preserve">، فقد مرّ في محلّه أ نّه لا دليل عليها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دم الاستحاضة ، فمضافاً إلى ما تقدّم ، تدلّ على عدم العفو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الإجماعات المستفيضة المنقولة</w:t>
      </w:r>
      <w:r>
        <w:rPr>
          <w:rStyle w:val="FootnoteAnchor"/>
          <w:rtl w:val="true"/>
        </w:rPr>
        <w:footnoteReference w:id="325"/>
      </w:r>
      <w:r>
        <w:rPr>
          <w:rFonts w:ascii="Amiri" w:hAnsi="Amiri" w:eastAsia="Amiri" w:cs="Amiri"/>
          <w:color w:val="111111"/>
          <w:sz w:val="28"/>
          <w:sz w:val="28"/>
          <w:szCs w:val="28"/>
          <w:rtl w:val="true"/>
          <w:lang w:bidi="ar-SA"/>
        </w:rPr>
        <w:t xml:space="preserve">والشهرة المحقّقة على لزوم تبديل القطنة في أوقات الصلاة في القليلة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الغالب فيها عدم بلوغ الدم مقدار الدرهم ، سيّما إذا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مقداره قدر أخمص الراحة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فالشهرة قائمة على وجوب التبديل من غير تفصيل من الصدر الأوّل ، وهي الحجّة القاطعة ، سيّما مع ما مرّ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إطلاق الأدلّة على خلاف الإجماعات والشهرات</w:t>
      </w:r>
      <w:r>
        <w:rPr>
          <w:rStyle w:val="FootnoteAnchor"/>
          <w:rtl w:val="true"/>
        </w:rPr>
        <w:footnoteReference w:id="326"/>
      </w:r>
      <w:r>
        <w:rPr>
          <w:rFonts w:ascii="Amiri" w:hAnsi="Amiri" w:eastAsia="Amiri" w:cs="Amiri"/>
          <w:color w:val="111111"/>
          <w:sz w:val="28"/>
          <w:sz w:val="28"/>
          <w:szCs w:val="28"/>
          <w:rtl w:val="true"/>
          <w:lang w:bidi="ar-SA"/>
        </w:rPr>
        <w:t xml:space="preserve">، ومعه يزيد الوثوق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شبهة في أنّ التبديل ليس واجباً تعبّدياً نفسياً ، بل لمانعيته عن الصلاة ، كما لا شبهة في أنّ الظاهر من الأدلّة أنّ المانع هو الدم بما هو من غير دخالة للقطنة والمحلّ فيه ، ولهذا قلنا بلزوم تبديل الخرقة أيضاً إن تلوّثت به</w:t>
      </w:r>
      <w:r>
        <w:rPr>
          <w:rStyle w:val="FootnoteAnchor"/>
          <w:rtl w:val="true"/>
        </w:rPr>
        <w:footnoteReference w:id="327"/>
      </w:r>
      <w:r>
        <w:rPr>
          <w:rFonts w:ascii="Amiri" w:hAnsi="Amiri" w:eastAsia="Amiri" w:cs="Amiri"/>
          <w:color w:val="111111"/>
          <w:sz w:val="28"/>
          <w:sz w:val="28"/>
          <w:szCs w:val="28"/>
          <w:rtl w:val="true"/>
          <w:lang w:bidi="ar-SA"/>
        </w:rPr>
        <w:t xml:space="preserve">، فيستفاد منها مانعيته في الثوب والبدن ؛ قليلاً كان أو كثيراً </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يمكن الاستدلال عليه بإطلاق بعض ما ورد في المستحاضة المتوسّطة على لزوم تبديل القطنة</w:t>
      </w:r>
      <w:r>
        <w:rPr>
          <w:rStyle w:val="FootnoteAnchor"/>
          <w:rtl w:val="true"/>
        </w:rPr>
        <w:footnoteReference w:id="328"/>
      </w:r>
      <w:r>
        <w:rPr>
          <w:rFonts w:ascii="Amiri" w:hAnsi="Amiri" w:eastAsia="Amiri" w:cs="Amiri"/>
          <w:color w:val="111111"/>
          <w:sz w:val="28"/>
          <w:sz w:val="28"/>
          <w:szCs w:val="28"/>
          <w:rtl w:val="true"/>
          <w:lang w:bidi="ar-SA"/>
        </w:rPr>
        <w:t xml:space="preserve">؛ لعدم ملازمة التوسّط مع كون الدم بمقدار </w:t>
      </w:r>
      <w:bookmarkStart w:id="121" w:name="pg15030_143074"/>
    </w:p>
    <w:p>
      <w:pPr>
        <w:pStyle w:val="BookText"/>
        <w:rPr/>
      </w:pPr>
      <w:bookmarkEnd w:id="121"/>
      <w:r>
        <w:rPr>
          <w:rFonts w:ascii="Amiri" w:hAnsi="Amiri" w:eastAsia="Amiri" w:cs="Amiri"/>
          <w:color w:val="111111"/>
          <w:sz w:val="28"/>
          <w:sz w:val="28"/>
          <w:szCs w:val="28"/>
          <w:rtl w:val="true"/>
          <w:lang w:bidi="ar-SA"/>
        </w:rPr>
        <w:t xml:space="preserve">الدرهم ، فإنّ الميزان فيه هو ثقب القطن ، ولا يلزم منه أكثريته منه ، فلو منع ذلك فيكفي ما 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فإلحاقهما بالحيض مع أ نّه أحوط ، لا يخلو من قوّة </w:t>
      </w:r>
      <w:r>
        <w:rPr>
          <w:rFonts w:eastAsia="Amiri" w:cs="Amiri" w:ascii="Amiri" w:hAnsi="Amiri"/>
          <w:color w:val="111111"/>
          <w:sz w:val="28"/>
          <w:szCs w:val="28"/>
          <w:rtl w:val="true"/>
          <w:lang w:bidi="ar-SA"/>
        </w:rPr>
        <w:t>.</w:t>
      </w:r>
    </w:p>
    <w:p>
      <w:pPr>
        <w:pStyle w:val="Heading4"/>
        <w:numPr>
          <w:ilvl w:val="3"/>
          <w:numId w:val="1"/>
        </w:numPr>
        <w:rPr/>
      </w:pPr>
      <w:bookmarkStart w:id="122" w:name="__RefHeading___Toc212702_2142443653"/>
      <w:bookmarkStart w:id="123" w:name="_Toc43"/>
      <w:bookmarkEnd w:id="122"/>
      <w:r>
        <w:rPr>
          <w:rtl w:val="true"/>
        </w:rPr>
        <w:t xml:space="preserve">ومنها </w:t>
      </w:r>
      <w:r>
        <w:rPr>
          <w:rtl w:val="true"/>
        </w:rPr>
        <w:t xml:space="preserve">: </w:t>
      </w:r>
      <w:r>
        <w:rPr>
          <w:rtl w:val="true"/>
        </w:rPr>
        <w:t>دم نجس العين</w:t>
      </w:r>
      <w:bookmarkEnd w:id="123"/>
    </w:p>
    <w:p>
      <w:pPr>
        <w:pStyle w:val="BookText"/>
        <w:rPr/>
      </w:pPr>
      <w:r>
        <w:rPr>
          <w:rFonts w:ascii="Amiri" w:hAnsi="Amiri" w:eastAsia="Amiri" w:cs="Amiri"/>
          <w:color w:val="111111"/>
          <w:sz w:val="28"/>
          <w:sz w:val="28"/>
          <w:szCs w:val="28"/>
          <w:rtl w:val="true"/>
          <w:lang w:bidi="ar-SA"/>
        </w:rPr>
        <w:t xml:space="preserve">فقد استثناه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سائر كتبه ذلك</w:t>
      </w:r>
      <w:r>
        <w:rPr>
          <w:rStyle w:val="FootnoteAnchor"/>
          <w:rtl w:val="true"/>
        </w:rPr>
        <w:footnoteReference w:id="329"/>
      </w:r>
      <w:r>
        <w:rPr>
          <w:rFonts w:ascii="Amiri" w:hAnsi="Amiri" w:eastAsia="Amiri" w:cs="Amiri"/>
          <w:color w:val="111111"/>
          <w:sz w:val="28"/>
          <w:sz w:val="28"/>
          <w:szCs w:val="28"/>
          <w:rtl w:val="true"/>
          <w:lang w:bidi="ar-SA"/>
        </w:rPr>
        <w:t>، بل عن جملة من الأصحاب استثناؤه</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الطوسي</w:t>
      </w:r>
      <w:r>
        <w:rPr>
          <w:rStyle w:val="FootnoteAnchor"/>
          <w:rtl w:val="true"/>
        </w:rPr>
        <w:footnoteReference w:id="331"/>
      </w:r>
      <w:r>
        <w:rPr>
          <w:rFonts w:ascii="Amiri" w:hAnsi="Amiri" w:eastAsia="Amiri" w:cs="Amiri"/>
          <w:color w:val="111111"/>
          <w:sz w:val="28"/>
          <w:sz w:val="28"/>
          <w:szCs w:val="28"/>
          <w:rtl w:val="true"/>
          <w:lang w:bidi="ar-SA"/>
        </w:rPr>
        <w:t>والراوندي</w:t>
      </w:r>
      <w:r>
        <w:rPr>
          <w:rStyle w:val="FootnoteAnchor"/>
          <w:rtl w:val="true"/>
        </w:rPr>
        <w:footnoteReference w:id="332"/>
      </w:r>
      <w:r>
        <w:rPr>
          <w:rFonts w:ascii="Amiri" w:hAnsi="Amiri" w:eastAsia="Amiri" w:cs="Amiri"/>
          <w:color w:val="111111"/>
          <w:sz w:val="28"/>
          <w:sz w:val="28"/>
          <w:szCs w:val="28"/>
          <w:rtl w:val="true"/>
          <w:lang w:bidi="ar-SA"/>
        </w:rPr>
        <w:t>استثناء دم الكلب والخنزير ، وربّما ينسب إليهما استثناء مطلق دم نجس العين</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نسبة استثناء دم الكلب والخنزير إلى الراوندي معلّلاً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 نّه دم نجس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خطأ عظيم وزلل فاحش ؛ لأنّ هذا هدم وخرق لإجماع أصحابنا</w:t>
      </w:r>
      <w:r>
        <w:rPr>
          <w:rFonts w:eastAsia="Amiri" w:cs="Amiri" w:ascii="Amiri" w:hAnsi="Amiri"/>
          <w:color w:val="111111"/>
          <w:sz w:val="28"/>
          <w:szCs w:val="28"/>
          <w:rtl w:val="true"/>
          <w:lang w:bidi="ar-SA"/>
        </w:rPr>
        <w:t>»</w:t>
      </w:r>
      <w:r>
        <w:rPr>
          <w:rStyle w:val="FootnoteAnchor"/>
          <w:rtl w:val="true"/>
        </w:rPr>
        <w:footnoteReference w:id="334"/>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استدلّ عليه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ملاقاة دم نجس العين لسائر أجزائه ، موجبة لطروّ </w:t>
      </w:r>
    </w:p>
    <w:p>
      <w:pPr>
        <w:pStyle w:val="BookText"/>
        <w:rPr/>
      </w:pPr>
      <w:r>
        <w:rPr>
          <w:rFonts w:ascii="Amiri" w:hAnsi="Amiri" w:eastAsia="Amiri" w:cs="Amiri"/>
          <w:color w:val="111111"/>
          <w:sz w:val="28"/>
          <w:sz w:val="28"/>
          <w:szCs w:val="28"/>
          <w:rtl w:val="true"/>
          <w:lang w:bidi="ar-SA"/>
        </w:rPr>
        <w:t xml:space="preserve">نجاسة اُخرى عليه منها ، وهي غير معفوّ عنها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أدلّة العفو عن الدم ناظرة إلى العفو عنه ، لا عنه وعن ملاقيه ، كما لو لاقى نجاسة اُخرى كالعذرة والبول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دم نجس العين منطبَق عنوانين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دماً ، وهو مانع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جزء من نجس العين ، وهو مانع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دلّ على العفو عن الدم قاصر عن الدلالة على العفو عن العنوان الثاني</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دم نجس العين من أجزاء غير المأكول ، وهو مانع آخر ، فالعفو عن الدم لا عنه</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وسيأتي الكلام في هذا الأخير </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الوجه الأوّل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لا دليل على انفعال أجزاء نجس العين بعضها ببعض ، بل ولا انفعال نجس بمثله ، فلا يتنجّس بول من بول آخر ، ولا بعض أجزاء الكافر بملاقاة بعض آخر من أجزائه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دليل على تنجّس النجاسات بملاقاة بعضها مع بعض حتّى فيما إذا كان أحد النجسين أغلظ وأشدّ ؛ لعدم إطلاق أو عموم في أدلّة الانفعال بالملاقاة ، وعدم إمكان إلغاء الخصوصية من الموارد الجزئية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ولهذا لا يبعد القول بالعفو فيما إذا لاقى الدم المعفوّ عنه نجاسة اُخرى ؛ إذا لم تكن أجزاؤها محقّقةً فيه فعلاً ، بل استهلكت فيه ، ومع عدم ملاقاتها للجسد ، فإنّه مع ملاقاته يشكل العفو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شبهة في عدم الدليل على تنجّس دم نجس العين بملاقاة أجزائه ، فلا يكون دمه نجساً ذاتاً وعرضاً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الوجه الثاني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لا دليل على مانعية أجزاء نجس العين بما أ نّه أجزاؤه ؛ بمعنى أنّ جزء الكلب بما أ نّه كلب يكون مانعاً ، بل الظاهر من الأدلّة أنّ</w:t>
      </w:r>
    </w:p>
    <w:p>
      <w:pPr>
        <w:pStyle w:val="BookText"/>
        <w:rPr/>
      </w:pPr>
      <w:r>
        <w:rPr>
          <w:rFonts w:ascii="Amiri" w:hAnsi="Amiri" w:eastAsia="Amiri" w:cs="Amiri"/>
          <w:color w:val="111111"/>
          <w:sz w:val="28"/>
          <w:sz w:val="28"/>
          <w:szCs w:val="28"/>
          <w:rtl w:val="true"/>
          <w:lang w:bidi="ar-SA"/>
        </w:rPr>
        <w:t xml:space="preserve">المانع النجاسة ، فأجزاء الكلب بما أ نّها نجسة مانعة عن الصلاة لا بما أ نّها أجزاؤه ، وكذا الدم ليس بعنوانه مانعاً ، فلا يكون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نجس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مانعاً آخر مغايراً لمانعية النجس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غير المأكول</w:t>
      </w:r>
    </w:p>
    <w:p>
      <w:pPr>
        <w:pStyle w:val="BookText"/>
        <w:rPr/>
      </w:pPr>
      <w:r>
        <w:rPr>
          <w:rFonts w:ascii="IRNazanin" w:hAnsi="IRNazanin" w:eastAsia="IRNazanin"/>
          <w:color w:val="111111"/>
          <w:sz w:val="28"/>
          <w:sz w:val="28"/>
          <w:szCs w:val="28"/>
          <w:rtl w:val="true"/>
          <w:lang w:bidi="fa-IR"/>
        </w:rPr>
        <w:t>فقد استثناه من العفو بعضهم</w:t>
      </w:r>
      <w:r>
        <w:rPr>
          <w:rStyle w:val="FootnoteAnchor"/>
          <w:rtl w:val="true"/>
        </w:rPr>
        <w:footnoteReference w:id="338"/>
      </w:r>
      <w:r>
        <w:rPr>
          <w:rFonts w:ascii="Amiri" w:hAnsi="Amiri" w:eastAsia="Amiri" w:cs="Amiri"/>
          <w:color w:val="111111"/>
          <w:sz w:val="28"/>
          <w:sz w:val="28"/>
          <w:szCs w:val="28"/>
          <w:rtl w:val="true"/>
          <w:lang w:bidi="ar-SA"/>
        </w:rPr>
        <w:t>، وعن الاُستاذ اختياره</w:t>
      </w:r>
      <w:r>
        <w:rPr>
          <w:rStyle w:val="FootnoteAnchor"/>
          <w:rtl w:val="true"/>
        </w:rPr>
        <w:footnoteReference w:id="339"/>
      </w:r>
      <w:r>
        <w:rPr>
          <w:rFonts w:ascii="Amiri" w:hAnsi="Amiri" w:eastAsia="Amiri" w:cs="Amiri"/>
          <w:color w:val="111111"/>
          <w:sz w:val="28"/>
          <w:sz w:val="28"/>
          <w:szCs w:val="28"/>
          <w:rtl w:val="true"/>
          <w:lang w:bidi="ar-SA"/>
        </w:rPr>
        <w:t>، وهو مخالف لتضاعيف كلمات الفقهاء ، حيث اقتصروا على استثناء الدماء الثلاثة ، أو مع نجس العين</w:t>
      </w:r>
      <w:r>
        <w:rPr>
          <w:rStyle w:val="FootnoteAnchor"/>
          <w:rtl w:val="true"/>
        </w:rPr>
        <w:footnoteReference w:id="340"/>
      </w:r>
      <w:r>
        <w:rPr>
          <w:rFonts w:ascii="Amiri" w:hAnsi="Amiri" w:eastAsia="Amiri" w:cs="Amiri"/>
          <w:color w:val="111111"/>
          <w:sz w:val="28"/>
          <w:sz w:val="28"/>
          <w:szCs w:val="28"/>
          <w:rtl w:val="true"/>
          <w:lang w:bidi="ar-SA"/>
        </w:rPr>
        <w:t>، ولإجماع الحلّي</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العفو إطلاق أدلّته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الانصراف فاسدة جدّاً ، كدعوى</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معارضتها لموثّقة ابن بكير</w:t>
      </w:r>
      <w:r>
        <w:rPr>
          <w:rStyle w:val="FootnoteAnchor"/>
          <w:rtl w:val="true"/>
        </w:rPr>
        <w:footnoteReference w:id="343"/>
      </w:r>
      <w:r>
        <w:rPr>
          <w:rFonts w:ascii="Amiri" w:hAnsi="Amiri" w:eastAsia="Amiri" w:cs="Amiri"/>
          <w:color w:val="111111"/>
          <w:sz w:val="28"/>
          <w:sz w:val="28"/>
          <w:szCs w:val="28"/>
          <w:rtl w:val="true"/>
          <w:lang w:bidi="ar-SA"/>
        </w:rPr>
        <w:t xml:space="preserve">فإنّها حاكمة عليها أوّلاً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قريباً عدم شمول الموثّقة للدم والمنيّ المانعين عن الصلاة ؛ سواء كانا من مأكول اللحم أو غيره ، ثانياً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ومثلها في الضعف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أدلّة العفو متعرّضة لحيثية نجاسة الدم لا لحيثية</w:t>
      </w:r>
    </w:p>
    <w:p>
      <w:pPr>
        <w:pStyle w:val="BookText"/>
        <w:rPr/>
      </w:pPr>
      <w:r>
        <w:rPr>
          <w:rFonts w:ascii="Amiri" w:hAnsi="Amiri" w:eastAsia="Amiri" w:cs="Amiri"/>
          <w:color w:val="111111"/>
          <w:sz w:val="28"/>
          <w:sz w:val="28"/>
          <w:szCs w:val="28"/>
          <w:rtl w:val="true"/>
          <w:lang w:bidi="ar-SA"/>
        </w:rPr>
        <w:t>اُخرى منطبقة عليه ؛ وهو كونه من غير المأكول</w:t>
      </w:r>
      <w:r>
        <w:rPr>
          <w:rStyle w:val="FootnoteAnchor"/>
          <w:rtl w:val="true"/>
        </w:rPr>
        <w:footnoteReference w:id="344"/>
      </w:r>
      <w:r>
        <w:rPr>
          <w:rFonts w:ascii="Amiri" w:hAnsi="Amiri" w:eastAsia="Amiri" w:cs="Amiri"/>
          <w:color w:val="111111"/>
          <w:sz w:val="28"/>
          <w:sz w:val="28"/>
          <w:szCs w:val="28"/>
          <w:rtl w:val="true"/>
          <w:lang w:bidi="ar-SA"/>
        </w:rPr>
        <w:t xml:space="preserve">، ضرورة أ نّه ليس فيها ما يمكن استشمام تعرّضها لحيثية نجاسته ، بل الموضوع فيها نفس الدم ، ومقتضى إطلاقها عدم مانعيته بأيّ عنوان منطبق عليه ذاتاً ، فلا قصور فيها لشمول مطلق الدماء ؛ من المأكول أو غيره ، نجس العين أو غيره ، وقد عرفت حكومتها على موثّقة ابن بكير وإن كان بينهما عموم من 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قوّة إطلاق الموثّقة بل صراحتها في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كدعوى إبائها عن التقييد</w:t>
      </w:r>
      <w:r>
        <w:rPr>
          <w:rStyle w:val="FootnoteAnchor"/>
          <w:rtl w:val="true"/>
        </w:rPr>
        <w:footnoteReference w:id="3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مردودة على مدّعيها </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وأضعف من الجميع استبعاد العفو عن الدم القليل من غير المأكول مع كونه نجساً ، وعدم العفو عن سائر أجزائه مع طهارتها </w:t>
      </w:r>
      <w:r>
        <w:rPr>
          <w:rStyle w:val="FootnoteAnchor"/>
          <w:rtl w:val="true"/>
        </w:rPr>
        <w:footnoteReference w:id="346"/>
      </w:r>
      <w:r>
        <w:rPr>
          <w:rFonts w:ascii="Amiri" w:hAnsi="Amiri" w:eastAsia="Amiri" w:cs="Amiri"/>
          <w:color w:val="111111"/>
          <w:sz w:val="28"/>
          <w:sz w:val="28"/>
          <w:szCs w:val="28"/>
          <w:rtl w:val="true"/>
          <w:lang w:bidi="ar-SA"/>
        </w:rPr>
        <w:t xml:space="preserve">؛ ضرورة عدم طريق للعقول </w:t>
      </w:r>
      <w:bookmarkStart w:id="124" w:name="pg15030_143078"/>
    </w:p>
    <w:p>
      <w:pPr>
        <w:pStyle w:val="BookText"/>
        <w:rPr/>
      </w:pPr>
      <w:bookmarkEnd w:id="124"/>
      <w:r>
        <w:rPr>
          <w:rFonts w:ascii="Amiri" w:hAnsi="Amiri" w:eastAsia="Amiri" w:cs="Amiri"/>
          <w:color w:val="111111"/>
          <w:sz w:val="28"/>
          <w:sz w:val="28"/>
          <w:szCs w:val="28"/>
          <w:rtl w:val="true"/>
          <w:lang w:bidi="ar-SA"/>
        </w:rPr>
        <w:t>إلى فهم مناطات الأحكام التعبّدية ، وإلاّ فأيّ فارق عند العقول بين الدم</w:t>
      </w:r>
    </w:p>
    <w:p>
      <w:pPr>
        <w:pStyle w:val="BookText"/>
        <w:rPr/>
      </w:pPr>
      <w:r>
        <w:rPr>
          <w:rFonts w:ascii="Amiri" w:hAnsi="Amiri" w:eastAsia="Amiri" w:cs="Amiri"/>
          <w:color w:val="111111"/>
          <w:sz w:val="28"/>
          <w:sz w:val="28"/>
          <w:szCs w:val="28"/>
          <w:rtl w:val="true"/>
          <w:lang w:bidi="ar-SA"/>
        </w:rPr>
        <w:t xml:space="preserve">وغيره ، وبين مقدار الدرهم والأقلّ منه ، وبين دم القروح والجروح وغيره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غير ذلك من التعبّديات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فالفقيه كلّ الفقيه من يقف على التعبّديات ، ولا يستبعد شيئاً منها بعد ما رأى</w:t>
      </w:r>
    </w:p>
    <w:p>
      <w:pPr>
        <w:pStyle w:val="BookText"/>
        <w:rPr/>
      </w:pPr>
      <w:r>
        <w:rPr>
          <w:rFonts w:ascii="Amiri" w:hAnsi="Amiri" w:eastAsia="Amiri" w:cs="Amiri"/>
          <w:color w:val="111111"/>
          <w:sz w:val="28"/>
          <w:sz w:val="28"/>
          <w:szCs w:val="28"/>
          <w:rtl w:val="true"/>
          <w:lang w:bidi="ar-SA"/>
        </w:rPr>
        <w:t>رواية أبان في الدية</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5" w:name="__RefHeading___Toc212704_2142443653"/>
      <w:bookmarkStart w:id="126" w:name="_Toc44"/>
      <w:bookmarkEnd w:id="125"/>
      <w:r>
        <w:rPr>
          <w:rtl w:val="true"/>
        </w:rPr>
        <w:t>تعيين سعة الدرهم</w:t>
      </w:r>
      <w:bookmarkEnd w:id="126"/>
    </w:p>
    <w:p>
      <w:pPr>
        <w:pStyle w:val="BookText"/>
        <w:rPr/>
      </w:pPr>
      <w:r>
        <w:rPr>
          <w:rFonts w:ascii="Amiri" w:hAnsi="Amiri" w:eastAsia="Amiri" w:cs="Amiri"/>
          <w:color w:val="111111"/>
          <w:sz w:val="28"/>
          <w:sz w:val="28"/>
          <w:szCs w:val="28"/>
          <w:rtl w:val="true"/>
          <w:lang w:bidi="ar-SA"/>
        </w:rPr>
        <w:t xml:space="preserve">ثمّ إنّ البحث في أطراف كون الدرهم هو البغلي أو الوافي ، وكونهما واحداً أو متعدّداً ، وكون وزنه درهماً وثلثاً ، لا فائدة فيه في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هو 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البحث عن تعيين سعته التي هي موضوع الحكم نصّاً وفتوى ، لكن لا طريق لنا إليه ؛ لاختلاف الكلمات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نسب إلى الحلّي من كونه قريباً من أخمص الراحة</w:t>
      </w:r>
      <w:r>
        <w:rPr>
          <w:rStyle w:val="FootnoteAnchor"/>
          <w:rtl w:val="true"/>
        </w:rPr>
        <w:footnoteReference w:id="348"/>
      </w:r>
      <w:r>
        <w:rPr>
          <w:rFonts w:ascii="Amiri" w:hAnsi="Amiri" w:eastAsia="Amiri" w:cs="Amiri"/>
          <w:color w:val="111111"/>
          <w:sz w:val="28"/>
          <w:sz w:val="28"/>
          <w:szCs w:val="28"/>
          <w:rtl w:val="true"/>
          <w:lang w:bidi="ar-SA"/>
        </w:rPr>
        <w:t xml:space="preserve">ليس على ما ينبغي ؛ قال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الشارع عفى عن ثوب وبدن أصابه منه دون سعة الدرهم الوافي المضروب من درهم وثلث </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وبعضهم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قدر الدرهم البغلي المضروب المنسوب إلى مدينة قديمة يقال 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قريب من فرسخ ، متّصلة ببلد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يجد فيها الحَفَرة دراهم واسعة ، شاهدت درهماً من تلك الدراهم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الدرهم أوسع من الدينار المضروب بمدينة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المعتاد ، يقرب سعته من سعة أخمص الراحة</w:t>
      </w:r>
      <w:r>
        <w:rPr>
          <w:rFonts w:eastAsia="Amiri" w:cs="Amiri" w:ascii="Amiri" w:hAnsi="Amiri"/>
          <w:color w:val="111111"/>
          <w:sz w:val="28"/>
          <w:szCs w:val="28"/>
          <w:rtl w:val="true"/>
          <w:lang w:bidi="ar-SA"/>
        </w:rPr>
        <w:t>»</w:t>
      </w:r>
      <w:r>
        <w:rPr>
          <w:rStyle w:val="FootnoteAnchor"/>
          <w:rtl w:val="true"/>
        </w:rPr>
        <w:footnoteReference w:id="349"/>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كما ترى بعد الغضّ عن نحو إجمال فيه ، ليس شهادة برؤية الدرهم الوافي وأنّ سعته كذا ، بل شهادة برؤية درهم ممّا وجدها الحَفَرة ، من غير تعرّض لكون ما شاهده عين الوافي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الشهادة في ذلك مبنيّة على الحدس والاجتهاد ولو فرض رسم فيه يدلّ على كونه وافياً أو بغلياً ؛ لاحتمال ضرب الحَفَرة دراهم على نعت الدراهم القديمة اختلاقاً ؛ لجلب الأنظار وبيعها بثمن غالٍ على طالبي الآثار القديمة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 نّه لا اعتماد على مدّعي الخبرة في هذا العصر ، ولا على الدراهم المنقوشة ممّا يزعم الناظر أ نّها من الآثار القديمة ؛ لكثرة الخدعة والاختلاق ، وعدم الوثوق بأقوالهم وما في أيديهم </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فمقتضى القاعدة الاقتصار على الأقلّ فيما دار الأمر بينه وبين الأقلّ منه </w:t>
      </w:r>
      <w:r>
        <w:rPr>
          <w:rFonts w:eastAsia="Amiri" w:cs="Amiri" w:ascii="Amiri" w:hAnsi="Amiri"/>
          <w:color w:val="111111"/>
          <w:sz w:val="28"/>
          <w:szCs w:val="28"/>
          <w:rtl w:val="true"/>
          <w:lang w:bidi="ar-SA"/>
        </w:rPr>
        <w:t xml:space="preserve">. </w:t>
      </w:r>
      <w:bookmarkStart w:id="127" w:name="pg15030_143080"/>
    </w:p>
    <w:p>
      <w:pPr>
        <w:pStyle w:val="Heading3"/>
        <w:numPr>
          <w:ilvl w:val="2"/>
          <w:numId w:val="1"/>
        </w:numPr>
        <w:rPr/>
      </w:pPr>
      <w:bookmarkStart w:id="128" w:name="__RefHeading___Toc212706_2142443653"/>
      <w:bookmarkStart w:id="129" w:name="_Toc45"/>
      <w:bookmarkEnd w:id="127"/>
      <w:bookmarkEnd w:id="128"/>
      <w:r>
        <w:rPr>
          <w:rtl w:val="true"/>
        </w:rPr>
        <w:t>المطلب الثالث</w:t>
      </w:r>
      <w:r>
        <w:rPr>
          <w:rtl w:val="true"/>
        </w:rPr>
        <w:t xml:space="preserve">: </w:t>
      </w:r>
      <w:r>
        <w:rPr>
          <w:rtl w:val="true"/>
        </w:rPr>
        <w:t>في إدخال النجاسات في المساجد</w:t>
      </w:r>
      <w:bookmarkEnd w:id="129"/>
    </w:p>
    <w:p>
      <w:pPr>
        <w:pStyle w:val="Heading4"/>
        <w:numPr>
          <w:ilvl w:val="3"/>
          <w:numId w:val="1"/>
        </w:numPr>
        <w:rPr/>
      </w:pPr>
      <w:bookmarkStart w:id="130" w:name="__RefHeading___Toc212708_2142443653"/>
      <w:bookmarkStart w:id="131" w:name="_Toc46"/>
      <w:bookmarkEnd w:id="130"/>
      <w:r>
        <w:rPr>
          <w:rtl w:val="true"/>
        </w:rPr>
        <w:t>حكم النجاسات غير المتعدّية</w:t>
      </w:r>
      <w:bookmarkEnd w:id="131"/>
    </w:p>
    <w:p>
      <w:pPr>
        <w:pStyle w:val="BookText"/>
        <w:rPr/>
      </w:pPr>
      <w:r>
        <w:rPr>
          <w:rFonts w:ascii="Amiri" w:hAnsi="Amiri" w:eastAsia="Amiri" w:cs="Amiri"/>
          <w:color w:val="111111"/>
          <w:sz w:val="28"/>
          <w:sz w:val="28"/>
          <w:szCs w:val="28"/>
          <w:rtl w:val="true"/>
          <w:lang w:bidi="ar-SA"/>
        </w:rPr>
        <w:t xml:space="preserve">ومن أحكام النجاسات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إدخالها في المساجد ولو مع عدم التعدّي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يجوز للمشركين أن يدخلوا المسجد الحرام ، ولا شيئاً من المساجد ؛ لا بإذن ولا بغير إذن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تمسّك بالآية الشريفة 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ثبت نجاستهم فلا يجوز أن يدخلوا شيئاً من المساجد ؛ لأ نّه لا خلاف في أنّ المساجد يجب أن تجنّب النجاسات</w:t>
      </w:r>
      <w:r>
        <w:rPr>
          <w:rFonts w:eastAsia="Amiri" w:cs="Amiri" w:ascii="Amiri" w:hAnsi="Amiri"/>
          <w:color w:val="111111"/>
          <w:sz w:val="28"/>
          <w:szCs w:val="28"/>
          <w:rtl w:val="true"/>
          <w:lang w:bidi="ar-SA"/>
        </w:rPr>
        <w:t>»</w:t>
      </w:r>
      <w:r>
        <w:rPr>
          <w:rStyle w:val="FootnoteAnchor"/>
          <w:rtl w:val="true"/>
        </w:rPr>
        <w:footnoteReference w:id="350"/>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الحلّي في مقام الاستدلال على طهارة ميّت الإنسان </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خلاف بين الاُمّة كافّة أنّ المساجد يجب أن تجنّب النجاسات العينية ، </w:t>
      </w:r>
    </w:p>
    <w:p>
      <w:pPr>
        <w:pStyle w:val="BookText"/>
        <w:rPr/>
      </w:pPr>
      <w:r>
        <w:rPr>
          <w:rFonts w:ascii="Amiri" w:hAnsi="Amiri" w:eastAsia="Amiri" w:cs="Amiri"/>
          <w:color w:val="111111"/>
          <w:sz w:val="28"/>
          <w:sz w:val="28"/>
          <w:szCs w:val="28"/>
          <w:rtl w:val="true"/>
          <w:lang w:bidi="ar-SA"/>
        </w:rPr>
        <w:t xml:space="preserve">وقد أجمعنا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خلاف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غسّل ميّتاً له أن يدخل المسجد ، ويجلس فيه</w:t>
      </w:r>
      <w:r>
        <w:rPr>
          <w:rFonts w:eastAsia="Amiri" w:cs="Amiri" w:ascii="Amiri" w:hAnsi="Amiri"/>
          <w:color w:val="111111"/>
          <w:sz w:val="28"/>
          <w:szCs w:val="28"/>
          <w:rtl w:val="true"/>
          <w:lang w:bidi="ar-SA"/>
        </w:rPr>
        <w:t>»</w:t>
      </w:r>
      <w:r>
        <w:rPr>
          <w:rStyle w:val="FootnoteAnchor"/>
          <w:rtl w:val="true"/>
        </w:rPr>
        <w:footnoteReference w:id="351"/>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أنكر المحقّق عليه جواز دخول الغاسل المسجد</w:t>
      </w:r>
      <w:r>
        <w:rPr>
          <w:rStyle w:val="FootnoteAnchor"/>
          <w:rtl w:val="true"/>
        </w:rPr>
        <w:footnoteReference w:id="352"/>
      </w:r>
      <w:r>
        <w:rPr>
          <w:rFonts w:ascii="Amiri" w:hAnsi="Amiri" w:eastAsia="Amiri" w:cs="Amiri"/>
          <w:color w:val="111111"/>
          <w:sz w:val="28"/>
          <w:sz w:val="28"/>
          <w:szCs w:val="28"/>
          <w:rtl w:val="true"/>
          <w:lang w:bidi="ar-SA"/>
        </w:rPr>
        <w:t xml:space="preserve">، ولم ينكر عليه دعواه عدم الخلاف بين الاُمّة تجنّب المساجد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ولأحد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معقد عدم الخلاف وجوب تجنّب المساجد النجاسات ، والظاهر من تجنّبها منها أو المتيقّن منه هو وجوب تجنّبها عن التلوّث بالقذارة ، لا حرمة إدخال النجاسة غير المتعدّية فيها ، ولعلّ استدلالهما على ما ذكراه مبنيّ 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ى اجتهادهما واستظهارهما الإطلاق من معقد الإجماع ، وهو ليس بحجّة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النظر فيما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توجيه الاستدلال بالآية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 نّه لا خلاف في وجوب تجنّب المساجد كلّها عن النجاسات بأجمعها</w:t>
      </w:r>
      <w:r>
        <w:rPr>
          <w:rFonts w:eastAsia="Amiri" w:cs="Amiri" w:ascii="Amiri" w:hAnsi="Amiri"/>
          <w:color w:val="111111"/>
          <w:sz w:val="28"/>
          <w:szCs w:val="28"/>
          <w:rtl w:val="true"/>
          <w:lang w:bidi="ar-SA"/>
        </w:rPr>
        <w:t>»</w:t>
      </w:r>
      <w:r>
        <w:rPr>
          <w:rStyle w:val="FootnoteAnchor"/>
          <w:rtl w:val="true"/>
        </w:rPr>
        <w:footnoteReference w:id="353"/>
      </w:r>
      <w:r>
        <w:rPr>
          <w:rFonts w:ascii="Amiri" w:hAnsi="Amiri" w:eastAsia="Amiri" w:cs="Amiri"/>
          <w:color w:val="111111"/>
          <w:sz w:val="28"/>
          <w:sz w:val="28"/>
          <w:szCs w:val="28"/>
          <w:rtl w:val="true"/>
          <w:lang w:bidi="ar-SA"/>
        </w:rPr>
        <w:t xml:space="preserve">فضلاً عمّا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نفي الخلاف عن إزالة النجاسة عنها </w:t>
      </w:r>
      <w:r>
        <w:rPr>
          <w:rStyle w:val="FootnoteAnchor"/>
          <w:rtl w:val="true"/>
        </w:rPr>
        <w:footnoteReference w:id="354"/>
      </w:r>
      <w:r>
        <w:rPr>
          <w:rFonts w:ascii="Amiri" w:hAnsi="Amiri" w:eastAsia="Amiri" w:cs="Amiri"/>
          <w:color w:val="111111"/>
          <w:sz w:val="28"/>
          <w:sz w:val="28"/>
          <w:szCs w:val="28"/>
          <w:rtl w:val="true"/>
          <w:lang w:bidi="ar-SA"/>
        </w:rPr>
        <w:t xml:space="preserve">،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الإزالة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في رفع تلوّث المسجد عنها ، أو منصرفة إليه ، وأمّا إخراج النجس غير المتعدّي منها فلا يقال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الإزالة</w:t>
      </w:r>
      <w:r>
        <w:rPr>
          <w:rFonts w:eastAsia="Amiri" w:cs="Amiri" w:ascii="Amiri" w:hAnsi="Amiri"/>
          <w:color w:val="111111"/>
          <w:sz w:val="28"/>
          <w:szCs w:val="28"/>
          <w:rtl w:val="true"/>
          <w:lang w:bidi="ar-SA"/>
        </w:rPr>
        <w:t>»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فالمتيقّن من تلك الدعاوى وجوب تنزّه المساجد عن التنجّس أو حرمة تنجّسها ، أو وجوب إزالتها عنها ، سيّما مع دعوى الحلّي عدم الخلاف في جواز </w:t>
      </w:r>
    </w:p>
    <w:p>
      <w:pPr>
        <w:pStyle w:val="BookText"/>
        <w:rPr/>
      </w:pPr>
      <w:r>
        <w:rPr>
          <w:rFonts w:ascii="Amiri" w:hAnsi="Amiri" w:eastAsia="Amiri" w:cs="Amiri"/>
          <w:color w:val="111111"/>
          <w:sz w:val="28"/>
          <w:sz w:val="28"/>
          <w:szCs w:val="28"/>
          <w:rtl w:val="true"/>
          <w:lang w:bidi="ar-SA"/>
        </w:rPr>
        <w:t xml:space="preserve">دخول من غسّل الميّت المساجدَ والجلوسَ فيها </w:t>
      </w:r>
      <w:r>
        <w:rPr>
          <w:rStyle w:val="FootnoteAnchor"/>
          <w:rtl w:val="true"/>
        </w:rPr>
        <w:footnoteReference w:id="355"/>
      </w:r>
      <w:r>
        <w:rPr>
          <w:rFonts w:ascii="Amiri" w:hAnsi="Amiri" w:eastAsia="Amiri" w:cs="Amiri"/>
          <w:color w:val="111111"/>
          <w:sz w:val="28"/>
          <w:sz w:val="28"/>
          <w:szCs w:val="28"/>
          <w:rtl w:val="true"/>
          <w:lang w:bidi="ar-SA"/>
        </w:rPr>
        <w:t>وهو وإن استدلّ به على أمر آخر ، لكن نحن نأخذ بروايته ، ونترك درايته كما أشار إليه الشيخ الأعظم</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w:t>
      </w:r>
      <w:r>
        <w:rPr>
          <w:rStyle w:val="FootnoteAnchor"/>
          <w:rtl w:val="true"/>
        </w:rPr>
        <w:footnoteReference w:id="357"/>
      </w:r>
      <w:r>
        <w:rPr>
          <w:rFonts w:ascii="Amiri" w:hAnsi="Amiri" w:eastAsia="Amiri" w:cs="Amiri"/>
          <w:color w:val="111111"/>
          <w:sz w:val="28"/>
          <w:sz w:val="28"/>
          <w:szCs w:val="28"/>
          <w:rtl w:val="true"/>
          <w:lang w:bidi="ar-SA"/>
        </w:rPr>
        <w:t xml:space="preserve">على حرمة إدخال مطلق النجاسات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مع عدم التعدّي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 يُّهَا الَّذِينَ ءَامَنُوا إِنَّمَا الْمُشْرِكُونَ نَجَسٌ فَلاَ يَقْرَبُوا الْمَسْجِدَ الْحَرَامَ</w:t>
      </w:r>
      <w:r>
        <w:rPr>
          <w:rFonts w:eastAsia="Amiri" w:cs="Amiri" w:ascii="Amiri" w:hAnsi="Amiri"/>
          <w:color w:val="111111"/>
          <w:sz w:val="28"/>
          <w:szCs w:val="28"/>
          <w:rtl w:val="true"/>
          <w:lang w:bidi="ar-SA"/>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مرّ في باب نجاسة الكافر تقريب أنّ المراد بالنجاسة المعنى المعهود</w:t>
      </w:r>
      <w:r>
        <w:rPr>
          <w:rStyle w:val="FootnoteAnchor"/>
          <w:rtl w:val="true"/>
        </w:rPr>
        <w:footnoteReference w:id="359"/>
      </w:r>
      <w:r>
        <w:rPr>
          <w:rFonts w:ascii="Amiri" w:hAnsi="Amiri" w:eastAsia="Amiri" w:cs="Amiri"/>
          <w:color w:val="111111"/>
          <w:sz w:val="28"/>
          <w:sz w:val="28"/>
          <w:szCs w:val="28"/>
          <w:rtl w:val="true"/>
          <w:lang w:bidi="ar-SA"/>
        </w:rPr>
        <w:t xml:space="preserve">، فلا نعيده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هاهنا مناقشة اُخرى في دلالتها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أنّ النهي قد تعلّق بالفعل الاختياري ؛ أي دخول المشركين المسجد ، ومقتضى تفريع الحكم على نجاستهم أنّ كلّ نجس لا يدخله ، فيعمّ الحكم سائر طوائف الكفّار ، وأمّا إدخال النجس فيه فلا ؛ لاحتمال دخالة الفعل الاختياري من نجس العين في الحكم ، وهذا الاحتمال سيّال في جميع الأوامر والنواهي المتعلّقة بالأفعال الاختيارية ، إلاّ أن تقوم القرينة على إلغاء الخصوصية </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لكنّها مدفوعة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النهي عن القرب متفرّع على النجاسة ، فيدلّ على أنّ نجاستهم تمام الموضوع لعدم الدخول ، لا الاختياري منه ، فدخالة الاختيارية </w:t>
      </w:r>
    </w:p>
    <w:p>
      <w:pPr>
        <w:pStyle w:val="BookText"/>
        <w:rPr/>
      </w:pPr>
      <w:r>
        <w:rPr>
          <w:rFonts w:ascii="Amiri" w:hAnsi="Amiri" w:eastAsia="Amiri" w:cs="Amiri"/>
          <w:color w:val="111111"/>
          <w:sz w:val="28"/>
          <w:sz w:val="28"/>
          <w:szCs w:val="28"/>
          <w:rtl w:val="true"/>
          <w:lang w:bidi="ar-SA"/>
        </w:rPr>
        <w:t xml:space="preserve">خلاف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العرف يساعد على إلغاء خصوصية الاختيار ، سيّما في المقام الذي يؤكّده مناسبة الحكم والموضوع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هنا أمر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حمل المصدر على الذات لا يصحّ إلاّ بادّعاء وتأوّل ، وهو لا يصحّ إلاّ في مقام المبالغة ، سيّما مع المقارنة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المفيدة للحصر أو التأكيد ، فكأ 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حيثية للمشركين إلاّ حيثية القذارة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المشركون بتمام حقيقتهم عين القذارة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وهذه الدعوى إنّما تحسن وتصير بليغة إذا كان المشرك خبيثاً في باطنه ، ونجساً في ظاهره ، ولا تكون له نقطة طهارة ولو ادّعاء ، وإنّما تفرّع عدم قرب المسجد الحرام على هذه المرتبة من النجاسة الادّعائية ، وهي مختصّة بالمشرك ، أو هو وسائر الكفّار ، وأمّا سائر النجاسات فلا دليل على إلحاقها بهم ما لم يدّعَ لها ما ادّعي ، فالحكم لم يتفرّع على النجِس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يتعدّى إلى سائر النجاسات ، بل على ما بلغ مرتبة يدّعى له هذه الدعوى على سبيل المبالغة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ما ذكرناه هو مراد من قال بغلظة نجاستهم</w:t>
      </w:r>
      <w:r>
        <w:rPr>
          <w:rStyle w:val="FootnoteAnchor"/>
          <w:rtl w:val="true"/>
        </w:rPr>
        <w:footnoteReference w:id="360"/>
      </w:r>
      <w:r>
        <w:rPr>
          <w:rFonts w:ascii="Amiri" w:hAnsi="Amiri" w:eastAsia="Amiri" w:cs="Amiri"/>
          <w:color w:val="111111"/>
          <w:sz w:val="28"/>
          <w:sz w:val="28"/>
          <w:szCs w:val="28"/>
          <w:rtl w:val="true"/>
          <w:lang w:bidi="ar-SA"/>
        </w:rPr>
        <w:t xml:space="preserve">، فلا يرد عليه ما 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أغلظية نجاسة الكافر من الكلب أو دم الحيض ، غير معلومة</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إسراء الحكم من هذه الحقيقة الادّعائية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المبنيّة على ما أشرنا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غيرها مشكل ، بل ممنوع </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أعيان النجاسات كلّها عين النجَس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شيئاً منها ليس كذلك ، بل لها ذوات وحقائق غير هذا المعنى المصدري ، أو الحاصل من </w:t>
      </w:r>
    </w:p>
    <w:p>
      <w:pPr>
        <w:pStyle w:val="BookText"/>
        <w:rPr/>
      </w:pPr>
      <w:r>
        <w:rPr>
          <w:rFonts w:ascii="Amiri" w:hAnsi="Amiri" w:eastAsia="Amiri" w:cs="Amiri"/>
          <w:color w:val="111111"/>
          <w:sz w:val="28"/>
          <w:sz w:val="28"/>
          <w:szCs w:val="28"/>
          <w:rtl w:val="true"/>
          <w:lang w:bidi="ar-SA"/>
        </w:rPr>
        <w:t>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يصدق عليها النجِس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تأوّل، لكن لم يتفرّع عليه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هاهنا كلاماً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يَقْرَبُوا الْمَسْجِدَ الْحَرَامَ بَعْدَ عَامِهِمْ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يبعد أن يكون كناية عن عدم دخولهم للحجّ وعمل المناسك ؛ بقرينة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عَامِهِمْ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المتفاهم منه عدم قربهم في سائر الأعوام ، ومع كون المعهود من شدّ رحال المشركين في كلّ سنة إلى المسجد الحرام لعمل المناسك ، لم يبقَ للآية ظهور في الكناية عن مطلق الدخول ، بل لا يبعد أن تكون كناية عن الدخول للعمل ، أو عمل المناسك المستلزم للدخول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والعام الذي أشار إليه هو سنة تسع الذي نادى فيه علي علیه السلام</w:t>
      </w:r>
    </w:p>
    <w:p>
      <w:pPr>
        <w:pStyle w:val="BookText"/>
        <w:rPr/>
      </w:pPr>
      <w:r>
        <w:rPr>
          <w:rFonts w:ascii="Amiri" w:hAnsi="Amiri" w:eastAsia="Amiri" w:cs="Amiri"/>
          <w:color w:val="111111"/>
          <w:sz w:val="28"/>
          <w:sz w:val="28"/>
          <w:szCs w:val="28"/>
          <w:rtl w:val="true"/>
          <w:lang w:bidi="ar-SA"/>
        </w:rPr>
        <w:t xml:space="preserve">بالبراءة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يحجّنّ بعد هذا العام مشرك</w:t>
      </w:r>
      <w:r>
        <w:rPr>
          <w:rFonts w:eastAsia="Amiri" w:cs="Amiri" w:ascii="Amiri" w:hAnsi="Amiri"/>
          <w:color w:val="111111"/>
          <w:sz w:val="28"/>
          <w:szCs w:val="28"/>
          <w:rtl w:val="true"/>
          <w:lang w:bidi="ar-SA"/>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العيّاشي ، عن حَريز ، عن أبي عبداللّه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رسول اللّه صلی الله علیه و آله وسلم بعث أبا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قال علي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يطوف بالبيت عريان ولا عريانة ولا مشرك بعد هذا العام</w:t>
      </w:r>
      <w:r>
        <w:rPr>
          <w:rFonts w:eastAsia="IRNazanin" w:cs="IRNazanin"/>
          <w:color w:val="111111"/>
          <w:sz w:val="28"/>
          <w:szCs w:val="28"/>
          <w:rtl w:val="true"/>
          <w:lang w:bidi="fa-IR"/>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 عن أبي بصير ، عن أبي جعفر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خطب علي علیه السلام بالناس</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واخترط سيفه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يطوفنّ بالبيت عريان ، ولا يحجّنّ بالبيت مشرك </w:t>
      </w:r>
      <w:r>
        <w:rPr>
          <w:rFonts w:eastAsia="Amiri" w:cs="Amiri" w:ascii="Amiri" w:hAnsi="Amiri"/>
          <w:color w:val="111111"/>
          <w:sz w:val="28"/>
          <w:szCs w:val="28"/>
          <w:rtl w:val="true"/>
          <w:lang w:bidi="ar-SA"/>
        </w:rPr>
        <w:t>. . .»</w:t>
      </w:r>
      <w:r>
        <w:rPr>
          <w:rStyle w:val="FootnoteAnchor"/>
          <w:rtl w:val="true"/>
        </w:rPr>
        <w:footnoteReference w:id="364"/>
      </w:r>
      <w:r>
        <w:rPr>
          <w:rFonts w:ascii="IRNazanin" w:hAnsi="IRNazanin" w:eastAsia="IRNazanin"/>
          <w:color w:val="111111"/>
          <w:sz w:val="28"/>
          <w:sz w:val="28"/>
          <w:szCs w:val="28"/>
          <w:rtl w:val="true"/>
          <w:lang w:bidi="fa-IR"/>
        </w:rPr>
        <w:t xml:space="preserve">إلى آخره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وعن الصدوق بسنده عن أبي عبداللّه علیه السلام في حديث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سمّي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 نّها كانت سنة حجّ فيها المسلمون والمشركون ، ولم يحجّ المشركون بعد تلك السنة</w:t>
      </w:r>
      <w:r>
        <w:rPr>
          <w:rFonts w:eastAsia="Amiri" w:cs="Amiri" w:ascii="Amiri" w:hAnsi="Amiri"/>
          <w:color w:val="111111"/>
          <w:sz w:val="28"/>
          <w:szCs w:val="28"/>
          <w:rtl w:val="true"/>
          <w:lang w:bidi="ar-SA"/>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بعض الروايات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فكان ما نادى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يطوف بعد هذا العام عريان ، ولا يقرب المسجد الحرام بعد هذا العام مشرك</w:t>
      </w:r>
      <w:r>
        <w:rPr>
          <w:rFonts w:eastAsia="Amiri" w:cs="Amiri" w:ascii="Amiri" w:hAnsi="Amiri"/>
          <w:color w:val="111111"/>
          <w:sz w:val="28"/>
          <w:szCs w:val="28"/>
          <w:rtl w:val="true"/>
          <w:lang w:bidi="ar-SA"/>
        </w:rPr>
        <w:t>»</w:t>
      </w:r>
      <w:r>
        <w:rPr>
          <w:rStyle w:val="FootnoteAnchor"/>
          <w:rtl w:val="true"/>
        </w:rPr>
        <w:footnoteReference w:id="366"/>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الحجّ ، أبواب الطواف ، الباب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يبعد أن يكون الظاهر من تلك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النهي عن القرب لأجل الحجّ والطواف وأعمال المناسك لا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الظاهر تسالمهم على عدم جواز تمكين الكفّار المسجد الحرام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إلحاق سائر المساجد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عدم إلغاء الخصوصية عرفاً ؛ لما له من العظمة والأحكام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يحتاج إلى دليل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ودعوى عدم القول بالفصل</w:t>
      </w:r>
      <w:r>
        <w:rPr>
          <w:rStyle w:val="FootnoteAnchor"/>
          <w:rtl w:val="true"/>
        </w:rPr>
        <w:footnoteReference w:id="367"/>
      </w:r>
      <w:r>
        <w:rPr>
          <w:rFonts w:ascii="Amiri" w:hAnsi="Amiri" w:eastAsia="Amiri" w:cs="Amiri"/>
          <w:color w:val="111111"/>
          <w:sz w:val="28"/>
          <w:sz w:val="28"/>
          <w:szCs w:val="28"/>
          <w:rtl w:val="true"/>
          <w:lang w:bidi="ar-SA"/>
        </w:rPr>
        <w:t xml:space="preserve">غير مسموعة ، بل هو غير حجّة ما لم يرجع إلى الإجماع على التلازم </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سلّم عدم القول بالفصل بين تمكينهم سائر المساجد وتمكينهم المسجد الحرام ، لكن عدم القول بالفصل بين تمكينهم وإدخال النجاسة سائر المساجد لو نوقش في دلالة الآية بما تقدّم ، أو عدم القول بالفصل بين حرمة إدخال النجاسات في المسجد الحرام ، وبين إدخالها في سائر المساجد على فرض </w:t>
      </w:r>
    </w:p>
    <w:p>
      <w:pPr>
        <w:pStyle w:val="BookText"/>
        <w:rPr/>
      </w:pPr>
      <w:r>
        <w:rPr>
          <w:rFonts w:ascii="Amiri" w:hAnsi="Amiri" w:eastAsia="Amiri" w:cs="Amiri"/>
          <w:color w:val="111111"/>
          <w:sz w:val="28"/>
          <w:sz w:val="28"/>
          <w:szCs w:val="28"/>
          <w:rtl w:val="true"/>
          <w:lang w:bidi="ar-SA"/>
        </w:rPr>
        <w:t xml:space="preserve">تسليم دلالتها بالنسبة إلى المسجد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يرجع إلى الإجماع على التلازم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نّى لنا بإثباته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فالقول بجواز إدخال النجاسات غير المتعدّية غير المستلزمة لهتك حرمة المسجد ، لا يخلو من قوّة ؛ فإنّ عمدة الدليل على عدم الجواز دعوى الإجماع والشهرة ودلالة الآية ، وقد تقدّم الكلام فيهما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وَطَهِّرْ بَيْتِىَ لِلطَّائِفِينَ</w:t>
      </w:r>
      <w:r>
        <w:rPr>
          <w:rFonts w:eastAsia="Amiri" w:cs="Amiri" w:ascii="Amiri" w:hAnsi="Amiri"/>
          <w:color w:val="111111"/>
          <w:sz w:val="28"/>
          <w:szCs w:val="28"/>
          <w:rtl w:val="true"/>
          <w:lang w:bidi="ar-SA"/>
        </w:rPr>
        <w:t>(</w:t>
      </w:r>
      <w:r>
        <w:rPr>
          <w:rStyle w:val="FootnoteAnchor"/>
          <w:rtl w:val="true"/>
        </w:rPr>
        <w:footnoteReference w:id="368"/>
      </w:r>
      <w:r>
        <w:rPr>
          <w:rFonts w:ascii="IRNazanin" w:hAnsi="IRNazanin" w:eastAsia="IRNazanin"/>
          <w:color w:val="111111"/>
          <w:sz w:val="28"/>
          <w:sz w:val="28"/>
          <w:szCs w:val="28"/>
          <w:rtl w:val="true"/>
          <w:lang w:bidi="fa-IR"/>
        </w:rPr>
        <w:t xml:space="preserve">فهو أجنبيّ عن إدخال النجاسة غير المتعدّية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الخطاب لإبراهيم علیه السلام أو هو وإسماعيل علیه السلام كما في آية اُخرى</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ما عن النبي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جنّبوا مساجدكم النجاسة</w:t>
      </w:r>
      <w:r>
        <w:rPr>
          <w:rFonts w:eastAsia="IRNazanin" w:cs="IRNazanin"/>
          <w:color w:val="111111"/>
          <w:sz w:val="28"/>
          <w:szCs w:val="28"/>
          <w:rtl w:val="true"/>
          <w:lang w:bidi="fa-IR"/>
        </w:rPr>
        <w:t>»</w:t>
      </w:r>
      <w:r>
        <w:rPr>
          <w:rStyle w:val="FootnoteAnchor"/>
          <w:rtl w:val="true"/>
        </w:rPr>
        <w:footnoteReference w:id="370"/>
      </w:r>
      <w:r>
        <w:rPr>
          <w:rFonts w:ascii="Amiri" w:hAnsi="Amiri" w:eastAsia="Amiri" w:cs="Amiri"/>
          <w:color w:val="111111"/>
          <w:sz w:val="28"/>
          <w:sz w:val="28"/>
          <w:szCs w:val="28"/>
          <w:rtl w:val="true"/>
          <w:lang w:bidi="ar-SA"/>
        </w:rPr>
        <w:t xml:space="preserve">ففي سنده ودلالته إشكال ؛ إذ استنادهم إليه غير ثابت ، واحتمال أن يكون المراد بالمساجد محالّ السجدة قريب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مضافاً إلى ما دلّت على جواز اجتياز الجنب والحائض المساجد ؛ بما لايمكن حملها على الجواز الحيثي ، كصحيحة أبي حمزة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أبوجعفر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الرجل نائماً في المسجد الحرام أو مسجد الرسول صلی الله علیه و آله وسلم ، فاحتلم</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فأصابته جنابة ، فليتيمّم ، ولا يمرّ في المسجد إلاّ متيمّماً ، ولا بأس أن يمرّ </w:t>
      </w:r>
    </w:p>
    <w:p>
      <w:pPr>
        <w:pStyle w:val="BookText"/>
        <w:rPr/>
      </w:pPr>
      <w:r>
        <w:rPr>
          <w:rFonts w:ascii="Amiri" w:hAnsi="Amiri" w:eastAsia="Amiri" w:cs="Amiri"/>
          <w:color w:val="111111"/>
          <w:sz w:val="28"/>
          <w:sz w:val="28"/>
          <w:szCs w:val="28"/>
          <w:rtl w:val="true"/>
          <w:lang w:bidi="ar-SA"/>
        </w:rPr>
        <w:t>في سائر المساجد ، ولا يجلس في شيء من المساجد</w:t>
      </w:r>
      <w:r>
        <w:rPr>
          <w:rFonts w:eastAsia="Amiri" w:cs="Amiri" w:ascii="Amiri" w:hAnsi="Amiri"/>
          <w:color w:val="111111"/>
          <w:sz w:val="28"/>
          <w:szCs w:val="28"/>
          <w:rtl w:val="true"/>
          <w:lang w:bidi="ar-SA"/>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في أنّ الذي احتلم يجوز له الاجتياز ، وهو حكم فعلي لا حيثي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وقريب منها روايته الاُخرى إلاّ أنّ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الحائض إذا أصابها الحيض تفعل ذلك ، ولا بأس أن يمرّا في سائر المساجد ، ولا يجلسان فيها</w:t>
      </w:r>
      <w:r>
        <w:rPr>
          <w:rFonts w:eastAsia="Amiri" w:cs="Amiri" w:ascii="Amiri" w:hAnsi="Amiri"/>
          <w:color w:val="111111"/>
          <w:sz w:val="28"/>
          <w:szCs w:val="28"/>
          <w:rtl w:val="true"/>
          <w:lang w:bidi="ar-SA"/>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بملاحظة ذيلها أوضح 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 نّه قلّما يتّفق كون الحائض 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لعلّ نوع النساء لا يتجنّبن عن بعض النجاسات في أيّام الحيض ، فتجويز دخولها في المساجد ملازم لتجويز دخول النجاسة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وتدلّ عليه ما وردت في المستحاضة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جواز دخولها في المسجد ، وجواز الطواف لها </w:t>
      </w:r>
      <w:r>
        <w:rPr>
          <w:rStyle w:val="FootnoteAnchor"/>
          <w:rtl w:val="true"/>
        </w:rPr>
        <w:footnoteReference w:id="3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والسيرة المستمرّة على تمكين الصبيان ، بل إدخالهم في المساجد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ادّعيت السيرة على عدم منع أصحاب القروح والجروح ومن به دم قليل عن الجمعة والجماعات</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كلّها شاهدة على عدم العموم في الآية ، وعدم إمكان إلغاء الخصوصية ، وعدم صحّة دعوى عدم القول بالفصل بين حرمة تمكين الكفّار </w:t>
      </w:r>
      <w:bookmarkStart w:id="132" w:name="pg15030_143088"/>
    </w:p>
    <w:p>
      <w:pPr>
        <w:pStyle w:val="BookText"/>
        <w:rPr/>
      </w:pPr>
      <w:bookmarkEnd w:id="132"/>
      <w:r>
        <w:rPr>
          <w:rFonts w:ascii="Amiri" w:hAnsi="Amiri" w:eastAsia="Amiri" w:cs="Amiri"/>
          <w:color w:val="111111"/>
          <w:sz w:val="28"/>
          <w:sz w:val="28"/>
          <w:szCs w:val="28"/>
          <w:rtl w:val="true"/>
          <w:lang w:bidi="ar-SA"/>
        </w:rPr>
        <w:t xml:space="preserve">المسجد الحرام أو مطلق المساجد ، وبين إدخال سائر النجاسات غير المتعدّية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 ظهر عدم حرمة إدخال المتنجّس فيها مع عدم السراية </w:t>
      </w:r>
      <w:r>
        <w:rPr>
          <w:rFonts w:eastAsia="Amiri" w:cs="Amiri" w:ascii="Amiri" w:hAnsi="Amiri"/>
          <w:color w:val="111111"/>
          <w:sz w:val="28"/>
          <w:szCs w:val="28"/>
          <w:rtl w:val="true"/>
          <w:lang w:bidi="ar-SA"/>
        </w:rPr>
        <w:t>.</w:t>
      </w:r>
    </w:p>
    <w:p>
      <w:pPr>
        <w:pStyle w:val="Heading4"/>
        <w:numPr>
          <w:ilvl w:val="3"/>
          <w:numId w:val="1"/>
        </w:numPr>
        <w:rPr/>
      </w:pPr>
      <w:bookmarkStart w:id="133" w:name="__RefHeading___Toc212710_2142443653"/>
      <w:bookmarkStart w:id="134" w:name="_Toc47"/>
      <w:bookmarkEnd w:id="133"/>
      <w:r>
        <w:rPr>
          <w:rtl w:val="true"/>
        </w:rPr>
        <w:t>حرمة إدخال النجاسات السارية لأجل استلزامه تنجيس المساجد</w:t>
      </w:r>
      <w:bookmarkEnd w:id="134"/>
    </w:p>
    <w:p>
      <w:pPr>
        <w:pStyle w:val="BookText"/>
        <w:rPr/>
      </w:pPr>
      <w:r>
        <w:rPr>
          <w:rFonts w:ascii="Amiri" w:hAnsi="Amiri" w:eastAsia="Amiri" w:cs="Amiri"/>
          <w:color w:val="111111"/>
          <w:sz w:val="28"/>
          <w:sz w:val="28"/>
          <w:szCs w:val="28"/>
          <w:rtl w:val="true"/>
          <w:lang w:bidi="ar-SA"/>
        </w:rPr>
        <w:t xml:space="preserve">وأمّا إدخال النجاسات السارية ، فالظاهر أنّ حرمته لا بعنوان إدخالها فيها ، بل بعنوان تنجيس المساجد ، وهو القدر المتيقّن من الإجماعات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حرمة التنجيس معروفة لدى المتشرّعة </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وهما العمدة فيها ، وأمّا سائر ما استدلّ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وَطَهِّرْ بَيْتِىَ لِلطَّائِفِينَ </w:t>
      </w:r>
      <w:r>
        <w:rPr>
          <w:rFonts w:eastAsia="Amiri" w:cs="Amiri" w:ascii="Amiri" w:hAnsi="Amiri"/>
          <w:color w:val="111111"/>
          <w:sz w:val="28"/>
          <w:szCs w:val="28"/>
          <w:rtl w:val="true"/>
          <w:lang w:bidi="ar-SA"/>
        </w:rPr>
        <w:t>. . .(</w:t>
      </w:r>
      <w:r>
        <w:rPr>
          <w:rStyle w:val="FootnoteAnchor"/>
          <w:rtl w:val="true"/>
        </w:rPr>
        <w:footnoteReference w:id="375"/>
      </w:r>
      <w:r>
        <w:rPr>
          <w:rFonts w:ascii="IRNazanin" w:hAnsi="IRNazanin" w:eastAsia="IRNazanin"/>
          <w:color w:val="111111"/>
          <w:sz w:val="28"/>
          <w:sz w:val="28"/>
          <w:szCs w:val="28"/>
          <w:rtl w:val="true"/>
          <w:lang w:bidi="fa-IR"/>
        </w:rPr>
        <w:t xml:space="preserve">إلى آخره ، ورواية الثُمالي التي لا يبعد صحّتها ، عن أبي جعفر علیه السلام وفيها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أوحى إلى نبيّه أن طهّر مسجدك ، وأخرج من المسجد من يرقد بالليل ، ومر بسدّ أبواب من كان له في مسجدك باب إلاّ باب علي علیه السلام ومسكن فاطمة</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ولا يمرّنّ فيه جنب</w:t>
      </w:r>
      <w:r>
        <w:rPr>
          <w:rFonts w:eastAsia="Amiri" w:cs="Amiri" w:ascii="Amiri" w:hAnsi="Amiri"/>
          <w:color w:val="111111"/>
          <w:sz w:val="28"/>
          <w:szCs w:val="28"/>
          <w:rtl w:val="true"/>
          <w:lang w:bidi="ar-SA"/>
        </w:rPr>
        <w:t>»</w:t>
      </w:r>
      <w:r>
        <w:rPr>
          <w:rStyle w:val="FootnoteAnchor"/>
          <w:rtl w:val="true"/>
        </w:rPr>
        <w:footnoteReference w:id="376"/>
      </w:r>
      <w:r>
        <w:rPr>
          <w:rFonts w:ascii="Amiri" w:hAnsi="Amiri" w:eastAsia="Amiri" w:cs="Amiri"/>
          <w:color w:val="111111"/>
          <w:sz w:val="28"/>
          <w:sz w:val="28"/>
          <w:szCs w:val="28"/>
          <w:rtl w:val="true"/>
          <w:lang w:bidi="ar-SA"/>
        </w:rPr>
        <w:t>، وصحيحة الحلبي الواردة في زُقاق قذر بينه وبين المسجد</w:t>
      </w:r>
      <w:r>
        <w:rPr>
          <w:rStyle w:val="FootnoteAnchor"/>
          <w:rtl w:val="true"/>
        </w:rPr>
        <w:footnoteReference w:id="377"/>
      </w:r>
      <w:r>
        <w:rPr>
          <w:rFonts w:ascii="Amiri" w:hAnsi="Amiri" w:eastAsia="Amiri" w:cs="Amiri"/>
          <w:color w:val="111111"/>
          <w:sz w:val="28"/>
          <w:sz w:val="28"/>
          <w:szCs w:val="28"/>
          <w:rtl w:val="true"/>
          <w:lang w:bidi="ar-SA"/>
        </w:rPr>
        <w:t>، ورواية علي بن جعفر الواردة في إصابة بول الدابّة المسجد أو حائطه</w:t>
      </w:r>
      <w:r>
        <w:rPr>
          <w:rStyle w:val="FootnoteAnchor"/>
          <w:rtl w:val="true"/>
        </w:rPr>
        <w:footnoteReference w:id="378"/>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فغير تامّ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 الآية الشريفة مع كونها مربوطة بالاُمم السالفة ، لا يبعد أن يكون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هو التنظيف العرفي والكنس ، لا التطهير من النجاسة ؛ بمناسبة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لِلطَّائِفِينَ وَالْعَاكِفِينَ </w:t>
      </w:r>
      <w:r>
        <w:rPr>
          <w:rFonts w:eastAsia="Amiri" w:cs="Amiri" w:ascii="Amiri" w:hAnsi="Amiri"/>
          <w:color w:val="111111"/>
          <w:sz w:val="28"/>
          <w:szCs w:val="28"/>
          <w:rtl w:val="true"/>
          <w:lang w:bidi="ar-SA"/>
        </w:rPr>
        <w:t>. . .(</w:t>
      </w:r>
      <w:r>
        <w:rPr>
          <w:rStyle w:val="FootnoteAnchor"/>
          <w:rtl w:val="true"/>
        </w:rPr>
        <w:footnoteReference w:id="379"/>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التعدّي من المسجد الحرام يحتاج إلى دليل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ورواية الثُمالي راجعة إلى مسجد النبي صلی الله علیه و آله وسلم والتعدّي منه إلى غيره يحتاج إلى دليل بعد عدم إمكان إلغاء الخصوصية عرفاً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ورواية الزُقاق أجنبيّة عن المقام ؛ فإنّ الظاهر منها أنّ مورد الكلام تنجّس الرِجل المانع عن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علي بن جعفر لا تدلّ على المطلوب بعد طهارة أبوال الدوابّ ، فيمكن أن يكون وجه السؤال معهودية كراهة الصلاة مع تلوّث المسجد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يستدلّ على ذلك بالأخبار المستفيضة الدالّة على جواز اتّخاذ الكنيف مسجداً بعد تطهيره ، مثل صحيحة الحلبي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سأل أبا عبداللّه علیه السلام في مسجد</w:t>
      </w:r>
    </w:p>
    <w:p>
      <w:pPr>
        <w:pStyle w:val="BookText"/>
        <w:rPr/>
      </w:pPr>
      <w:r>
        <w:rPr>
          <w:rFonts w:ascii="Amiri" w:hAnsi="Amiri" w:eastAsia="Amiri" w:cs="Amiri"/>
          <w:color w:val="111111"/>
          <w:sz w:val="28"/>
          <w:sz w:val="28"/>
          <w:szCs w:val="28"/>
          <w:rtl w:val="true"/>
          <w:lang w:bidi="ar-SA"/>
        </w:rPr>
        <w:t xml:space="preserve">يكون في الدار ، فيبدو لأهله أن يتوسّعوا بطائفة منه ، أو يحوّلوه عن مكانه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أفيصلح المكان الذي كان حشّاً زماناً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حشي رماداً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ينظّف ويتّخذ مسجداً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 إذا اُلقي عليه من التراب ما يواريه ، فإنّ ذلك ينظّفه ويطهّره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وقريب منها رواية أبي الجارود</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 xml:space="preserve">الصلاة ، أبواب أحكام المساجد ، الباب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وصحيحة عبداللّه بن سِنان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ومثل رواية علي بن جعفر ، عن أخيه موسى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سأله عن بيت كان حشّاً زماناً ، هل يصلح أن يجعل مسجداً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نظّف واُصلح فلا بأس</w:t>
      </w:r>
      <w:r>
        <w:rPr>
          <w:rFonts w:eastAsia="IRNazanin" w:cs="IRNazanin"/>
          <w:color w:val="111111"/>
          <w:sz w:val="28"/>
          <w:szCs w:val="28"/>
          <w:rtl w:val="true"/>
          <w:lang w:bidi="fa-IR"/>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مَسْعدة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 يبعد أن تكون موثّقة</w:t>
      </w:r>
      <w:r>
        <w:rPr>
          <w:rStyle w:val="FootnoteAnchor"/>
          <w:rtl w:val="true"/>
        </w:rPr>
        <w:footnoteReference w:id="3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 سأل أيصلح مكان حشّ أن يتّخذ مسجداً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اُلقي عليه من التراب ما يواري ذلك ويقطع ريحه فلا بأس ، وذلك لأنّ التراب يطهّره ، وبه مضت السنّة</w:t>
      </w:r>
      <w:r>
        <w:rPr>
          <w:rFonts w:eastAsia="IRNazanin" w:cs="IRNazanin"/>
          <w:color w:val="111111"/>
          <w:sz w:val="28"/>
          <w:szCs w:val="28"/>
          <w:rtl w:val="true"/>
          <w:lang w:bidi="fa-IR"/>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واستدلّ بعضهم بها على وجوب تطهير ظاهر المسجد دون باطنه مطلقاً ، أو في خصوص مورد الأخبار ، وبعضهم على عدم وجوبه مطلقاً </w:t>
      </w:r>
      <w:r>
        <w:rPr>
          <w:rStyle w:val="FootnoteAnchor"/>
          <w:rtl w:val="true"/>
        </w:rPr>
        <w:footnoteReference w:id="384"/>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مصباح الفقيه ، الطهارة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أن يكون المساجد في تلك الروايات ، غيرَ المساجد المعهودة التي هي محلّ البحث ، بل المراد منها الأمكنة التي اتّخذت في البيت مسجداً ، </w:t>
      </w:r>
    </w:p>
    <w:p>
      <w:pPr>
        <w:pStyle w:val="BookText"/>
        <w:rPr/>
      </w:pPr>
      <w:r>
        <w:rPr>
          <w:rFonts w:ascii="Amiri" w:hAnsi="Amiri" w:eastAsia="Amiri" w:cs="Amiri"/>
          <w:color w:val="111111"/>
          <w:sz w:val="28"/>
          <w:sz w:val="28"/>
          <w:szCs w:val="28"/>
          <w:rtl w:val="true"/>
          <w:lang w:bidi="ar-SA"/>
        </w:rPr>
        <w:t xml:space="preserve">كما قد يشهد صدر الروايات الثلاث المتقدّمة ، ويشعر به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يتّخذ مسجداً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ويحتمل في بعضها أن يكون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اتّخاذ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اتّخاذها محلاًّ يسجد عليه ، فيكون سؤاله عن جواز السجدة على مكان كان حشّاً بعد تنظيفه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الحمل على السؤال عن بناء المسجد أو الوقف للمسجدية ، فبعيد عن سوق الروايات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وربّما تشهد لما ذكرناه رواية عبيد بن زرارة ، عن أبي عبداللّه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الأرض كلّها مسجد إلاّ بئر غائط أو مقبرة</w:t>
      </w:r>
      <w:r>
        <w:rPr>
          <w:rFonts w:eastAsia="IRNazanin" w:cs="IRNazanin"/>
          <w:color w:val="111111"/>
          <w:sz w:val="28"/>
          <w:szCs w:val="28"/>
          <w:rtl w:val="true"/>
          <w:lang w:bidi="fa-IR"/>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اُريد بها المساجد المعهودة ، فمقتضى الجمع بينها جواز جعل الكنيف بعد تطهيره وتنظيفه مسجداً ، وعليه يحمل المطلق منها ، وأمّا إلقاء التراب فلكمال النظافة ، لا للتطهير الشرعي ، ولهذا أمر به مع فرض السائل تنظيفه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التنظيف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لسان السائل على الكنس مع بقاء النجاسة ، لا وجه معتدّ به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التشبّث بتلك الروايات على جواز تنجيس بواطن المساجد ، أو عدم وجوب تطهيرها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المتيقّن من معاقد الإجماع والروايات تطهير ظواهرها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معهود واسم للمعبد المعهود بين المسلمين ، والمعنى الوضعي منسيّ ، والإجماع القائم على تجنّب المساجد النجاسات ، يدلّ </w:t>
      </w:r>
      <w:bookmarkStart w:id="135" w:name="pg15030_143092"/>
    </w:p>
    <w:p>
      <w:pPr>
        <w:pStyle w:val="BookText"/>
        <w:rPr/>
      </w:pPr>
      <w:bookmarkEnd w:id="135"/>
      <w:r>
        <w:rPr>
          <w:rFonts w:ascii="Amiri" w:hAnsi="Amiri" w:eastAsia="Amiri" w:cs="Amiri"/>
          <w:color w:val="111111"/>
          <w:sz w:val="28"/>
          <w:sz w:val="28"/>
          <w:szCs w:val="28"/>
          <w:rtl w:val="true"/>
          <w:lang w:bidi="ar-SA"/>
        </w:rPr>
        <w:t xml:space="preserve">على وجوب ما يصدق عليه هذا العنوان ، وهو مجموع ما جعلت للمعبدية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أرضها إلى مقدار متعارف ، وسقفها وجدارها داخلاً وخارجاً ، وليس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المطلق حتّى يؤخذ بالقدر المتيقّن فيه ، بل هو كالعلم اسم لهذه البنْية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فالأظهر حرمة تنجيس أجزائه ظاهراً وباطناً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يبعد استفادة حرمة تنجيس حصيره وفرشه بالمناسبات المغروسة في الأذهان من النبوي ومعقد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معهوديتها لدى المتشرّعة </w:t>
      </w:r>
      <w:r>
        <w:rPr>
          <w:rFonts w:eastAsia="Amiri" w:cs="Amiri" w:ascii="Amiri" w:hAnsi="Amiri"/>
          <w:color w:val="111111"/>
          <w:sz w:val="28"/>
          <w:szCs w:val="28"/>
          <w:rtl w:val="true"/>
          <w:lang w:bidi="ar-SA"/>
        </w:rPr>
        <w:t>.</w:t>
      </w:r>
    </w:p>
    <w:p>
      <w:pPr>
        <w:pStyle w:val="Heading4"/>
        <w:numPr>
          <w:ilvl w:val="3"/>
          <w:numId w:val="1"/>
        </w:numPr>
        <w:rPr/>
      </w:pPr>
      <w:bookmarkStart w:id="136" w:name="__RefHeading___Toc212712_2142443653"/>
      <w:bookmarkStart w:id="137" w:name="_Toc48"/>
      <w:bookmarkEnd w:id="136"/>
      <w:r>
        <w:rPr>
          <w:rtl w:val="true"/>
        </w:rPr>
        <w:t>وجوب إزالة النجاسة عن المساجد وما يلحق بها</w:t>
      </w:r>
      <w:bookmarkEnd w:id="137"/>
    </w:p>
    <w:p>
      <w:pPr>
        <w:pStyle w:val="BookText"/>
        <w:rPr/>
      </w:pPr>
      <w:r>
        <w:rPr>
          <w:rFonts w:ascii="IRNazanin" w:hAnsi="IRNazanin" w:eastAsia="IRNazanin"/>
          <w:color w:val="111111"/>
          <w:sz w:val="28"/>
          <w:sz w:val="28"/>
          <w:szCs w:val="28"/>
          <w:rtl w:val="true"/>
          <w:lang w:bidi="fa-IR"/>
        </w:rPr>
        <w:t xml:space="preserve">ثمّ إنّه كما يحرم تنجيسه يجب إزالة النجاسة منه ، ولا يبعد أن يكون قوله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جنّبوا مساجدكم</w:t>
      </w:r>
      <w:r>
        <w:rPr>
          <w:rFonts w:eastAsia="IRNazanin" w:cs="IRNazanin"/>
          <w:color w:val="111111"/>
          <w:sz w:val="28"/>
          <w:szCs w:val="28"/>
          <w:rtl w:val="true"/>
          <w:lang w:bidi="fa-IR"/>
        </w:rPr>
        <w:t>»</w:t>
      </w:r>
      <w:r>
        <w:rPr>
          <w:rStyle w:val="FootnoteAnchor"/>
          <w:rtl w:val="true"/>
        </w:rPr>
        <w:footnoteReference w:id="387"/>
      </w:r>
      <w:r>
        <w:rPr>
          <w:rFonts w:ascii="Amiri" w:hAnsi="Amiri" w:eastAsia="Amiri" w:cs="Amiri"/>
          <w:color w:val="111111"/>
          <w:sz w:val="28"/>
          <w:sz w:val="28"/>
          <w:szCs w:val="28"/>
          <w:rtl w:val="true"/>
          <w:lang w:bidi="ar-SA"/>
        </w:rPr>
        <w:t xml:space="preserve">وكذا معاقد الإجماعات ، ظاهرةً في وجوب الإزالة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المتفاهم منها عرفاً أنّ الأمر بها وبتجنّب المساجد ؛ لمبغوضية تنجيسها حدوثاً وبقاءً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يعلم أنّ وجوب الإزالة فوري عقلاً ؛ لاستفادة مبغوضية تلوّث المساجد مطلقاً من الأدلّة </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ويلحق بالمساجد المصحف الشريف ، والمشاهد المشرّفة ، والضرائح المقدّسة ، والتربة الحسينية ، سيّما المتّخذة للتبرّك والاستشفاء والسجدة عليها ، بلا إشكال مع لزوم الوهن ، بل مطلقاً على وجه موافق للارتكاز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يبعد أن يكون المناط في نظر المتشرّعة وارتكازهم في وجوب تجنّب المساجد النجاسات ، هو حيثية عظمتها وحرمتها لدى الشارع الأقدس ، أو كون التنجيس </w:t>
      </w:r>
    </w:p>
    <w:p>
      <w:pPr>
        <w:pStyle w:val="BookText"/>
        <w:rPr/>
      </w:pPr>
      <w:r>
        <w:rPr>
          <w:rFonts w:ascii="Amiri" w:hAnsi="Amiri" w:eastAsia="Amiri" w:cs="Amiri"/>
          <w:color w:val="111111"/>
          <w:sz w:val="28"/>
          <w:sz w:val="28"/>
          <w:szCs w:val="28"/>
          <w:rtl w:val="true"/>
          <w:lang w:bidi="ar-SA"/>
        </w:rPr>
        <w:t xml:space="preserve">مطلقاً هتكاً عنده ولو لم يكن عندنا كذلك </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بالنسبة إلى غير الخطّ من المصحف ، وأمّا هو فلا ينبغي الإشكال في حرمة تنجيسه ، ووجوب الإزالة عنه ؛ لارتكازية الحكم لدى المتشرّعة ، ولفحوى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يَمَسُّهُ إِلاَّ الْمُطَهَّرُونَ</w:t>
      </w:r>
      <w:r>
        <w:rPr>
          <w:rFonts w:eastAsia="Amiri" w:cs="Amiri" w:ascii="Amiri" w:hAnsi="Amiri"/>
          <w:color w:val="111111"/>
          <w:sz w:val="28"/>
          <w:szCs w:val="28"/>
          <w:rtl w:val="true"/>
          <w:lang w:bidi="ar-SA"/>
        </w:rPr>
        <w:t>(</w:t>
      </w:r>
      <w:r>
        <w:rPr>
          <w:rStyle w:val="FootnoteAnchor"/>
          <w:rtl w:val="true"/>
        </w:rPr>
        <w:footnoteReference w:id="388"/>
      </w:r>
      <w:r>
        <w:rPr>
          <w:rFonts w:ascii="Amiri" w:hAnsi="Amiri" w:eastAsia="Amiri" w:cs="Amiri"/>
          <w:color w:val="111111"/>
          <w:sz w:val="28"/>
          <w:sz w:val="28"/>
          <w:szCs w:val="28"/>
          <w:rtl w:val="true"/>
          <w:lang w:bidi="ar-SA"/>
        </w:rPr>
        <w:t xml:space="preserve">الظاهر منه مبغوضية مسّ غير الطاهر إيّاه بأيّ وجه اتّفق ، والمفهوم منه الحكم فيما نحن فيه ، سيّما أنّ الظاهر من الآية الكريمة أنّ المناط فيها غاية علوّ القرآن وعظمته وكرامته </w:t>
      </w:r>
      <w:r>
        <w:rPr>
          <w:rFonts w:eastAsia="Amiri" w:cs="Amiri" w:ascii="Amiri" w:hAnsi="Amiri"/>
          <w:color w:val="111111"/>
          <w:sz w:val="28"/>
          <w:szCs w:val="28"/>
          <w:rtl w:val="true"/>
          <w:lang w:bidi="ar-SA"/>
        </w:rPr>
        <w:t xml:space="preserve">. </w:t>
      </w:r>
      <w:bookmarkStart w:id="138" w:name="pg15030_143094"/>
    </w:p>
    <w:p>
      <w:pPr>
        <w:pStyle w:val="Heading3"/>
        <w:numPr>
          <w:ilvl w:val="2"/>
          <w:numId w:val="1"/>
        </w:numPr>
        <w:rPr/>
      </w:pPr>
      <w:bookmarkStart w:id="139" w:name="__RefHeading___Toc212714_2142443653"/>
      <w:bookmarkStart w:id="140" w:name="_Toc49"/>
      <w:bookmarkEnd w:id="138"/>
      <w:bookmarkEnd w:id="139"/>
      <w:r>
        <w:rPr>
          <w:rtl w:val="true"/>
        </w:rPr>
        <w:t>المطلب الرابع</w:t>
      </w:r>
      <w:r>
        <w:rPr>
          <w:rtl w:val="true"/>
        </w:rPr>
        <w:t xml:space="preserve">: </w:t>
      </w:r>
      <w:r>
        <w:rPr>
          <w:rtl w:val="true"/>
        </w:rPr>
        <w:t>في اعتبار انفصال الغسالة</w:t>
      </w:r>
      <w:bookmarkEnd w:id="140"/>
    </w:p>
    <w:p>
      <w:pPr>
        <w:pStyle w:val="Heading4"/>
        <w:numPr>
          <w:ilvl w:val="3"/>
          <w:numId w:val="1"/>
        </w:numPr>
        <w:rPr/>
      </w:pPr>
      <w:bookmarkStart w:id="141" w:name="__RefHeading___Toc212716_2142443653"/>
      <w:bookmarkStart w:id="142" w:name="_Toc50"/>
      <w:bookmarkEnd w:id="141"/>
      <w:r>
        <w:rPr>
          <w:rtl w:val="true"/>
        </w:rPr>
        <w:t>اعتبار انفصال الغسالة في التطهير بالقليل</w:t>
      </w:r>
      <w:bookmarkEnd w:id="142"/>
    </w:p>
    <w:p>
      <w:pPr>
        <w:pStyle w:val="BookText"/>
        <w:rPr/>
      </w:pPr>
      <w:r>
        <w:rPr>
          <w:rFonts w:ascii="Amiri" w:hAnsi="Amiri" w:eastAsia="Amiri" w:cs="Amiri"/>
          <w:color w:val="111111"/>
          <w:sz w:val="28"/>
          <w:sz w:val="28"/>
          <w:szCs w:val="28"/>
          <w:rtl w:val="true"/>
          <w:lang w:bidi="ar-SA"/>
        </w:rPr>
        <w:t>يعتبر في التطهير بالماء القليل انفصال الغسالة على النحو المتعارف ، ففي مثل</w:t>
      </w:r>
    </w:p>
    <w:p>
      <w:pPr>
        <w:pStyle w:val="BookText"/>
        <w:rPr/>
      </w:pPr>
      <w:r>
        <w:rPr>
          <w:rFonts w:ascii="Amiri" w:hAnsi="Amiri" w:eastAsia="Amiri" w:cs="Amiri"/>
          <w:color w:val="111111"/>
          <w:sz w:val="28"/>
          <w:sz w:val="28"/>
          <w:szCs w:val="28"/>
          <w:rtl w:val="true"/>
          <w:lang w:bidi="ar-SA"/>
        </w:rPr>
        <w:t xml:space="preserve">الأجسام التي لا يرسب فيها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كالبدن والجسم الصقيل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صبّ الماء بنحو ينفصل غسالته عنها ، وفيما ترسب النجاسة فيه وتنفذ ، لا بدّ من إخراج الغسالة بالعصر أو بغيره بأيّ نحو يمكن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لقيام إجماع</w:t>
      </w:r>
      <w:r>
        <w:rPr>
          <w:rStyle w:val="FootnoteAnchor"/>
          <w:rtl w:val="true"/>
        </w:rPr>
        <w:footnoteReference w:id="389"/>
      </w:r>
      <w:r>
        <w:rPr>
          <w:rFonts w:ascii="Amiri" w:hAnsi="Amiri" w:eastAsia="Amiri" w:cs="Amiri"/>
          <w:color w:val="111111"/>
          <w:sz w:val="28"/>
          <w:sz w:val="28"/>
          <w:szCs w:val="28"/>
          <w:rtl w:val="true"/>
          <w:lang w:bidi="ar-SA"/>
        </w:rPr>
        <w:t>أو شهرة</w:t>
      </w:r>
      <w:r>
        <w:rPr>
          <w:rStyle w:val="FootnoteAnchor"/>
          <w:rtl w:val="true"/>
        </w:rPr>
        <w:footnoteReference w:id="390"/>
      </w:r>
      <w:r>
        <w:rPr>
          <w:rFonts w:ascii="Amiri" w:hAnsi="Amiri" w:eastAsia="Amiri" w:cs="Amiri"/>
          <w:color w:val="111111"/>
          <w:sz w:val="28"/>
          <w:sz w:val="28"/>
          <w:szCs w:val="28"/>
          <w:rtl w:val="true"/>
          <w:lang w:bidi="ar-SA"/>
        </w:rPr>
        <w:t>عليه ، كما قد يدّعى ، فإنّ الظاهر من تعليل من</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يدّعي الشهرة أو الإجماع أنّ الاستناد لم يكن إليهما ، بل المسألة من التفريعات التي يدخلها الاجتهاد ، وفي مثلها لا يكون الإجماع حجّة ، فضلاً عن الشهرة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الظاهر أ نّه لم يكن للشارع إعمال تعبّد في تطهير النجاسات ، إلاّ ما استثني ممّا نصّ على كيفية تطهيره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والشاهد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الروايات الواردة في باب تطهير أنواع النجاسات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كثرتها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تزد على الأمر بالغسل أو الصبّ في بعض الموارد ، من غير تعرّض لبيان الكيفية إلاّ نادراً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والتنصيصُ في بعض الموارد على التعدّد كالبول</w:t>
      </w:r>
      <w:r>
        <w:rPr>
          <w:rStyle w:val="FootnoteAnchor"/>
          <w:rtl w:val="true"/>
        </w:rPr>
        <w:footnoteReference w:id="391"/>
      </w:r>
      <w:r>
        <w:rPr>
          <w:rFonts w:ascii="Amiri" w:hAnsi="Amiri" w:eastAsia="Amiri" w:cs="Amiri"/>
          <w:color w:val="111111"/>
          <w:sz w:val="28"/>
          <w:sz w:val="28"/>
          <w:szCs w:val="28"/>
          <w:rtl w:val="true"/>
          <w:lang w:bidi="ar-SA"/>
        </w:rPr>
        <w:t>أو على كيفية خاصّة كالولوغ</w:t>
      </w:r>
      <w:r>
        <w:rPr>
          <w:rStyle w:val="FootnoteAnchor"/>
          <w:rtl w:val="true"/>
        </w:rPr>
        <w:footnoteReference w:id="392"/>
      </w:r>
      <w:r>
        <w:rPr>
          <w:rFonts w:ascii="Amiri" w:hAnsi="Amiri" w:eastAsia="Amiri" w:cs="Amiri"/>
          <w:color w:val="111111"/>
          <w:sz w:val="28"/>
          <w:sz w:val="28"/>
          <w:szCs w:val="28"/>
          <w:rtl w:val="true"/>
          <w:lang w:bidi="ar-SA"/>
        </w:rPr>
        <w:t xml:space="preserve">، دليل على كونها في مقام البيان في سائر النجاسات أيضاً ، فإطلاق الأمر بالغسل فيها ، يكشف عن عدم طريقة خاصّة في التطهير ، فدعوى ورود تعبّد خاصّ زائداً على لزوم الغسل ، في غير محلّها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متضمّن للعصر لغةً أو عرفاً ؛ وإن قال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الغسل يتضمّن العصر ، ومع عدم العصر يكون صبّاً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ويجري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يغسل الثياب والبدن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مجرى قول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علفتها تبناً وماء بارداً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استشهد برواية الحسين بن أبي العلاء ، حيث قال في الجسد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يصبّ عليه الماء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الثوب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اغسله مرّتين</w:t>
      </w:r>
      <w:r>
        <w:rPr>
          <w:rFonts w:eastAsia="Amiri" w:cs="Amiri" w:ascii="Amiri" w:hAnsi="Amiri"/>
          <w:color w:val="111111"/>
          <w:sz w:val="28"/>
          <w:szCs w:val="28"/>
          <w:rtl w:val="true"/>
          <w:lang w:bidi="ar-SA"/>
        </w:rPr>
        <w:t>»</w:t>
      </w:r>
      <w:r>
        <w:rPr>
          <w:rStyle w:val="FootnoteAnchor"/>
          <w:rtl w:val="true"/>
        </w:rPr>
        <w:footnoteReference w:id="394"/>
      </w:r>
      <w:r>
        <w:rPr>
          <w:rFonts w:ascii="IRNazanin" w:hAnsi="IRNazanin" w:eastAsia="IRNazanin"/>
          <w:color w:val="111111"/>
          <w:sz w:val="28"/>
          <w:sz w:val="28"/>
          <w:szCs w:val="28"/>
          <w:rtl w:val="true"/>
          <w:lang w:bidi="fa-IR"/>
        </w:rPr>
        <w:t xml:space="preserve">فجعل الصبّ مقابل الغسل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الفرق بين الثوب والبدن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البول يلاقي ظاهر البدن ، </w:t>
      </w:r>
    </w:p>
    <w:p>
      <w:pPr>
        <w:pStyle w:val="BookText"/>
        <w:rPr/>
      </w:pPr>
      <w:r>
        <w:rPr>
          <w:rFonts w:ascii="Amiri" w:hAnsi="Amiri" w:eastAsia="Amiri" w:cs="Amiri"/>
          <w:color w:val="111111"/>
          <w:sz w:val="28"/>
          <w:sz w:val="28"/>
          <w:szCs w:val="28"/>
          <w:rtl w:val="true"/>
          <w:lang w:bidi="ar-SA"/>
        </w:rPr>
        <w:t>ولا يرسب فيه ، فيكفي صبّ الماء ؛ لأ نّه يزيل ما على ظاهره ، وليس كذلك الثوب ؛ لأنّ النجاسة ترسخ فيه ، فلا تزول إلاّ بالعصر</w:t>
      </w:r>
      <w:r>
        <w:rPr>
          <w:rFonts w:eastAsia="Amiri" w:cs="Amiri" w:ascii="Amiri" w:hAnsi="Amiri"/>
          <w:color w:val="111111"/>
          <w:sz w:val="28"/>
          <w:szCs w:val="28"/>
          <w:rtl w:val="true"/>
          <w:lang w:bidi="ar-SA"/>
        </w:rPr>
        <w:t>»</w:t>
      </w:r>
      <w:r>
        <w:rPr>
          <w:rStyle w:val="FootnoteAnchor"/>
          <w:rtl w:val="true"/>
        </w:rPr>
        <w:footnoteReference w:id="395"/>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والظاهر من كلامه أنّ العصر مأخوذ في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في الثياب من الغسل ، ولا يكفي فيها الصبّ ؛ لأ نّه لا يزيل النجاسة التي رسبت فيها ، وسائر كلامه تعقيب لما فهم من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الغسل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ولا يبعد أن يكون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مذهب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استشهاداً بفهمهم لتضمّن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العصرَ ، لا دعوى الإجماع على حكم تعبّدي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لذلك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صادق عرفاً ولغةً على صبّ الماء على البدن لإزالة القذارة وغيرها ، وقد ورد الأمر بغسل الجسد والبدن والوجه واليدين في الكتاب</w:t>
      </w:r>
      <w:r>
        <w:rPr>
          <w:rStyle w:val="FootnoteAnchor"/>
          <w:rtl w:val="true"/>
        </w:rPr>
        <w:footnoteReference w:id="396"/>
      </w:r>
      <w:r>
        <w:rPr>
          <w:rFonts w:ascii="Amiri" w:hAnsi="Amiri" w:eastAsia="Amiri" w:cs="Amiri"/>
          <w:color w:val="111111"/>
          <w:sz w:val="28"/>
          <w:sz w:val="28"/>
          <w:szCs w:val="28"/>
          <w:rtl w:val="true"/>
          <w:lang w:bidi="ar-SA"/>
        </w:rPr>
        <w:t>والسنّة</w:t>
      </w:r>
      <w:r>
        <w:rPr>
          <w:rStyle w:val="FootnoteAnchor"/>
          <w:rtl w:val="true"/>
        </w:rPr>
        <w:footnoteReference w:id="397"/>
      </w:r>
      <w:r>
        <w:rPr>
          <w:rFonts w:ascii="Amiri" w:hAnsi="Amiri" w:eastAsia="Amiri" w:cs="Amiri"/>
          <w:color w:val="111111"/>
          <w:sz w:val="28"/>
          <w:sz w:val="28"/>
          <w:szCs w:val="28"/>
          <w:rtl w:val="true"/>
          <w:lang w:bidi="ar-SA"/>
        </w:rPr>
        <w:t xml:space="preserve">إلى ما شاء اللّه من غير شائبة تجوّز وتأوّل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الكلام في مثل رواية الحسين بن أبي العلاء</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وتوهّم اعتبار العصر في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 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دون غيرها ،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مشتركاً لفظياً ، في غاية الفساد يردّه العرف واللغة </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لأنّ خروج الغسالة وانفصالها معتبر في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المحقّق القمّي</w:t>
      </w:r>
      <w:r>
        <w:rPr>
          <w:rStyle w:val="FootnoteAnchor"/>
          <w:rtl w:val="true"/>
        </w:rPr>
        <w:footnoteReference w:id="3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ببالي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لمنع ذلك ، وصدقه مع عدم انفصالها عرفاً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لأنّ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الإزالة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مأخوذ في ماهية الغسل ، كما قال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الفقيه</w:t>
      </w:r>
      <w:r>
        <w:rPr>
          <w:rFonts w:eastAsia="Amiri" w:cs="Amiri" w:ascii="Amiri" w:hAnsi="Amiri"/>
          <w:color w:val="111111"/>
          <w:sz w:val="28"/>
          <w:szCs w:val="28"/>
          <w:rtl w:val="true"/>
          <w:lang w:bidi="ar-SA"/>
        </w:rPr>
        <w:t>»</w:t>
      </w:r>
      <w:r>
        <w:rPr>
          <w:rStyle w:val="FootnoteAnchor"/>
          <w:rtl w:val="true"/>
        </w:rPr>
        <w:footnoteReference w:id="400"/>
      </w:r>
      <w:r>
        <w:rPr>
          <w:rFonts w:ascii="Amiri" w:hAnsi="Amiri" w:eastAsia="Amiri" w:cs="Amiri"/>
          <w:color w:val="111111"/>
          <w:sz w:val="28"/>
          <w:sz w:val="28"/>
          <w:szCs w:val="28"/>
          <w:rtl w:val="true"/>
          <w:lang w:bidi="ar-SA"/>
        </w:rPr>
        <w:t xml:space="preserve">ضرورة صدقه على الفاقد لها أيضاً ، فيصدق على صبّ الماء على اليد ولو لم تكن قذرة ، كالغسلتين في الوضوء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لأنّ الظاهر من أدلّة غسل النجاسات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به غيري لإزالة النجاسة ، ولا يكون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مطلوباً حتّى نقتصر في تحقّقه على أوّل المصاديق بأيّ نحو وجد ، ولا شبهة في أنّ إزالة النجاسة وإرجاع الأجسام إلى حالتها الأصلية ، تختلف باختلاف الأجسام واختلاف النجاسات ، فإذا أمر بغسل الثوب من المنيّ ، يفهم العرف منه أ نّه لا بدّ من الفرك والدلك والغمز ونحوها ، لا لاعتبارها في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لأ نّه توصّلي إلى حصول النظافة للجسم ورجوعه إلى حالته الأصلية ، وهو لا يحصل إلاّ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أمر بغسل اليد من البول الذي لا جرم له ، لا يفهم منه إلاّ صبّ الماء عليه وإخراج غسالته ؛ لأنّ ملاقاة البول لا توجب حصول أثر يحتاج إلى الدلك ؛ وإن احتاج إلى إخراج غسالته لزوال القذارة به </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الغسل بالماء إنّما يوجب النظافة ورفع القذارة ، لأ نّه إذا صبّ على المحلّ وغسل به ، يوجب ذلك انتقال القذارة منه إليه ، فمع بقاء الغسالة على المحلّ لا يرتفع القذارة ، فلو يبس الثوب المغسول بالماء من غير إخراج غسالته ، تبقى قذارته عرفاً ، بخلاف ما لو خرجت منه ، فالمعتبر في التطهير ليس العصر بعنوانه ، بل المعتبر خروج الغسالة بأيّ علاج كان ، وهو أمر </w:t>
      </w:r>
      <w:bookmarkStart w:id="143" w:name="pg15030_143098"/>
    </w:p>
    <w:p>
      <w:pPr>
        <w:pStyle w:val="BookText"/>
        <w:rPr/>
      </w:pPr>
      <w:bookmarkEnd w:id="143"/>
      <w:r>
        <w:rPr>
          <w:rFonts w:ascii="Amiri" w:hAnsi="Amiri" w:eastAsia="Amiri" w:cs="Amiri"/>
          <w:color w:val="111111"/>
          <w:sz w:val="28"/>
          <w:sz w:val="28"/>
          <w:szCs w:val="28"/>
          <w:rtl w:val="true"/>
          <w:lang w:bidi="ar-SA"/>
        </w:rPr>
        <w:t xml:space="preserve">عقلائي متفاهم من الأوامر الواردة في غسل النجاسات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بالنسبة إلى القذارات التي يدرك العرف قذارتها ، لا إشكال فيه ، ولا في مساعدة العرف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حكمية بنظر العرف ؛ بأن لا يبقى في الملاقي أثر من الملاقى ، لكن تتنفّر الطباع بمجرّد ملاقاته ، كملاقاته لبدن الميّت ، أو العَذِرة اليابسة ، أو ملاقاة</w:t>
      </w:r>
    </w:p>
    <w:p>
      <w:pPr>
        <w:pStyle w:val="BookText"/>
        <w:rPr/>
      </w:pPr>
      <w:r>
        <w:rPr>
          <w:rFonts w:ascii="Amiri" w:hAnsi="Amiri" w:eastAsia="Amiri" w:cs="Amiri"/>
          <w:color w:val="111111"/>
          <w:sz w:val="28"/>
          <w:sz w:val="28"/>
          <w:szCs w:val="28"/>
          <w:rtl w:val="true"/>
          <w:lang w:bidi="ar-SA"/>
        </w:rPr>
        <w:t xml:space="preserve">طعامه لها ، فإنّ غسله لرفع النفرة لا يتحقّق إلاّ بانفصال الغسالة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النجاسات الجعلية الإلحاقية كالكافر والكلب ونحوهما ، فهي أيضاً كذلك لأنّ الغسل كما عرفت لإزالة القذارة ، وهي تتوقّف على إخراج الغسالة بالعصر أو ما يقوم مقامه في القذارات العرفية ، فإذا جعل الشارع قذارة لشيء ، وأوجد مصداقاً من القذارة في عالم التعبّد ، يجب على المكلّف ترتيب آثار القذارة العرفية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لمّا لم يكن التنزيل والجعل إلاّ في نفس القذارة لا غير ، يكون حكمه حكم القذارات غير العينية إذا لم يلصق من أعيانها على الملاقي ، كالمثال المتقدّم ، فلا يحتاج في التطهير إلى الدلك ونحوه </w:t>
      </w:r>
      <w:r>
        <w:rPr>
          <w:rFonts w:eastAsia="Amiri" w:cs="Amiri" w:ascii="Amiri" w:hAnsi="Amiri"/>
          <w:color w:val="111111"/>
          <w:sz w:val="28"/>
          <w:szCs w:val="28"/>
          <w:rtl w:val="true"/>
          <w:lang w:bidi="ar-SA"/>
        </w:rPr>
        <w:t>.</w:t>
      </w:r>
    </w:p>
    <w:p>
      <w:pPr>
        <w:pStyle w:val="Heading4"/>
        <w:numPr>
          <w:ilvl w:val="3"/>
          <w:numId w:val="1"/>
        </w:numPr>
        <w:rPr/>
      </w:pPr>
      <w:bookmarkStart w:id="144" w:name="__RefHeading___Toc212718_2142443653"/>
      <w:bookmarkStart w:id="145" w:name="_Toc51"/>
      <w:bookmarkEnd w:id="144"/>
      <w:r>
        <w:rPr>
          <w:rtl w:val="true"/>
        </w:rPr>
        <w:t>اعتبار انفصال الغسالة حتّى مع القول بعدم انفعال الغسالة</w:t>
      </w:r>
      <w:bookmarkEnd w:id="145"/>
    </w:p>
    <w:p>
      <w:pPr>
        <w:pStyle w:val="BookText"/>
        <w:rPr/>
      </w:pPr>
      <w:r>
        <w:rPr>
          <w:rFonts w:ascii="Amiri" w:hAnsi="Amiri" w:eastAsia="Amiri" w:cs="Amiri"/>
          <w:color w:val="111111"/>
          <w:sz w:val="28"/>
          <w:sz w:val="28"/>
          <w:szCs w:val="28"/>
          <w:rtl w:val="true"/>
          <w:lang w:bidi="ar-SA"/>
        </w:rPr>
        <w:t>ثمّ إنّ ما ذكرناه من لزوم العصر أو ما يقوم مقامه لإخراج الغسالة ، ثابت حتّى</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القول بعدم انفعال الغسالة</w:t>
      </w:r>
      <w:r>
        <w:rPr>
          <w:rStyle w:val="FootnoteAnchor"/>
          <w:rtl w:val="true"/>
        </w:rPr>
        <w:footnoteReference w:id="401"/>
      </w:r>
      <w:r>
        <w:rPr>
          <w:rFonts w:ascii="Amiri" w:hAnsi="Amiri" w:eastAsia="Amiri" w:cs="Amiri"/>
          <w:color w:val="111111"/>
          <w:sz w:val="28"/>
          <w:sz w:val="28"/>
          <w:szCs w:val="28"/>
          <w:rtl w:val="true"/>
          <w:lang w:bidi="ar-SA"/>
        </w:rPr>
        <w:t xml:space="preserve">؛ فإنّ عدم انفعالها لا يلازم إزالة النجاسة عن المحلّ المتوقّفة على إخراج الماء وانفصاله </w:t>
      </w:r>
      <w:r>
        <w:rPr>
          <w:rFonts w:eastAsia="Amiri" w:cs="Amiri" w:ascii="Amiri" w:hAnsi="Amiri"/>
          <w:color w:val="111111"/>
          <w:sz w:val="28"/>
          <w:szCs w:val="28"/>
          <w:rtl w:val="true"/>
          <w:lang w:bidi="ar-SA"/>
        </w:rPr>
        <w:t xml:space="preserve">. </w:t>
      </w:r>
      <w:bookmarkStart w:id="146" w:name="pg15030_143099"/>
    </w:p>
    <w:p>
      <w:pPr>
        <w:pStyle w:val="BookText"/>
        <w:rPr/>
      </w:pPr>
      <w:bookmarkEnd w:id="146"/>
      <w:r>
        <w:rPr>
          <w:rFonts w:ascii="Amiri" w:hAnsi="Amiri" w:eastAsia="Amiri" w:cs="Amiri"/>
          <w:color w:val="111111"/>
          <w:sz w:val="28"/>
          <w:sz w:val="28"/>
          <w:szCs w:val="28"/>
          <w:rtl w:val="true"/>
          <w:lang w:bidi="ar-SA"/>
        </w:rPr>
        <w:t xml:space="preserve">نعم ، 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المحلّ يصير طاهراً قبل خروج الغسالة ، ومع بقائها فيه ينفعل ثانياً بها ، لكان للتفصيل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المبنى غير صحيح ؛ لأنّ طهارة المحلّ ونظافته إنّما تحصل بمرور الماء على المحلّ القذر ، وخروجِه منه ، فلو صبّ الماء في إناء قذر ، وقلنا بعدم انفعاله ، فمع بقائه فيه حتّى ييبس ، لا يصير طاهراً نظيفاً بحكم العقلاء ولو لم ينفعل الماء ، فالنظافة موقوفة على إزالة النجاسة وذهابها بوسيلة مرور الماء على المحلّ ؛ سواء انفعل أم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الماء يزيل القذارة بمروره على المحلّ وانفصاله عنه ، لا بانتقال النجاسة إليه محضاً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الأقوى انفعال الغسالة ، وعدم التلازم بين طهارة المحلّ وطهارتها ، كما هو المقرّر في محلّه</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7" w:name="__RefHeading___Toc212720_2142443653"/>
      <w:bookmarkStart w:id="148" w:name="_Toc52"/>
      <w:bookmarkEnd w:id="147"/>
      <w:r>
        <w:rPr>
          <w:rtl w:val="true"/>
        </w:rPr>
        <w:t>المراد بالغسل والصبّ في الأخبار الواردة في غسل البول</w:t>
      </w:r>
      <w:bookmarkEnd w:id="148"/>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الأخبار الواردة في غسل البول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كصحيحة الحسين بن أبي العلاء على الأصحّ</w:t>
      </w:r>
      <w:r>
        <w:rPr>
          <w:rStyle w:val="FootnoteAnchor"/>
          <w:rtl w:val="true"/>
        </w:rPr>
        <w:footnoteReference w:id="403"/>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 السلام عن البول يصيب الجسد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 عليه الماء مرّتين ؛ فإنّما هو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وسألته عن الثوب يصيبه البول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اغسله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وسألته عن الصبيّ يبول على الثوب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يصبّ عليه الماء قليلاً ، ثمّ يعصره</w:t>
      </w:r>
      <w:r>
        <w:rPr>
          <w:rFonts w:eastAsia="Amiri" w:cs="Amiri" w:ascii="Amiri" w:hAnsi="Amiri"/>
          <w:color w:val="111111"/>
          <w:sz w:val="28"/>
          <w:szCs w:val="28"/>
          <w:rtl w:val="true"/>
          <w:lang w:bidi="ar-SA"/>
        </w:rPr>
        <w:t>»</w:t>
      </w:r>
      <w:r>
        <w:rPr>
          <w:rStyle w:val="FootnoteAnchor"/>
          <w:rtl w:val="true"/>
        </w:rPr>
        <w:footnoteReference w:id="404"/>
      </w:r>
      <w:r>
        <w:rPr>
          <w:rFonts w:ascii="Amiri" w:hAnsi="Amiri" w:eastAsia="Amiri" w:cs="Amiri"/>
          <w:color w:val="111111"/>
          <w:sz w:val="28"/>
          <w:sz w:val="28"/>
          <w:szCs w:val="28"/>
          <w:rtl w:val="true"/>
          <w:lang w:bidi="ar-SA"/>
        </w:rPr>
        <w:t xml:space="preserve">، وصحيحة البَزَنْطي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البول يصيب الجسد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 عليه الماء مرّتين ؛ فإنّما هو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الثوب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اغسله مرّتين</w:t>
      </w:r>
      <w:r>
        <w:rPr>
          <w:rFonts w:eastAsia="Amiri" w:cs="Amiri" w:ascii="Amiri" w:hAnsi="Amiri"/>
          <w:color w:val="111111"/>
          <w:sz w:val="28"/>
          <w:szCs w:val="28"/>
          <w:rtl w:val="true"/>
          <w:lang w:bidi="ar-SA"/>
        </w:rPr>
        <w:t>»</w:t>
      </w:r>
      <w:r>
        <w:rPr>
          <w:rStyle w:val="FootnoteAnchor"/>
          <w:rtl w:val="true"/>
        </w:rPr>
        <w:footnoteReference w:id="4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تدلّ على اعتبار العصر أو نحوه في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وهو واضح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تدلّ على أنّ الصبّ ليس بغسل ، بل تدلّ على أنّ الغسل المطلوب لإزالة القذارة ، يحصل في مثل البول والجسد بالصبّ من غير احتياج إلى الدلك والغمز ، ولهذا يفهم العرف منه أنّ الصبّ بوجه خاصّ تزال به القذارة مطلوب ، لا مطلقه ولو لم يمرّ على المحلّ ، ولم تخرج غسالته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قال في الثوب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أ نّه لو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لتوهّم منه عدم لزوم إخراج غسالته ردعاً لبناء العقلاء في كيفية الغسل ، وأمر بالغسل لمعهودية كيفيته إذا كان لإزالة القذارة </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فتحصّل ممّا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يعتبر في التطهير إخراج الغسالة وانفصالها بأيّ علاج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مصرّحاً به في الروايات ، لما كان ينقدح منه في الأذهان إلاّ الطريقية لخروج الغسالة ، لا موضوعية عنوانه بحيث لم يقم مقامه ما فَعل فعلَه </w:t>
      </w:r>
      <w:r>
        <w:rPr>
          <w:rFonts w:eastAsia="Amiri" w:cs="Amiri" w:ascii="Amiri" w:hAnsi="Amiri"/>
          <w:color w:val="111111"/>
          <w:sz w:val="28"/>
          <w:szCs w:val="28"/>
          <w:rtl w:val="true"/>
          <w:lang w:bidi="ar-SA"/>
        </w:rPr>
        <w:t xml:space="preserve">. </w:t>
      </w:r>
      <w:bookmarkStart w:id="149" w:name="pg15030_143101"/>
    </w:p>
    <w:p>
      <w:pPr>
        <w:pStyle w:val="Heading4"/>
        <w:numPr>
          <w:ilvl w:val="3"/>
          <w:numId w:val="1"/>
        </w:numPr>
        <w:rPr/>
      </w:pPr>
      <w:bookmarkStart w:id="150" w:name="__RefHeading___Toc212722_2142443653"/>
      <w:bookmarkStart w:id="151" w:name="_Toc53"/>
      <w:bookmarkEnd w:id="149"/>
      <w:bookmarkEnd w:id="150"/>
      <w:r>
        <w:rPr>
          <w:rtl w:val="true"/>
        </w:rPr>
        <w:t>اعتبار انفصال الغسالة في التطهير بالجاري ونحوه</w:t>
      </w:r>
      <w:bookmarkEnd w:id="151"/>
    </w:p>
    <w:p>
      <w:pPr>
        <w:pStyle w:val="BookText"/>
        <w:rPr/>
      </w:pPr>
      <w:r>
        <w:rPr>
          <w:rFonts w:ascii="Amiri" w:hAnsi="Amiri" w:eastAsia="Amiri" w:cs="Amiri"/>
          <w:color w:val="111111"/>
          <w:sz w:val="28"/>
          <w:sz w:val="28"/>
          <w:szCs w:val="28"/>
          <w:rtl w:val="true"/>
          <w:lang w:bidi="ar-SA"/>
        </w:rPr>
        <w:t xml:space="preserve">ثمّ إنّه يظهر ممّا مرّ من أنّ عدم انفعال ماء الغسالة ، لا يلازم عدم لزوم إخراجها في التطهير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يعتبر في الغسل بالماء الجاري والكثير المعتصم ، خروج الماء المحيط بالثوب ولو بتغيّره وتبدّله ؛ ولو في داخل الماء ، بأيّ نحو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الغمز ، أو تموّج الماء ، أو قوّة حركته وجريانه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إلى</w:t>
      </w:r>
    </w:p>
    <w:p>
      <w:pPr>
        <w:pStyle w:val="BookText"/>
        <w:rPr/>
      </w:pPr>
      <w:r>
        <w:rPr>
          <w:rFonts w:ascii="Amiri" w:hAnsi="Amiri" w:eastAsia="Amiri" w:cs="Amiri"/>
          <w:color w:val="111111"/>
          <w:sz w:val="28"/>
          <w:sz w:val="28"/>
          <w:szCs w:val="28"/>
          <w:rtl w:val="true"/>
          <w:lang w:bidi="ar-SA"/>
        </w:rPr>
        <w:t xml:space="preserve">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فالاكتفاء في التطهير بمطلق إصابة الثوب الكرّ أو الجاري ، مشكل لا دليل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والأخذ بإطلاق أدلّة الغسل</w:t>
      </w:r>
      <w:r>
        <w:rPr>
          <w:rStyle w:val="FootnoteAnchor"/>
          <w:rtl w:val="true"/>
        </w:rPr>
        <w:footnoteReference w:id="4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مرّ من مساعدة العرف في كيفية التطهير على إمرار الماء على المحلّ لإذهاب القذارة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محلّه </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التمسّك</w:t>
      </w:r>
      <w:r>
        <w:rPr>
          <w:rStyle w:val="FootnoteAnchor"/>
          <w:rtl w:val="true"/>
        </w:rPr>
        <w:footnoteReference w:id="407"/>
      </w:r>
      <w:r>
        <w:rPr>
          <w:rFonts w:ascii="Amiri" w:hAnsi="Amiri" w:eastAsia="Amiri" w:cs="Amiri"/>
          <w:color w:val="111111"/>
          <w:sz w:val="28"/>
          <w:sz w:val="28"/>
          <w:szCs w:val="28"/>
          <w:rtl w:val="true"/>
          <w:lang w:bidi="ar-SA"/>
        </w:rPr>
        <w:t xml:space="preserve">بمرسلة الكاهلي الواردة في المطر ، وفيها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يراه ماء المطر فقد طهر</w:t>
      </w:r>
      <w:r>
        <w:rPr>
          <w:rFonts w:eastAsia="Amiri" w:cs="Amiri" w:ascii="Amiri" w:hAnsi="Amiri"/>
          <w:color w:val="111111"/>
          <w:sz w:val="28"/>
          <w:szCs w:val="28"/>
          <w:rtl w:val="true"/>
          <w:lang w:bidi="ar-SA"/>
        </w:rPr>
        <w:t>»</w:t>
      </w:r>
      <w:r>
        <w:rPr>
          <w:rStyle w:val="FootnoteAnchor"/>
          <w:rtl w:val="true"/>
        </w:rPr>
        <w:footnoteReference w:id="408"/>
      </w:r>
      <w:r>
        <w:rPr>
          <w:rFonts w:ascii="Amiri" w:hAnsi="Amiri" w:eastAsia="Amiri" w:cs="Amiri"/>
          <w:color w:val="111111"/>
          <w:sz w:val="28"/>
          <w:sz w:val="28"/>
          <w:szCs w:val="28"/>
          <w:rtl w:val="true"/>
          <w:lang w:bidi="ar-SA"/>
        </w:rPr>
        <w:t xml:space="preserve">مع دعوى عدم القول بالفصل بينه وبين الجاري ، بل عدمِ القول به بينه وبين الكثير ، مضافاً إلى المرسل المحكيّ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409"/>
      </w:r>
      <w:r>
        <w:rPr>
          <w:rFonts w:ascii="IRNazanin" w:hAnsi="IRNazanin" w:eastAsia="IRNazanin"/>
          <w:color w:val="111111"/>
          <w:sz w:val="28"/>
          <w:sz w:val="28"/>
          <w:szCs w:val="28"/>
          <w:rtl w:val="true"/>
          <w:lang w:bidi="fa-IR"/>
        </w:rPr>
        <w:t xml:space="preserve">عن أبي جعفر علیه السلام مشيراً إلى غدير ماء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لا يصيب شيئاً إلاّ طهّره</w:t>
      </w:r>
      <w:r>
        <w:rPr>
          <w:rFonts w:eastAsia="IRNazanin" w:cs="IRNazanin"/>
          <w:color w:val="111111"/>
          <w:sz w:val="28"/>
          <w:szCs w:val="28"/>
          <w:rtl w:val="true"/>
          <w:lang w:bidi="fa-IR"/>
        </w:rPr>
        <w:t>»</w:t>
      </w:r>
      <w:r>
        <w:rPr>
          <w:rStyle w:val="FootnoteAnchor"/>
          <w:rtl w:val="true"/>
        </w:rPr>
        <w:footnoteReference w:id="410"/>
      </w:r>
      <w:r>
        <w:rPr>
          <w:rFonts w:ascii="Amiri" w:hAnsi="Amiri" w:eastAsia="Amiri" w:cs="Amiri"/>
          <w:color w:val="111111"/>
          <w:sz w:val="28"/>
          <w:sz w:val="28"/>
          <w:szCs w:val="28"/>
          <w:rtl w:val="true"/>
          <w:lang w:bidi="ar-SA"/>
        </w:rPr>
        <w:t xml:space="preserve">مشكل ؛ </w:t>
      </w:r>
      <w:bookmarkStart w:id="152" w:name="pg15030_143102"/>
    </w:p>
    <w:p>
      <w:pPr>
        <w:pStyle w:val="BookText"/>
        <w:rPr/>
      </w:pPr>
      <w:bookmarkEnd w:id="152"/>
      <w:r>
        <w:rPr>
          <w:rFonts w:ascii="Amiri" w:hAnsi="Amiri" w:eastAsia="Amiri" w:cs="Amiri"/>
          <w:color w:val="111111"/>
          <w:sz w:val="28"/>
          <w:sz w:val="28"/>
          <w:szCs w:val="28"/>
          <w:rtl w:val="true"/>
          <w:lang w:bidi="ar-SA"/>
        </w:rPr>
        <w:t>لضعف المرسلة ولو سلّم جبرها بالعمل ، كما لا يبعد ، وسيأتي في محلّه</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فعدم القول بالفصل والإجماع على التلازم بين المطر والجاري والكرّ ، غير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مقتضى إطلاق كثير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حكي</w:t>
      </w:r>
      <w:r>
        <w:rPr>
          <w:rStyle w:val="FootnoteAnchor"/>
          <w:rtl w:val="true"/>
        </w:rPr>
        <w:footnoteReference w:id="4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الفرق في لزوم العصر بين القليل وغيره ولو لبنائهم على كون العصر مأخوذاً في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الغسل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ومرسلة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حجّة ، واشتهار الحكم بين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واستنادهم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يوجب الجبر مع عدم معلومية الاستناد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فالأحوط لو لم يكن الأقوى لزوم الفرك ، أو العصر ، أو التحريك ، أو نحوها ممّا يوجب تبدّل الماء الداخل في الجملة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تحقّقه بالغمس في الجاري الذي يكون جريانه محسوساً ، سيّما إذا كان قويّاً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الظاهر حصول ذلك في القليل في بعض الأحيان ، كما إذا صبّ من مكان مرتفع بقوّة ، أو صبّ على الثوب مستمرّاً ؛ بحيث خرجت الغسالة بورود الماء بعد ورود مستمرّاً </w:t>
      </w:r>
      <w:r>
        <w:rPr>
          <w:rFonts w:eastAsia="Amiri" w:cs="Amiri" w:ascii="Amiri" w:hAnsi="Amiri"/>
          <w:color w:val="111111"/>
          <w:sz w:val="28"/>
          <w:szCs w:val="28"/>
          <w:rtl w:val="true"/>
          <w:lang w:bidi="ar-SA"/>
        </w:rPr>
        <w:t>.</w:t>
      </w:r>
    </w:p>
    <w:p>
      <w:pPr>
        <w:pStyle w:val="Heading4"/>
        <w:numPr>
          <w:ilvl w:val="3"/>
          <w:numId w:val="1"/>
        </w:numPr>
        <w:rPr/>
      </w:pPr>
      <w:bookmarkStart w:id="153" w:name="__RefHeading___Toc212724_2142443653"/>
      <w:bookmarkStart w:id="154" w:name="_Toc54"/>
      <w:bookmarkEnd w:id="153"/>
      <w:r>
        <w:rPr>
          <w:rtl w:val="true"/>
        </w:rPr>
        <w:t>كفاية صبّ الماء على بول الصبيّ وعدم لزوم غسله</w:t>
      </w:r>
      <w:bookmarkEnd w:id="154"/>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يستثنى ممّا ذكر بول الصبيّ قبل أن أكل واُطعم ، وقد ادّعى السيّد إجماع الفرقة المحقّة على جواز الاقتصار على صبّ الماء والنضح ، ثمّ تمسّك </w:t>
      </w:r>
    </w:p>
    <w:p>
      <w:pPr>
        <w:pStyle w:val="BookText"/>
        <w:rPr/>
      </w:pPr>
      <w:r>
        <w:rPr>
          <w:rFonts w:ascii="IRNazanin" w:hAnsi="IRNazanin" w:eastAsia="IRNazanin"/>
          <w:color w:val="111111"/>
          <w:sz w:val="28"/>
          <w:sz w:val="28"/>
          <w:szCs w:val="28"/>
          <w:rtl w:val="true"/>
          <w:lang w:bidi="fa-IR"/>
        </w:rPr>
        <w:t xml:space="preserve">بما روي عن أمير المؤمنين علیه السلام عن النبي صلی الله علیه و آله وسلم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يغسل من بول الجارية ، وينضح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بول الصبيّ ما لم يأكل الطعام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وبما روت زينب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بنت الجون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صلی الله علیه و آله وسلم أخذ الحسين ابن علي علیهما السلام فأجلسه في حجره ، فبال عليه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أخذت ثوباً وأعطيتني إزارك لأغسله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يغسل من بول الاُنثى ، وينضح على بول الذكر</w:t>
      </w:r>
      <w:r>
        <w:rPr>
          <w:rFonts w:eastAsia="IRNazanin" w:cs="IRNazanin"/>
          <w:color w:val="111111"/>
          <w:sz w:val="28"/>
          <w:szCs w:val="28"/>
          <w:rtl w:val="true"/>
          <w:lang w:bidi="fa-IR"/>
        </w:rPr>
        <w:t>»</w:t>
      </w:r>
      <w:r>
        <w:rPr>
          <w:rStyle w:val="FootnoteAnchor"/>
          <w:rtl w:val="true"/>
        </w:rPr>
        <w:footnoteReference w:id="413"/>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والروايتان من غير طرق أصحابنا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ادّعى الشيخ إجماع الفرقة فيه على كفاية الصبّ بمقدار ما يغمره ، وعدم</w:t>
      </w:r>
    </w:p>
    <w:p>
      <w:pPr>
        <w:pStyle w:val="BookText"/>
        <w:rPr/>
      </w:pPr>
      <w:r>
        <w:rPr>
          <w:rFonts w:ascii="IRNazanin" w:hAnsi="IRNazanin" w:eastAsia="IRNazanin"/>
          <w:color w:val="111111"/>
          <w:sz w:val="28"/>
          <w:sz w:val="28"/>
          <w:szCs w:val="28"/>
          <w:rtl w:val="true"/>
          <w:lang w:bidi="fa-IR"/>
        </w:rPr>
        <w:t>وجوب غسله</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غير واحد من المتأخّرين دعوى عدم الخلاف، وأ نّه مذهب الأصحاب</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وتدلّ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إلى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الحلبي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بول الصبيّ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تصبّ عليه الماء ، فإن كان قد أكل فاغسله بالماء غسلاً ، والغلام والجارية في ذلك شرع سواء</w:t>
      </w:r>
      <w:r>
        <w:rPr>
          <w:rFonts w:eastAsia="Amiri" w:cs="Amiri" w:ascii="Amiri" w:hAnsi="Amiri"/>
          <w:color w:val="111111"/>
          <w:sz w:val="28"/>
          <w:szCs w:val="28"/>
          <w:rtl w:val="true"/>
          <w:lang w:bidi="ar-SA"/>
        </w:rPr>
        <w:t>»</w:t>
      </w:r>
      <w:r>
        <w:rPr>
          <w:rStyle w:val="FootnoteAnchor"/>
          <w:rtl w:val="true"/>
        </w:rPr>
        <w:footnoteReference w:id="417"/>
      </w:r>
      <w:r>
        <w:rPr>
          <w:rFonts w:ascii="IRNazanin" w:hAnsi="IRNazanin" w:eastAsia="IRNazanin"/>
          <w:color w:val="111111"/>
          <w:sz w:val="28"/>
          <w:sz w:val="28"/>
          <w:szCs w:val="28"/>
          <w:rtl w:val="true"/>
          <w:lang w:bidi="fa-IR"/>
        </w:rPr>
        <w:t xml:space="preserve">ونحوها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rtl w:val="true"/>
          <w:lang w:bidi="fa-IR"/>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وعن الصدوق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معاني الأخبار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رسول اللّه صلی الله علیه و آله وسلم اُتي بالحسن بن علي علیهما السلام فوضع في حجره فبال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تزرموا ابني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دعا بماء فصبّ عليه</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الصادق علیه السلام في بول الصبيّ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يصبّ عليه الماء</w:t>
      </w:r>
    </w:p>
    <w:p>
      <w:pPr>
        <w:pStyle w:val="BookText"/>
        <w:rPr/>
      </w:pPr>
      <w:r>
        <w:rPr>
          <w:rFonts w:ascii="Amiri" w:hAnsi="Amiri" w:eastAsia="Amiri" w:cs="Amiri"/>
          <w:color w:val="111111"/>
          <w:sz w:val="28"/>
          <w:sz w:val="28"/>
          <w:szCs w:val="28"/>
          <w:rtl w:val="true"/>
          <w:lang w:bidi="ar-SA"/>
        </w:rPr>
        <w:t>حتّى يخرج من الجانب الآخر</w:t>
      </w:r>
      <w:r>
        <w:rPr>
          <w:rFonts w:eastAsia="Amiri" w:cs="Amiri" w:ascii="Amiri" w:hAnsi="Amiri"/>
          <w:color w:val="111111"/>
          <w:sz w:val="28"/>
          <w:szCs w:val="28"/>
          <w:rtl w:val="true"/>
          <w:lang w:bidi="ar-SA"/>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وموثّقة السَكوني ، عن جعفر ، عن أبيه علیهما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علياً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 الجارية وبولها يغسل منه الثوب قبل أن تطعم ؛ لأنّ لبنها يخرج من مثانة اُمّها ، ولبن الغلام لا يغسل منه الثوب ولا من بوله قبل أن يطعم ؛ لأنّ لبن الغلام يخرج من العضدين والمنكبين</w:t>
      </w:r>
      <w:r>
        <w:rPr>
          <w:rFonts w:eastAsia="IRNazanin" w:cs="IRNazanin"/>
          <w:color w:val="111111"/>
          <w:sz w:val="28"/>
          <w:szCs w:val="28"/>
          <w:rtl w:val="true"/>
          <w:lang w:bidi="fa-IR"/>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نحوها ، عنه علیه السلام </w:t>
      </w:r>
      <w:r>
        <w:rPr>
          <w:rStyle w:val="FootnoteAnchor"/>
          <w:rtl w:val="true"/>
        </w:rPr>
        <w:footnoteReference w:id="422"/>
      </w:r>
      <w:r>
        <w:rPr>
          <w:rFonts w:ascii="IRNazanin" w:hAnsi="IRNazanin" w:eastAsia="IRNazanin"/>
          <w:color w:val="111111"/>
          <w:sz w:val="28"/>
          <w:sz w:val="28"/>
          <w:szCs w:val="28"/>
          <w:rtl w:val="true"/>
          <w:lang w:bidi="fa-IR"/>
        </w:rPr>
        <w:t xml:space="preserve">وقريب منها 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الجعفريات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 عن أبيه ، عن علي علیهم السلام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وعنها ، عن جعفر بن محمّد ، عن علي علیهم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النبي صلی الله علیه و آله وسلم بال</w:t>
      </w:r>
    </w:p>
    <w:p>
      <w:pPr>
        <w:pStyle w:val="BookText"/>
        <w:rPr/>
      </w:pPr>
      <w:r>
        <w:rPr>
          <w:rFonts w:ascii="IRNazanin" w:hAnsi="IRNazanin" w:eastAsia="IRNazanin"/>
          <w:color w:val="111111"/>
          <w:sz w:val="28"/>
          <w:sz w:val="28"/>
          <w:szCs w:val="28"/>
          <w:rtl w:val="true"/>
          <w:lang w:bidi="fa-IR"/>
        </w:rPr>
        <w:t>عليه الحسن والحسين علیهما السلام قبل أن يطعما ، فكان لا يغسل بولهما من ثوبه</w:t>
      </w:r>
      <w:r>
        <w:rPr>
          <w:rFonts w:eastAsia="IRNazanin" w:cs="IRNazanin"/>
          <w:color w:val="111111"/>
          <w:sz w:val="28"/>
          <w:szCs w:val="28"/>
          <w:rtl w:val="true"/>
          <w:lang w:bidi="fa-IR"/>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منافاة بين ما دلّ على عدم الغسل من بوله ، وبين ما دلّ على وجوب الصبّ ؛ فإنّ دلالة الأوّل على طهارته وعدم لزوم شيء ، بالسكوت في مقام البيان ، وهو لا يقاوم التصريح بالصبّ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كون موثّقة السَكوني وما بمضمونها في مقام البيان من هذه الجهة منع ؛ فإنّ الظاهر أ نّها في مقام بيان نكتة الفرق بين بول الغلام والجارية بعد معهودية أصل الفرق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موثّقة سَماعة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بول الصبيّ يصيب الثوب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أجد مكانه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 الثوب كلّه</w:t>
      </w:r>
      <w:r>
        <w:rPr>
          <w:rFonts w:eastAsia="Amiri" w:cs="Amiri" w:ascii="Amiri" w:hAnsi="Amiri"/>
          <w:color w:val="111111"/>
          <w:sz w:val="28"/>
          <w:szCs w:val="28"/>
          <w:rtl w:val="true"/>
          <w:lang w:bidi="ar-SA"/>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فطريق الجمع بينها وبين صحيحة الحلبي تقييدها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حملها على الاستحباب وكمال النظافة ؛ تحكيماً لنصّ رواية السَكوني على ظاهرها </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رواية الحسين بن أبي العلاء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الصحيحة على الأصحّ</w:t>
      </w:r>
      <w:r>
        <w:rPr>
          <w:rStyle w:val="FootnoteAnchor"/>
          <w:rtl w:val="true"/>
        </w:rPr>
        <w:footnoteReference w:id="4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 السلام عن البول يصيب الجسد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 عليه الماء مرّتين ؛ فإنّما هو ماء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وسألته عن الثوب يصيبه البول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اغسله مرّتين</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وسألته عن الصبيّ يبول على الثوب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يصبّ عليه الماء قليلاً ، ثمّ يعصره</w:t>
      </w:r>
      <w:r>
        <w:rPr>
          <w:rFonts w:eastAsia="Amiri" w:cs="Amiri" w:ascii="Amiri" w:hAnsi="Amiri"/>
          <w:color w:val="111111"/>
          <w:sz w:val="28"/>
          <w:szCs w:val="28"/>
          <w:rtl w:val="true"/>
          <w:lang w:bidi="ar-SA"/>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فليس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العصر المعهود في غسل الثياب ؛ بقرينة مقابلة صبّ الماء قليلاً والعصر ، مع غسل الثوب في بول غير الصبيّ ، فإنّه لو كان المراد منه صبّ الماء والعصر على النحو المعهود في غسل سائر النجاسات ، لقال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الفرق بين بوله وبول غيره بالمرّة والمرّتين لقال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اغسله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فتغيير التعبير دليل على عدم لزوم الغسل ، فلو كان العصر هو المعهود لزم منه وجوب الغسل ، وهو ينافي المقابلة سيّما مع تقييد الصبّ بكونه قليلاً ، وهو دليل آخر على عدم لزوم الغسل ، وعلى عدم كون العصر لإخراج الغسالة </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الظاهر أ نّه لإيصال الماء إلى جوف الثوب ؛ فإنّ من طباع البول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لحرارته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يرسب في الثوب ، ومن طباع الماء البارد أن لا يرسب عاجلاً إلاّ بالعلاج ، سيّما مع قلّته ، فلا منافاة بينها وبين صحيحة الحلبي المقتصر فيها على الصبّ ، فإنّه أيضاً لا يكفي إلاّ مع الغلبة على البول ووصول الماء إلى جميع ما وصل إليه البول ، ولا يكفي الصبّ على ظاهر الثوب لتطهير باطنه ، كما هو الظاهر من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المتقدّمة</w:t>
      </w:r>
      <w:r>
        <w:rPr>
          <w:rStyle w:val="FootnoteAnchor"/>
          <w:rtl w:val="true"/>
        </w:rPr>
        <w:footnoteReference w:id="428"/>
      </w:r>
      <w:r>
        <w:rPr>
          <w:rFonts w:ascii="Amiri" w:hAnsi="Amiri" w:eastAsia="Amiri" w:cs="Amiri"/>
          <w:color w:val="111111"/>
          <w:sz w:val="28"/>
          <w:sz w:val="28"/>
          <w:szCs w:val="28"/>
          <w:rtl w:val="true"/>
          <w:lang w:bidi="ar-SA"/>
        </w:rPr>
        <w:t xml:space="preserve">، فإنّ الخروج من الجانب الآخر من الثوب لوصوله إلى كلّ ما وصل إليه البول في غالب الثياب ، فلا تعارض بين الروايات بحمد اللّه </w:t>
      </w:r>
      <w:r>
        <w:rPr>
          <w:rFonts w:eastAsia="Amiri" w:cs="Amiri" w:ascii="Amiri" w:hAnsi="Amiri"/>
          <w:color w:val="111111"/>
          <w:sz w:val="28"/>
          <w:szCs w:val="28"/>
          <w:rtl w:val="true"/>
          <w:lang w:bidi="ar-SA"/>
        </w:rPr>
        <w:t xml:space="preserve">. </w:t>
      </w:r>
      <w:bookmarkStart w:id="155" w:name="pg15030_143107"/>
    </w:p>
    <w:p>
      <w:pPr>
        <w:pStyle w:val="Heading4"/>
        <w:numPr>
          <w:ilvl w:val="3"/>
          <w:numId w:val="1"/>
        </w:numPr>
        <w:rPr/>
      </w:pPr>
      <w:bookmarkStart w:id="156" w:name="__RefHeading___Toc212726_2142443653"/>
      <w:bookmarkStart w:id="157" w:name="_Toc55"/>
      <w:bookmarkEnd w:id="155"/>
      <w:bookmarkEnd w:id="156"/>
      <w:r>
        <w:rPr>
          <w:rtl w:val="true"/>
        </w:rPr>
        <w:t>حول إلحاق الصبيّة بالصبيّ</w:t>
      </w:r>
      <w:bookmarkEnd w:id="157"/>
    </w:p>
    <w:p>
      <w:pPr>
        <w:pStyle w:val="BookText"/>
        <w:rPr/>
      </w:pPr>
      <w:r>
        <w:rPr>
          <w:rFonts w:ascii="Amiri" w:hAnsi="Amiri" w:eastAsia="Amiri" w:cs="Amiri"/>
          <w:color w:val="111111"/>
          <w:sz w:val="28"/>
          <w:sz w:val="28"/>
          <w:szCs w:val="28"/>
          <w:rtl w:val="true"/>
          <w:lang w:bidi="ar-SA"/>
        </w:rPr>
        <w:t xml:space="preserve">وهل تلحق الصبيّة بالصبيّ ؟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عدم الإلحاق</w:t>
      </w:r>
      <w:r>
        <w:rPr>
          <w:rStyle w:val="FootnoteAnchor"/>
          <w:rtl w:val="true"/>
        </w:rPr>
        <w:footnoteReference w:id="4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اختصاص الحكم بالصبيّ</w:t>
      </w:r>
      <w:r>
        <w:rPr>
          <w:rStyle w:val="FootnoteAnchor"/>
          <w:rtl w:val="true"/>
        </w:rPr>
        <w:footnoteReference w:id="4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جمع دعوى الشهرة عليه</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وفي بول الصبيّة قول بالمساواة</w:t>
      </w:r>
      <w:r>
        <w:rPr>
          <w:rFonts w:eastAsia="Amiri" w:cs="Amiri" w:ascii="Amiri" w:hAnsi="Amiri"/>
          <w:color w:val="111111"/>
          <w:sz w:val="28"/>
          <w:szCs w:val="28"/>
          <w:rtl w:val="true"/>
          <w:lang w:bidi="ar-SA"/>
        </w:rPr>
        <w:t>»</w:t>
      </w:r>
      <w:r>
        <w:rPr>
          <w:rStyle w:val="FootnoteAnchor"/>
          <w:rtl w:val="true"/>
        </w:rPr>
        <w:footnoteReference w:id="432"/>
      </w:r>
      <w:r>
        <w:rPr>
          <w:rFonts w:ascii="Amiri" w:hAnsi="Amiri" w:eastAsia="Amiri" w:cs="Amiri"/>
          <w:color w:val="111111"/>
          <w:sz w:val="28"/>
          <w:sz w:val="28"/>
          <w:szCs w:val="28"/>
          <w:rtl w:val="true"/>
          <w:lang w:bidi="ar-SA"/>
        </w:rPr>
        <w:t>، ولعلّه استظهره من محكيّ عبارة الصدوقين</w:t>
      </w:r>
      <w:r>
        <w:rPr>
          <w:rStyle w:val="FootnoteAnchor"/>
          <w:rtl w:val="true"/>
        </w:rPr>
        <w:footnoteReference w:id="433"/>
      </w:r>
      <w:r>
        <w:rPr>
          <w:rFonts w:ascii="Amiri" w:hAnsi="Amiri" w:eastAsia="Amiri" w:cs="Amiri"/>
          <w:color w:val="111111"/>
          <w:sz w:val="28"/>
          <w:sz w:val="28"/>
          <w:szCs w:val="28"/>
          <w:rtl w:val="true"/>
          <w:lang w:bidi="ar-SA"/>
        </w:rPr>
        <w:t xml:space="preserve">، حيث أوردا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بعينها </w:t>
      </w:r>
      <w:r>
        <w:rPr>
          <w:rStyle w:val="FootnoteAnchor"/>
          <w:rtl w:val="true"/>
        </w:rPr>
        <w:footnoteReference w:id="434"/>
      </w:r>
      <w:r>
        <w:rPr>
          <w:rFonts w:ascii="Amiri" w:hAnsi="Amiri" w:eastAsia="Amiri" w:cs="Amiri"/>
          <w:color w:val="111111"/>
          <w:sz w:val="28"/>
          <w:sz w:val="28"/>
          <w:szCs w:val="28"/>
          <w:rtl w:val="true"/>
          <w:lang w:bidi="ar-SA"/>
        </w:rPr>
        <w:t xml:space="preserve">واختاره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صريحاً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والأقوى عدم الإلحاق كما عليه الأصحاب ؛ لإعراضهم عن ذيل الصحيحة </w:t>
      </w:r>
      <w:r>
        <w:rPr>
          <w:rFonts w:eastAsia="Amiri" w:cs="Amiri" w:ascii="Amiri" w:hAnsi="Amiri"/>
          <w:color w:val="111111"/>
          <w:sz w:val="28"/>
          <w:szCs w:val="28"/>
          <w:rtl w:val="true"/>
          <w:lang w:bidi="ar-SA"/>
        </w:rPr>
        <w:t xml:space="preserve">. </w:t>
      </w:r>
      <w:bookmarkStart w:id="158" w:name="pg15030_143108"/>
    </w:p>
    <w:p>
      <w:pPr>
        <w:pStyle w:val="BookText"/>
        <w:rPr/>
      </w:pPr>
      <w:bookmarkEnd w:id="158"/>
      <w:r>
        <w:rPr>
          <w:rFonts w:ascii="Amiri" w:hAnsi="Amiri" w:eastAsia="Amiri" w:cs="Amiri"/>
          <w:color w:val="111111"/>
          <w:sz w:val="28"/>
          <w:sz w:val="28"/>
          <w:szCs w:val="28"/>
          <w:rtl w:val="true"/>
          <w:lang w:bidi="ar-SA"/>
        </w:rPr>
        <w:t>مع معارضتها لموثّقة السَكوني</w:t>
      </w:r>
      <w:r>
        <w:rPr>
          <w:rStyle w:val="FootnoteAnchor"/>
          <w:rtl w:val="true"/>
        </w:rPr>
        <w:footnoteReference w:id="436"/>
      </w:r>
      <w:r>
        <w:rPr>
          <w:rFonts w:ascii="Amiri" w:hAnsi="Amiri" w:eastAsia="Amiri" w:cs="Amiri"/>
          <w:color w:val="111111"/>
          <w:sz w:val="28"/>
          <w:sz w:val="28"/>
          <w:szCs w:val="28"/>
          <w:rtl w:val="true"/>
          <w:lang w:bidi="ar-SA"/>
        </w:rPr>
        <w:t xml:space="preserve">، حيث إنّها نفت التفرقة بينهما ، وهي صرّحت بها ، ولا جمع عقلائي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التعارض فإن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الشهرة مرجّحة ، فالترجيح مع الموثّقة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 نّها موهنة لمخالفها ، فالوهن للصحيحة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موافقة السنّة القطعية مرجّحة ، فالترجيح للموثّقة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العمومات مرجع لدى التعارض ، فعمومات غسل النجاسات وغسل البول مرّتين حاكمة على عدم المساواة </w:t>
      </w:r>
      <w:r>
        <w:rPr>
          <w:rFonts w:eastAsia="Amiri" w:cs="Amiri" w:ascii="Amiri" w:hAnsi="Amiri"/>
          <w:color w:val="111111"/>
          <w:sz w:val="28"/>
          <w:szCs w:val="28"/>
          <w:rtl w:val="true"/>
          <w:lang w:bidi="ar-SA"/>
        </w:rPr>
        <w:t>.</w:t>
      </w:r>
    </w:p>
    <w:p>
      <w:pPr>
        <w:pStyle w:val="Heading4"/>
        <w:numPr>
          <w:ilvl w:val="3"/>
          <w:numId w:val="1"/>
        </w:numPr>
        <w:rPr/>
      </w:pPr>
      <w:bookmarkStart w:id="159" w:name="__RefHeading___Toc212728_2142443653"/>
      <w:bookmarkStart w:id="160" w:name="_Toc56"/>
      <w:bookmarkEnd w:id="159"/>
      <w:r>
        <w:rPr>
          <w:rtl w:val="true"/>
        </w:rPr>
        <w:t>موضوع الحكم هو الصبيّ الذي لم يطعم أو لم يأكل</w:t>
      </w:r>
      <w:bookmarkEnd w:id="160"/>
    </w:p>
    <w:p>
      <w:pPr>
        <w:pStyle w:val="BookText"/>
        <w:rPr/>
      </w:pPr>
      <w:r>
        <w:rPr>
          <w:rFonts w:ascii="Amiri" w:hAnsi="Amiri" w:eastAsia="Amiri" w:cs="Amiri"/>
          <w:color w:val="111111"/>
          <w:sz w:val="28"/>
          <w:sz w:val="28"/>
          <w:szCs w:val="28"/>
          <w:rtl w:val="true"/>
          <w:lang w:bidi="ar-SA"/>
        </w:rPr>
        <w:t xml:space="preserve">ثمّ إنّ الظاهر المتفاهم من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الموضوع للحكم هو الصبيّ الذي لم يطعم ، أو لم يأكل الطعام ، كما هو معقد إجماع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437"/>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الناصريات</w:t>
      </w:r>
      <w:r>
        <w:rPr>
          <w:rFonts w:eastAsia="Amiri" w:cs="Amiri" w:ascii="Amiri" w:hAnsi="Amiri"/>
          <w:color w:val="111111"/>
          <w:sz w:val="28"/>
          <w:szCs w:val="28"/>
          <w:rtl w:val="true"/>
          <w:lang w:bidi="ar-SA"/>
        </w:rPr>
        <w:t>»</w:t>
      </w:r>
      <w:r>
        <w:rPr>
          <w:rStyle w:val="FootnoteAnchor"/>
          <w:rtl w:val="true"/>
        </w:rPr>
        <w:footnoteReference w:id="438"/>
      </w:r>
      <w:r>
        <w:rPr>
          <w:rFonts w:ascii="Amiri" w:hAnsi="Amiri" w:eastAsia="Amiri" w:cs="Amiri"/>
          <w:color w:val="111111"/>
          <w:sz w:val="28"/>
          <w:sz w:val="28"/>
          <w:szCs w:val="28"/>
          <w:rtl w:val="true"/>
          <w:lang w:bidi="ar-SA"/>
        </w:rPr>
        <w:t xml:space="preserve">كما يظهر من عنوان البحث فيها ، وهو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خلال كلامه ، كما هو ظاهر </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ومقابله مأخوذان في الروايات المحكيّة من طرقهم وطرقنا </w:t>
      </w:r>
      <w:r>
        <w:rPr>
          <w:rStyle w:val="FootnoteAnchor"/>
          <w:rtl w:val="true"/>
        </w:rPr>
        <w:footnoteReference w:id="439"/>
      </w:r>
      <w:r>
        <w:rPr>
          <w:rFonts w:ascii="IRNazanin" w:hAnsi="IRNazanin" w:eastAsia="IRNazanin"/>
          <w:color w:val="111111"/>
          <w:sz w:val="28"/>
          <w:sz w:val="28"/>
          <w:szCs w:val="28"/>
          <w:rtl w:val="true"/>
          <w:lang w:bidi="fa-IR"/>
        </w:rPr>
        <w:t xml:space="preserve">عدا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لم يثبت كونه رواية ، ولا شبهة في أنّ الظاهر من قوله علیه السلام في صحيحة الحلبي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كان قد أكل فاغسله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 إذا كان متغذّياً </w:t>
      </w:r>
    </w:p>
    <w:p>
      <w:pPr>
        <w:pStyle w:val="BookText"/>
        <w:rPr/>
      </w:pPr>
      <w:r>
        <w:rPr>
          <w:rFonts w:ascii="Amiri" w:hAnsi="Amiri" w:eastAsia="Amiri" w:cs="Amiri"/>
          <w:color w:val="111111"/>
          <w:sz w:val="28"/>
          <w:sz w:val="28"/>
          <w:szCs w:val="28"/>
          <w:rtl w:val="true"/>
          <w:lang w:bidi="ar-SA"/>
        </w:rPr>
        <w:t xml:space="preserve">وآكلاً بشهوته وإرادته على النحو المعهود ؛ بحيث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صار متغذّياً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للفرق بين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أكل فاغسله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قد 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الثاني ظاهر فيما ذكرناه دون الأوّل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وكذا الحال في قوله علیه السلام في موثّقة السَكوني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أن يطعم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لم يأكل الطعام</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إلى غير ذلك من التعابير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وليس الرضيع موضوعاً للحكم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بانصرافه إلى من لم يبلغ سنتين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واحتمال كون العنوانين كناية عن عدم كونه رضيعاً ، وفي مقابله الرضيع ، لا يساعده الظاهر ، ولهذا لا يحتمل كون بول المولود آنَ ولادته قبل الرضاع ، كبول سائر الناس ، ولا أظنّ التزام أحد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 بمعنى كونه في سنّ الرضاع ، وهو كما ترى مجاز في مجاز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ذكرناه من كون الموضوع هو الصبيّ الذي لم يطعم ولم يأكل ، يتّضح ثبوت الحكم للصبيّ الذي شرب من لبن كافرة أو خنزيرة ، فضلاً عن بقرة ونحوها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لا يبعد ثبوته لمن شرب من الألبان الجافّة المعمولة في هذه الأعصار ، على إشكال ، سيّما إذا كان ممزوجاً ببعض الأغذية ، بل الأقرب عدم الثبوت في هذا الفرض </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ما ذكرناه من ثبوت الحكم للمذكورات ؛ إنّما هو لإطلاق الأدلّة ، ودعوى انصرافها عنها إنّما تسمع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تأمّل 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الموضوع للحكم الرضيع ، والاستئناس أو الاستدلال لوجوب الغسل في بعضها بموثّقة </w:t>
      </w:r>
      <w:bookmarkStart w:id="161" w:name="pg15030_143110"/>
    </w:p>
    <w:p>
      <w:pPr>
        <w:pStyle w:val="BookText"/>
        <w:rPr/>
      </w:pPr>
      <w:bookmarkEnd w:id="161"/>
      <w:r>
        <w:rPr>
          <w:rFonts w:ascii="Amiri" w:hAnsi="Amiri" w:eastAsia="Amiri" w:cs="Amiri"/>
          <w:color w:val="111111"/>
          <w:sz w:val="28"/>
          <w:sz w:val="28"/>
          <w:szCs w:val="28"/>
          <w:rtl w:val="true"/>
          <w:lang w:bidi="ar-SA"/>
        </w:rPr>
        <w:t>السَكوني</w:t>
      </w:r>
      <w:r>
        <w:rPr>
          <w:rStyle w:val="FootnoteAnchor"/>
          <w:rtl w:val="true"/>
        </w:rPr>
        <w:footnoteReference w:id="4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التعليل فيها وجوبه</w:t>
      </w:r>
      <w:r>
        <w:rPr>
          <w:rStyle w:val="FootnoteAnchor"/>
          <w:rtl w:val="true"/>
        </w:rPr>
        <w:footnoteReference w:id="4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 فإنّ التعليل على فرض العمل به ، تعبّدي يناسب استحباب الغسل لا لزومه ؛ ضرورة أنّ اللبن إذا خرج من المثانة ، لا يوجب ذلك نجاسته لو اُريد الملاقاة للنجس في الباطن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هو غير مربوط بالاغتذاء باللبن النجس ، كما هو 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في إلحاق بول طفل الكافر نوع تردّد ، ناشئ من أنّ ملاقاته لجسمه يمكن أن يلحقه الأثر الزائد وإن لم ينجّسه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ذلك التردّد فيما إذا لاقى بوله نجساً آخر ، واستهلك ذلك النجس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لاقى المحلّ بعد ملاقاته لبول الصبيّ نجساً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كبول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w:t>
      </w:r>
    </w:p>
    <w:p>
      <w:pPr>
        <w:pStyle w:val="BookText"/>
        <w:rPr/>
      </w:pPr>
      <w:r>
        <w:rPr>
          <w:rFonts w:ascii="Amiri" w:hAnsi="Amiri" w:eastAsia="Amiri" w:cs="Amiri"/>
          <w:color w:val="111111"/>
          <w:sz w:val="28"/>
          <w:sz w:val="28"/>
          <w:szCs w:val="28"/>
          <w:rtl w:val="true"/>
          <w:lang w:bidi="ar-SA"/>
        </w:rPr>
        <w:t xml:space="preserve">وجوب غسله ، وعدم الاكتفاء بالصبّ </w:t>
      </w:r>
      <w:r>
        <w:rPr>
          <w:rFonts w:eastAsia="Amiri" w:cs="Amiri" w:ascii="Amiri" w:hAnsi="Amiri"/>
          <w:color w:val="111111"/>
          <w:sz w:val="28"/>
          <w:szCs w:val="28"/>
          <w:rtl w:val="true"/>
          <w:lang w:bidi="ar-SA"/>
        </w:rPr>
        <w:t>.</w:t>
      </w:r>
    </w:p>
    <w:p>
      <w:pPr>
        <w:pStyle w:val="Heading4"/>
        <w:numPr>
          <w:ilvl w:val="3"/>
          <w:numId w:val="1"/>
        </w:numPr>
        <w:rPr/>
      </w:pPr>
      <w:bookmarkStart w:id="162" w:name="__RefHeading___Toc212730_2142443653"/>
      <w:bookmarkStart w:id="163" w:name="_Toc57"/>
      <w:bookmarkEnd w:id="162"/>
      <w:r>
        <w:rPr>
          <w:rtl w:val="true"/>
        </w:rPr>
        <w:t>عدم كفاية النضح والرشّ عن الصبّ</w:t>
      </w:r>
      <w:bookmarkEnd w:id="163"/>
    </w:p>
    <w:p>
      <w:pPr>
        <w:pStyle w:val="BookText"/>
        <w:rPr/>
      </w:pPr>
      <w:r>
        <w:rPr>
          <w:rFonts w:ascii="Amiri" w:hAnsi="Amiri" w:eastAsia="Amiri" w:cs="Amiri"/>
          <w:color w:val="111111"/>
          <w:sz w:val="28"/>
          <w:sz w:val="28"/>
          <w:szCs w:val="28"/>
          <w:rtl w:val="true"/>
          <w:lang w:bidi="ar-SA"/>
        </w:rPr>
        <w:t xml:space="preserve">ثمّ إنّ الظاهر من الأخبار المعتمدة لزوم الصبّ ، فلا يكفي النضح والرشّ ، وهو معقد إجماع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يبعد أن يكون عطف 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الناصريات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w:t>
      </w:r>
      <w:r>
        <w:rPr>
          <w:rFonts w:eastAsia="Amiri" w:cs="Amiri" w:ascii="Amiri" w:hAnsi="Amiri"/>
          <w:color w:val="111111"/>
          <w:sz w:val="28"/>
          <w:szCs w:val="28"/>
          <w:rtl w:val="true"/>
          <w:lang w:bidi="ar-SA"/>
        </w:rPr>
        <w:t>»</w:t>
      </w:r>
      <w:r>
        <w:rPr>
          <w:rStyle w:val="FootnoteAnchor"/>
          <w:rtl w:val="true"/>
        </w:rPr>
        <w:footnoteReference w:id="443"/>
      </w:r>
      <w:r>
        <w:rPr>
          <w:rFonts w:ascii="Amiri" w:hAnsi="Amiri" w:eastAsia="Amiri" w:cs="Amiri"/>
          <w:color w:val="111111"/>
          <w:sz w:val="28"/>
          <w:sz w:val="28"/>
          <w:szCs w:val="28"/>
          <w:rtl w:val="true"/>
          <w:lang w:bidi="ar-SA"/>
        </w:rPr>
        <w:t xml:space="preserve">إنّما أراد به ما يصدق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كبعض مصاديقه ، ولهذا لم يعطفه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من البعيد استناده في الفتوى إلى الروايتين المتقدّمتين</w:t>
      </w:r>
      <w:r>
        <w:rPr>
          <w:rStyle w:val="FootnoteAnchor"/>
          <w:rtl w:val="true"/>
        </w:rPr>
        <w:footnoteReference w:id="444"/>
      </w:r>
      <w:r>
        <w:rPr>
          <w:rFonts w:ascii="Amiri" w:hAnsi="Amiri" w:eastAsia="Amiri" w:cs="Amiri"/>
          <w:color w:val="111111"/>
          <w:sz w:val="28"/>
          <w:sz w:val="28"/>
          <w:szCs w:val="28"/>
          <w:rtl w:val="true"/>
          <w:lang w:bidi="ar-SA"/>
        </w:rPr>
        <w:t xml:space="preserve">من طرقهم ، وإنّما استدلّ </w:t>
      </w:r>
      <w:bookmarkStart w:id="164" w:name="pg15030_143111"/>
    </w:p>
    <w:p>
      <w:pPr>
        <w:pStyle w:val="BookText"/>
        <w:rPr/>
      </w:pPr>
      <w:bookmarkEnd w:id="164"/>
      <w:r>
        <w:rPr>
          <w:rFonts w:ascii="Amiri" w:hAnsi="Amiri" w:eastAsia="Amiri" w:cs="Amiri"/>
          <w:color w:val="111111"/>
          <w:sz w:val="28"/>
          <w:sz w:val="28"/>
          <w:szCs w:val="28"/>
          <w:rtl w:val="true"/>
          <w:lang w:bidi="ar-SA"/>
        </w:rPr>
        <w:t xml:space="preserve">بهما إقحاماً لهم ، كما هو دأبه ، وكذا دأب شيخ الطائفة وبعض آخر من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 نّهم ربّما يستدلّون في الأحكام باُمور تشبه القياس إرغاماً لهم ، لا استناداً</w:t>
      </w:r>
    </w:p>
    <w:p>
      <w:pPr>
        <w:pStyle w:val="BookText"/>
        <w:rPr/>
      </w:pPr>
      <w:r>
        <w:rPr>
          <w:rFonts w:ascii="Amiri" w:hAnsi="Amiri" w:eastAsia="Amiri" w:cs="Amiri"/>
          <w:color w:val="111111"/>
          <w:sz w:val="28"/>
          <w:sz w:val="28"/>
          <w:szCs w:val="28"/>
          <w:rtl w:val="true"/>
          <w:lang w:bidi="ar-SA"/>
        </w:rPr>
        <w:t xml:space="preserve">إليها ، وظنّ الغافل غير ذلك ، وربّما طعن بهم والعياذ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فالأقوى عدم كفاية الرشّ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إلغاء الخصوصية لو فرضت قاهرية الماء بالرشّ مع تكرّره</w:t>
      </w:r>
      <w:r>
        <w:rPr>
          <w:rStyle w:val="FootnoteAnchor"/>
          <w:rtl w:val="true"/>
        </w:rPr>
        <w:footnoteReference w:id="445"/>
      </w:r>
      <w:r>
        <w:rPr>
          <w:rFonts w:ascii="Amiri" w:hAnsi="Amiri" w:eastAsia="Amiri" w:cs="Amiri"/>
          <w:color w:val="111111"/>
          <w:sz w:val="28"/>
          <w:sz w:val="28"/>
          <w:szCs w:val="28"/>
          <w:rtl w:val="true"/>
          <w:lang w:bidi="ar-SA"/>
        </w:rPr>
        <w:t xml:space="preserve">وإن لا تخلو من وجه ، لكنّ الأوجه خلافها ؛ لاحتمال كون الدفعة دخيلة في التطهير ، والقاهرية التدريجية غير كافية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العرف يساعد على ذلك في أبواب التطهير وإزالة النجاسات </w:t>
      </w:r>
      <w:r>
        <w:rPr>
          <w:rFonts w:eastAsia="Amiri" w:cs="Amiri" w:ascii="Amiri" w:hAnsi="Amiri"/>
          <w:color w:val="111111"/>
          <w:sz w:val="28"/>
          <w:szCs w:val="28"/>
          <w:rtl w:val="true"/>
          <w:lang w:bidi="ar-SA"/>
        </w:rPr>
        <w:t>.</w:t>
      </w:r>
    </w:p>
    <w:p>
      <w:pPr>
        <w:pStyle w:val="Heading4"/>
        <w:numPr>
          <w:ilvl w:val="3"/>
          <w:numId w:val="1"/>
        </w:numPr>
        <w:rPr/>
      </w:pPr>
      <w:bookmarkStart w:id="165" w:name="__RefHeading___Toc212732_2142443653"/>
      <w:bookmarkStart w:id="166" w:name="_Toc58"/>
      <w:bookmarkEnd w:id="165"/>
      <w:r>
        <w:rPr>
          <w:rtl w:val="true"/>
        </w:rPr>
        <w:t>عدم لزوم إخراج غسالة بول الصبيّ وطهارتُها</w:t>
      </w:r>
      <w:bookmarkEnd w:id="166"/>
    </w:p>
    <w:p>
      <w:pPr>
        <w:pStyle w:val="BookText"/>
        <w:rPr/>
      </w:pPr>
      <w:r>
        <w:rPr>
          <w:rFonts w:ascii="Amiri" w:hAnsi="Amiri" w:eastAsia="Amiri" w:cs="Amiri"/>
          <w:color w:val="111111"/>
          <w:sz w:val="28"/>
          <w:sz w:val="28"/>
          <w:szCs w:val="28"/>
          <w:rtl w:val="true"/>
          <w:lang w:bidi="ar-SA"/>
        </w:rPr>
        <w:t xml:space="preserve">ثمّ إنّ الظاهر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مجرّد صبّ الماء على بوله موجب لطهارته ؛ من غير لزوم خروج الغسالة وجري الماء على المحلّ ، ولازمه عرفاً عدم نجاسة ما انفصل منه لو فرض انفصاله بعصر أو غيره؛ للفرق الواضح بين غسالته وغسالة سائر النجاسات بحسب اقتضاء الأدلّة ؛ فإنّ كيفية تطهير سائرها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مرّ</w:t>
      </w:r>
      <w:r>
        <w:rPr>
          <w:rStyle w:val="FootnoteAnchor"/>
          <w:rtl w:val="true"/>
        </w:rPr>
        <w:footnoteReference w:id="4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بصبّ الماء على المحلّ القذر وإجرائه عليه ؛ لإزالة القذارة بذلك ، بمعنى أنّ الماء</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بإجرائه على المحلّ وانفصاله يذهب بقذارته ، فصار الماء قذراً ، والمحلّ طاهراً ؛ لانتقال قذارته إلى الماء ، وهو أمر يساعد عليه العرف والعقلاء في رفع القذارات العرفية ، كما هو واضح ، ولهذا قلنا بنجاسة الغسالة حتّى المطهِّرة</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 xml:space="preserve">. </w:t>
      </w:r>
      <w:bookmarkStart w:id="167" w:name="pg15030_143112"/>
    </w:p>
    <w:p>
      <w:pPr>
        <w:pStyle w:val="BookText"/>
        <w:rPr/>
      </w:pPr>
      <w:bookmarkEnd w:id="167"/>
      <w:r>
        <w:rPr>
          <w:rFonts w:ascii="Amiri" w:hAnsi="Amiri" w:eastAsia="Amiri" w:cs="Amiri"/>
          <w:color w:val="111111"/>
          <w:sz w:val="28"/>
          <w:sz w:val="28"/>
          <w:szCs w:val="28"/>
          <w:rtl w:val="true"/>
          <w:lang w:bidi="ar-SA"/>
        </w:rPr>
        <w:t xml:space="preserve">وأمّا بول الرضيع الذي بيّن الشارع كيفية تطهيره ، وأخطأ العرف فيها ، فلا ينبغي الإشكال في أنّ المتفاهم من أدلّتها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غلبة الماء عليه مطهّرة من غير انفعاله به ، وإلاّ فلا يحكم بجواز بقائه في الثوب حتّى ييبس ، ومعه كيف يمكن التفكيك عرفاً بين الماء الذي في المحلّ ؛ فيقال بطهارته إذا كان فيه ، ونجاسته إذا انفصل منه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واضح بين الغسلة المزيلة للنجاسة بجريانها وانفصالها ، وبين</w:t>
      </w:r>
    </w:p>
    <w:p>
      <w:pPr>
        <w:pStyle w:val="BookText"/>
        <w:rPr/>
      </w:pPr>
      <w:r>
        <w:rPr>
          <w:rFonts w:ascii="Amiri" w:hAnsi="Amiri" w:eastAsia="Amiri" w:cs="Amiri"/>
          <w:color w:val="111111"/>
          <w:sz w:val="28"/>
          <w:sz w:val="28"/>
          <w:szCs w:val="28"/>
          <w:rtl w:val="true"/>
          <w:lang w:bidi="ar-SA"/>
        </w:rPr>
        <w:t>الماء المطهّر للمحلّ بنفس إصابته وقاهريته ولو لم يخرج منه ، فالقول بالتفكيك كالقياس على الغسالة</w:t>
      </w:r>
      <w:r>
        <w:rPr>
          <w:rStyle w:val="FootnoteAnchor"/>
          <w:rtl w:val="true"/>
        </w:rPr>
        <w:footnoteReference w:id="448"/>
      </w:r>
      <w:r>
        <w:rPr>
          <w:rFonts w:ascii="Amiri" w:hAnsi="Amiri" w:eastAsia="Amiri" w:cs="Amiri"/>
          <w:color w:val="111111"/>
          <w:sz w:val="28"/>
          <w:sz w:val="28"/>
          <w:szCs w:val="28"/>
          <w:rtl w:val="true"/>
          <w:lang w:bidi="ar-SA"/>
        </w:rPr>
        <w:t xml:space="preserve">ضعيف جدّاً </w:t>
      </w:r>
      <w:r>
        <w:rPr>
          <w:rFonts w:eastAsia="Amiri" w:cs="Amiri" w:ascii="Amiri" w:hAnsi="Amiri"/>
          <w:color w:val="111111"/>
          <w:sz w:val="28"/>
          <w:szCs w:val="28"/>
          <w:rtl w:val="true"/>
          <w:lang w:bidi="ar-SA"/>
        </w:rPr>
        <w:t>.</w:t>
      </w:r>
    </w:p>
    <w:p>
      <w:pPr>
        <w:pStyle w:val="Heading4"/>
        <w:numPr>
          <w:ilvl w:val="3"/>
          <w:numId w:val="1"/>
        </w:numPr>
        <w:rPr/>
      </w:pPr>
      <w:bookmarkStart w:id="168" w:name="__RefHeading___Toc212734_2142443653"/>
      <w:bookmarkStart w:id="169" w:name="_Toc59"/>
      <w:bookmarkEnd w:id="168"/>
      <w:r>
        <w:rPr>
          <w:rtl w:val="true"/>
        </w:rPr>
        <w:t>كيفية تطهير ظاهر الفراش وباطنه</w:t>
      </w:r>
      <w:bookmarkEnd w:id="169"/>
    </w:p>
    <w:p>
      <w:pPr>
        <w:pStyle w:val="BookText"/>
        <w:rPr/>
      </w:pPr>
      <w:r>
        <w:rPr>
          <w:rFonts w:ascii="Amiri" w:hAnsi="Amiri" w:eastAsia="Amiri" w:cs="Amiri"/>
          <w:color w:val="111111"/>
          <w:sz w:val="28"/>
          <w:sz w:val="28"/>
          <w:szCs w:val="28"/>
          <w:rtl w:val="true"/>
          <w:lang w:bidi="ar-SA"/>
        </w:rPr>
        <w:t xml:space="preserve">ثمّ إنّ ما ذكرناه في صدر المبحث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اعتبار حصول الغسل في النجاسات لإزالتها وتطهيرها ، وهو يتوقّف على قاهرية الماء على المحلّ وخروج غسالته ؛ لتحصيل الإزالة وإذهاب القذارة بمرور الماء وخروجه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مقتضى الأدلّة الواردة في غسل النجاسات ، وليس للشارع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فيما استثني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طريقة خاصّة في ذلك ، ولا إعمال تعبّد ، فحينئذٍ يكون غسل الفرش المحشوّة بالصوف أو القطن ممكناً </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ظاهرها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فبإجراء الماء عليه وعصرها ، ولا تسري النجاسة من باطنها إليه بمجرّد رطوبة متّصلة ما لم يلاقِ النجسَ برطوبة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وملاقاة أحد الطرفين لا يوجب نجاسة الطرف الآخر ، كما هو مقتضى صحيحة إبراهيم بن أبي محمود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الطنفسة والفراش يصيبهما البول ، كيف يصنع بهما وهو ثخين كثير الحشو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يغسل ما ظهر منه في وجهه</w:t>
      </w:r>
      <w:r>
        <w:rPr>
          <w:rFonts w:eastAsia="IRNazanin" w:cs="IRNazanin"/>
          <w:color w:val="111111"/>
          <w:sz w:val="28"/>
          <w:szCs w:val="28"/>
          <w:rtl w:val="true"/>
          <w:lang w:bidi="fa-IR"/>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باطنها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في تطهيره من حصول الغسل بالمعنى المتقدّم فيه ، وهو يحصل بغمرها في الماء الكثير وتحريكها ، أو غمزها أو عصرها لخروج الماء الداخل فيها ، أو صبّ الماء القليل عليها حتّى يقهر على النجاسة ، ثمّ إخراج غسالته بوجه من العلاج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يتوهّم</w:t>
      </w:r>
      <w:r>
        <w:rPr>
          <w:rStyle w:val="FootnoteAnchor"/>
          <w:rtl w:val="true"/>
        </w:rPr>
        <w:footnoteReference w:id="450"/>
      </w:r>
      <w:r>
        <w:rPr>
          <w:rFonts w:ascii="IRNazanin" w:hAnsi="IRNazanin" w:eastAsia="IRNazanin"/>
          <w:color w:val="111111"/>
          <w:sz w:val="28"/>
          <w:sz w:val="28"/>
          <w:szCs w:val="28"/>
          <w:rtl w:val="true"/>
          <w:lang w:bidi="fa-IR"/>
        </w:rPr>
        <w:t xml:space="preserve">من رواية علي بن جعفر ، عن أخيه موسى علیه السلام خلافُ ذلك ، وأوسعيةُ الأمر فيها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الفراش يكون كثير الصوف ، فيصيبه البول ، كيف يغسل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يغسل الظاهر ، ثمّ يصبّ عليه الماء في المكان الذي أصابه البول حتّى يخرج من جانب الفراش الآخر</w:t>
      </w:r>
      <w:r>
        <w:rPr>
          <w:rFonts w:eastAsia="IRNazanin" w:cs="IRNazanin"/>
          <w:color w:val="111111"/>
          <w:sz w:val="28"/>
          <w:szCs w:val="28"/>
          <w:rtl w:val="true"/>
          <w:lang w:bidi="fa-IR"/>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بدعوى دلالتها على عدم لزوم العصر وإخراج الغسالة </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وفيه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الظاهر منها إصابة البول لظاهر الفراش ؛ للفرق بين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أصابه البول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 عليه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الظاهر من الأوّل إصابة ظاهره ، ولعلّ السؤال عنه والقيد بكثرة الصوف ؛ لاحتماله لزومَ إخراج الصوف منه ثمّ غسله ، وعدمَ تحقّق غسل ظاهره إلاّ به ، والأمر بصبّ الماء عليه بعد </w:t>
      </w:r>
    </w:p>
    <w:p>
      <w:pPr>
        <w:pStyle w:val="BookText"/>
        <w:rPr/>
      </w:pPr>
      <w:r>
        <w:rPr>
          <w:rFonts w:ascii="Amiri" w:hAnsi="Amiri" w:eastAsia="Amiri" w:cs="Amiri"/>
          <w:color w:val="111111"/>
          <w:sz w:val="28"/>
          <w:sz w:val="28"/>
          <w:szCs w:val="28"/>
          <w:rtl w:val="true"/>
          <w:lang w:bidi="ar-SA"/>
        </w:rPr>
        <w:t>غسل ظاهره ؛ لعلّه لاحتمال السراية ، كالرشّ الوارد في نظيره ، ولهذا أمر بغسل</w:t>
      </w:r>
    </w:p>
    <w:p>
      <w:pPr>
        <w:pStyle w:val="BookText"/>
        <w:rPr/>
      </w:pPr>
      <w:r>
        <w:rPr>
          <w:rFonts w:ascii="Amiri" w:hAnsi="Amiri" w:eastAsia="Amiri" w:cs="Amiri"/>
          <w:color w:val="111111"/>
          <w:sz w:val="28"/>
          <w:sz w:val="28"/>
          <w:szCs w:val="28"/>
          <w:rtl w:val="true"/>
          <w:lang w:bidi="ar-SA"/>
        </w:rPr>
        <w:t xml:space="preserve">ظاهره أوّلاً ، ثمّ صبّ الماء عليه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وتشهد لما ذكرناه صحيحة إبراهيم بن عبد الحميد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w:t>
      </w:r>
    </w:p>
    <w:p>
      <w:pPr>
        <w:pStyle w:val="BookText"/>
        <w:rPr/>
      </w:pPr>
      <w:r>
        <w:rPr>
          <w:rFonts w:ascii="Amiri" w:hAnsi="Amiri" w:eastAsia="Amiri" w:cs="Amiri"/>
          <w:color w:val="111111"/>
          <w:sz w:val="28"/>
          <w:sz w:val="28"/>
          <w:szCs w:val="28"/>
          <w:rtl w:val="true"/>
          <w:lang w:bidi="ar-SA"/>
        </w:rPr>
        <w:t xml:space="preserve">عن الثوب يصيبه البول ، فينفذ إلى الجانب الآخر ، وعن الفرو وما فيه من الحشو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 ما أصاب منه ، ومسّ الجانب الآخر ، فإذا أصبت مسّ</w:t>
      </w:r>
      <w:r>
        <w:rPr>
          <w:rStyle w:val="FootnoteAnchor"/>
          <w:rtl w:val="true"/>
        </w:rPr>
        <w:footnoteReference w:id="452"/>
      </w:r>
      <w:r>
        <w:rPr>
          <w:rFonts w:ascii="Amiri" w:hAnsi="Amiri" w:eastAsia="Amiri" w:cs="Amiri"/>
          <w:color w:val="111111"/>
          <w:sz w:val="28"/>
          <w:sz w:val="28"/>
          <w:szCs w:val="28"/>
          <w:rtl w:val="true"/>
          <w:lang w:bidi="ar-SA"/>
        </w:rPr>
        <w:t>شيء منه فاغسله ، وإلاّ فانضحه</w:t>
      </w:r>
      <w:r>
        <w:rPr>
          <w:rFonts w:eastAsia="Amiri" w:cs="Amiri" w:ascii="Amiri" w:hAnsi="Amiri"/>
          <w:color w:val="111111"/>
          <w:sz w:val="28"/>
          <w:szCs w:val="28"/>
          <w:rtl w:val="true"/>
          <w:lang w:bidi="ar-SA"/>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حيث أمره بالغسل في فرض نفوذ النجاسة إلى الباطن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من المحتمل أن يكون مراده من خروجه من الجانب الآخر ، خروجَ جميعه أو معظمه ، ولم يذكر العصر أو نحوه ؛ لعدم الاحتياج إلى الذكر بعد توقّفه عليه ، 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الصوف الكثير في باطن الفراش بوجه لا يقبل الماء نوعاً ، وخرج منه الغسالة بلا علاج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رفع اليد عن إطلاق أدلّة الغسل الموافق للقواعد وارتكاز العقلاء وخصوص صحيحة إبراهيم المتقدّمة ، لا يجوز بمثل هذه الرواية </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فيما يمكن فيها الغسل بالمعنى المعتبر في إزالة النجاسة </w:t>
      </w:r>
      <w:r>
        <w:rPr>
          <w:rFonts w:eastAsia="Amiri" w:cs="Amiri" w:ascii="Amiri" w:hAnsi="Amiri"/>
          <w:color w:val="111111"/>
          <w:sz w:val="28"/>
          <w:szCs w:val="28"/>
          <w:rtl w:val="true"/>
          <w:lang w:bidi="ar-SA"/>
        </w:rPr>
        <w:t xml:space="preserve">. </w:t>
      </w:r>
      <w:bookmarkStart w:id="170" w:name="pg15030_143115"/>
    </w:p>
    <w:p>
      <w:pPr>
        <w:pStyle w:val="Heading4"/>
        <w:numPr>
          <w:ilvl w:val="3"/>
          <w:numId w:val="1"/>
        </w:numPr>
        <w:rPr/>
      </w:pPr>
      <w:bookmarkStart w:id="171" w:name="__RefHeading___Toc212736_2142443653"/>
      <w:bookmarkStart w:id="172" w:name="_Toc60"/>
      <w:bookmarkEnd w:id="170"/>
      <w:bookmarkEnd w:id="171"/>
      <w:r>
        <w:rPr>
          <w:rtl w:val="true"/>
        </w:rPr>
        <w:t>كيفية تطهير ما لا ينفذ فيها الماء</w:t>
      </w:r>
      <w:bookmarkEnd w:id="172"/>
    </w:p>
    <w:p>
      <w:pPr>
        <w:pStyle w:val="BookText"/>
        <w:rPr/>
      </w:pPr>
      <w:r>
        <w:rPr>
          <w:rFonts w:ascii="Amiri" w:hAnsi="Amiri" w:eastAsia="Amiri" w:cs="Amiri"/>
          <w:color w:val="111111"/>
          <w:sz w:val="28"/>
          <w:sz w:val="28"/>
          <w:szCs w:val="28"/>
          <w:rtl w:val="true"/>
          <w:lang w:bidi="ar-SA"/>
        </w:rPr>
        <w:t xml:space="preserve">وأمّا الأجسام التي لا يمكن فيها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كالصابون والحبوب والفواكه ، وما يجري مجراها ممّا لا ينفذ الماء فيها ، بل تنفذ الرطوبة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عدم إمكان تطهير بواطنها ؛ لا بالماء الكثير ، ولا بالقليل ؛ فإنّ تطهيرها يتوقّف على مرور الماء المطلق عليها وخروجه منها لإزالة القذارة ، كما مرّ مراراً </w:t>
      </w:r>
      <w:r>
        <w:rPr>
          <w:rStyle w:val="FootnoteAnchor"/>
          <w:rtl w:val="true"/>
        </w:rPr>
        <w:footnoteReference w:id="454"/>
      </w:r>
      <w:r>
        <w:rPr>
          <w:rFonts w:ascii="Amiri" w:hAnsi="Amiri" w:eastAsia="Amiri" w:cs="Amiri"/>
          <w:color w:val="111111"/>
          <w:sz w:val="28"/>
          <w:sz w:val="28"/>
          <w:szCs w:val="28"/>
          <w:rtl w:val="true"/>
          <w:lang w:bidi="ar-SA"/>
        </w:rPr>
        <w:t xml:space="preserve">، وليس للشارع تعبّد خاصّ في تطهير البواطن ، وسيأتي في حال بعض الأخبار المتمسّك بها لذلك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 نّه ليس في الأدلّة ما تدلّ على قبول كلّية الأجسام للتطهير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يستفاد من تتبّع الأخبار وكلمات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متنجّس</w:t>
      </w:r>
    </w:p>
    <w:p>
      <w:pPr>
        <w:pStyle w:val="BookText"/>
        <w:rPr/>
      </w:pPr>
      <w:r>
        <w:rPr>
          <w:rFonts w:ascii="Amiri" w:hAnsi="Amiri" w:eastAsia="Amiri" w:cs="Amiri"/>
          <w:color w:val="111111"/>
          <w:sz w:val="28"/>
          <w:sz w:val="28"/>
          <w:szCs w:val="28"/>
          <w:rtl w:val="true"/>
          <w:lang w:bidi="ar-SA"/>
        </w:rPr>
        <w:t>حاله حال الثوب والبدن في قبوله للتطهير ، والتشكيك في ذلك سفسطة</w:t>
      </w:r>
      <w:r>
        <w:rPr>
          <w:rFonts w:eastAsia="Amiri" w:cs="Amiri" w:ascii="Amiri" w:hAnsi="Amiri"/>
          <w:color w:val="111111"/>
          <w:sz w:val="28"/>
          <w:szCs w:val="28"/>
          <w:rtl w:val="true"/>
          <w:lang w:bidi="ar-SA"/>
        </w:rPr>
        <w:t>»</w:t>
      </w:r>
      <w:r>
        <w:rPr>
          <w:rStyle w:val="FootnoteAnchor"/>
          <w:rtl w:val="true"/>
        </w:rPr>
        <w:footnoteReference w:id="455"/>
      </w:r>
      <w:r>
        <w:rPr>
          <w:rFonts w:ascii="Amiri" w:hAnsi="Amiri" w:eastAsia="Amiri" w:cs="Amiri"/>
          <w:color w:val="111111"/>
          <w:sz w:val="28"/>
          <w:sz w:val="28"/>
          <w:szCs w:val="28"/>
          <w:rtl w:val="true"/>
          <w:lang w:bidi="ar-SA"/>
        </w:rPr>
        <w:t xml:space="preserve">غير وجيه ، ولا مستند إلى دليل </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 لا شبهة في أنّ تحقّق الغسل في كلّ متنجّس موجب للطهارة ، وأمّا مع تعذّره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لأجل عدم إمكان نفوذ الماء فيه ، أو عدم إمكان إخراج غسالته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دليل على حصولِ الطهارة له وغمضِ الشارع عن الغسل ، والاكتفاءِ بغيره بدله ، أو اكتفائه بغسل ظاهره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لطهارة باطنه تبعاً من غير تحقّق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بعض الروايات ، كرواية زكريّا بن آدم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 السلام عن قطرة خمر أو نبيذ مسكر ، قطرت في قدر فيه لحم كثير ومرق كثير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يهراق المرق ، أو يطعمه أهل الذمّة أو الكلب ، واللحم اغسله وكله</w:t>
      </w:r>
      <w:r>
        <w:rPr>
          <w:rFonts w:eastAsia="Amiri" w:cs="Amiri" w:ascii="Amiri" w:hAnsi="Amiri"/>
          <w:color w:val="111111"/>
          <w:sz w:val="28"/>
          <w:szCs w:val="28"/>
          <w:rtl w:val="true"/>
          <w:lang w:bidi="ar-SA"/>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وقريب منها خبر السَكوني</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إطلاقها إمكان غسل اللحم مطلقاً ؛ سواء كان ممّا ينفذ فيه الماء أو لا ، فتدلّ على جواز غسل مطلق اللحوم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مطلق أجسام 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بماء كثير أو قليل يمرّ على ظاهرها، وطهارة باطنها بتبعه ، وعدم لزوم مرور الماء أو سرايته ونفوذه إلى باطنها ؛ فإنّ اللحم الذي يكون رطباً ولزجاً وقد رسب فيه الماء المتنجّس ، لا يرسب فيه الماء حتّى يتحقّق الغسل بالنسبة إلى باطنه ، فالأمر بغسله وأكله دليل على أنّ غسل ظاهره، كافٍ في طهارته ظاهراً وباطناً</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 وجيه لو لم يقبل باطن اللحوم مطلقاً غسلاً ، وأمّا مع قبول كثير من أفرادها فلا وجه له ؛ لأنّ الأمر بغسل اللحم وأكله لا يدلّ على قبول كلّ لحم ذلك ، كما هو واضح </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 ثوبك من البول وصلّ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قبول كلّ ثوب الغسل ، فلو فرض عدم إمكان غسل باطن ثوب لعارض ، يكتفى بظاهره ويصلّى فيه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لأحد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 نّهما تد لاّن على توقّف جواز الأكل</w:t>
      </w:r>
    </w:p>
    <w:p>
      <w:pPr>
        <w:pStyle w:val="BookText"/>
        <w:rPr/>
      </w:pPr>
      <w:r>
        <w:rPr>
          <w:rFonts w:ascii="Amiri" w:hAnsi="Amiri" w:eastAsia="Amiri" w:cs="Amiri"/>
          <w:color w:val="111111"/>
          <w:sz w:val="28"/>
          <w:sz w:val="28"/>
          <w:szCs w:val="28"/>
          <w:rtl w:val="true"/>
          <w:lang w:bidi="ar-SA"/>
        </w:rPr>
        <w:t xml:space="preserve">على الغسل الذي هو أمر عقلائي معهود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دالّتان على أنّ ما لا يمكن غسله لا يجوز أكله ، فلا يجوز أكل مثل الشحم وبعض أقسام اللحوم الذي لا يرسب فيه الماء ، ولا يمكن غسله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في إطلاقهما لصورة العلم بنفوذ النجاسة إلى باطن اللحم مع ندرة حصوله إشكالاً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لعلّ الجمع بين إفادةِ لزوم الغسل فيما يمكن غسل باطنه ، والاكتفاءِ بغسل الظاهر عن الباطن وطهارته تبعاً ، بلفظ واحد غير ممكن ، وكالجمع بين اللحاظين المختلفين ، فتدبّر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القول بتبعية الباطن للظاهر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خلاف القواعد المحكمة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بمثل هاتين الروايتين اللتين هما على خلاف المطلوب أدلّ ، ممّا لا يمكن المساعدة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وأضعف منه التمسّك</w:t>
      </w:r>
      <w:r>
        <w:rPr>
          <w:rStyle w:val="FootnoteAnchor"/>
          <w:rtl w:val="true"/>
        </w:rPr>
        <w:footnoteReference w:id="459"/>
      </w:r>
      <w:r>
        <w:rPr>
          <w:rFonts w:ascii="Amiri" w:hAnsi="Amiri" w:eastAsia="Amiri" w:cs="Amiri"/>
          <w:color w:val="111111"/>
          <w:sz w:val="28"/>
          <w:sz w:val="28"/>
          <w:szCs w:val="28"/>
          <w:rtl w:val="true"/>
          <w:lang w:bidi="ar-SA"/>
        </w:rPr>
        <w:t xml:space="preserve">بمرسلة الكاهلي ، وفيها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يراه ماء المطر فقد طهر</w:t>
      </w:r>
      <w:r>
        <w:rPr>
          <w:rFonts w:eastAsia="Amiri" w:cs="Amiri" w:ascii="Amiri" w:hAnsi="Amiri"/>
          <w:color w:val="111111"/>
          <w:sz w:val="28"/>
          <w:szCs w:val="28"/>
          <w:rtl w:val="true"/>
          <w:lang w:bidi="ar-SA"/>
        </w:rPr>
        <w:t>»</w:t>
      </w:r>
      <w:r>
        <w:rPr>
          <w:rStyle w:val="FootnoteAnchor"/>
          <w:rtl w:val="true"/>
        </w:rPr>
        <w:footnoteReference w:id="4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بدعوى عدم الفصل بينه وبين سائر المياه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الماء القليل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الجهة </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ومرسلة العلاّمة في غدير الماء</w:t>
      </w:r>
      <w:r>
        <w:rPr>
          <w:rStyle w:val="FootnoteAnchor"/>
          <w:rtl w:val="true"/>
        </w:rPr>
        <w:footnoteReference w:id="461"/>
      </w:r>
      <w:r>
        <w:rPr>
          <w:rFonts w:ascii="Amiri" w:hAnsi="Amiri" w:eastAsia="Amiri" w:cs="Amiri"/>
          <w:color w:val="111111"/>
          <w:sz w:val="28"/>
          <w:sz w:val="28"/>
          <w:szCs w:val="28"/>
          <w:rtl w:val="true"/>
          <w:lang w:bidi="ar-SA"/>
        </w:rPr>
        <w:t xml:space="preserve">مع الدعوى المذكورة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وذلك لمنع إصابة ماء المطر وإصابة الكرّ بواطن الأشياء ، بل ما أصابها هو الرطوبة ، وهي غير الماء عرفاً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ضعف مرسلة العلاّمة ، وعدم الجابر لها ، وعدم ثبوت الإجماع على الملازمة ، سيّما مع القليل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وأغرب منه التمسّك بمرسلة الصدوق</w:t>
      </w:r>
      <w:r>
        <w:rPr>
          <w:rStyle w:val="FootnoteAnchor"/>
          <w:rtl w:val="true"/>
        </w:rPr>
        <w:footnoteReference w:id="462"/>
      </w:r>
      <w:r>
        <w:rPr>
          <w:rFonts w:ascii="IRNazanin" w:hAnsi="IRNazanin" w:eastAsia="IRNazanin"/>
          <w:color w:val="111111"/>
          <w:sz w:val="28"/>
          <w:sz w:val="28"/>
          <w:szCs w:val="28"/>
          <w:rtl w:val="true"/>
          <w:lang w:bidi="fa-IR"/>
        </w:rPr>
        <w:t>الحاكية لوجدان أبي جعفر علیه السلام لقمة</w:t>
      </w:r>
    </w:p>
    <w:p>
      <w:pPr>
        <w:pStyle w:val="BookText"/>
        <w:rPr/>
      </w:pPr>
      <w:r>
        <w:rPr>
          <w:rFonts w:ascii="Amiri" w:hAnsi="Amiri" w:eastAsia="Amiri" w:cs="Amiri"/>
          <w:color w:val="111111"/>
          <w:sz w:val="28"/>
          <w:sz w:val="28"/>
          <w:szCs w:val="28"/>
          <w:rtl w:val="true"/>
          <w:lang w:bidi="ar-SA"/>
        </w:rPr>
        <w:t>خبز في القذر ، فأخذها وغسلها ليأكلها ، فأكلها غلامه</w:t>
      </w:r>
      <w:r>
        <w:rPr>
          <w:rStyle w:val="FootnoteAnchor"/>
          <w:rtl w:val="true"/>
        </w:rPr>
        <w:footnoteReference w:id="463"/>
      </w:r>
      <w:r>
        <w:rPr>
          <w:rFonts w:ascii="Amiri" w:hAnsi="Amiri" w:eastAsia="Amiri" w:cs="Amiri"/>
          <w:color w:val="111111"/>
          <w:sz w:val="28"/>
          <w:sz w:val="28"/>
          <w:szCs w:val="28"/>
          <w:rtl w:val="true"/>
          <w:lang w:bidi="ar-SA"/>
        </w:rPr>
        <w:t>لأ نّها قضيّة شخصية لا يعلم كيفية قذارة الخبز، بل لا يعلم تأثّره من القذر، فضلاً عن العلم بقذارة باطنه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ويتلوه في الضعف التشبّث</w:t>
      </w:r>
      <w:r>
        <w:rPr>
          <w:rStyle w:val="FootnoteAnchor"/>
          <w:rtl w:val="true"/>
        </w:rPr>
        <w:footnoteReference w:id="464"/>
      </w:r>
      <w:r>
        <w:rPr>
          <w:rFonts w:ascii="Amiri" w:hAnsi="Amiri" w:eastAsia="Amiri" w:cs="Amiri"/>
          <w:color w:val="111111"/>
          <w:sz w:val="28"/>
          <w:sz w:val="28"/>
          <w:szCs w:val="28"/>
          <w:rtl w:val="true"/>
          <w:lang w:bidi="ar-SA"/>
        </w:rPr>
        <w:t>برواية طهارة طين المطر إلى ثلاثة أيّام</w:t>
      </w:r>
      <w:r>
        <w:rPr>
          <w:rStyle w:val="FootnoteAnchor"/>
          <w:rtl w:val="true"/>
        </w:rPr>
        <w:footnoteReference w:id="465"/>
      </w:r>
      <w:r>
        <w:rPr>
          <w:rFonts w:ascii="Amiri" w:hAnsi="Amiri" w:eastAsia="Amiri" w:cs="Amiri"/>
          <w:color w:val="111111"/>
          <w:sz w:val="28"/>
          <w:sz w:val="28"/>
          <w:szCs w:val="28"/>
          <w:rtl w:val="true"/>
          <w:lang w:bidi="ar-SA"/>
        </w:rPr>
        <w:t xml:space="preserve">ونحوها ممّا هي أجنبيّة عن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في المطر كلاماً ربّما يلتزم فيه بما لا يلتزم في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كلّ جسم من المذكورات تحقّق الغسل بما هو معتبر فيه لإزالة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بجعله مرّة أو مرّات في الماء العاصم لينفذ الماء المطلق</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باطنها ويخرج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طاهراً ، وإلاّ فمجرّد وصول الرطوبة ولو من الماء العاصم إليه ، لا يوجب الطهارة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ودعوى وحدة الماء مع الرطوبة التي في الجوف</w:t>
      </w:r>
      <w:r>
        <w:rPr>
          <w:rStyle w:val="FootnoteAnchor"/>
          <w:rtl w:val="true"/>
        </w:rPr>
        <w:footnoteReference w:id="466"/>
      </w:r>
      <w:r>
        <w:rPr>
          <w:rFonts w:ascii="Amiri" w:hAnsi="Amiri" w:eastAsia="Amiri" w:cs="Amiri"/>
          <w:color w:val="111111"/>
          <w:sz w:val="28"/>
          <w:sz w:val="28"/>
          <w:szCs w:val="28"/>
          <w:rtl w:val="true"/>
          <w:lang w:bidi="ar-SA"/>
        </w:rPr>
        <w:t>، غير مسموعة أوّلاً ، وغير مفيدة للطهارة ثانياً ، كما مرّ</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وأوضح منها فساداً دعوى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المناط في التطهير على صدق نفوذ الكرّ فيه ،</w:t>
      </w:r>
    </w:p>
    <w:p>
      <w:pPr>
        <w:pStyle w:val="BookText"/>
        <w:rPr/>
      </w:pPr>
      <w:r>
        <w:rPr>
          <w:rFonts w:ascii="Amiri" w:hAnsi="Amiri" w:eastAsia="Amiri" w:cs="Amiri"/>
          <w:color w:val="111111"/>
          <w:sz w:val="28"/>
          <w:sz w:val="28"/>
          <w:szCs w:val="28"/>
          <w:rtl w:val="true"/>
          <w:lang w:bidi="ar-SA"/>
        </w:rPr>
        <w:t xml:space="preserve">ووصولِ الماء المطلق إلى باطنه ، ولا ملازمة بينه وبين إطلاق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 فإنّه لو سرت نداوة الماء إلى خارج الإناء يطلق عرفاً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ماءه نفذ فيه ، وخرج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إطلاقاً حقيقياً ، لكن لو لوحظ الأجزاء المائية السارية فيه بحَيالها لا يطلق عليها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لاستهلاكها في الظرف</w:t>
      </w:r>
      <w:r>
        <w:rPr>
          <w:rFonts w:eastAsia="Amiri" w:cs="Amiri" w:ascii="Amiri" w:hAnsi="Amiri"/>
          <w:color w:val="111111"/>
          <w:sz w:val="28"/>
          <w:szCs w:val="28"/>
          <w:rtl w:val="true"/>
          <w:lang w:bidi="ar-SA"/>
        </w:rPr>
        <w:t>»</w:t>
      </w:r>
      <w:r>
        <w:rPr>
          <w:rStyle w:val="FootnoteAnchor"/>
          <w:rtl w:val="true"/>
        </w:rPr>
        <w:footnoteReference w:id="468"/>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لم يتّضح كيف لا يصدق على ما سرى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صدق نفوذ الماء فيه ، ووصول الماء المطلق إلى باطنه ، وأ نّه غسل باطنه بالماء ، مع كون الرطوبة غير الماء عرفاً ، وهل هذا إلاّ تناقض ظاهر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ومجرّد لحاظ الأجزاء تارة مستقلاًّ ، واُخرى تبعاً ، لا يوجب صيرورة الرطوبةِ ماءً ، والماءِ رطوبةً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وليت شعري ، ما الداعي إلى هذه التكلّفات البعيدة عن الواقع والأذهان لإثبات أمر لا دليل عليه ، وأيّ دليل على قبول كلّ شيء التطهير ؟ </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فالأقوى ما تقدّم </w:t>
      </w:r>
      <w:r>
        <w:rPr>
          <w:rFonts w:eastAsia="IRNazanin" w:cs="IRNazanin"/>
          <w:color w:val="111111"/>
          <w:sz w:val="28"/>
          <w:szCs w:val="28"/>
          <w:rtl w:val="true"/>
          <w:lang w:bidi="fa-IR"/>
        </w:rPr>
        <w:t xml:space="preserve">. </w:t>
      </w:r>
      <w:bookmarkStart w:id="173" w:name="pg15030_143120"/>
    </w:p>
    <w:p>
      <w:pPr>
        <w:pStyle w:val="Heading4"/>
        <w:numPr>
          <w:ilvl w:val="3"/>
          <w:numId w:val="1"/>
        </w:numPr>
        <w:rPr/>
      </w:pPr>
      <w:bookmarkStart w:id="174" w:name="__RefHeading___Toc212738_2142443653"/>
      <w:bookmarkStart w:id="175" w:name="_Toc61"/>
      <w:bookmarkEnd w:id="173"/>
      <w:bookmarkEnd w:id="174"/>
      <w:r>
        <w:rPr>
          <w:rtl w:val="true"/>
        </w:rPr>
        <w:t>لزوم إمرار الماء على الأرض وإخراج الغسالة في تطهيرها</w:t>
      </w:r>
      <w:bookmarkEnd w:id="175"/>
    </w:p>
    <w:p>
      <w:pPr>
        <w:pStyle w:val="BookText"/>
        <w:rPr/>
      </w:pPr>
      <w:r>
        <w:rPr>
          <w:rFonts w:ascii="Amiri" w:hAnsi="Amiri" w:eastAsia="Amiri" w:cs="Amiri"/>
          <w:color w:val="111111"/>
          <w:sz w:val="28"/>
          <w:sz w:val="28"/>
          <w:szCs w:val="28"/>
          <w:rtl w:val="true"/>
          <w:lang w:bidi="ar-SA"/>
        </w:rPr>
        <w:t xml:space="preserve">ويظهر ممّا مرّ في كيفية غسل المتنجّسات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لو تنجّس الأرض تصير طاهرة بإمرار الماء القليل عليها ، وإخراج الغسالة ، ولا يكفي صبّه عليها من غير الإمرار والإخراج </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ورواية أبي هريرة</w:t>
      </w:r>
      <w:r>
        <w:rPr>
          <w:rStyle w:val="FootnoteAnchor"/>
          <w:rtl w:val="true"/>
        </w:rPr>
        <w:footnoteReference w:id="4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كونها ضعيفة ، وتسميتها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مقبولة</w:t>
      </w:r>
      <w:r>
        <w:rPr>
          <w:rFonts w:eastAsia="Amiri" w:cs="Amiri" w:ascii="Amiri" w:hAnsi="Amiri"/>
          <w:color w:val="111111"/>
          <w:sz w:val="28"/>
          <w:szCs w:val="28"/>
          <w:rtl w:val="true"/>
          <w:lang w:bidi="ar-SA"/>
        </w:rPr>
        <w:t>»</w:t>
      </w:r>
      <w:r>
        <w:rPr>
          <w:rStyle w:val="FootnoteAnchor"/>
          <w:rtl w:val="true"/>
        </w:rPr>
        <w:footnoteReference w:id="470"/>
      </w:r>
      <w:r>
        <w:rPr>
          <w:rFonts w:ascii="Amiri" w:hAnsi="Amiri" w:eastAsia="Amiri" w:cs="Amiri"/>
          <w:color w:val="111111"/>
          <w:sz w:val="28"/>
          <w:sz w:val="28"/>
          <w:szCs w:val="28"/>
          <w:rtl w:val="true"/>
          <w:lang w:bidi="ar-SA"/>
        </w:rPr>
        <w:t>غير مقبولة ، ومجرّد تمسّك شيخ الطائفة</w:t>
      </w:r>
      <w:r>
        <w:rPr>
          <w:rStyle w:val="FootnoteAnchor"/>
          <w:rtl w:val="true"/>
        </w:rPr>
        <w:footnoteReference w:id="471"/>
      </w:r>
      <w:r>
        <w:rPr>
          <w:rFonts w:ascii="Amiri" w:hAnsi="Amiri" w:eastAsia="Amiri" w:cs="Amiri"/>
          <w:color w:val="111111"/>
          <w:sz w:val="28"/>
          <w:sz w:val="28"/>
          <w:szCs w:val="28"/>
          <w:rtl w:val="true"/>
          <w:lang w:bidi="ar-SA"/>
        </w:rPr>
        <w:t xml:space="preserve">بها إرغاماً للقوم ، لا يوجب مقبوليتها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نقل قضيّة مجهولة لا يعلم كيفيتها ؛ لاحتمال أنّ الأعرابي بال عند باب المسجد ؛ بحيث صار صبّ ذَنُوب من الماء عليه موجباً لخروج غسالته عن المسجد </w:t>
      </w:r>
      <w:r>
        <w:rPr>
          <w:rFonts w:eastAsia="Amiri" w:cs="Amiri" w:ascii="Amiri" w:hAnsi="Amiri"/>
          <w:color w:val="111111"/>
          <w:sz w:val="28"/>
          <w:szCs w:val="28"/>
          <w:rtl w:val="true"/>
          <w:lang w:bidi="ar-SA"/>
        </w:rPr>
        <w:t xml:space="preserve">. </w:t>
      </w:r>
      <w:bookmarkStart w:id="176" w:name="pg15030_143121"/>
    </w:p>
    <w:p>
      <w:pPr>
        <w:pStyle w:val="Heading3"/>
        <w:numPr>
          <w:ilvl w:val="2"/>
          <w:numId w:val="1"/>
        </w:numPr>
        <w:rPr/>
      </w:pPr>
      <w:bookmarkStart w:id="177" w:name="__RefHeading___Toc212740_2142443653"/>
      <w:bookmarkStart w:id="178" w:name="_Toc62"/>
      <w:bookmarkEnd w:id="176"/>
      <w:bookmarkEnd w:id="177"/>
      <w:r>
        <w:rPr>
          <w:rtl w:val="true"/>
        </w:rPr>
        <w:t>المطلب الخامس</w:t>
      </w:r>
      <w:r>
        <w:rPr>
          <w:rtl w:val="true"/>
        </w:rPr>
        <w:t xml:space="preserve">: </w:t>
      </w:r>
      <w:r>
        <w:rPr>
          <w:rtl w:val="true"/>
        </w:rPr>
        <w:t>في اعتبار التعدّد في التطهير</w:t>
      </w:r>
      <w:bookmarkEnd w:id="178"/>
    </w:p>
    <w:p>
      <w:pPr>
        <w:pStyle w:val="Heading4"/>
        <w:numPr>
          <w:ilvl w:val="3"/>
          <w:numId w:val="1"/>
        </w:numPr>
        <w:rPr/>
      </w:pPr>
      <w:bookmarkStart w:id="179" w:name="__RefHeading___Toc212742_2142443653"/>
      <w:bookmarkStart w:id="180" w:name="_Toc63"/>
      <w:bookmarkEnd w:id="179"/>
      <w:r>
        <w:rPr>
          <w:rtl w:val="true"/>
        </w:rPr>
        <w:t>لزوم الغسل مرّتين في تطهير البول بالماء القليل</w:t>
      </w:r>
      <w:bookmarkEnd w:id="180"/>
    </w:p>
    <w:p>
      <w:pPr>
        <w:pStyle w:val="BookText"/>
        <w:rPr/>
      </w:pPr>
      <w:r>
        <w:rPr>
          <w:rFonts w:ascii="IRNazanin" w:hAnsi="IRNazanin" w:eastAsia="IRNazanin"/>
          <w:color w:val="111111"/>
          <w:sz w:val="28"/>
          <w:sz w:val="28"/>
          <w:szCs w:val="28"/>
          <w:rtl w:val="true"/>
          <w:lang w:bidi="fa-IR"/>
        </w:rPr>
        <w:t xml:space="preserve">يعتبر في تطهير البول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 ما استثني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بالماء القليل الغسل مرّتين من غير فرق بين الثوب والجسد ؛ لتظافر الأخبار عليه ، كصحيحة محمّد بن مسلم ، عن أحدهما علیهما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البول يصيب الثوب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اغسله مرّتين</w:t>
      </w:r>
      <w:r>
        <w:rPr>
          <w:rFonts w:eastAsia="IRNazanin" w:cs="IRNazanin"/>
          <w:color w:val="111111"/>
          <w:sz w:val="28"/>
          <w:szCs w:val="28"/>
          <w:rtl w:val="true"/>
          <w:lang w:bidi="fa-IR"/>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صحيحة ابن أبي يعفور</w:t>
      </w:r>
      <w:r>
        <w:rPr>
          <w:rStyle w:val="FootnoteAnchor"/>
          <w:rtl w:val="true"/>
        </w:rPr>
        <w:footnoteReference w:id="473"/>
      </w:r>
      <w:r>
        <w:rPr>
          <w:rFonts w:ascii="Amiri" w:hAnsi="Amiri" w:eastAsia="Amiri" w:cs="Amiri"/>
          <w:color w:val="111111"/>
          <w:sz w:val="28"/>
          <w:sz w:val="28"/>
          <w:szCs w:val="28"/>
          <w:rtl w:val="true"/>
          <w:lang w:bidi="ar-SA"/>
        </w:rPr>
        <w:t>وصحيحة الحسين بن أبي العلاء المتقدّمة</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البَزَنْطي المنقولة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البول يصيب </w:t>
      </w:r>
    </w:p>
    <w:p>
      <w:pPr>
        <w:pStyle w:val="BookText"/>
        <w:rPr/>
      </w:pPr>
      <w:r>
        <w:rPr>
          <w:rFonts w:ascii="Amiri" w:hAnsi="Amiri" w:eastAsia="Amiri" w:cs="Amiri"/>
          <w:color w:val="111111"/>
          <w:sz w:val="28"/>
          <w:sz w:val="28"/>
          <w:szCs w:val="28"/>
          <w:rtl w:val="true"/>
          <w:lang w:bidi="ar-SA"/>
        </w:rPr>
        <w:t xml:space="preserve">الجسد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 عليه الماء مرّتين ؛ فإنّما هو ماء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وسألته عن الثوب يصيبه البول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اغسله مرّتين</w:t>
      </w:r>
      <w:r>
        <w:rPr>
          <w:rFonts w:eastAsia="Amiri" w:cs="Amiri" w:ascii="Amiri" w:hAnsi="Amiri"/>
          <w:color w:val="111111"/>
          <w:sz w:val="28"/>
          <w:szCs w:val="28"/>
          <w:rtl w:val="true"/>
          <w:lang w:bidi="ar-SA"/>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أبي إسحاق النحوي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ثعلبة بن ميمون الثقة على الأصحّ</w:t>
      </w:r>
      <w:r>
        <w:rPr>
          <w:rStyle w:val="FootnoteAnchor"/>
          <w:rtl w:val="true"/>
        </w:rPr>
        <w:footnoteReference w:id="4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البول يصيب الجسد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 عليه الماء مرّتين</w:t>
      </w:r>
      <w:r>
        <w:rPr>
          <w:rFonts w:eastAsia="IRNazanin" w:cs="IRNazanin"/>
          <w:color w:val="111111"/>
          <w:sz w:val="28"/>
          <w:szCs w:val="28"/>
          <w:rtl w:val="true"/>
          <w:lang w:bidi="fa-IR"/>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فالتفصيل بين الثوب وغيره بلزوم المرّتين في الأوّل والاكتفاء بالمرّة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للخدشة في إسناد ما دلّ على المرّتين في الجسد</w:t>
      </w:r>
      <w:r>
        <w:rPr>
          <w:rStyle w:val="FootnoteAnchor"/>
          <w:rtl w:val="true"/>
        </w:rPr>
        <w:footnoteReference w:id="4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 لصحّة الروايات المتقدّمة ، ووثاقة رواتها على الأصحّ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الحكم مشهور بين الأصحاب ،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w:t>
      </w:r>
      <w:r>
        <w:rPr>
          <w:rStyle w:val="FootnoteAnchor"/>
          <w:rtl w:val="true"/>
        </w:rPr>
        <w:footnoteReference w:id="479"/>
      </w: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نسبته إلى علمائنا </w:t>
      </w:r>
      <w:r>
        <w:rPr>
          <w:rStyle w:val="FootnoteAnchor"/>
          <w:rtl w:val="true"/>
        </w:rPr>
        <w:footnoteReference w:id="480"/>
      </w:r>
      <w:r>
        <w:rPr>
          <w:rFonts w:ascii="Amiri" w:hAnsi="Amiri" w:eastAsia="Amiri" w:cs="Amiri"/>
          <w:color w:val="111111"/>
          <w:sz w:val="28"/>
          <w:sz w:val="28"/>
          <w:szCs w:val="28"/>
          <w:rtl w:val="true"/>
          <w:lang w:bidi="ar-SA"/>
        </w:rPr>
        <w:t xml:space="preserve">،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 عليه عمل الطائفة</w:t>
      </w:r>
      <w:r>
        <w:rPr>
          <w:rFonts w:eastAsia="Amiri" w:cs="Amiri" w:ascii="Amiri" w:hAnsi="Amiri"/>
          <w:color w:val="111111"/>
          <w:sz w:val="28"/>
          <w:szCs w:val="28"/>
          <w:rtl w:val="true"/>
          <w:lang w:bidi="ar-SA"/>
        </w:rPr>
        <w:t>»</w:t>
      </w:r>
      <w:r>
        <w:rPr>
          <w:rStyle w:val="FootnoteAnchor"/>
          <w:rtl w:val="true"/>
        </w:rPr>
        <w:footnoteReference w:id="481"/>
      </w:r>
      <w:r>
        <w:rPr>
          <w:rFonts w:ascii="Amiri" w:hAnsi="Amiri" w:eastAsia="Amiri" w:cs="Amiri"/>
          <w:color w:val="111111"/>
          <w:sz w:val="28"/>
          <w:sz w:val="28"/>
          <w:szCs w:val="28"/>
          <w:rtl w:val="true"/>
          <w:lang w:bidi="ar-SA"/>
        </w:rPr>
        <w:t xml:space="preserve">وليس لهم مستند غيرها ، فإسنادها مجبور لو فرض ضعفها </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حمل أخبار المرّتين على الاستحباب ، أولى من رفع اليد عن </w:t>
      </w:r>
    </w:p>
    <w:p>
      <w:pPr>
        <w:pStyle w:val="BookText"/>
        <w:rPr/>
      </w:pPr>
      <w:r>
        <w:rPr>
          <w:rFonts w:ascii="Amiri" w:hAnsi="Amiri" w:eastAsia="Amiri" w:cs="Amiri"/>
          <w:color w:val="111111"/>
          <w:sz w:val="28"/>
          <w:sz w:val="28"/>
          <w:szCs w:val="28"/>
          <w:rtl w:val="true"/>
          <w:lang w:bidi="ar-SA"/>
        </w:rPr>
        <w:t>إطلاق الروايات الكثيرة المقتصرة على الأمر بالغسل ، مؤيّداً بما دلّ على الاكتفاء</w:t>
      </w:r>
    </w:p>
    <w:p>
      <w:pPr>
        <w:pStyle w:val="BookText"/>
        <w:rPr/>
      </w:pPr>
      <w:r>
        <w:rPr>
          <w:rFonts w:ascii="Amiri" w:hAnsi="Amiri" w:eastAsia="Amiri" w:cs="Amiri"/>
          <w:color w:val="111111"/>
          <w:sz w:val="28"/>
          <w:sz w:val="28"/>
          <w:szCs w:val="28"/>
          <w:rtl w:val="true"/>
          <w:lang w:bidi="ar-SA"/>
        </w:rPr>
        <w:t xml:space="preserve">بالمرّة في الاستنجاء ، بعد عدم الفارق عرفاً بينه وبين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فاسد ؛ لعدم الإطلاق في الأخبار ؛ لأنّ كلّها أو جلّها في مقام بيان أحكام اُخر ، فلا إطلاق فيها ، كما تقدّم في غسل الفراش</w:t>
      </w:r>
      <w:r>
        <w:rPr>
          <w:rStyle w:val="FootnoteAnchor"/>
          <w:rtl w:val="true"/>
        </w:rPr>
        <w:footnoteReference w:id="482"/>
      </w:r>
      <w:r>
        <w:rPr>
          <w:rFonts w:ascii="IRNazanin" w:hAnsi="IRNazanin" w:eastAsia="IRNazanin"/>
          <w:color w:val="111111"/>
          <w:sz w:val="28"/>
          <w:sz w:val="28"/>
          <w:szCs w:val="28"/>
          <w:rtl w:val="true"/>
          <w:lang w:bidi="fa-IR"/>
        </w:rPr>
        <w:t xml:space="preserve">؛ لكونها في مقام بيان كيفية غسل الفراش ، لا حال البول ، فقوله علیه السلام في صحيحة إبراهيم بن أبي محمود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يغسل ما ظهر منها في وجهه</w:t>
      </w:r>
      <w:r>
        <w:rPr>
          <w:rFonts w:eastAsia="IRNazanin" w:cs="IRNazanin"/>
          <w:color w:val="111111"/>
          <w:sz w:val="28"/>
          <w:szCs w:val="28"/>
          <w:rtl w:val="true"/>
          <w:lang w:bidi="fa-IR"/>
        </w:rPr>
        <w:t>»</w:t>
      </w:r>
      <w:r>
        <w:rPr>
          <w:rStyle w:val="FootnoteAnchor"/>
          <w:rtl w:val="true"/>
        </w:rPr>
        <w:footnoteReference w:id="483"/>
      </w:r>
      <w:r>
        <w:rPr>
          <w:rFonts w:ascii="Amiri" w:hAnsi="Amiri" w:eastAsia="Amiri" w:cs="Amiri"/>
          <w:color w:val="111111"/>
          <w:sz w:val="28"/>
          <w:sz w:val="28"/>
          <w:szCs w:val="28"/>
          <w:rtl w:val="true"/>
          <w:lang w:bidi="ar-SA"/>
        </w:rPr>
        <w:t xml:space="preserve">يراد منه أ نّه يكتفى بغسل ظاهره ، ولا يجب إخراج حشوه أو غسله ؛ لعدم الاحتياج إليه ، وعدم الابتلاء إلاّ بظاهره ، فلا إطلاق فيها ، وكذا الحال في غيرها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 لا يبعد الإطلاق في صحيحة عبداللّه بن 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اغسل ثوبك من أبوال ما لا يؤكل لحمه</w:t>
      </w:r>
      <w:r>
        <w:rPr>
          <w:rFonts w:eastAsia="IRNazanin" w:cs="IRNazanin"/>
          <w:color w:val="111111"/>
          <w:sz w:val="28"/>
          <w:szCs w:val="28"/>
          <w:rtl w:val="true"/>
          <w:lang w:bidi="fa-IR"/>
        </w:rPr>
        <w:t>»</w:t>
      </w:r>
      <w:r>
        <w:rPr>
          <w:rStyle w:val="FootnoteAnchor"/>
          <w:rtl w:val="true"/>
        </w:rPr>
        <w:footnoteReference w:id="484"/>
      </w:r>
      <w:r>
        <w:rPr>
          <w:rFonts w:ascii="Amiri" w:hAnsi="Amiri" w:eastAsia="Amiri" w:cs="Amiri"/>
          <w:color w:val="111111"/>
          <w:sz w:val="28"/>
          <w:sz w:val="28"/>
          <w:szCs w:val="28"/>
          <w:rtl w:val="true"/>
          <w:lang w:bidi="ar-SA"/>
        </w:rPr>
        <w:t xml:space="preserve">على إشكال فيه ؛ لاحتمال كونه بصدد الفرق بين بول ما يؤكل وما لا يؤكل ، لا بصدد كيفية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فرض الإطلاق في بعضها ، فيقيّد بالمستفيضة الدالّة على وجوب التعدّد </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والتأييد بما في باب الاستنجاء في غير محلّه ، فإنّه لو التزمنا فيه بكفاية المرّة فلا يمكن إلغاء الخصوصية ؛ بعد ما نرى فيه من التخفيف ما ليس في غيره </w:t>
      </w:r>
      <w:r>
        <w:rPr>
          <w:rFonts w:eastAsia="Amiri" w:cs="Amiri" w:ascii="Amiri" w:hAnsi="Amiri"/>
          <w:color w:val="111111"/>
          <w:sz w:val="28"/>
          <w:szCs w:val="28"/>
          <w:rtl w:val="true"/>
          <w:lang w:bidi="ar-SA"/>
        </w:rPr>
        <w:t xml:space="preserve">. </w:t>
      </w:r>
      <w:bookmarkStart w:id="181" w:name="pg15030_143124"/>
    </w:p>
    <w:p>
      <w:pPr>
        <w:pStyle w:val="Heading4"/>
        <w:numPr>
          <w:ilvl w:val="3"/>
          <w:numId w:val="1"/>
        </w:numPr>
        <w:rPr/>
      </w:pPr>
      <w:bookmarkStart w:id="182" w:name="__RefHeading___Toc212744_2142443653"/>
      <w:bookmarkStart w:id="183" w:name="_Toc64"/>
      <w:bookmarkEnd w:id="181"/>
      <w:bookmarkEnd w:id="182"/>
      <w:r>
        <w:rPr>
          <w:rtl w:val="true"/>
        </w:rPr>
        <w:t>لزوم إخراج الغسالة في كلّ غسلة</w:t>
      </w:r>
      <w:bookmarkEnd w:id="183"/>
    </w:p>
    <w:p>
      <w:pPr>
        <w:pStyle w:val="BookText"/>
        <w:rPr/>
      </w:pPr>
      <w:r>
        <w:rPr>
          <w:rFonts w:ascii="Amiri" w:hAnsi="Amiri" w:eastAsia="Amiri" w:cs="Amiri"/>
          <w:color w:val="111111"/>
          <w:sz w:val="28"/>
          <w:sz w:val="28"/>
          <w:szCs w:val="28"/>
          <w:rtl w:val="true"/>
          <w:lang w:bidi="ar-SA"/>
        </w:rPr>
        <w:t xml:space="preserve">ثمّ إنّ الظاهر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المعتبر في كلّ غسلة هو إخراج الغسالة على النحو المتقدّم</w:t>
      </w:r>
      <w:r>
        <w:rPr>
          <w:rStyle w:val="FootnoteAnchor"/>
          <w:rtl w:val="true"/>
        </w:rPr>
        <w:footnoteReference w:id="485"/>
      </w:r>
      <w:r>
        <w:rPr>
          <w:rFonts w:ascii="Amiri" w:hAnsi="Amiri" w:eastAsia="Amiri" w:cs="Amiri"/>
          <w:color w:val="111111"/>
          <w:sz w:val="28"/>
          <w:sz w:val="28"/>
          <w:szCs w:val="28"/>
          <w:rtl w:val="true"/>
          <w:lang w:bidi="ar-SA"/>
        </w:rPr>
        <w:t xml:space="preserve">، وأمّا الاكتفاء في الغسلة الاُولى بإزالة العين كيفما اتّفقت ، فخلاف ظاهر الأدلّة حتّى بناءً على 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مرّة للإزالة ، ومرّة للإنقاء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تتمّة رواية ابن أبي العلاء المحكيّة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Style w:val="FootnoteAnchor"/>
          <w:rtl w:val="true"/>
        </w:rPr>
        <w:footnoteReference w:id="486"/>
      </w:r>
      <w:r>
        <w:rPr>
          <w:rFonts w:ascii="Amiri" w:hAnsi="Amiri" w:eastAsia="Amiri" w:cs="Amiri"/>
          <w:color w:val="111111"/>
          <w:sz w:val="28"/>
          <w:sz w:val="28"/>
          <w:szCs w:val="28"/>
          <w:rtl w:val="true"/>
          <w:lang w:bidi="ar-SA"/>
        </w:rPr>
        <w:t xml:space="preserve">فإنّ الغسل للإزالة بنظر العرف هو بإمرار الماء وإخراج غسالته ، لا الإزالة كيفما اتّفقت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فالمأمور به الغسلُ للإزالة لا الإزالةُ ، كما لا يكتفى بالإنقاء كيفما اتّفق ، فكما أنّ الغسل للإنقاء لا يقتضي الاكتفاء بالإنقاء ولو بغير الغسل ، فكذا للإزالة ، سيّما مع الارتكاز على أنّ للماء خصوصيةً ، وأنّ للغسل لإزالة النجاسة لديهم كيفيةً معهودةً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أنّ الوثوق حاصل بعدم كون هذا الذيل من تتمّة الحديث ، بل هو من اجتهاد الناقل ؛ لعدم وجوده في شيء من كتب الحديث ، كما هو المحكيّ</w:t>
      </w:r>
      <w:r>
        <w:rPr>
          <w:rStyle w:val="FootnoteAnchor"/>
          <w:rtl w:val="true"/>
        </w:rPr>
        <w:footnoteReference w:id="487"/>
      </w:r>
    </w:p>
    <w:p>
      <w:pPr>
        <w:pStyle w:val="BookText"/>
        <w:rPr/>
      </w:pP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جواهر الكلام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مصباح الفقيه ، الطهارة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حال بول غير الصبيّ </w:t>
      </w:r>
      <w:r>
        <w:rPr>
          <w:rFonts w:eastAsia="Amiri" w:cs="Amiri" w:ascii="Amiri" w:hAnsi="Amiri"/>
          <w:color w:val="111111"/>
          <w:sz w:val="28"/>
          <w:szCs w:val="28"/>
          <w:rtl w:val="true"/>
          <w:lang w:bidi="ar-SA"/>
        </w:rPr>
        <w:t>.</w:t>
      </w:r>
      <w:bookmarkStart w:id="184" w:name="pg15030_143125"/>
    </w:p>
    <w:p>
      <w:pPr>
        <w:pStyle w:val="Heading4"/>
        <w:numPr>
          <w:ilvl w:val="3"/>
          <w:numId w:val="1"/>
        </w:numPr>
        <w:rPr/>
      </w:pPr>
      <w:bookmarkStart w:id="185" w:name="__RefHeading___Toc212746_2142443653"/>
      <w:bookmarkStart w:id="186" w:name="_Toc65"/>
      <w:bookmarkEnd w:id="184"/>
      <w:bookmarkEnd w:id="185"/>
      <w:r>
        <w:rPr>
          <w:rtl w:val="true"/>
        </w:rPr>
        <w:t>عدم اعتبار تعدّد الصبّ في تطهير بول الصبيّ</w:t>
      </w:r>
      <w:bookmarkEnd w:id="186"/>
    </w:p>
    <w:p>
      <w:pPr>
        <w:pStyle w:val="BookText"/>
        <w:rPr/>
      </w:pPr>
      <w:r>
        <w:rPr>
          <w:rFonts w:ascii="Amiri" w:hAnsi="Amiri" w:eastAsia="Amiri" w:cs="Amiri"/>
          <w:color w:val="111111"/>
          <w:sz w:val="28"/>
          <w:sz w:val="28"/>
          <w:szCs w:val="28"/>
          <w:rtl w:val="true"/>
          <w:lang w:bidi="ar-SA"/>
        </w:rPr>
        <w:t>وأمّا بوله فالظاهر عدم اعتبار تعدّد الصبّ فيه ؛ لإطلاق صحيحة الحسين المتقدّمة</w:t>
      </w:r>
      <w:r>
        <w:rPr>
          <w:rStyle w:val="FootnoteAnchor"/>
          <w:rtl w:val="true"/>
        </w:rPr>
        <w:footnoteReference w:id="488"/>
      </w:r>
      <w:r>
        <w:rPr>
          <w:rFonts w:ascii="Amiri" w:hAnsi="Amiri" w:eastAsia="Amiri" w:cs="Amiri"/>
          <w:color w:val="111111"/>
          <w:sz w:val="28"/>
          <w:sz w:val="28"/>
          <w:szCs w:val="28"/>
          <w:rtl w:val="true"/>
          <w:lang w:bidi="ar-SA"/>
        </w:rPr>
        <w:t xml:space="preserve">، سيّما بعد وقوع السؤال عن بوله عقيب السؤال عن البول الذي أصاب الجسد والثوب ، والأمر فيهما بالصبّ والغسل مرّتين ، إذ لا يبقى معه مجال توهّم عدم الإطلاق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الظاهر إطلاق صحيحة الحلبي أيضاً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بول</w:t>
      </w:r>
    </w:p>
    <w:p>
      <w:pPr>
        <w:pStyle w:val="BookText"/>
        <w:rPr/>
      </w:pPr>
      <w:r>
        <w:rPr>
          <w:rFonts w:ascii="Amiri" w:hAnsi="Amiri" w:eastAsia="Amiri" w:cs="Amiri"/>
          <w:color w:val="111111"/>
          <w:sz w:val="28"/>
          <w:sz w:val="28"/>
          <w:szCs w:val="28"/>
          <w:rtl w:val="true"/>
          <w:lang w:bidi="ar-SA"/>
        </w:rPr>
        <w:t xml:space="preserve">الصبيّ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تصبّ عليه الماء ، فإن كان قد أكل فاغسله بالماء غسلاً</w:t>
      </w:r>
      <w:r>
        <w:rPr>
          <w:rFonts w:eastAsia="Amiri" w:cs="Amiri" w:ascii="Amiri" w:hAnsi="Amiri"/>
          <w:color w:val="111111"/>
          <w:sz w:val="28"/>
          <w:szCs w:val="28"/>
          <w:rtl w:val="true"/>
          <w:lang w:bidi="ar-SA"/>
        </w:rPr>
        <w:t>»</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الظاهر أنّ سؤاله كان بعد الفراغ عن كيفية غسل بول غير الصبيّ ، وإنّما</w:t>
      </w:r>
    </w:p>
    <w:p>
      <w:pPr>
        <w:pStyle w:val="BookText"/>
        <w:rPr/>
      </w:pPr>
      <w:r>
        <w:rPr>
          <w:rFonts w:ascii="IRNazanin" w:hAnsi="IRNazanin" w:eastAsia="IRNazanin"/>
          <w:color w:val="111111"/>
          <w:sz w:val="28"/>
          <w:sz w:val="28"/>
          <w:szCs w:val="28"/>
          <w:rtl w:val="true"/>
          <w:lang w:bidi="fa-IR"/>
        </w:rPr>
        <w:t xml:space="preserve">كان شاكّاً في كيفية غسل بوله ، فقوله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تصبّ عليه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لبيان كيفيته ، وقوله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كان قد أكل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لبيان غاية الحكم في الصبيّ ، لا لبيان غسل بول غيره حتّى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لم يذكر الكيفية في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كونه في مقام بيانها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فكذا</w:t>
      </w:r>
    </w:p>
    <w:p>
      <w:pPr>
        <w:pStyle w:val="BookText"/>
        <w:rPr/>
      </w:pPr>
      <w:r>
        <w:rPr>
          <w:rFonts w:ascii="Amiri" w:hAnsi="Amiri" w:eastAsia="Amiri" w:cs="Amiri"/>
          <w:color w:val="111111"/>
          <w:sz w:val="28"/>
          <w:sz w:val="28"/>
          <w:szCs w:val="28"/>
          <w:rtl w:val="true"/>
          <w:lang w:bidi="ar-SA"/>
        </w:rPr>
        <w:t xml:space="preserve">بول الصبيّ </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كونه في مقام بيان كيفية غسل بول الصبيّ الذي هو محطّ السؤال ، فيؤخذ بإطلاقه ، لا لبيان كيفية غسل بول غيره ، فلا إطلاق فيها من هذه الجهة ، فلا ينبغي الإشكال في كفاية المرّة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حال الغسل بالماء القليل </w:t>
      </w:r>
      <w:r>
        <w:rPr>
          <w:rFonts w:eastAsia="Amiri" w:cs="Amiri" w:ascii="Amiri" w:hAnsi="Amiri"/>
          <w:color w:val="111111"/>
          <w:sz w:val="28"/>
          <w:szCs w:val="28"/>
          <w:rtl w:val="true"/>
          <w:lang w:bidi="ar-SA"/>
        </w:rPr>
        <w:t xml:space="preserve">. </w:t>
      </w:r>
      <w:bookmarkStart w:id="187" w:name="pg15030_143126"/>
    </w:p>
    <w:p>
      <w:pPr>
        <w:pStyle w:val="Heading4"/>
        <w:numPr>
          <w:ilvl w:val="3"/>
          <w:numId w:val="1"/>
        </w:numPr>
        <w:rPr/>
      </w:pPr>
      <w:bookmarkStart w:id="188" w:name="__RefHeading___Toc212748_2142443653"/>
      <w:bookmarkStart w:id="189" w:name="_Toc66"/>
      <w:bookmarkEnd w:id="187"/>
      <w:bookmarkEnd w:id="188"/>
      <w:r>
        <w:rPr>
          <w:rtl w:val="true"/>
        </w:rPr>
        <w:t>كفاية المرّة في تطهير البول بالماء الجاري لا الكرّ</w:t>
      </w:r>
      <w:bookmarkEnd w:id="189"/>
    </w:p>
    <w:p>
      <w:pPr>
        <w:pStyle w:val="BookText"/>
        <w:rPr/>
      </w:pPr>
      <w:r>
        <w:rPr>
          <w:rFonts w:ascii="Amiri" w:hAnsi="Amiri" w:eastAsia="Amiri" w:cs="Amiri"/>
          <w:color w:val="111111"/>
          <w:sz w:val="28"/>
          <w:sz w:val="28"/>
          <w:szCs w:val="28"/>
          <w:rtl w:val="true"/>
          <w:lang w:bidi="ar-SA"/>
        </w:rPr>
        <w:t>وأمّا الجاري فيكفي فيه مرّة واحدة بلا خلاف على المحكيّ</w:t>
      </w:r>
      <w:r>
        <w:rPr>
          <w:rStyle w:val="FootnoteAnchor"/>
          <w:rtl w:val="true"/>
        </w:rPr>
        <w:footnoteReference w:id="490"/>
      </w:r>
      <w:r>
        <w:rPr>
          <w:rFonts w:ascii="IRNazanin" w:hAnsi="IRNazanin" w:eastAsia="IRNazanin"/>
          <w:color w:val="111111"/>
          <w:sz w:val="28"/>
          <w:sz w:val="28"/>
          <w:szCs w:val="28"/>
          <w:rtl w:val="true"/>
          <w:lang w:bidi="fa-IR"/>
        </w:rPr>
        <w:t xml:space="preserve">، وتدلّ عليه صحيحة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 السلام عن الثوب يصيبه البول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اغسله في المِرْكَن مرّتين ، فإن غسلته في ماءٍ جارٍ فمرّةً واحدةً</w:t>
      </w:r>
      <w:r>
        <w:rPr>
          <w:rFonts w:eastAsia="IRNazanin" w:cs="IRNazanin"/>
          <w:color w:val="111111"/>
          <w:sz w:val="28"/>
          <w:szCs w:val="28"/>
          <w:rtl w:val="true"/>
          <w:lang w:bidi="fa-IR"/>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ويمكن الاستدلال بها للاكتفاء بالغسل في الكرّ بمرّة واحدة بأن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إشكال في أنّ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المِرْكَن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كناية عن الغسل بالماء القليل ، وإلاّ فالكون في المِرْكَن لا دخالة له في الحكم ، سيّما مع مقابلته للجاري ، فكأ 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اغسله بالقليل مرّتين</w:t>
      </w:r>
      <w:r>
        <w:rPr>
          <w:rFonts w:eastAsia="IRNazanin" w:cs="IRNazanin"/>
          <w:color w:val="111111"/>
          <w:sz w:val="28"/>
          <w:szCs w:val="28"/>
          <w:rtl w:val="true"/>
          <w:lang w:bidi="fa-IR"/>
        </w:rPr>
        <w:t>»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ريب في أنّ لقيد القلّة دخالةً في إيجاب المرّتين ، ومفهوم القيد وإن لم يكن حجّة في غير المقام ، لكن فيه خصوصية لا بدّ من الالتزام بحجّيته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عدم كون شيء آخر صالح للقيام مقام القيد في إيجاب المرّتين ؛ فإنّ ما يتوهّم إمكان قيامه هو الكثير المقابل للجاري والقليل المذكورين ، وهو لا يصلح للنيابة ؛ لأنّ دخالة القلّة في ثبوت حكم لا يمكن مع دخالة الكثرة أيضاً ، وكون الحكم للجامع بينهما يخالف ظاهر الرواية ، فلا بدّ من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القلّة علّة منحصرة ، ومع فقدها لا يجب المرّتان ، والأكثر منهما مقطوع العدم ، فيجب المرّة في غير القليل ، وهو المطلوب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وإنّما ذكر أحد مصاديق المفهوم وهو الجاري ؛ لنكتة خفيّة علينا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قلنا سابقاً </w:t>
      </w:r>
      <w:r>
        <w:rPr>
          <w:rStyle w:val="FootnoteAnchor"/>
          <w:rtl w:val="true"/>
        </w:rPr>
        <w:footnoteReference w:id="4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مفهوم للقضيّة الشرطية التي ذكرت تصريحاً</w:t>
      </w:r>
    </w:p>
    <w:p>
      <w:pPr>
        <w:pStyle w:val="BookText"/>
        <w:rPr/>
      </w:pPr>
      <w:r>
        <w:rPr>
          <w:rFonts w:ascii="Amiri" w:hAnsi="Amiri" w:eastAsia="Amiri" w:cs="Amiri"/>
          <w:color w:val="111111"/>
          <w:sz w:val="28"/>
          <w:sz w:val="28"/>
          <w:szCs w:val="28"/>
          <w:rtl w:val="true"/>
          <w:lang w:bidi="ar-SA"/>
        </w:rPr>
        <w:t xml:space="preserve">بالمفهوم ؛ وإن قلنا بالمفهوم في سائر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أنّ الشرطية في المقام سيقت لبيان تحقّق الموضوع ، والوصف لا مفهوم له في غير المقام ، فضلاً عن المقام الذي ذكرت القضيّة الثانية لبيان مفهوم القيد في القضيّة الاُولى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مفهوم القيد في الجملة الاُولى دون الثانية ، فلا تعارض بينهما من حيث المفهوم ، وإنّما ذكر الجاري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أحد مصاديق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لنكتة لعلّها كثرة وجوده في بلد السائل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غاية ما يمكن أن يقال في تقريب الصحيحة لإثبات المطلوب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محلّ إشكال ولو سلّم كون المِرْكَن كناية عن القلّة ؛ لإمكان أن يكون النائب مناب القيد الركود لا الكثرة ، فلا يأتي فيه ما تقدّم من البيان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الركود مشترك بين القليل والكرّ ؛ فإنّ الجاري القليل حكمه مرّة ، فلا معنى لنيابته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تكون القلّة سبباً مستقلاًّ ، والجريان مانعاً عن تأثيره ، والركود سبباً آخر ، وإنّما نسب الحكم في القليل إلى القلّة لكونها كالوصف الذاتي للماء ، بخلاف الركود المقابل للجريان ، فإنّه من الأعراض اللاحقة ، والوصف الذاتي أسبق في التأثير </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مع إمكان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ذكر المِرْكَن ليس للاحتراز ، بل لمجرّد ذكر قسم </w:t>
      </w:r>
    </w:p>
    <w:p>
      <w:pPr>
        <w:pStyle w:val="BookText"/>
        <w:rPr/>
      </w:pPr>
      <w:r>
        <w:rPr>
          <w:rFonts w:ascii="Amiri" w:hAnsi="Amiri" w:eastAsia="Amiri" w:cs="Amiri"/>
          <w:color w:val="111111"/>
          <w:sz w:val="28"/>
          <w:sz w:val="28"/>
          <w:szCs w:val="28"/>
          <w:rtl w:val="true"/>
          <w:lang w:bidi="ar-SA"/>
        </w:rPr>
        <w:t xml:space="preserve">من الماء ، فحينئذٍ لأحد أن يعكس الأمر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توصيف الماء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لدخالته في الحكم ، وليس شيء ينوب منابه ؛ إذ مقابل الجاري الراكد ، وهو لا يصلح للنيابة ؛ لعين ما تقدّم ، فيكون للجملة الثانية مفهوم بعد عدم المفهوم للاُولى ، وإنّما ذكر المِرْكَن لأ نّه أحد المصاديق ، فتدلّ الرواية بمفهومها على وجوب التعدّد في غير الجاري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أيضاً محلّ إشكال ؛ لأنّ الراكد وإن لم يصلح للنيابة ، لكنّ الكثير يمكن أن ينوب عن الجاري ، سيّما مع التناسب بينهما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إثبات حكم المرّة أو المرّتين في الكرّ بهذه الرواية ، في غاية الإشكال ، والظاهر سكوتها عن حكم الكرّ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الاستدلال</w:t>
      </w:r>
      <w:r>
        <w:rPr>
          <w:rStyle w:val="FootnoteAnchor"/>
          <w:rtl w:val="true"/>
        </w:rPr>
        <w:footnoteReference w:id="493"/>
      </w:r>
      <w:r>
        <w:rPr>
          <w:rFonts w:ascii="IRNazanin" w:hAnsi="IRNazanin" w:eastAsia="IRNazanin"/>
          <w:color w:val="111111"/>
          <w:sz w:val="28"/>
          <w:sz w:val="28"/>
          <w:szCs w:val="28"/>
          <w:rtl w:val="true"/>
          <w:lang w:bidi="fa-IR"/>
        </w:rPr>
        <w:t xml:space="preserve">على الاكتفاء بالمرّة بمرسلة العلاّمة المتقدّمة ، عن أبي جعفر علیه السلام مشيراً إلى غدير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لا يصيب شيئاً إلاّ طهّره</w:t>
      </w:r>
      <w:r>
        <w:rPr>
          <w:rFonts w:eastAsia="IRNazanin" w:cs="IRNazanin"/>
          <w:color w:val="111111"/>
          <w:sz w:val="28"/>
          <w:szCs w:val="28"/>
          <w:rtl w:val="true"/>
          <w:lang w:bidi="fa-IR"/>
        </w:rPr>
        <w:t>»</w:t>
      </w:r>
      <w:r>
        <w:rPr>
          <w:rStyle w:val="FootnoteAnchor"/>
          <w:rtl w:val="true"/>
        </w:rPr>
        <w:footnoteReference w:id="494"/>
      </w:r>
      <w:r>
        <w:rPr>
          <w:rFonts w:ascii="Amiri" w:hAnsi="Amiri" w:eastAsia="Amiri" w:cs="Amiri"/>
          <w:color w:val="111111"/>
          <w:sz w:val="28"/>
          <w:sz w:val="28"/>
          <w:szCs w:val="28"/>
          <w:rtl w:val="true"/>
          <w:lang w:bidi="ar-SA"/>
        </w:rPr>
        <w:t xml:space="preserve">بدعوى انجبار سندها بالشهرة ، وأقوائية دلالتها ممّا وردت في غسل البول مرّتين ؛ لأ نّها بالعموم ، وتلك بالإطلاق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الإطلاق أيضاً صار موهوناً بخروج الجاري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يمكن إنكار دلالتها إلاّ على القليل ؛ لكثرة القليل ، وقلّة الكثير في تلك البلاد ، سيّما مع مقابلة الغسل للصبّ فيها ، ومصبّه القليل </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جبر السند بعمل المتأخّرين ، مع عدم ثبوت الاشتهار بالعمل بها حتّى منهم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ومنع أقوائية دلالتها ؛ لأ نّها بالإطلاق أيضاً لا العموم ، كما قرّر في محلّه</w:t>
      </w:r>
      <w:r>
        <w:rPr>
          <w:rStyle w:val="FootnoteAnchor"/>
          <w:rtl w:val="true"/>
        </w:rPr>
        <w:footnoteReference w:id="4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للمنع من أقوائية العموم من الإطلاق مجال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وخروج الجاري لا يوجب وهناً في الإطلاق لو لم نقل بإيجابه القوّة ، ولا مجال لإنكار إطلاقها حتّى فيما اشتملت على الصبّ ، فضلاً عن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وقلّة الكثير في بلد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كابن مسلم وأبي إسحاق وابن أبي يعفور الكوفيين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والاستدلال عليه</w:t>
      </w:r>
      <w:r>
        <w:rPr>
          <w:rStyle w:val="FootnoteAnchor"/>
          <w:rtl w:val="true"/>
        </w:rPr>
        <w:footnoteReference w:id="496"/>
      </w:r>
      <w:r>
        <w:rPr>
          <w:rFonts w:ascii="IRNazanin" w:hAnsi="IRNazanin" w:eastAsia="IRNazanin"/>
          <w:color w:val="111111"/>
          <w:sz w:val="28"/>
          <w:sz w:val="28"/>
          <w:szCs w:val="28"/>
          <w:rtl w:val="true"/>
          <w:lang w:bidi="fa-IR"/>
        </w:rPr>
        <w:t xml:space="preserve">بروايات ماء الحمّام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بمنزلة الماء الجاري</w:t>
      </w:r>
      <w:r>
        <w:rPr>
          <w:rFonts w:eastAsia="IRNazanin" w:cs="IRNazanin"/>
          <w:color w:val="111111"/>
          <w:sz w:val="28"/>
          <w:szCs w:val="28"/>
          <w:rtl w:val="true"/>
          <w:lang w:bidi="fa-IR"/>
        </w:rPr>
        <w:t>»</w:t>
      </w:r>
      <w:r>
        <w:rPr>
          <w:rStyle w:val="FootnoteAnchor"/>
          <w:rtl w:val="true"/>
        </w:rPr>
        <w:footnoteReference w:id="497"/>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ماء الحمّام كماء النهر يطهّر بعضه بعضاً</w:t>
      </w:r>
      <w:r>
        <w:rPr>
          <w:rFonts w:eastAsia="Amiri" w:cs="Amiri" w:ascii="Amiri" w:hAnsi="Amiri"/>
          <w:color w:val="111111"/>
          <w:sz w:val="28"/>
          <w:szCs w:val="28"/>
          <w:rtl w:val="true"/>
          <w:lang w:bidi="ar-SA"/>
        </w:rPr>
        <w:t>»</w:t>
      </w:r>
      <w:r>
        <w:rPr>
          <w:rStyle w:val="FootnoteAnchor"/>
          <w:rtl w:val="true"/>
        </w:rPr>
        <w:footnoteReference w:id="4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 إثبات عموم التنزيل ، وهو ممنوع ؛ لأنّ الناظر في الروايات لا ينبغي أن يشكّ في أنّ التنزيل في عدم الانفعال ، وتقوّي بعضه ببعض آخر ، وتطهيرِ المادّة الحياضَ كما هو الظاهر من الأسئلة والأجوبة ، فلا دلالة على عمومه ، سيّما مع كون المعهود ذلك </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ودعوى إلغاء الخصوصية عرفاً من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غسلته بالماء الجاري فمرّة واحدة</w:t>
      </w:r>
      <w:r>
        <w:rPr>
          <w:rFonts w:eastAsia="IRNazanin" w:cs="IRNazanin"/>
          <w:color w:val="111111"/>
          <w:sz w:val="28"/>
          <w:szCs w:val="28"/>
          <w:rtl w:val="true"/>
          <w:lang w:bidi="fa-IR"/>
        </w:rPr>
        <w:t>»</w:t>
      </w:r>
      <w:r>
        <w:rPr>
          <w:rStyle w:val="FootnoteAnchor"/>
          <w:rtl w:val="true"/>
        </w:rPr>
        <w:footnoteReference w:id="499"/>
      </w:r>
      <w:r>
        <w:rPr>
          <w:rFonts w:ascii="Amiri" w:hAnsi="Amiri" w:eastAsia="Amiri" w:cs="Amiri"/>
          <w:color w:val="111111"/>
          <w:sz w:val="28"/>
          <w:sz w:val="28"/>
          <w:szCs w:val="28"/>
          <w:rtl w:val="true"/>
          <w:lang w:bidi="ar-SA"/>
        </w:rPr>
        <w:t xml:space="preserve">فإنّ الاكتفاء فيه بها ليس إلاّ لقاهريته واستهلاك النجاسة فيه ، </w:t>
      </w:r>
      <w:bookmarkStart w:id="190" w:name="pg15030_143130"/>
    </w:p>
    <w:p>
      <w:pPr>
        <w:pStyle w:val="BookText"/>
        <w:rPr/>
      </w:pPr>
      <w:bookmarkEnd w:id="190"/>
      <w:r>
        <w:rPr>
          <w:rFonts w:ascii="Amiri" w:hAnsi="Amiri" w:eastAsia="Amiri" w:cs="Amiri"/>
          <w:color w:val="111111"/>
          <w:sz w:val="28"/>
          <w:sz w:val="28"/>
          <w:szCs w:val="28"/>
          <w:rtl w:val="true"/>
          <w:lang w:bidi="ar-SA"/>
        </w:rPr>
        <w:t xml:space="preserve">ولا دخالة للمادّة والجريان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ربّما يدّعى القطع بالمساواة</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فيها ما لا يخفى ؛ لعدم مجال لإلغائها عرفاً بعد ما نرى أنّ للجاري خصوصية عرفاً ولدى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لا ظنّ بالمساواة ، فضلاً عن القطع بها ، سيّما مع ما</w:t>
      </w:r>
    </w:p>
    <w:p>
      <w:pPr>
        <w:pStyle w:val="BookText"/>
        <w:rPr/>
      </w:pPr>
      <w:r>
        <w:rPr>
          <w:rFonts w:ascii="Amiri" w:hAnsi="Amiri" w:eastAsia="Amiri" w:cs="Amiri"/>
          <w:color w:val="111111"/>
          <w:sz w:val="28"/>
          <w:sz w:val="28"/>
          <w:szCs w:val="28"/>
          <w:rtl w:val="true"/>
          <w:lang w:bidi="ar-SA"/>
        </w:rPr>
        <w:t xml:space="preserve">في الأحكام من المناطات التي تقصر العقول عن إدراكها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أطنب المحقّق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في الاستدلال على الاكتفاء ، ولم يأتِ بشيء مقنع يمكن التشبّث به في مقابل الإطلاقات والأصل</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1" w:name="__RefHeading___Toc212750_2142443653"/>
      <w:bookmarkStart w:id="192" w:name="_Toc67"/>
      <w:bookmarkEnd w:id="191"/>
      <w:r>
        <w:rPr>
          <w:rtl w:val="true"/>
        </w:rPr>
        <w:t>عدم الفرق بين بول الإنسان وغيره من الحيوانات غير المأكولة</w:t>
      </w:r>
      <w:bookmarkEnd w:id="192"/>
    </w:p>
    <w:p>
      <w:pPr>
        <w:pStyle w:val="BookText"/>
        <w:rPr/>
      </w:pPr>
      <w:r>
        <w:rPr>
          <w:rFonts w:ascii="Amiri" w:hAnsi="Amiri" w:eastAsia="Amiri" w:cs="Amiri"/>
          <w:color w:val="111111"/>
          <w:sz w:val="28"/>
          <w:sz w:val="28"/>
          <w:szCs w:val="28"/>
          <w:rtl w:val="true"/>
          <w:lang w:bidi="ar-SA"/>
        </w:rPr>
        <w:t>ثمّ إنّ مقتضى الأدلّة عدم الفرق بين بول الإنسان وغيره من الحيوانات غير المأكولة ، ودعوى الانصراف وعدم الإطلاق</w:t>
      </w:r>
      <w:r>
        <w:rPr>
          <w:rStyle w:val="FootnoteAnchor"/>
          <w:rtl w:val="true"/>
        </w:rPr>
        <w:footnoteReference w:id="502"/>
      </w:r>
      <w:r>
        <w:rPr>
          <w:rFonts w:ascii="Amiri" w:hAnsi="Amiri" w:eastAsia="Amiri" w:cs="Amiri"/>
          <w:color w:val="111111"/>
          <w:sz w:val="28"/>
          <w:sz w:val="28"/>
          <w:szCs w:val="28"/>
          <w:rtl w:val="true"/>
          <w:lang w:bidi="ar-SA"/>
        </w:rPr>
        <w:t xml:space="preserve">ضعيفة ، كما لا يتوهّم فيما ورد في الدم وغيره ، مع كونهما من قبيله ، أو أسوأ حالاً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لا يبعد استفادة حكم سائر الأبوال لو فرض السؤال عن بوله الذي أصاب ثوبه ، فإنّه كما تلغى الخصوصية من الثوب عرفاً تلغى من البول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 لطبيعة البول ، لا لبول نفسه أو نوعه ، تأمّل </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أ نّه لا قصور في إطلاق صحيحة ابن مسلم وأبي إسحاق وابن أبي يعفور وغيرها </w:t>
      </w:r>
      <w:r>
        <w:rPr>
          <w:rStyle w:val="FootnoteAnchor"/>
          <w:rtl w:val="true"/>
        </w:rPr>
        <w:footnoteReference w:id="503"/>
      </w:r>
      <w:r>
        <w:rPr>
          <w:rFonts w:ascii="Amiri" w:hAnsi="Amiri" w:eastAsia="Amiri" w:cs="Amiri"/>
          <w:color w:val="111111"/>
          <w:sz w:val="28"/>
          <w:sz w:val="28"/>
          <w:szCs w:val="28"/>
          <w:rtl w:val="true"/>
          <w:lang w:bidi="ar-SA"/>
        </w:rPr>
        <w:t xml:space="preserve">، والظاهر منها أنّ الحكم لنفس طبيعته ، وقلّة الابتلاء ببول </w:t>
      </w:r>
      <w:bookmarkStart w:id="193" w:name="pg15030_143131"/>
    </w:p>
    <w:p>
      <w:pPr>
        <w:pStyle w:val="BookText"/>
        <w:rPr/>
      </w:pPr>
      <w:bookmarkEnd w:id="193"/>
      <w:r>
        <w:rPr>
          <w:rFonts w:ascii="Amiri" w:hAnsi="Amiri" w:eastAsia="Amiri" w:cs="Amiri"/>
          <w:color w:val="111111"/>
          <w:sz w:val="28"/>
          <w:sz w:val="28"/>
          <w:szCs w:val="28"/>
          <w:rtl w:val="true"/>
          <w:lang w:bidi="ar-SA"/>
        </w:rPr>
        <w:t xml:space="preserve">غير الإنسان وكثرة الابتلاء ببوله ، لا توجب الانصراف ، كما لا تنصرف سائر المطلقات عن الأفراد القليلة الابتلاء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منع قلّة الابتلاء ببعض الأبوال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ومضافاً إلى موثّقة سَماعة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أبوال الكلب والسِنَّوْر والحمار</w:t>
      </w:r>
    </w:p>
    <w:p>
      <w:pPr>
        <w:pStyle w:val="BookText"/>
        <w:rPr/>
      </w:pPr>
      <w:r>
        <w:rPr>
          <w:rFonts w:ascii="Amiri" w:hAnsi="Amiri" w:eastAsia="Amiri" w:cs="Amiri"/>
          <w:color w:val="111111"/>
          <w:sz w:val="28"/>
          <w:sz w:val="28"/>
          <w:szCs w:val="28"/>
          <w:rtl w:val="true"/>
          <w:lang w:bidi="ar-SA"/>
        </w:rPr>
        <w:t xml:space="preserve">والفرس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كأبوال الإنسان</w:t>
      </w:r>
      <w:r>
        <w:rPr>
          <w:rFonts w:eastAsia="Amiri" w:cs="Amiri" w:ascii="Amiri" w:hAnsi="Amiri"/>
          <w:color w:val="111111"/>
          <w:sz w:val="28"/>
          <w:szCs w:val="28"/>
          <w:rtl w:val="true"/>
          <w:lang w:bidi="ar-SA"/>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ومقتضى عموم التشبيه أنّ حدّ قذارتها كقذارة بوله ، فلا بدّ من غسلها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 الحكم في الحمار والفرس على محمل كالتقيّة ونحوها </w:t>
      </w:r>
      <w:r>
        <w:rPr>
          <w:rStyle w:val="FootnoteAnchor"/>
          <w:rtl w:val="true"/>
        </w:rPr>
        <w:footnoteReference w:id="505"/>
      </w:r>
      <w:r>
        <w:rPr>
          <w:rFonts w:ascii="Amiri" w:hAnsi="Amiri" w:eastAsia="Amiri" w:cs="Amiri"/>
          <w:color w:val="111111"/>
          <w:sz w:val="28"/>
          <w:sz w:val="28"/>
          <w:szCs w:val="28"/>
          <w:rtl w:val="true"/>
          <w:lang w:bidi="ar-SA"/>
        </w:rPr>
        <w:t xml:space="preserve">، لا يوجب رفع اليد عن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ذكر الكلب والسِنَّوْر من باب المثال لكلّ ما لا يؤكل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نوقش فيما ذكر ففي الإطلاقات كفاية </w:t>
      </w:r>
      <w:r>
        <w:rPr>
          <w:rFonts w:eastAsia="Amiri" w:cs="Amiri" w:ascii="Amiri" w:hAnsi="Amiri"/>
          <w:color w:val="111111"/>
          <w:sz w:val="28"/>
          <w:szCs w:val="28"/>
          <w:rtl w:val="true"/>
          <w:lang w:bidi="ar-SA"/>
        </w:rPr>
        <w:t>.</w:t>
      </w:r>
    </w:p>
    <w:p>
      <w:pPr>
        <w:pStyle w:val="Heading4"/>
        <w:numPr>
          <w:ilvl w:val="3"/>
          <w:numId w:val="1"/>
        </w:numPr>
        <w:rPr/>
      </w:pPr>
      <w:bookmarkStart w:id="194" w:name="__RefHeading___Toc212752_2142443653"/>
      <w:bookmarkStart w:id="195" w:name="_Toc68"/>
      <w:bookmarkEnd w:id="194"/>
      <w:r>
        <w:rPr>
          <w:rtl w:val="true"/>
        </w:rPr>
        <w:t>لزوم التعدّد فيما زالت عين البول بغير الغسل</w:t>
      </w:r>
      <w:bookmarkEnd w:id="195"/>
    </w:p>
    <w:p>
      <w:pPr>
        <w:pStyle w:val="BookText"/>
        <w:rPr/>
      </w:pPr>
      <w:r>
        <w:rPr>
          <w:rFonts w:ascii="Amiri" w:hAnsi="Amiri" w:eastAsia="Amiri" w:cs="Amiri"/>
          <w:color w:val="111111"/>
          <w:sz w:val="28"/>
          <w:sz w:val="28"/>
          <w:szCs w:val="28"/>
          <w:rtl w:val="true"/>
          <w:lang w:bidi="ar-SA"/>
        </w:rPr>
        <w:t xml:space="preserve">كما أنّ مقتضى إطلاقها لزوم الغسل مرّتين ولو بعد جفاف البول ، أو زواله بغير الماء ، وكذا مقتضاه عدم لزوم كونهما بعد زوال العين إذا فرض زوالها بالغسلة الاُولى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يعتبر فيه هو المرّتان ، سواء كانت عين البول زائلة بشيء آخر ، أو زالت بإحداهما ، فيضمّ إليها الاُخرى ، ويكتفى بهما </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بالاكتفاء بالمرّة مع زوال العين ولو بالجفاف ، أو بغير الماء ؛ بدعوى أنّ الغسلة الاُولى للإزالة ، فإذا تحقّقت لا يحتاج إليها ، بل يطهر مع مرّة ، كما هو </w:t>
      </w:r>
      <w:bookmarkStart w:id="196" w:name="pg15030_143132"/>
    </w:p>
    <w:p>
      <w:pPr>
        <w:pStyle w:val="BookText"/>
        <w:rPr/>
      </w:pPr>
      <w:bookmarkEnd w:id="196"/>
      <w:r>
        <w:rPr>
          <w:rFonts w:ascii="Amiri" w:hAnsi="Amiri" w:eastAsia="Amiri" w:cs="Amiri"/>
          <w:color w:val="111111"/>
          <w:sz w:val="28"/>
          <w:sz w:val="28"/>
          <w:szCs w:val="28"/>
          <w:rtl w:val="true"/>
          <w:lang w:bidi="ar-SA"/>
        </w:rPr>
        <w:t xml:space="preserve">مقتضى ذيل صحيحة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نقل المحقّق والشهيد</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ضعيف ؛ لعدم الدليل على كون الاُولى لمجرّد الإزالة بأيّ نحو اتّفقت ، بل لا دليل على كونها لها مطلقاً ، وقد مرّ الكلام في حال ذيل الصحيحة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مع فرضه أيضاً لا ينتج ، فمقتضى إطلاق الأدلّة لزومهما ؛ جفّ أو لا ، اُزيل بغير الغسل أو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القول بكفاية المرّتين ولو لم تزل العين بالاُولى</w:t>
      </w:r>
      <w:r>
        <w:rPr>
          <w:rStyle w:val="FootnoteAnchor"/>
          <w:rtl w:val="true"/>
        </w:rPr>
        <w:footnoteReference w:id="508"/>
      </w:r>
      <w:r>
        <w:rPr>
          <w:rFonts w:ascii="Amiri" w:hAnsi="Amiri" w:eastAsia="Amiri" w:cs="Amiri"/>
          <w:color w:val="111111"/>
          <w:sz w:val="28"/>
          <w:sz w:val="28"/>
          <w:szCs w:val="28"/>
          <w:rtl w:val="true"/>
          <w:lang w:bidi="ar-SA"/>
        </w:rPr>
        <w:t xml:space="preserve">، ضعيف جدّاً ؛ فإنّ فرض حصول الغسل بالاُولى وبقاء عين البول ، فرض غير واقع أو نادر جدّاً ، ولو فرض تحقّقه في بعض الأحيان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تكرّر البول في شيء ورسب ، وبقي جرمه ورسوبه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يطهر إلاّ بالدلك وإزالة العين ، ثمّ غسله مرّتين ، ويكفي ضمّ غسله إلى الغسلة المزيلة </w:t>
      </w:r>
      <w:r>
        <w:rPr>
          <w:rFonts w:eastAsia="Amiri" w:cs="Amiri" w:ascii="Amiri" w:hAnsi="Amiri"/>
          <w:color w:val="111111"/>
          <w:sz w:val="28"/>
          <w:szCs w:val="28"/>
          <w:rtl w:val="true"/>
          <w:lang w:bidi="ar-SA"/>
        </w:rPr>
        <w:t>.</w:t>
      </w:r>
    </w:p>
    <w:p>
      <w:pPr>
        <w:pStyle w:val="Heading4"/>
        <w:numPr>
          <w:ilvl w:val="3"/>
          <w:numId w:val="1"/>
        </w:numPr>
        <w:rPr/>
      </w:pPr>
      <w:bookmarkStart w:id="197" w:name="__RefHeading___Toc212754_2142443653"/>
      <w:bookmarkStart w:id="198" w:name="_Toc69"/>
      <w:bookmarkEnd w:id="197"/>
      <w:r>
        <w:rPr>
          <w:rtl w:val="true"/>
        </w:rPr>
        <w:t>عدم كفاية الغسل المستمرّ بقدر الغسلتين</w:t>
      </w:r>
      <w:bookmarkEnd w:id="198"/>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وقريب منها في الضعف دعوى كفاية التقدير في الغسلتين ؛ بمعنى الاكتفاء بالصبّ المستمرّ بقدر الغسلتين،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بالمرّتين لحصول النظافة، وهي تحصل بالاستمرار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ربّما يكون ذلك أوقع في التنظيف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دخالة لقطع الماء جزماً ، وما هو المزيل والمطهّر جريان الماء وقاهريته ، وقد حصلا بالاستمرار</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 xml:space="preserve">. </w:t>
      </w:r>
      <w:bookmarkStart w:id="199" w:name="pg15030_143133"/>
    </w:p>
    <w:p>
      <w:pPr>
        <w:pStyle w:val="BookText"/>
        <w:rPr/>
      </w:pPr>
      <w:bookmarkEnd w:id="199"/>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تلك الدعاوى لا توجب رفع اليد عن ظاهر الأخبار المستفيضة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الجزم بالمناط في غير محلّها في الأحكام التعبّدية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فالأقوى اعتبار التعدّد ولو في الكرّ ؛ بناءً على اعتباره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يكفي الجري تحت الماء مرّتين إلاّ إذا حصل تعدّد الغسل عرفاً ، كما لا يبعد حصوله بعض الأحيان ، تأمّل </w:t>
      </w:r>
      <w:r>
        <w:rPr>
          <w:rFonts w:eastAsia="Amiri" w:cs="Amiri" w:ascii="Amiri" w:hAnsi="Amiri"/>
          <w:color w:val="111111"/>
          <w:sz w:val="28"/>
          <w:szCs w:val="28"/>
          <w:rtl w:val="true"/>
          <w:lang w:bidi="ar-SA"/>
        </w:rPr>
        <w:t>.</w:t>
      </w:r>
    </w:p>
    <w:p>
      <w:pPr>
        <w:pStyle w:val="Heading4"/>
        <w:numPr>
          <w:ilvl w:val="3"/>
          <w:numId w:val="1"/>
        </w:numPr>
        <w:rPr/>
      </w:pPr>
      <w:bookmarkStart w:id="200" w:name="__RefHeading___Toc212756_2142443653"/>
      <w:bookmarkStart w:id="201" w:name="_Toc70"/>
      <w:bookmarkEnd w:id="200"/>
      <w:r>
        <w:rPr>
          <w:rtl w:val="true"/>
        </w:rPr>
        <w:t>فرع في عدم اعتبار التعدّد في تطهير غير البول</w:t>
      </w:r>
      <w:bookmarkEnd w:id="201"/>
    </w:p>
    <w:p>
      <w:pPr>
        <w:pStyle w:val="BookText"/>
        <w:rPr/>
      </w:pPr>
      <w:r>
        <w:rPr>
          <w:rFonts w:ascii="Amiri" w:hAnsi="Amiri" w:eastAsia="Amiri" w:cs="Amiri"/>
          <w:color w:val="111111"/>
          <w:sz w:val="28"/>
          <w:sz w:val="28"/>
          <w:szCs w:val="28"/>
          <w:rtl w:val="true"/>
          <w:lang w:bidi="ar-SA"/>
        </w:rPr>
        <w:t>هل يختصّ اعتبار التعدّد بغسل البول ، فيكفي في غيره غسله مرّة واحدة ، أم يجري في سائر النجاسات ؟</w:t>
      </w:r>
    </w:p>
    <w:p>
      <w:pPr>
        <w:pStyle w:val="BookText"/>
        <w:rPr/>
      </w:pPr>
      <w:r>
        <w:rPr>
          <w:rFonts w:ascii="Amiri" w:hAnsi="Amiri" w:eastAsia="Amiri" w:cs="Amiri"/>
          <w:color w:val="111111"/>
          <w:sz w:val="28"/>
          <w:sz w:val="28"/>
          <w:szCs w:val="28"/>
          <w:rtl w:val="true"/>
          <w:lang w:bidi="ar-SA"/>
        </w:rPr>
        <w:t>الأقوى الأوّل ، كما نسب إلى الأكثر ، بل المشهور</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لإطلاق الأدلّة</w:t>
      </w:r>
      <w:r>
        <w:rPr>
          <w:rStyle w:val="FootnoteAnchor"/>
          <w:rtl w:val="true"/>
        </w:rPr>
        <w:footnoteReference w:id="511"/>
      </w:r>
      <w:r>
        <w:rPr>
          <w:rFonts w:ascii="Amiri" w:hAnsi="Amiri" w:eastAsia="Amiri" w:cs="Amiri"/>
          <w:color w:val="111111"/>
          <w:sz w:val="28"/>
          <w:sz w:val="28"/>
          <w:szCs w:val="28"/>
          <w:rtl w:val="true"/>
          <w:lang w:bidi="ar-SA"/>
        </w:rPr>
        <w:t xml:space="preserve">؛ لعدم الإطلاق في جميع الأنواع ، بل يتطرّق الإشكال في كثير من الموارد التي ادّعي فيها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يبعد في بعضها ، لكن كفايته بالنسبة إلى ما لا إطلاق فيه مشكلة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ودعوى عدم القول بالفصل</w:t>
      </w:r>
      <w:r>
        <w:rPr>
          <w:rStyle w:val="FootnoteAnchor"/>
          <w:rtl w:val="true"/>
        </w:rPr>
        <w:footnoteReference w:id="512"/>
      </w:r>
      <w:r>
        <w:rPr>
          <w:rFonts w:ascii="Amiri" w:hAnsi="Amiri" w:eastAsia="Amiri" w:cs="Amiri"/>
          <w:color w:val="111111"/>
          <w:sz w:val="28"/>
          <w:sz w:val="28"/>
          <w:szCs w:val="28"/>
          <w:rtl w:val="true"/>
          <w:lang w:bidi="ar-SA"/>
        </w:rPr>
        <w:t xml:space="preserve">غير متّجهة </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يمكن دعوى الإطلاق فيها بالنسبة إلى جميع النجاسات ، ليست إلاّ مرسلة محمّد بن إسماعيل ، عن أبي الحسن علیه السلام في طين المطر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لا بأس به </w:t>
      </w:r>
    </w:p>
    <w:p>
      <w:pPr>
        <w:pStyle w:val="BookText"/>
        <w:rPr/>
      </w:pPr>
      <w:r>
        <w:rPr>
          <w:rFonts w:ascii="Amiri" w:hAnsi="Amiri" w:eastAsia="Amiri" w:cs="Amiri"/>
          <w:color w:val="111111"/>
          <w:sz w:val="28"/>
          <w:sz w:val="28"/>
          <w:szCs w:val="28"/>
          <w:rtl w:val="true"/>
          <w:lang w:bidi="ar-SA"/>
        </w:rPr>
        <w:t>أن يصيب الثوب ثلاثة أيّام ، إلاّ أن يعلم أ نّه قد نجّسه شيء بعد المطر ، فإن أصابه بعد ثلاثة أيّام فاغسله ، وإن كان الطريق نظيفاً لم تغسله</w:t>
      </w:r>
      <w:r>
        <w:rPr>
          <w:rFonts w:eastAsia="Amiri" w:cs="Amiri" w:ascii="Amiri" w:hAnsi="Amiri"/>
          <w:color w:val="111111"/>
          <w:sz w:val="28"/>
          <w:szCs w:val="28"/>
          <w:rtl w:val="true"/>
          <w:lang w:bidi="ar-SA"/>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بدعوى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أصابه بعد ثلاثة أيّام فاغسله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يراد به أ نّه إذا نجّسه شيء من النجاسات ، ومقتضى إطلاقها كفاية المرّة في مطلق النجاسات إلاّ ما خرجت بالدليل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لكنّها مشكلة ، بل ممنوعة ؛ فإنّه بعد الغضّ عن كونها في مقام بيان حكم آخر فلا إطلاق فيها من هذه الجهة ، أنّ ظاهرها لزوم الغسل بعد ثلاثة أيّام في فرض عدم العلم ، وإلاّ فلا وجه للفرق بين ثلاثة أيّام وبعدها ، فلا بدّ من حمل الأمر على الاستحباب بعد المخالفة للقواعد ، والظاهر عدم التزامهم بمضمونها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 نّها ضعيفة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غيرها ، ففي موارد خاصّة</w:t>
      </w:r>
      <w:r>
        <w:rPr>
          <w:rStyle w:val="FootnoteAnchor"/>
          <w:rtl w:val="true"/>
        </w:rPr>
        <w:footnoteReference w:id="514"/>
      </w:r>
      <w:r>
        <w:rPr>
          <w:rFonts w:ascii="Amiri" w:hAnsi="Amiri" w:eastAsia="Amiri" w:cs="Amiri"/>
          <w:color w:val="111111"/>
          <w:sz w:val="28"/>
          <w:sz w:val="28"/>
          <w:szCs w:val="28"/>
          <w:rtl w:val="true"/>
          <w:lang w:bidi="ar-SA"/>
        </w:rPr>
        <w:t xml:space="preserve">لا يمكن إلحاق غيرها بها بدعوى إلغاء الخصوصية ؛ بعد إعمال التعبّد في بعض الموارد ، كالبول والولوغ </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لأصالة البراءة عن الغسلة الثانية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النجاسة في الحكميات انتزاعية من التكليف ، فمرجع الشكّ في زوالها إلى الشكّ في لزوم المرّة أو المرّتين ، فتدفع الثانية بالأصل ، ولا يجري الاستصحاب</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إذ هي ضعيفة مخالفة لظواهر الأدلّة ، ولقد قلنا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للشارع المقدّس في باب النجاسات اصطلاح خاصّ ، وقد تصرّف فيها بالإلحاق والإخراج</w:t>
      </w:r>
      <w:r>
        <w:rPr>
          <w:rStyle w:val="FootnoteAnchor"/>
          <w:rtl w:val="true"/>
        </w:rPr>
        <w:footnoteReference w:id="516"/>
      </w:r>
      <w:r>
        <w:rPr>
          <w:rFonts w:ascii="Amiri" w:hAnsi="Amiri" w:eastAsia="Amiri" w:cs="Amiri"/>
          <w:color w:val="111111"/>
          <w:sz w:val="28"/>
          <w:sz w:val="28"/>
          <w:szCs w:val="28"/>
          <w:rtl w:val="true"/>
          <w:lang w:bidi="ar-SA"/>
        </w:rPr>
        <w:t xml:space="preserve">، فالقذارة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لدى العرف والعقلاء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قائم بالجسم ، باقٍ فيه إلى أن تزول بمزيل ولو في المعنوي منها بنظرهم ، فكذلك لدى الشارع ، ومع الشكّ في بقائها يجري الاستصحاب ، ولا مجال لجريان أصالة البراءة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للقذارة مصداقان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عرفي ، وجعلي وضعي ، ولا ينبغي الإشكال في جريان الاستصحاب فيها ، كما في أشباهها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لقوله علیه السلام </w:t>
      </w:r>
      <w:r>
        <w:rPr>
          <w:rStyle w:val="FootnoteAnchor"/>
          <w:rtl w:val="true"/>
        </w:rPr>
        <w:footnoteReference w:id="51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اللّه الماء طهوراً لا ينجّسه شيء</w:t>
      </w:r>
      <w:r>
        <w:rPr>
          <w:rFonts w:eastAsia="Amiri" w:cs="Amiri" w:ascii="Amiri" w:hAnsi="Amiri"/>
          <w:color w:val="111111"/>
          <w:sz w:val="28"/>
          <w:szCs w:val="28"/>
          <w:rtl w:val="true"/>
          <w:lang w:bidi="ar-SA"/>
        </w:rPr>
        <w:t>»</w:t>
      </w:r>
      <w:r>
        <w:rPr>
          <w:rStyle w:val="FootnoteAnchor"/>
          <w:rtl w:val="true"/>
        </w:rPr>
        <w:footnoteReference w:id="518"/>
      </w:r>
      <w:r>
        <w:rPr>
          <w:rFonts w:ascii="Amiri" w:hAnsi="Amiri" w:eastAsia="Amiri" w:cs="Amiri"/>
          <w:color w:val="111111"/>
          <w:sz w:val="28"/>
          <w:sz w:val="28"/>
          <w:szCs w:val="28"/>
          <w:rtl w:val="true"/>
          <w:lang w:bidi="ar-SA"/>
        </w:rPr>
        <w:t xml:space="preserve">ضرورة عدم الإطلاق فيه للمقام ، ومثله أجنبيّ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لأنّ الطهور وإزالة النجاسة لمّا كانا أمرين معلومين لدى العقلاء ، وتكون كيفية حصولهما معهودة معروفة لديهم ، ولهم طريقة عقلائية معمولة فيهما ، وحصول الطهور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إرجاع الأمر المتلوّث بالقذارة إلى حالته الأوّلية ونظافته الذاتية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معلوم لدى كلّ أحد ، فلا محالة إذا حكم الشارع بعدم جواز الصلاة في الثوب المستقذر بالمنيّ أو الدم مثلاً إلاّ إذا طهّر ، لا يشكّ العرف في كيفية رفع</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قذارته وحصول الطهارة له ، فإذا تحقّق لا يرى العقلاء بقاء المانع أو عدم حصول الشرائط ، إلاّ أن يدلّ دليل على الخلاف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نظير بناء العقلاء على العمل بشيء ، فإذا لم يرد منع عنه يكشف عن ارتضاء الشارع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أولى من ذلك ؛ فإنّه أمر تكويني حاصل بالوجدان ، فإذا قال الشارع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الثوب النجس بالبول أو الدم لا يجوز الصلاة فيه حتّى يطهّر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يشكّ العرف في كيفية تطهّره وإرجاعه إلى حالته الاُولى ، إلاّ أن يرد تعبّد خاصّ من الشارع يردعه عمّا هو المعلوم عنده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سمّ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الإطلاق المقامي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أوضح عنده ، ولهذا لم يرد في شيء من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فيما فيه تعبّد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كيفية الغسل إلاّ نادراً ، وليس</w:t>
      </w:r>
    </w:p>
    <w:p>
      <w:pPr>
        <w:pStyle w:val="BookText"/>
        <w:rPr/>
      </w:pPr>
      <w:r>
        <w:rPr>
          <w:rFonts w:ascii="Amiri" w:hAnsi="Amiri" w:eastAsia="Amiri" w:cs="Amiri"/>
          <w:color w:val="111111"/>
          <w:sz w:val="28"/>
          <w:sz w:val="28"/>
          <w:szCs w:val="28"/>
          <w:rtl w:val="true"/>
          <w:lang w:bidi="ar-SA"/>
        </w:rPr>
        <w:t xml:space="preserve">ذلك إلاّ لعدم الاحتياج إليه ، كعدم الاحتياج إلى بيان سائر الموضوعات المعلومة لدى العرف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مضافاً إلى إمكان الاستدلال للمطلوب بكفاية المرّة في ملاقي الكلب ؛ لإطلاق أدلّة غسله ، كصحيحة الفضل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أصاب ثوبك من الكلب رطوبة فاغسله ، وإن أصابه جافّاً فاصبب عليه الماء</w:t>
      </w:r>
      <w:r>
        <w:rPr>
          <w:rFonts w:eastAsia="IRNazanin" w:cs="IRNazanin"/>
          <w:color w:val="111111"/>
          <w:sz w:val="28"/>
          <w:szCs w:val="28"/>
          <w:rtl w:val="true"/>
          <w:lang w:bidi="fa-IR"/>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وصحيحة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 السلام عن الكلب يصيب شيئاً من جسد الرجل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يغسل المكان الذي أصابه</w:t>
      </w:r>
      <w:r>
        <w:rPr>
          <w:rFonts w:eastAsia="IRNazanin" w:cs="IRNazanin"/>
          <w:color w:val="111111"/>
          <w:sz w:val="28"/>
          <w:szCs w:val="28"/>
          <w:rtl w:val="true"/>
          <w:lang w:bidi="fa-IR"/>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وفي حديث الأربعمائة عن علي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تنزّهوا عن قرب الكلاب ، فمن أصاب الكلب وهو رطب فليغسله ، وإن كان جافّاً فلينضح ثوبه بالماء</w:t>
      </w:r>
      <w:r>
        <w:rPr>
          <w:rFonts w:eastAsia="IRNazanin" w:cs="IRNazanin"/>
          <w:color w:val="111111"/>
          <w:sz w:val="28"/>
          <w:szCs w:val="28"/>
          <w:rtl w:val="true"/>
          <w:lang w:bidi="fa-IR"/>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غير ذلك ممّا لا ينبغي الإشكال في إطلاقها ، سيّما صحيحة ابن مسلم ، فإنّ السامع إذا سمع مثل ذلك ، يفهم منه أنّ تحقّق الغسل كافٍ في رفع القذارة ، سيّما مع كون الغسل من القذارات معهوداً عندهم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فإذا ضمّ إلى ذلك موثّقة ابن أبي يعفور ، عن أبي عبداللّه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وإيّاك أن تغتسل من غسالة الحمّام ؛ ففيها يجتمع غسالة اليهودي والنصراني والمجوسي والناصب لنا أهلَ البيت ، وهو شرّهم ؛ فإنّ اللّه تبارك وتعالى لم يخلق خلقاً أنجس من الكلب ، وإنّ الناصب لنا أهلَ البيت لأنجس منه</w:t>
      </w:r>
      <w:r>
        <w:rPr>
          <w:rFonts w:eastAsia="IRNazanin" w:cs="IRNazanin"/>
          <w:color w:val="111111"/>
          <w:sz w:val="28"/>
          <w:szCs w:val="28"/>
          <w:rtl w:val="true"/>
          <w:lang w:bidi="fa-IR"/>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يستفاد منها أنّ سائر النجاسات التي لا تكون بمثابة نجاسة الكلب تطهر بمرّة ، إلاّ ما ورد دليل على عدم الاكتفاء بها ، فيستكشف منه أقذريته من الكلب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واستثناء شيء منها موضوعاً أو حكماً لا مانع منه </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وتوهّم عدم ملازمة الأقذرية لما ذكر ، مدفوع بمخالفته لفهم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يلزم أن يكون ملاقي الأقذر محتاجاً إلى مرّتين ؛ لإمكان أن تكون المرّة مزيلة لتمام مراتب النجاسة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ينبغي الإشكال في أنّ النجاسة المذكورة في الرواية هي المعهودة ؛ بقرينة صدرها ، لا القذارة المعنوية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غسالة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هي ماء البئر الذي يكون من فضالة ماء الحياض التي لها مادّة من المنابع التي في الحمّامات ، فإنّ الظاهر من مجموع ما وردت في الحمّامات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لها في تلك الأعصار منابع محفوظة ، لها مزمّلة ، وتحت المزمّلات حياض صغار متقوّيات بتلك المنابع بوسيلة المزمّلات ، وكان يغتسل الناس في تلك الحياض، وتجري فضالتها إلى محلّ آخر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وردت من عدم انفعال ماء الحمّام وأ نّه بمنزلة الجاري</w:t>
      </w:r>
      <w:r>
        <w:rPr>
          <w:rStyle w:val="FootnoteAnchor"/>
          <w:rtl w:val="true"/>
        </w:rPr>
        <w:footnoteReference w:id="523"/>
      </w:r>
      <w:r>
        <w:rPr>
          <w:rFonts w:ascii="Amiri" w:hAnsi="Amiri" w:eastAsia="Amiri" w:cs="Amiri"/>
          <w:color w:val="111111"/>
          <w:sz w:val="28"/>
          <w:sz w:val="28"/>
          <w:szCs w:val="28"/>
          <w:rtl w:val="true"/>
          <w:lang w:bidi="ar-SA"/>
        </w:rPr>
        <w:t xml:space="preserve">يراد به ما في الحياض الصغار المتقوّية بالمنابع التي يقال 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بمضمون الموثّقة</w:t>
      </w:r>
      <w:r>
        <w:rPr>
          <w:rStyle w:val="FootnoteAnchor"/>
          <w:rtl w:val="true"/>
        </w:rPr>
        <w:footnoteReference w:id="524"/>
      </w:r>
      <w:r>
        <w:rPr>
          <w:rFonts w:ascii="Amiri" w:hAnsi="Amiri" w:eastAsia="Amiri" w:cs="Amiri"/>
          <w:color w:val="111111"/>
          <w:sz w:val="28"/>
          <w:sz w:val="28"/>
          <w:szCs w:val="28"/>
          <w:rtl w:val="true"/>
          <w:lang w:bidi="ar-SA"/>
        </w:rPr>
        <w:t xml:space="preserve">يراد به ماء البئر الذي غير متقوٍّ بالمادّة ، فلا منافاة بينها حتّى نحتاج إلى حمل هذه الطائفة على الاستحباب ، كما صنع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Style w:val="FootnoteAnchor"/>
          <w:rtl w:val="true"/>
        </w:rPr>
        <w:footnoteReference w:id="525"/>
      </w:r>
      <w:r>
        <w:rPr>
          <w:rFonts w:ascii="Amiri" w:hAnsi="Amiri" w:eastAsia="Amiri" w:cs="Amiri"/>
          <w:color w:val="111111"/>
          <w:sz w:val="28"/>
          <w:sz w:val="28"/>
          <w:szCs w:val="28"/>
          <w:rtl w:val="true"/>
          <w:lang w:bidi="ar-SA"/>
        </w:rPr>
        <w:t xml:space="preserve">وتخرج عن الاستشهاد بها للمقام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اختصاص أقذرية الكلب بولوغه أو أ نّه أقذر بلحاظها ، مخالفة لظاهر الدليل ، كما لا يخفى </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الاستدلال</w:t>
      </w:r>
      <w:r>
        <w:rPr>
          <w:rStyle w:val="FootnoteAnchor"/>
          <w:rtl w:val="true"/>
        </w:rPr>
        <w:footnoteReference w:id="526"/>
      </w:r>
      <w:r>
        <w:rPr>
          <w:rFonts w:ascii="IRNazanin" w:hAnsi="IRNazanin" w:eastAsia="IRNazanin"/>
          <w:color w:val="111111"/>
          <w:sz w:val="28"/>
          <w:sz w:val="28"/>
          <w:szCs w:val="28"/>
          <w:rtl w:val="true"/>
          <w:lang w:bidi="fa-IR"/>
        </w:rPr>
        <w:t xml:space="preserve">للزوم المرّتين في سائر النجاسات بقوله علیه السلام في البول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هو ماء</w:t>
      </w:r>
      <w:r>
        <w:rPr>
          <w:rFonts w:eastAsia="IRNazanin" w:cs="IRNazanin"/>
          <w:color w:val="111111"/>
          <w:sz w:val="28"/>
          <w:szCs w:val="28"/>
          <w:rtl w:val="true"/>
          <w:lang w:bidi="fa-IR"/>
        </w:rPr>
        <w:t>»</w:t>
      </w:r>
      <w:r>
        <w:rPr>
          <w:rStyle w:val="FootnoteAnchor"/>
          <w:rtl w:val="true"/>
        </w:rPr>
        <w:footnoteReference w:id="527"/>
      </w:r>
      <w:r>
        <w:rPr>
          <w:rFonts w:ascii="Amiri" w:hAnsi="Amiri" w:eastAsia="Amiri" w:cs="Amiri"/>
          <w:color w:val="111111"/>
          <w:sz w:val="28"/>
          <w:sz w:val="28"/>
          <w:szCs w:val="28"/>
          <w:rtl w:val="true"/>
          <w:lang w:bidi="ar-SA"/>
        </w:rPr>
        <w:t xml:space="preserve">مع لزوم المرّتين فيه ، فإذا وجب الغسل في الأهون </w:t>
      </w:r>
      <w:bookmarkStart w:id="202" w:name="pg15030_143139"/>
    </w:p>
    <w:p>
      <w:pPr>
        <w:pStyle w:val="BookText"/>
        <w:rPr/>
      </w:pPr>
      <w:bookmarkEnd w:id="202"/>
      <w:r>
        <w:rPr>
          <w:rFonts w:ascii="Amiri" w:hAnsi="Amiri" w:eastAsia="Amiri" w:cs="Amiri"/>
          <w:color w:val="111111"/>
          <w:sz w:val="28"/>
          <w:sz w:val="28"/>
          <w:szCs w:val="28"/>
          <w:rtl w:val="true"/>
          <w:lang w:bidi="ar-SA"/>
        </w:rPr>
        <w:t>مرّتين يجب في غيره ، كالمنيّ الذي شدّده وجعله أشدّ من البول ، كما في الحديث</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فضعيف ؛ لأنّ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يراد به عدم لزوم الدلك ، لا أهونية نجاسته ، كما يراد بأشدّية المنيّ احتياجه إليه ، لا أقذريته من البول ، ولهذا قال أبو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في حديث إبطال القياس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ردّاً على أبي حنيفة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أيّهما أرجس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البول أو الجنابة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البول ، فقال أبو عبداللّه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فما بال الناس يغتسلون من الجنابة ، ولا يغتسلون من البول ؟ </w:t>
      </w:r>
      <w:r>
        <w:rPr>
          <w:rFonts w:eastAsia="IRNazanin" w:cs="IRNazanin"/>
          <w:color w:val="111111"/>
          <w:sz w:val="28"/>
          <w:szCs w:val="28"/>
          <w:rtl w:val="true"/>
          <w:lang w:bidi="fa-IR"/>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أنّ أرجسية البول كان متسالماً بينهما ؛ وإن احتمل كونها عند أبي حنيفة ، وألزمه بما هو مسلّم عنده </w:t>
      </w:r>
      <w:r>
        <w:rPr>
          <w:rFonts w:eastAsia="Amiri" w:cs="Amiri" w:ascii="Amiri" w:hAnsi="Amiri"/>
          <w:color w:val="111111"/>
          <w:sz w:val="28"/>
          <w:szCs w:val="28"/>
          <w:rtl w:val="true"/>
          <w:lang w:bidi="ar-SA"/>
        </w:rPr>
        <w:t>.</w:t>
      </w:r>
    </w:p>
    <w:p>
      <w:pPr>
        <w:pStyle w:val="Heading4"/>
        <w:numPr>
          <w:ilvl w:val="3"/>
          <w:numId w:val="1"/>
        </w:numPr>
        <w:rPr/>
      </w:pPr>
      <w:bookmarkStart w:id="203" w:name="__RefHeading___Toc212758_2142443653"/>
      <w:bookmarkStart w:id="204" w:name="_Toc71"/>
      <w:bookmarkEnd w:id="203"/>
      <w:r>
        <w:rPr>
          <w:rtl w:val="true"/>
        </w:rPr>
        <w:t>اعتبار جريان الماء على المتنجّس بعد زوال عين النجاسة</w:t>
      </w:r>
      <w:bookmarkEnd w:id="204"/>
    </w:p>
    <w:p>
      <w:pPr>
        <w:pStyle w:val="BookText"/>
        <w:rPr/>
      </w:pPr>
      <w:r>
        <w:rPr>
          <w:rFonts w:ascii="Amiri" w:hAnsi="Amiri" w:eastAsia="Amiri" w:cs="Amiri"/>
          <w:color w:val="111111"/>
          <w:sz w:val="28"/>
          <w:sz w:val="28"/>
          <w:szCs w:val="28"/>
          <w:rtl w:val="true"/>
          <w:lang w:bidi="ar-SA"/>
        </w:rPr>
        <w:t>ثمّ إنّ الظاهر كون المرّة في سائر النجاسات غير الغسلة المزيلة ، لا بمعنى</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لزوم مرّة بعدها ، بل بمعنى إمرار الماء على المحلّ بعد الإزالة ولو باستمرار الغسلة المزيلة ؛ فإنّ التطهير وإزالة القذارة لدى العرف معهودان ، وإطلاقات الغسل محمولة على ما هو المعهود ، وهما متقوّمتان على ما مرّ</w:t>
      </w:r>
      <w:r>
        <w:rPr>
          <w:rStyle w:val="FootnoteAnchor"/>
          <w:rtl w:val="true"/>
        </w:rPr>
        <w:footnoteReference w:id="530"/>
      </w:r>
      <w:r>
        <w:rPr>
          <w:rFonts w:ascii="Amiri" w:hAnsi="Amiri" w:eastAsia="Amiri" w:cs="Amiri"/>
          <w:color w:val="111111"/>
          <w:sz w:val="28"/>
          <w:sz w:val="28"/>
          <w:szCs w:val="28"/>
          <w:rtl w:val="true"/>
          <w:lang w:bidi="ar-SA"/>
        </w:rPr>
        <w:t>بما ذكر ، فلا مجال للأخذ بإطلاق الأدلّة</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 xml:space="preserve">. </w:t>
      </w:r>
      <w:bookmarkStart w:id="205" w:name="pg15030_143140"/>
    </w:p>
    <w:p>
      <w:pPr>
        <w:pStyle w:val="Heading4"/>
        <w:numPr>
          <w:ilvl w:val="3"/>
          <w:numId w:val="1"/>
        </w:numPr>
        <w:rPr/>
      </w:pPr>
      <w:bookmarkStart w:id="206" w:name="__RefHeading___Toc212760_2142443653"/>
      <w:bookmarkStart w:id="207" w:name="_Toc72"/>
      <w:bookmarkEnd w:id="205"/>
      <w:bookmarkEnd w:id="206"/>
      <w:r>
        <w:rPr>
          <w:rtl w:val="true"/>
        </w:rPr>
        <w:t>عدم العبرة ببقاء لون النجاسة أو ريحها في التطهير</w:t>
      </w:r>
      <w:bookmarkEnd w:id="207"/>
    </w:p>
    <w:p>
      <w:pPr>
        <w:pStyle w:val="BookText"/>
        <w:rPr/>
      </w:pPr>
      <w:r>
        <w:rPr>
          <w:rFonts w:ascii="Amiri" w:hAnsi="Amiri" w:eastAsia="Amiri" w:cs="Amiri"/>
          <w:color w:val="111111"/>
          <w:sz w:val="28"/>
          <w:sz w:val="28"/>
          <w:szCs w:val="28"/>
          <w:rtl w:val="true"/>
          <w:lang w:bidi="ar-SA"/>
        </w:rPr>
        <w:t xml:space="preserve">ويظهر ممّا مرّ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الغسل للإزالة معهود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لا عبرة باللون والريح ، ونحوهما ممّا لا تعدّ لدى العرف من أعيان النجاسات ، فغسل الدم من الثوب ليس إلاّ إزالة عينه بالماء بالطريق المعهود ، واللون ليس بدم عرفاً ، وليس بنجس ، ولا يحتاج في تطهير الدم إلى إزالته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عبرة بحكم العقل البرهاني ببقاء العين حتّى في الرائحة ، ولا بالآلات المستحدثة المكبّرة للأجزاء الصغار حتّى يرى بتوسّطها الألوان أعياناً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واضح لا يحتاج إلى تجشّم استدلال ؛ بعد وضوح كون المشخّص لموضوعات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مفهوماً ومصداقاً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العرف العامّ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الروايات المستدلّ بها </w:t>
      </w:r>
      <w:r>
        <w:rPr>
          <w:rStyle w:val="FootnoteAnchor"/>
          <w:rtl w:val="true"/>
        </w:rPr>
        <w:footnoteReference w:id="532"/>
      </w:r>
      <w:r>
        <w:rPr>
          <w:rFonts w:ascii="IRNazanin" w:hAnsi="IRNazanin" w:eastAsia="IRNazanin"/>
          <w:color w:val="111111"/>
          <w:sz w:val="28"/>
          <w:sz w:val="28"/>
          <w:szCs w:val="28"/>
          <w:rtl w:val="true"/>
          <w:lang w:bidi="fa-IR"/>
        </w:rPr>
        <w:t xml:space="preserve">للمطلوب ، فلا تخلو دلالتها من نوع مناقشة ؛ لأنّ صحيحة ابن المغيرة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الحسن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للاستنجاء حدّاً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 حتّى ينقى ما ثمّة</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ينقى ما ثمّة ويبقى الريح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الريح لا ينظر إليه</w:t>
      </w:r>
      <w:r>
        <w:rPr>
          <w:rFonts w:eastAsia="Amiri" w:cs="Amiri" w:ascii="Amiri" w:hAnsi="Amiri"/>
          <w:color w:val="111111"/>
          <w:sz w:val="28"/>
          <w:szCs w:val="28"/>
          <w:rtl w:val="true"/>
          <w:lang w:bidi="ar-SA"/>
        </w:rPr>
        <w:t>»</w:t>
      </w:r>
      <w:r>
        <w:rPr>
          <w:rStyle w:val="FootnoteAnchor"/>
          <w:rtl w:val="true"/>
        </w:rPr>
        <w:footnoteReference w:id="5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فيها أن يكون الحكم من مختصّات الاستنجاء ، ولا يجوز إلغاء الخصوصية بعد اختصاصه بأحكام وتخفيفات لا تعمّ غيره </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 لو أراد بقوله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الريح لا ينظر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 ليس بشيء ، يمكن أن يقال </w:t>
      </w:r>
    </w:p>
    <w:p>
      <w:pPr>
        <w:pStyle w:val="BookText"/>
        <w:rPr/>
      </w:pPr>
      <w:r>
        <w:rPr>
          <w:rFonts w:ascii="Amiri" w:hAnsi="Amiri" w:eastAsia="Amiri" w:cs="Amiri"/>
          <w:color w:val="111111"/>
          <w:sz w:val="28"/>
          <w:sz w:val="28"/>
          <w:szCs w:val="28"/>
          <w:rtl w:val="true"/>
          <w:lang w:bidi="ar-SA"/>
        </w:rPr>
        <w:t xml:space="preserve">باستفادة الحكم الكلّي منه ، وأمّا إن أراد منه أ نّه لا بأس به فالاستفادة مشكلة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الكلام في مرسلة الصدوق في الريح الباقي بعد الاستنجاء</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ما ورد من نفي الشيء عليه من الشقاق ، فلعلّه لكونه من البواطن كباطن الأنف ، بل هو أولى منه </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ورواية علي بن أبي حمزة ، عن العبد الصالح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اُمّ ولد لأبيه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أصاب ثوبي دم حيض ، فغسلته فلم يذهب أثره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اصبغيه بمشق</w:t>
      </w:r>
      <w:r>
        <w:rPr>
          <w:rStyle w:val="FootnoteAnchor"/>
          <w:rtl w:val="true"/>
        </w:rPr>
        <w:footnoteReference w:id="535"/>
      </w:r>
      <w:r>
        <w:rPr>
          <w:rFonts w:ascii="Amiri" w:hAnsi="Amiri" w:eastAsia="Amiri" w:cs="Amiri"/>
          <w:color w:val="111111"/>
          <w:sz w:val="28"/>
          <w:sz w:val="28"/>
          <w:szCs w:val="28"/>
          <w:rtl w:val="true"/>
          <w:lang w:bidi="ar-SA"/>
        </w:rPr>
        <w:t>حتّى يختلط ويذهب أثره</w:t>
      </w:r>
      <w:r>
        <w:rPr>
          <w:rFonts w:eastAsia="Amiri" w:cs="Amiri" w:ascii="Amiri" w:hAnsi="Amiri"/>
          <w:color w:val="111111"/>
          <w:sz w:val="28"/>
          <w:szCs w:val="28"/>
          <w:rtl w:val="true"/>
          <w:lang w:bidi="ar-SA"/>
        </w:rPr>
        <w:t>»</w:t>
      </w:r>
      <w:r>
        <w:rPr>
          <w:rStyle w:val="FootnoteAnchor"/>
          <w:rtl w:val="true"/>
        </w:rPr>
        <w:footnoteReference w:id="536"/>
      </w:r>
      <w:r>
        <w:rPr>
          <w:rFonts w:ascii="IRNazanin" w:hAnsi="IRNazanin" w:eastAsia="IRNazanin"/>
          <w:color w:val="111111"/>
          <w:sz w:val="28"/>
          <w:sz w:val="28"/>
          <w:szCs w:val="28"/>
          <w:rtl w:val="true"/>
          <w:lang w:bidi="fa-IR"/>
        </w:rPr>
        <w:t xml:space="preserve">فمع ضعفها </w:t>
      </w:r>
      <w:r>
        <w:rPr>
          <w:rStyle w:val="FootnoteAnchor"/>
          <w:rtl w:val="true"/>
        </w:rPr>
        <w:footnoteReference w:id="537"/>
      </w:r>
      <w:r>
        <w:rPr>
          <w:rFonts w:ascii="IRNazanin" w:hAnsi="IRNazanin" w:eastAsia="IRNazanin"/>
          <w:color w:val="111111"/>
          <w:sz w:val="28"/>
          <w:sz w:val="28"/>
          <w:szCs w:val="28"/>
          <w:rtl w:val="true"/>
          <w:lang w:bidi="fa-IR"/>
        </w:rPr>
        <w:t xml:space="preserve">على خلاف المطلوب أدلّ ؛ لاحتمال أن يكون بصدد بيان العلاج لرفع الأثر وصيرورته طاهراً ؛ ضرورة أنّ مجرّد الاختلاط لا يذهب بالأثر ، بل لا بدّ من غسله حتّى يذهب ، والسكوت عنه لمعلوميته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والحمل على أمر عادي لا حكم شرعي ، خلاف المعهود من شأن المعصوم علیه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وعليها يحمل إطلاق قول أبي عبداللّه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تصبغه بمشق حتّى يختلط</w:t>
      </w:r>
      <w:r>
        <w:rPr>
          <w:rFonts w:eastAsia="IRNazanin" w:cs="IRNazanin"/>
          <w:color w:val="111111"/>
          <w:sz w:val="28"/>
          <w:szCs w:val="28"/>
          <w:rtl w:val="true"/>
          <w:lang w:bidi="fa-IR"/>
        </w:rPr>
        <w:t>»</w:t>
      </w:r>
      <w:r>
        <w:rPr>
          <w:rStyle w:val="FootnoteAnchor"/>
          <w:rtl w:val="true"/>
        </w:rPr>
        <w:footnoteReference w:id="538"/>
      </w:r>
      <w:r>
        <w:rPr>
          <w:rFonts w:ascii="Amiri" w:hAnsi="Amiri" w:eastAsia="Amiri" w:cs="Amiri"/>
          <w:color w:val="111111"/>
          <w:sz w:val="28"/>
          <w:sz w:val="28"/>
          <w:szCs w:val="28"/>
          <w:rtl w:val="true"/>
          <w:lang w:bidi="ar-SA"/>
        </w:rPr>
        <w:t xml:space="preserve">ومرفوعة الأشعري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اصبغيه بمشق</w:t>
      </w:r>
      <w:r>
        <w:rPr>
          <w:rFonts w:eastAsia="Amiri" w:cs="Amiri" w:ascii="Amiri" w:hAnsi="Amiri"/>
          <w:color w:val="111111"/>
          <w:sz w:val="28"/>
          <w:szCs w:val="28"/>
          <w:rtl w:val="true"/>
          <w:lang w:bidi="ar-SA"/>
        </w:rPr>
        <w:t>»</w:t>
      </w:r>
      <w:r>
        <w:rPr>
          <w:rStyle w:val="FootnoteAnchor"/>
          <w:rtl w:val="true"/>
        </w:rPr>
        <w:footnoteReference w:id="539"/>
      </w:r>
      <w:r>
        <w:rPr>
          <w:rFonts w:ascii="Amiri" w:hAnsi="Amiri" w:eastAsia="Amiri" w:cs="Amiri"/>
          <w:color w:val="111111"/>
          <w:sz w:val="28"/>
          <w:sz w:val="28"/>
          <w:szCs w:val="28"/>
          <w:rtl w:val="true"/>
          <w:lang w:bidi="ar-SA"/>
        </w:rPr>
        <w:t xml:space="preserve">فإنّ الاختلاط بغير الغسل بعده لا يذهب بالأثر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فالاستدلال بتلك الروايات لإثبات عدم العبرة مشكل ، ولإثبات العبرة بها أشكل ؛ بعد ضعف إسنادها ، ومخالفتها للسيرة القطعية في تطهير الأشياء ومعهودية كيفية التطهير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منها الاستدلال بضعيفة القسمي</w:t>
      </w:r>
      <w:r>
        <w:rPr>
          <w:rStyle w:val="FootnoteAnchor"/>
          <w:rtl w:val="true"/>
        </w:rPr>
        <w:footnoteReference w:id="540"/>
      </w:r>
      <w:r>
        <w:rPr>
          <w:rFonts w:ascii="IRNazanin" w:hAnsi="IRNazanin" w:eastAsia="IRNazanin"/>
          <w:color w:val="111111"/>
          <w:sz w:val="28"/>
          <w:sz w:val="28"/>
          <w:szCs w:val="28"/>
          <w:rtl w:val="true"/>
          <w:lang w:bidi="fa-IR"/>
        </w:rPr>
        <w:t xml:space="preserve">، عن أبي الحسن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 سأل عن جلود الدارِش التي يتّخذ منها الخفاف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 فيها ؛ فإنّها تدبغ بخرء الكلاب</w:t>
      </w:r>
      <w:r>
        <w:rPr>
          <w:rFonts w:eastAsia="IRNazanin" w:cs="IRNazanin"/>
          <w:color w:val="111111"/>
          <w:sz w:val="28"/>
          <w:szCs w:val="28"/>
          <w:rtl w:val="true"/>
          <w:lang w:bidi="fa-IR"/>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لأنّ الظاهر النهي عنها لنجاستها الحاصلة من ملاقاة الخرء ،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في الثوب الكذائي ؛ لأ نّه أصابته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تدلّ على عدم تطهّرها بالغسل بالماء </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ظاهرها النهي عن الصلاة في الخفّ ، وهو ممّا لا تتمّ فيه الصلاة ، واحتمال كون السؤال عن أثواب اُخر غير الخفاف ، خلاف الظاهر منها ، تأمّل </w:t>
      </w:r>
      <w:r>
        <w:rPr>
          <w:rFonts w:eastAsia="Amiri" w:cs="Amiri" w:ascii="Amiri" w:hAnsi="Amiri"/>
          <w:color w:val="111111"/>
          <w:sz w:val="28"/>
          <w:szCs w:val="28"/>
          <w:rtl w:val="true"/>
          <w:lang w:bidi="ar-SA"/>
        </w:rPr>
        <w:t xml:space="preserve">. </w:t>
      </w:r>
      <w:bookmarkStart w:id="208" w:name="pg15030_143143"/>
    </w:p>
    <w:p>
      <w:pPr>
        <w:pStyle w:val="Heading4"/>
        <w:numPr>
          <w:ilvl w:val="3"/>
          <w:numId w:val="1"/>
        </w:numPr>
        <w:rPr/>
      </w:pPr>
      <w:bookmarkStart w:id="209" w:name="__RefHeading___Toc212762_2142443653"/>
      <w:bookmarkStart w:id="210" w:name="_Toc73"/>
      <w:bookmarkEnd w:id="208"/>
      <w:bookmarkEnd w:id="209"/>
      <w:r>
        <w:rPr>
          <w:rtl w:val="true"/>
        </w:rPr>
        <w:t>فصل في كيفية تطهير الأواني</w:t>
      </w:r>
      <w:bookmarkEnd w:id="210"/>
    </w:p>
    <w:p>
      <w:pPr>
        <w:pStyle w:val="BookText"/>
        <w:rPr/>
      </w:pPr>
      <w:r>
        <w:rPr>
          <w:rFonts w:ascii="Amiri" w:hAnsi="Amiri" w:eastAsia="Amiri" w:cs="Amiri"/>
          <w:color w:val="111111"/>
          <w:sz w:val="28"/>
          <w:sz w:val="28"/>
          <w:szCs w:val="28"/>
          <w:rtl w:val="true"/>
          <w:lang w:bidi="ar-SA"/>
        </w:rPr>
        <w:t xml:space="preserve">وفيها مسائل </w:t>
      </w:r>
      <w:r>
        <w:rPr>
          <w:rFonts w:eastAsia="Amiri" w:cs="Amiri" w:ascii="Amiri" w:hAnsi="Amiri"/>
          <w:color w:val="111111"/>
          <w:sz w:val="28"/>
          <w:szCs w:val="28"/>
          <w:rtl w:val="true"/>
          <w:lang w:bidi="ar-SA"/>
        </w:rPr>
        <w:t>:</w:t>
      </w:r>
    </w:p>
    <w:p>
      <w:pPr>
        <w:pStyle w:val="Heading4"/>
        <w:numPr>
          <w:ilvl w:val="3"/>
          <w:numId w:val="1"/>
        </w:numPr>
        <w:rPr/>
      </w:pPr>
      <w:bookmarkStart w:id="211" w:name="__RefHeading___Toc212764_2142443653"/>
      <w:bookmarkStart w:id="212" w:name="_Toc74"/>
      <w:bookmarkEnd w:id="211"/>
      <w:r>
        <w:rPr>
          <w:rtl w:val="true"/>
        </w:rPr>
        <w:t xml:space="preserve">المسألة الاُولى </w:t>
      </w:r>
      <w:r>
        <w:rPr>
          <w:rtl w:val="true"/>
        </w:rPr>
        <w:t xml:space="preserve">: </w:t>
      </w:r>
      <w:r>
        <w:rPr>
          <w:rtl w:val="true"/>
        </w:rPr>
        <w:t>في كيفية تطهير الأواني من ولوغ الكلب</w:t>
      </w:r>
      <w:bookmarkEnd w:id="212"/>
    </w:p>
    <w:p>
      <w:pPr>
        <w:pStyle w:val="Heading5"/>
        <w:numPr>
          <w:ilvl w:val="4"/>
          <w:numId w:val="1"/>
        </w:numPr>
        <w:rPr/>
      </w:pPr>
      <w:bookmarkStart w:id="213" w:name="__RefHeading___Toc212766_2142443653"/>
      <w:bookmarkStart w:id="214" w:name="_Toc75"/>
      <w:bookmarkEnd w:id="213"/>
      <w:r>
        <w:rPr>
          <w:rtl w:val="true"/>
        </w:rPr>
        <w:t>اشارة</w:t>
      </w:r>
      <w:bookmarkEnd w:id="214"/>
    </w:p>
    <w:p>
      <w:pPr>
        <w:pStyle w:val="BookText"/>
        <w:rPr/>
      </w:pPr>
      <w:r>
        <w:rPr>
          <w:rFonts w:ascii="Amiri" w:hAnsi="Amiri" w:eastAsia="Amiri" w:cs="Amiri"/>
          <w:color w:val="111111"/>
          <w:sz w:val="28"/>
          <w:sz w:val="28"/>
          <w:szCs w:val="28"/>
          <w:rtl w:val="true"/>
          <w:lang w:bidi="ar-SA"/>
        </w:rPr>
        <w:t xml:space="preserve">اختلفت كلمات الأصحاب في كيفية تطهيرها من ولوغ الكلب ؛ فعن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ثلاث مرّات اُولاهنّ بالتراب</w:t>
      </w:r>
      <w:r>
        <w:rPr>
          <w:rStyle w:val="FootnoteAnchor"/>
          <w:rtl w:val="true"/>
        </w:rPr>
        <w:footnoteReference w:id="5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الناصريات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الصحيح عندنا أنّ الإناء يغسل من ولوغ الكلب ثلاث مرّات ، اُولاهنّ بالتراب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قال بعد كلام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خلاف بين الأصحاب في التحديد بوجوب الثلاث</w:t>
      </w:r>
      <w:r>
        <w:rPr>
          <w:rFonts w:eastAsia="Amiri" w:cs="Amiri" w:ascii="Amiri" w:hAnsi="Amiri"/>
          <w:color w:val="111111"/>
          <w:sz w:val="28"/>
          <w:szCs w:val="28"/>
          <w:rtl w:val="true"/>
          <w:lang w:bidi="ar-SA"/>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منه عدم الخلاف في الثلاث على الكيفية المتقدّمة ، سيّما مع قوله </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وادّعى الإجماع عليها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انفردت الإمامية إيجابهم غسل الإناء من ولوغ الكلب ثلاث مرّات ، إحداهنّ بالتراب</w:t>
      </w:r>
      <w:r>
        <w:rPr>
          <w:rFonts w:eastAsia="Amiri" w:cs="Amiri" w:ascii="Amiri" w:hAnsi="Amiri"/>
          <w:color w:val="111111"/>
          <w:sz w:val="28"/>
          <w:szCs w:val="28"/>
          <w:rtl w:val="true"/>
          <w:lang w:bidi="ar-SA"/>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 إحداهنّ بالتراب</w:t>
      </w:r>
      <w:r>
        <w:rPr>
          <w:rFonts w:eastAsia="Amiri" w:cs="Amiri" w:ascii="Amiri" w:hAnsi="Amiri"/>
          <w:color w:val="111111"/>
          <w:sz w:val="28"/>
          <w:szCs w:val="28"/>
          <w:rtl w:val="true"/>
          <w:lang w:bidi="ar-SA"/>
        </w:rPr>
        <w:t>»</w:t>
      </w:r>
      <w:r>
        <w:rPr>
          <w:rStyle w:val="FootnoteAnchor"/>
          <w:rtl w:val="true"/>
        </w:rPr>
        <w:footnoteReference w:id="546"/>
      </w:r>
      <w:r>
        <w:rPr>
          <w:rFonts w:ascii="Amiri" w:hAnsi="Amiri" w:eastAsia="Amiri" w:cs="Amiri"/>
          <w:color w:val="111111"/>
          <w:sz w:val="28"/>
          <w:sz w:val="28"/>
          <w:szCs w:val="28"/>
          <w:rtl w:val="true"/>
          <w:lang w:bidi="ar-SA"/>
        </w:rPr>
        <w:t xml:space="preserve">بقرينة قوله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إحداهنّ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بالتراب</w:t>
      </w:r>
      <w:r>
        <w:rPr>
          <w:rFonts w:eastAsia="Amiri" w:cs="Amiri" w:ascii="Amiri" w:hAnsi="Amiri"/>
          <w:color w:val="111111"/>
          <w:sz w:val="28"/>
          <w:szCs w:val="28"/>
          <w:rtl w:val="true"/>
          <w:lang w:bidi="ar-SA"/>
        </w:rPr>
        <w:t>»</w:t>
      </w:r>
      <w:r>
        <w:rPr>
          <w:rStyle w:val="FootnoteAnchor"/>
          <w:rtl w:val="true"/>
        </w:rPr>
        <w:footnoteReference w:id="5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مفسّرة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يمكن رفع الإجمال عنه بإجماع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من البعيد أن يكون مراد الشيخ الإجماع على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 دعوى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 نّه من البعيد دعوى ابن زهرة الإجماع على أنّ اُولاهنّ بالتراب ، مقابل دعوى الشيخ الإجماع على الإطلاق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ينبغي الإشكال في أنّ مراد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الصدوقين</w:t>
      </w:r>
      <w:r>
        <w:rPr>
          <w:rStyle w:val="FootnoteAnchor"/>
          <w:rtl w:val="true"/>
        </w:rPr>
        <w:footnoteReference w:id="5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 وهو كون الاُولى بالتراب ، كما تدلّ عليه صحيحة البقباق الآتية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كما لا إشكال في اعتبار العدد ؛ للإجماع المتقدّم ، وعدم نقل خلاف من أحد منّا ، فيقيّد به إطلاق صحيحة محمّد بن مسلم ، عن أبي عبداللّه علیه السلام</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الكلب يشرب من الإناء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 الإناء</w:t>
      </w:r>
      <w:r>
        <w:rPr>
          <w:rFonts w:eastAsia="Amiri" w:cs="Amiri" w:ascii="Amiri" w:hAnsi="Amiri"/>
          <w:color w:val="111111"/>
          <w:sz w:val="28"/>
          <w:szCs w:val="28"/>
          <w:rtl w:val="true"/>
          <w:lang w:bidi="ar-SA"/>
        </w:rPr>
        <w:t>»</w:t>
      </w:r>
      <w:r>
        <w:rPr>
          <w:rStyle w:val="FootnoteAnchor"/>
          <w:rtl w:val="true"/>
        </w:rPr>
        <w:footnoteReference w:id="550"/>
      </w:r>
      <w:r>
        <w:rPr>
          <w:rFonts w:ascii="IRNazanin" w:hAnsi="IRNazanin" w:eastAsia="IRNazanin"/>
          <w:color w:val="111111"/>
          <w:sz w:val="28"/>
          <w:sz w:val="28"/>
          <w:szCs w:val="28"/>
          <w:rtl w:val="true"/>
          <w:lang w:bidi="fa-IR"/>
        </w:rPr>
        <w:t xml:space="preserve">لو فرض لها إطلاق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مع إمكان الخدشة فيه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بصدد بيان أصل نجاسة الكلب ، لا كيفية الغسل ، وإنّما أمر به إرشاداً لنجاسته ، تأمّل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وإطلاق صحيحة الفضل أبي العبّاس ، عن أبي عبداللّه علیه السلام في حديث قال في الكلب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رجس نجس ، لا يتوضّأ بفضله ، واصبب ذلك الماء ، واغسله بالتراب أوّل مرّة ، ثمّ بالماء</w:t>
      </w:r>
      <w:r>
        <w:rPr>
          <w:rFonts w:eastAsia="IRNazanin" w:cs="IRNazanin"/>
          <w:color w:val="111111"/>
          <w:sz w:val="28"/>
          <w:szCs w:val="28"/>
          <w:rtl w:val="true"/>
          <w:lang w:bidi="fa-IR"/>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ويحتمل بعيداً عدم الإطلاق فيها ؛ بدعوى كونها بصدد بيان الترتيب بين الغسل بالتراب والغسل بالماء ، فلا إطلاق لها من جهة العدد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أ نّها منقولة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مسائل الولوغ مع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بالماء</w:t>
      </w:r>
      <w:r>
        <w:rPr>
          <w:rFonts w:eastAsia="Amiri" w:cs="Amiri" w:ascii="Amiri" w:hAnsi="Amiri"/>
          <w:color w:val="111111"/>
          <w:sz w:val="28"/>
          <w:szCs w:val="28"/>
          <w:rtl w:val="true"/>
          <w:lang w:bidi="ar-SA"/>
        </w:rPr>
        <w:t>»</w:t>
      </w:r>
      <w:r>
        <w:rPr>
          <w:rStyle w:val="FootnoteAnchor"/>
          <w:rtl w:val="true"/>
        </w:rPr>
        <w:footnoteReference w:id="552"/>
      </w:r>
      <w:r>
        <w:rPr>
          <w:rFonts w:ascii="Amiri" w:hAnsi="Amiri" w:eastAsia="Amiri" w:cs="Amiri"/>
          <w:color w:val="111111"/>
          <w:sz w:val="28"/>
          <w:sz w:val="28"/>
          <w:szCs w:val="28"/>
          <w:rtl w:val="true"/>
          <w:lang w:bidi="ar-SA"/>
        </w:rPr>
        <w:t xml:space="preserve">وإن نقلها في مواضع اُخر منه وكذا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بغير الزيادة</w:t>
      </w:r>
      <w:r>
        <w:rPr>
          <w:rStyle w:val="FootnoteAnchor"/>
          <w:rtl w:val="true"/>
        </w:rPr>
        <w:footnoteReference w:id="553"/>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الزيادة</w:t>
      </w:r>
      <w:r>
        <w:rPr>
          <w:rStyle w:val="FootnoteAnchor"/>
          <w:rtl w:val="true"/>
        </w:rPr>
        <w:footnoteReference w:id="554"/>
      </w:r>
      <w:r>
        <w:rPr>
          <w:rFonts w:ascii="Amiri" w:hAnsi="Amiri" w:eastAsia="Amiri" w:cs="Amiri"/>
          <w:color w:val="111111"/>
          <w:sz w:val="28"/>
          <w:sz w:val="28"/>
          <w:szCs w:val="28"/>
          <w:rtl w:val="true"/>
          <w:lang w:bidi="ar-SA"/>
        </w:rPr>
        <w:t xml:space="preserve">،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زيادة</w:t>
      </w:r>
      <w:r>
        <w:rPr>
          <w:rStyle w:val="FootnoteAnchor"/>
          <w:rtl w:val="true"/>
        </w:rPr>
        <w:footnoteReference w:id="555"/>
      </w:r>
      <w:r>
        <w:rPr>
          <w:rFonts w:ascii="Amiri" w:hAnsi="Amiri" w:eastAsia="Amiri" w:cs="Amiri"/>
          <w:color w:val="111111"/>
          <w:sz w:val="28"/>
          <w:sz w:val="28"/>
          <w:szCs w:val="28"/>
          <w:rtl w:val="true"/>
          <w:lang w:bidi="ar-SA"/>
        </w:rPr>
        <w:t xml:space="preserve">، وعليه لا وثوق بإطلاقها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يمكن كشف الزيادة من شهرة القول بالعدد بين قدماء أصحابنا </w:t>
      </w:r>
      <w:r>
        <w:rPr>
          <w:rStyle w:val="FootnoteAnchor"/>
          <w:rtl w:val="true"/>
        </w:rPr>
        <w:footnoteReference w:id="5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استدلّ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على لزوم الثلاث</w:t>
      </w:r>
      <w:r>
        <w:rPr>
          <w:rStyle w:val="FootnoteAnchor"/>
          <w:rtl w:val="true"/>
        </w:rPr>
        <w:footnoteReference w:id="557"/>
      </w:r>
      <w:r>
        <w:rPr>
          <w:rFonts w:ascii="Amiri" w:hAnsi="Amiri" w:eastAsia="Amiri" w:cs="Amiri"/>
          <w:color w:val="111111"/>
          <w:sz w:val="28"/>
          <w:sz w:val="28"/>
          <w:szCs w:val="28"/>
          <w:rtl w:val="true"/>
          <w:lang w:bidi="ar-SA"/>
        </w:rPr>
        <w:t xml:space="preserve">؛ وإن تشبّث في الأوّل عليه بما لا دلالة فيه ، ولولا استدلاله </w:t>
      </w:r>
    </w:p>
    <w:p>
      <w:pPr>
        <w:pStyle w:val="BookText"/>
        <w:rPr/>
      </w:pPr>
      <w:r>
        <w:rPr>
          <w:rFonts w:ascii="Amiri" w:hAnsi="Amiri" w:eastAsia="Amiri" w:cs="Amiri"/>
          <w:color w:val="111111"/>
          <w:sz w:val="28"/>
          <w:sz w:val="28"/>
          <w:szCs w:val="28"/>
          <w:rtl w:val="true"/>
          <w:lang w:bidi="ar-SA"/>
        </w:rPr>
        <w:t xml:space="preserve">بغيرها لم يبقَ شكّ في كون النقيصة من النسّاخ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ما اشتهر بينهم من تقديم أصالة عدم الزيادة على أصالة عدم النقيصة ؛ وإن كان للتأمّل في أصله مجال ، فضلاً عن مثل المقام الذي تكرّر الحديث بلا زيادة في كتب الاُصول والفروع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قال الشيخ البهائي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ردّاً على 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الزيادة من قلم النسّاخ</w:t>
      </w:r>
      <w:r>
        <w:rPr>
          <w:rFonts w:eastAsia="Amiri" w:cs="Amiri" w:ascii="Amiri" w:hAnsi="Amiri"/>
          <w:color w:val="111111"/>
          <w:sz w:val="28"/>
          <w:szCs w:val="28"/>
          <w:rtl w:val="true"/>
          <w:lang w:bidi="ar-SA"/>
        </w:rPr>
        <w:t>»</w:t>
      </w:r>
      <w:r>
        <w:rPr>
          <w:rStyle w:val="FootnoteAnchor"/>
          <w:rtl w:val="true"/>
        </w:rPr>
        <w:footnoteReference w:id="558"/>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المحقّق مصدَّق فيما نقله ، وعدم اطّلاعنا عليها في الاُصول المتداولة في هذا الزمان غير قادح ؛ فإنّ كلامه في أوائل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559"/>
      </w:r>
      <w:r>
        <w:rPr>
          <w:rFonts w:ascii="Amiri" w:hAnsi="Amiri" w:eastAsia="Amiri" w:cs="Amiri"/>
          <w:color w:val="111111"/>
          <w:sz w:val="28"/>
          <w:sz w:val="28"/>
          <w:szCs w:val="28"/>
          <w:rtl w:val="true"/>
          <w:lang w:bidi="ar-SA"/>
        </w:rPr>
        <w:t>يعطي أ نّه نقل بعض الأحاديث المذكورة فيه عن كتب ليس في أيدي أهل زماننا هذا إلاّ أسماؤها ، ككتب الحسن بن محبوب ومحمّد بن أبي نصر البَزَنْطي</w:t>
      </w:r>
      <w:r>
        <w:rPr>
          <w:rStyle w:val="FootnoteAnchor"/>
          <w:rtl w:val="true"/>
        </w:rPr>
        <w:footnoteReference w:id="560"/>
      </w:r>
      <w:r>
        <w:rPr>
          <w:rFonts w:ascii="Amiri" w:hAnsi="Amiri" w:eastAsia="Amiri" w:cs="Amiri"/>
          <w:color w:val="111111"/>
          <w:sz w:val="28"/>
          <w:sz w:val="28"/>
          <w:szCs w:val="28"/>
          <w:rtl w:val="true"/>
          <w:lang w:bidi="ar-SA"/>
        </w:rPr>
        <w:t xml:space="preserve">والحسين بن سعيد والفضل بن شاذان وغيرهم ، فلعلّه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هذه الزيادة من بعض تلك الكتب</w:t>
      </w:r>
      <w:r>
        <w:rPr>
          <w:rFonts w:eastAsia="Amiri" w:cs="Amiri" w:ascii="Amiri" w:hAnsi="Amiri"/>
          <w:color w:val="111111"/>
          <w:sz w:val="28"/>
          <w:szCs w:val="28"/>
          <w:rtl w:val="true"/>
          <w:lang w:bidi="ar-SA"/>
        </w:rPr>
        <w:t>»</w:t>
      </w:r>
      <w:r>
        <w:rPr>
          <w:rStyle w:val="FootnoteAnchor"/>
          <w:rtl w:val="true"/>
        </w:rPr>
        <w:footnoteReference w:id="561"/>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فغير وجيه ؛ لأنّ الظاهر من الفصل الرابع من مقدّمات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اقتصر في النقل فيه عن كتب المتقدّمين على ما نقله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محبوب وأحمد بن محمّد ابن أبي نصر والحسين بن سعيد والفضل بن شاذان ويونس بن عبد الرحمان ، وعن المتأخّرين على كتب الصدوقين والكليني والشيخ وعدّة اُخرى سمّاهم</w:t>
      </w:r>
      <w:r>
        <w:rPr>
          <w:rStyle w:val="FootnoteAnchor"/>
          <w:rtl w:val="true"/>
        </w:rPr>
        <w:footnoteReference w:id="562"/>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وليس أبو العبّاس الفضل منهم ، فلم ينقل منه إلاّ بتوسّط الجوامع المتأخّرة ، لا من أصل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 نّه لم يُنقل لأبي العبّاس إلاّ كتاب واحد نقله سعد بن عبداللّه‌</w:t>
      </w:r>
      <w:r>
        <w:rPr>
          <w:rStyle w:val="FootnoteAnchor"/>
          <w:rtl w:val="true"/>
        </w:rPr>
        <w:footnoteReference w:id="563"/>
      </w:r>
      <w:r>
        <w:rPr>
          <w:rFonts w:ascii="Amiri" w:hAnsi="Amiri" w:eastAsia="Amiri" w:cs="Amiri"/>
          <w:color w:val="111111"/>
          <w:sz w:val="28"/>
          <w:sz w:val="28"/>
          <w:szCs w:val="28"/>
          <w:rtl w:val="true"/>
          <w:lang w:bidi="ar-SA"/>
        </w:rPr>
        <w:t>والنجاشي</w:t>
      </w:r>
      <w:r>
        <w:rPr>
          <w:rStyle w:val="FootnoteAnchor"/>
          <w:rtl w:val="true"/>
        </w:rPr>
        <w:footnoteReference w:id="564"/>
      </w:r>
      <w:r>
        <w:rPr>
          <w:rFonts w:ascii="Amiri" w:hAnsi="Amiri" w:eastAsia="Amiri" w:cs="Amiri"/>
          <w:color w:val="111111"/>
          <w:sz w:val="28"/>
          <w:sz w:val="28"/>
          <w:szCs w:val="28"/>
          <w:rtl w:val="true"/>
          <w:lang w:bidi="ar-SA"/>
        </w:rPr>
        <w:t xml:space="preserve">، فلا معنى لنقل المحقّق روايته عن أصل آخر غير كتابه ، فهو إمّا ناقل عن كتابه ، أو من كتاب آخر ناقل عنه ، أو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الناقل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يدور الأمر بين الزيادة والنقيصة في كتاب أبي العبّاس ، أو فيما نقل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 نّه حكاها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والشاهد عليه أنّ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نقلها مع الزيادة عن الشيخ</w:t>
      </w:r>
      <w:r>
        <w:rPr>
          <w:rStyle w:val="FootnoteAnchor"/>
          <w:rtl w:val="true"/>
        </w:rPr>
        <w:footnoteReference w:id="565"/>
      </w:r>
      <w:r>
        <w:rPr>
          <w:rFonts w:ascii="Amiri" w:hAnsi="Amiri" w:eastAsia="Amiri" w:cs="Amiri"/>
          <w:color w:val="111111"/>
          <w:sz w:val="28"/>
          <w:sz w:val="28"/>
          <w:szCs w:val="28"/>
          <w:rtl w:val="true"/>
          <w:lang w:bidi="ar-SA"/>
        </w:rPr>
        <w:t xml:space="preserve">، فيظهر منه اختلاف 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 البعيد أن يكون كتاب أبي العبّاس عند المحقّق ، وكانت الرواية فيها مع الزيادة ، ولم يطّلع عليها العلاّمة مع تلمّذه عليه ، ونقَلها بتوسّط الشيخ </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فالاعتماد في الحكم على الإجماع والشهرة قديماً وحديثاً في مثل هذه المسألة التعبّدية ، سيّما لو كانت الرواية خالية منها ، وسيّما مع إطلاقها والبناء على إطلاق صحيحة ابن مسلم المتقدّمة</w:t>
      </w:r>
      <w:r>
        <w:rPr>
          <w:rStyle w:val="FootnoteAnchor"/>
          <w:rtl w:val="true"/>
        </w:rPr>
        <w:footnoteReference w:id="566"/>
      </w:r>
      <w:r>
        <w:rPr>
          <w:rFonts w:ascii="IRNazanin" w:hAnsi="IRNazanin" w:eastAsia="IRNazanin"/>
          <w:color w:val="111111"/>
          <w:sz w:val="28"/>
          <w:sz w:val="28"/>
          <w:szCs w:val="28"/>
          <w:rtl w:val="true"/>
          <w:lang w:bidi="fa-IR"/>
        </w:rPr>
        <w:t xml:space="preserve">، فإنّ ترك أصحابنا إطلاق الصحيحتين والفتوى بلزوم العدد ، يوجب الجزم بكون الحكم معروفاً بين السلف والخلف ، ومأخوذاً عن أئمّة أهل البيت علیهم السلام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ويظهر ممّا مرّ ضعف قول ابن الجنيد من لزوم السبع ، إحداهنّ أو اُولاهنّ بالتراب</w:t>
      </w:r>
      <w:r>
        <w:rPr>
          <w:rStyle w:val="FootnoteAnchor"/>
          <w:rtl w:val="true"/>
        </w:rPr>
        <w:footnoteReference w:id="567"/>
      </w:r>
      <w:r>
        <w:rPr>
          <w:rFonts w:ascii="Amiri" w:hAnsi="Amiri" w:eastAsia="Amiri" w:cs="Amiri"/>
          <w:color w:val="111111"/>
          <w:sz w:val="28"/>
          <w:sz w:val="28"/>
          <w:szCs w:val="28"/>
          <w:rtl w:val="true"/>
          <w:lang w:bidi="ar-SA"/>
        </w:rPr>
        <w:t>، وفاقاً للشافعي</w:t>
      </w:r>
      <w:r>
        <w:rPr>
          <w:rStyle w:val="FootnoteAnchor"/>
          <w:rtl w:val="true"/>
        </w:rPr>
        <w:footnoteReference w:id="568"/>
      </w:r>
      <w:r>
        <w:rPr>
          <w:rFonts w:ascii="Amiri" w:hAnsi="Amiri" w:eastAsia="Amiri" w:cs="Amiri"/>
          <w:color w:val="111111"/>
          <w:sz w:val="28"/>
          <w:sz w:val="28"/>
          <w:szCs w:val="28"/>
          <w:rtl w:val="true"/>
          <w:lang w:bidi="ar-SA"/>
        </w:rPr>
        <w:t xml:space="preserve">؛ وإن أمكن الاستدلال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عدم ثبوت الزيادة</w:t>
      </w:r>
    </w:p>
    <w:p>
      <w:pPr>
        <w:pStyle w:val="BookText"/>
        <w:rPr/>
      </w:pPr>
      <w:r>
        <w:rPr>
          <w:rFonts w:ascii="IRNazanin" w:hAnsi="IRNazanin" w:eastAsia="IRNazanin"/>
          <w:color w:val="111111"/>
          <w:sz w:val="28"/>
          <w:sz w:val="28"/>
          <w:szCs w:val="28"/>
          <w:rtl w:val="true"/>
          <w:lang w:bidi="fa-IR"/>
        </w:rPr>
        <w:t xml:space="preserve">المتقدّمة في صحيحة أبي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يد إطلاقها بموثّقة عمّار ، عن 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الإناء يشرب فيه النبيذ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تغسله سبع مرّات ، وكذا الكلب</w:t>
      </w:r>
      <w:r>
        <w:rPr>
          <w:rFonts w:eastAsia="IRNazanin" w:cs="IRNazanin"/>
          <w:color w:val="111111"/>
          <w:sz w:val="28"/>
          <w:szCs w:val="28"/>
          <w:rtl w:val="true"/>
          <w:lang w:bidi="fa-IR"/>
        </w:rPr>
        <w:t>»</w:t>
      </w:r>
      <w:r>
        <w:rPr>
          <w:rStyle w:val="FootnoteAnchor"/>
          <w:rtl w:val="true"/>
        </w:rPr>
        <w:footnoteReference w:id="569"/>
      </w:r>
      <w:r>
        <w:rPr>
          <w:rFonts w:ascii="Amiri" w:hAnsi="Amiri" w:eastAsia="Amiri" w:cs="Amiri"/>
          <w:color w:val="111111"/>
          <w:sz w:val="28"/>
          <w:sz w:val="28"/>
          <w:szCs w:val="28"/>
          <w:rtl w:val="true"/>
          <w:lang w:bidi="ar-SA"/>
        </w:rPr>
        <w:t xml:space="preserve">وتقييد الغسلات في الموثّقة بكون الاُولى منها بالتراب ، وكذا الكلب بالولوغ ؛ وإن كانت التقييدات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الأخيرتان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التأمّل في ضعف ما ذهب إليه بعد عدم موافق له ، فالمتيقّن حمل الموثّقة على الاستحباب </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ويتلوه في الضعف قول المفيد ؛ وهو وجوب الثلاث وسطهنّ بالتراب</w:t>
      </w:r>
      <w:r>
        <w:rPr>
          <w:rStyle w:val="FootnoteAnchor"/>
          <w:rtl w:val="true"/>
        </w:rPr>
        <w:footnoteReference w:id="570"/>
      </w:r>
      <w:r>
        <w:rPr>
          <w:rFonts w:ascii="Amiri" w:hAnsi="Amiri" w:eastAsia="Amiri" w:cs="Amiri"/>
          <w:color w:val="111111"/>
          <w:sz w:val="28"/>
          <w:sz w:val="28"/>
          <w:szCs w:val="28"/>
          <w:rtl w:val="true"/>
          <w:lang w:bidi="ar-SA"/>
        </w:rPr>
        <w:t xml:space="preserve">، وإن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به رواية</w:t>
      </w:r>
      <w:r>
        <w:rPr>
          <w:rFonts w:eastAsia="Amiri" w:cs="Amiri" w:ascii="Amiri" w:hAnsi="Amiri"/>
          <w:color w:val="111111"/>
          <w:sz w:val="28"/>
          <w:szCs w:val="28"/>
          <w:rtl w:val="true"/>
          <w:lang w:bidi="ar-SA"/>
        </w:rPr>
        <w:t>»</w:t>
      </w:r>
      <w:r>
        <w:rPr>
          <w:rStyle w:val="FootnoteAnchor"/>
          <w:rtl w:val="true"/>
        </w:rPr>
        <w:footnoteReference w:id="571"/>
      </w:r>
      <w:r>
        <w:rPr>
          <w:rFonts w:ascii="Amiri" w:hAnsi="Amiri" w:eastAsia="Amiri" w:cs="Amiri"/>
          <w:color w:val="111111"/>
          <w:sz w:val="28"/>
          <w:sz w:val="28"/>
          <w:szCs w:val="28"/>
          <w:rtl w:val="true"/>
          <w:lang w:bidi="ar-SA"/>
        </w:rPr>
        <w:t xml:space="preserve">إذ هي غير ثابتة ، ومع ثبوتها شاذّة بلا إشكال ، فالأقوى ما عليه المشهور </w:t>
      </w:r>
      <w:r>
        <w:rPr>
          <w:rFonts w:eastAsia="Amiri" w:cs="Amiri" w:ascii="Amiri" w:hAnsi="Amiri"/>
          <w:color w:val="111111"/>
          <w:sz w:val="28"/>
          <w:szCs w:val="28"/>
          <w:rtl w:val="true"/>
          <w:lang w:bidi="ar-SA"/>
        </w:rPr>
        <w:t xml:space="preserve">. </w:t>
      </w:r>
      <w:bookmarkStart w:id="215" w:name="pg15030_143149"/>
    </w:p>
    <w:p>
      <w:pPr>
        <w:pStyle w:val="Heading5"/>
        <w:numPr>
          <w:ilvl w:val="4"/>
          <w:numId w:val="1"/>
        </w:numPr>
        <w:rPr/>
      </w:pPr>
      <w:bookmarkStart w:id="216" w:name="__RefHeading___Toc212768_2142443653"/>
      <w:bookmarkStart w:id="217" w:name="_Toc76"/>
      <w:bookmarkEnd w:id="215"/>
      <w:bookmarkEnd w:id="216"/>
      <w:r>
        <w:rPr>
          <w:rtl w:val="true"/>
        </w:rPr>
        <w:t>تنبيهات</w:t>
      </w:r>
      <w:bookmarkEnd w:id="217"/>
    </w:p>
    <w:p>
      <w:pPr>
        <w:pStyle w:val="Heading6"/>
        <w:numPr>
          <w:ilvl w:val="5"/>
          <w:numId w:val="1"/>
        </w:numPr>
        <w:rPr/>
      </w:pPr>
      <w:bookmarkStart w:id="218" w:name="__RefHeading___Toc212770_2142443653"/>
      <w:bookmarkStart w:id="219" w:name="_Toc77"/>
      <w:bookmarkEnd w:id="218"/>
      <w:r>
        <w:rPr>
          <w:rtl w:val="true"/>
        </w:rPr>
        <w:t xml:space="preserve">الأوّل </w:t>
      </w:r>
      <w:r>
        <w:rPr>
          <w:rtl w:val="true"/>
        </w:rPr>
        <w:t xml:space="preserve">: </w:t>
      </w:r>
      <w:r>
        <w:rPr>
          <w:rtl w:val="true"/>
        </w:rPr>
        <w:t>اختصاص التعفير بالولوغ</w:t>
      </w:r>
      <w:bookmarkEnd w:id="219"/>
    </w:p>
    <w:p>
      <w:pPr>
        <w:pStyle w:val="Heading6"/>
        <w:numPr>
          <w:ilvl w:val="5"/>
          <w:numId w:val="1"/>
        </w:numPr>
        <w:rPr/>
      </w:pPr>
      <w:bookmarkStart w:id="220" w:name="__RefHeading___Toc212772_2142443653"/>
      <w:bookmarkStart w:id="221" w:name="_Toc78"/>
      <w:bookmarkEnd w:id="220"/>
      <w:r>
        <w:rPr>
          <w:rtl w:val="true"/>
        </w:rPr>
        <w:t>اشارة</w:t>
      </w:r>
      <w:bookmarkEnd w:id="221"/>
    </w:p>
    <w:p>
      <w:pPr>
        <w:pStyle w:val="BookText"/>
        <w:rPr/>
      </w:pPr>
      <w:r>
        <w:rPr>
          <w:rFonts w:ascii="Amiri" w:hAnsi="Amiri" w:eastAsia="Amiri" w:cs="Amiri"/>
          <w:color w:val="111111"/>
          <w:sz w:val="28"/>
          <w:sz w:val="28"/>
          <w:szCs w:val="28"/>
          <w:rtl w:val="true"/>
          <w:lang w:bidi="ar-SA"/>
        </w:rPr>
        <w:t xml:space="preserve">ظاهر الأصحاب قديماً وحديثاً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شاذّ منهم ، كالصدوقين</w:t>
      </w:r>
      <w:r>
        <w:rPr>
          <w:rStyle w:val="FootnoteAnchor"/>
          <w:rtl w:val="true"/>
        </w:rPr>
        <w:footnoteReference w:id="572"/>
      </w:r>
      <w:r>
        <w:rPr>
          <w:rFonts w:ascii="Amiri" w:hAnsi="Amiri" w:eastAsia="Amiri" w:cs="Amiri"/>
          <w:color w:val="111111"/>
          <w:sz w:val="28"/>
          <w:sz w:val="28"/>
          <w:szCs w:val="28"/>
          <w:rtl w:val="true"/>
          <w:lang w:bidi="ar-SA"/>
        </w:rPr>
        <w:t>والمحكيّ عن المفيد</w:t>
      </w:r>
      <w:r>
        <w:rPr>
          <w:rStyle w:val="FootnoteAnchor"/>
          <w:rtl w:val="true"/>
        </w:rPr>
        <w:footnoteReference w:id="573"/>
      </w:r>
      <w:r>
        <w:rPr>
          <w:rFonts w:ascii="Amiri" w:hAnsi="Amiri" w:eastAsia="Amiri" w:cs="Amiri"/>
          <w:color w:val="111111"/>
          <w:sz w:val="28"/>
          <w:sz w:val="28"/>
          <w:szCs w:val="28"/>
          <w:rtl w:val="true"/>
          <w:lang w:bidi="ar-SA"/>
        </w:rPr>
        <w:t xml:space="preserve">من القدماء ، وكالمحكيّ عن الكركي وصاحبي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المتأخّرين</w:t>
      </w:r>
      <w:r>
        <w:rPr>
          <w:rStyle w:val="FootnoteAnchor"/>
          <w:rtl w:val="true"/>
        </w:rPr>
        <w:footnoteReference w:id="5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الحكم بالولوغ ، وهو شربه من الإناء بأطراف لسانه ، على ما هو المعهود من شربه ، ويظهر من اللغة</w:t>
      </w:r>
      <w:r>
        <w:rPr>
          <w:rStyle w:val="FootnoteAnchor"/>
          <w:rtl w:val="true"/>
        </w:rPr>
        <w:footnoteReference w:id="5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معقد إجماع السيّد والشيخ وابن زهرة</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وألحق جمع اللطع بالولوغ</w:t>
      </w:r>
      <w:r>
        <w:rPr>
          <w:rStyle w:val="FootnoteAnchor"/>
          <w:rtl w:val="true"/>
        </w:rPr>
        <w:footnoteReference w:id="577"/>
      </w:r>
      <w:r>
        <w:rPr>
          <w:rFonts w:ascii="Amiri" w:hAnsi="Amiri" w:eastAsia="Amiri" w:cs="Amiri"/>
          <w:color w:val="111111"/>
          <w:sz w:val="28"/>
          <w:sz w:val="28"/>
          <w:szCs w:val="28"/>
          <w:rtl w:val="true"/>
          <w:lang w:bidi="ar-SA"/>
        </w:rPr>
        <w:t>، وادّعى شيخنا المرتضى الشهرة عليه</w:t>
      </w:r>
      <w:r>
        <w:rPr>
          <w:rStyle w:val="FootnoteAnchor"/>
          <w:rtl w:val="true"/>
        </w:rPr>
        <w:footnoteReference w:id="578"/>
      </w:r>
      <w:r>
        <w:rPr>
          <w:rFonts w:ascii="Amiri" w:hAnsi="Amiri" w:eastAsia="Amiri" w:cs="Amiri"/>
          <w:color w:val="111111"/>
          <w:sz w:val="28"/>
          <w:sz w:val="28"/>
          <w:szCs w:val="28"/>
          <w:rtl w:val="true"/>
          <w:lang w:bidi="ar-SA"/>
        </w:rPr>
        <w:t>، وهي غير ثابتة ، بل الظاهر من قدماء أصحابنا الاختصاص</w:t>
      </w:r>
      <w:r>
        <w:rPr>
          <w:rStyle w:val="FootnoteAnchor"/>
          <w:rtl w:val="true"/>
        </w:rPr>
        <w:footnoteReference w:id="579"/>
      </w:r>
      <w:r>
        <w:rPr>
          <w:rFonts w:ascii="Amiri" w:hAnsi="Amiri" w:eastAsia="Amiri" w:cs="Amiri"/>
          <w:color w:val="111111"/>
          <w:sz w:val="28"/>
          <w:sz w:val="28"/>
          <w:szCs w:val="28"/>
          <w:rtl w:val="true"/>
          <w:lang w:bidi="ar-SA"/>
        </w:rPr>
        <w:t xml:space="preserve">، والتعدّي من بعض المتأخّرين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وألحق الصدوق الوقوع بالولوغ</w:t>
      </w:r>
      <w:r>
        <w:rPr>
          <w:rStyle w:val="FootnoteAnchor"/>
          <w:rtl w:val="true"/>
        </w:rPr>
        <w:footnoteReference w:id="580"/>
      </w:r>
      <w:r>
        <w:rPr>
          <w:rFonts w:ascii="Amiri" w:hAnsi="Amiri" w:eastAsia="Amiri" w:cs="Amiri"/>
          <w:color w:val="111111"/>
          <w:sz w:val="28"/>
          <w:sz w:val="28"/>
          <w:szCs w:val="28"/>
          <w:rtl w:val="true"/>
          <w:lang w:bidi="ar-SA"/>
        </w:rPr>
        <w:t>، وهو المحكيّ عن أبيه</w:t>
      </w:r>
      <w:r>
        <w:rPr>
          <w:rStyle w:val="FootnoteAnchor"/>
          <w:rtl w:val="true"/>
        </w:rPr>
        <w:footnoteReference w:id="581"/>
      </w:r>
      <w:r>
        <w:rPr>
          <w:rFonts w:ascii="Amiri" w:hAnsi="Amiri" w:eastAsia="Amiri" w:cs="Amiri"/>
          <w:color w:val="111111"/>
          <w:sz w:val="28"/>
          <w:sz w:val="28"/>
          <w:szCs w:val="28"/>
          <w:rtl w:val="true"/>
          <w:lang w:bidi="ar-SA"/>
        </w:rPr>
        <w:t xml:space="preserve">موافقاً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للرضوي</w:t>
      </w:r>
      <w:r>
        <w:rPr>
          <w:rFonts w:eastAsia="Amiri" w:cs="Amiri" w:ascii="Amiri" w:hAnsi="Amiri"/>
          <w:color w:val="111111"/>
          <w:sz w:val="28"/>
          <w:szCs w:val="28"/>
          <w:rtl w:val="true"/>
          <w:lang w:bidi="ar-SA"/>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والأصل في الحكم صحيحة أبي العبّاس المتقدّمة</w:t>
      </w:r>
      <w:r>
        <w:rPr>
          <w:rStyle w:val="FootnoteAnchor"/>
          <w:rtl w:val="true"/>
        </w:rPr>
        <w:footnoteReference w:id="583"/>
      </w:r>
      <w:r>
        <w:rPr>
          <w:rFonts w:ascii="IRNazanin" w:hAnsi="IRNazanin" w:eastAsia="IRNazanin"/>
          <w:color w:val="111111"/>
          <w:sz w:val="28"/>
          <w:sz w:val="28"/>
          <w:szCs w:val="28"/>
          <w:rtl w:val="true"/>
          <w:lang w:bidi="fa-IR"/>
        </w:rPr>
        <w:t xml:space="preserve">ففي صدرها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 السلام عن فضل الهرّة والشاة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انتهيت إلى الكلب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رجس نجس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إلى آخره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واحتمل بحسب التصوّر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رجس 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للحكم ، فتعمّم إلى كلّ رجس ولو كان غير الكلب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يكون علّة لكون فضله محكوماً بالحكم ، فيتعدّى إلى فضل كلّ نجس ، كالخنزير والكافر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تكون نجاسة الكلب علّة ، فيتعدّى من ولوغه إلى مباشرة سائر أجزائه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تكون نجاسته علّة لكون فضله محكوماً بالحكم ، فيختصّ بالولوغ </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استفادة العلّية منها ؛ بحيث يدور الحكم مدارها كائنة ما كانت ، بل هو خلاف المقطوع به وضرورة الفقه ، نعم الحكم متفرّع على كون الكلب رجساً نجساً ، ومن المحتمل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لمرتبة نجاسته دخالةً في ذلك ، </w:t>
      </w:r>
    </w:p>
    <w:p>
      <w:pPr>
        <w:pStyle w:val="BookText"/>
        <w:rPr/>
      </w:pPr>
      <w:r>
        <w:rPr>
          <w:rFonts w:ascii="Amiri" w:hAnsi="Amiri" w:eastAsia="Amiri" w:cs="Amiri"/>
          <w:color w:val="111111"/>
          <w:sz w:val="28"/>
          <w:sz w:val="28"/>
          <w:szCs w:val="28"/>
          <w:rtl w:val="true"/>
          <w:lang w:bidi="ar-SA"/>
        </w:rPr>
        <w:t xml:space="preserve">فاحتمال أنّ الحكم لمطلق النجس ، أو لفضل مطلق نجس العين ، ضعيف ؛ وإن قال الشيخ وبعض من تأخّر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الخنزير كالكلب</w:t>
      </w:r>
      <w:r>
        <w:rPr>
          <w:rFonts w:eastAsia="Amiri" w:cs="Amiri" w:ascii="Amiri" w:hAnsi="Amiri"/>
          <w:color w:val="111111"/>
          <w:sz w:val="28"/>
          <w:szCs w:val="28"/>
          <w:rtl w:val="true"/>
          <w:lang w:bidi="ar-SA"/>
        </w:rPr>
        <w:t>»</w:t>
      </w:r>
      <w:r>
        <w:rPr>
          <w:rStyle w:val="FootnoteAnchor"/>
          <w:rtl w:val="true"/>
        </w:rPr>
        <w:footnoteReference w:id="584"/>
      </w:r>
      <w:r>
        <w:rPr>
          <w:rFonts w:ascii="Amiri" w:hAnsi="Amiri" w:eastAsia="Amiri" w:cs="Amiri"/>
          <w:color w:val="111111"/>
          <w:sz w:val="28"/>
          <w:sz w:val="28"/>
          <w:szCs w:val="28"/>
          <w:rtl w:val="true"/>
          <w:lang w:bidi="ar-SA"/>
        </w:rPr>
        <w:t xml:space="preserve">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هو مذهب جميع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ظاهره فقهاء العامّة ، ولهذا لم يستدلّ عليه بالإجماع ، بل تشبّث بأمرين ضعيفين</w:t>
      </w:r>
      <w:r>
        <w:rPr>
          <w:rStyle w:val="FootnoteAnchor"/>
          <w:rtl w:val="true"/>
        </w:rPr>
        <w:footnoteReference w:id="585"/>
      </w:r>
      <w:r>
        <w:rPr>
          <w:rFonts w:ascii="IRNazanin" w:hAnsi="IRNazanin" w:eastAsia="IRNazanin"/>
          <w:color w:val="111111"/>
          <w:sz w:val="28"/>
          <w:sz w:val="28"/>
          <w:szCs w:val="28"/>
          <w:rtl w:val="true"/>
          <w:lang w:bidi="fa-IR"/>
        </w:rPr>
        <w:t xml:space="preserve">، فراجع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فانحصر الاحتمال بالآخرين ، وأقواهما الثاني ؛ لعدم فهم العلّية بنحو توجب التعدّي من فضله إلى مباشرة سائر أجزائه ، وعدم إمكان إلغاء الخصوصية عن الفضل ؛ لخصوصية ظاهرة في ولوغه ليست في غيره حتّى في لطعه ، فإنّ لشربه بأطراف 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بكيفية معهودة موجبة لرجوع المشروب إلى الإناء مراراً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قذارةً ليست في سائر ملاقياته حتّى لطعه ، بل ولا لعابه ، فمن المحتمل أن يكون للشرب كذلك دخالة في الحكم ، فلا تلغى الخصوصية عرفاً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يقال في اللطع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مساوٍ للولوغ ، ولا يفقد شيئاً ممّا يتضمّنه من الاُمور</w:t>
      </w:r>
    </w:p>
    <w:p>
      <w:pPr>
        <w:pStyle w:val="BookText"/>
        <w:rPr/>
      </w:pPr>
      <w:r>
        <w:rPr>
          <w:rFonts w:ascii="Amiri" w:hAnsi="Amiri" w:eastAsia="Amiri" w:cs="Amiri"/>
          <w:color w:val="111111"/>
          <w:sz w:val="28"/>
          <w:sz w:val="28"/>
          <w:szCs w:val="28"/>
          <w:rtl w:val="true"/>
          <w:lang w:bidi="ar-SA"/>
        </w:rPr>
        <w:t>المناسبة للتنجيس</w:t>
      </w:r>
      <w:r>
        <w:rPr>
          <w:rFonts w:eastAsia="Amiri" w:cs="Amiri" w:ascii="Amiri" w:hAnsi="Amiri"/>
          <w:color w:val="111111"/>
          <w:sz w:val="28"/>
          <w:szCs w:val="28"/>
          <w:rtl w:val="true"/>
          <w:lang w:bidi="ar-SA"/>
        </w:rPr>
        <w:t>»</w:t>
      </w:r>
      <w:r>
        <w:rPr>
          <w:rStyle w:val="FootnoteAnchor"/>
          <w:rtl w:val="true"/>
        </w:rPr>
        <w:footnoteReference w:id="586"/>
      </w:r>
      <w:r>
        <w:rPr>
          <w:rFonts w:ascii="Amiri" w:hAnsi="Amiri" w:eastAsia="Amiri" w:cs="Amiri"/>
          <w:color w:val="111111"/>
          <w:sz w:val="28"/>
          <w:sz w:val="28"/>
          <w:szCs w:val="28"/>
          <w:rtl w:val="true"/>
          <w:lang w:bidi="ar-SA"/>
        </w:rPr>
        <w:t xml:space="preserve">وفي اللعاب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المقصود قلعه من غير اعتبار السبب</w:t>
      </w:r>
      <w:r>
        <w:rPr>
          <w:rFonts w:eastAsia="Amiri" w:cs="Amiri" w:ascii="Amiri" w:hAnsi="Amiri"/>
          <w:color w:val="111111"/>
          <w:sz w:val="28"/>
          <w:szCs w:val="28"/>
          <w:rtl w:val="true"/>
          <w:lang w:bidi="ar-SA"/>
        </w:rPr>
        <w:t>»</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ممنوع ؛ لوضوح الفرق بين الولوغ ومجرّد اللطع ، فإنّ الثاني يفقد بعض الخصوصيات المناسبة لشدّة الاستقذار ممّا يتضمّنها الأوّل ، كما مرّت الإشارة إليه ، وعدم الدليل على أنّ المقصود قلع اللعاب ، بل في شربه خصوصية خاصّة به </w:t>
      </w:r>
      <w:r>
        <w:rPr>
          <w:rFonts w:eastAsia="Amiri" w:cs="Amiri" w:ascii="Amiri" w:hAnsi="Amiri"/>
          <w:color w:val="111111"/>
          <w:sz w:val="28"/>
          <w:szCs w:val="28"/>
          <w:rtl w:val="true"/>
          <w:lang w:bidi="ar-SA"/>
        </w:rPr>
        <w:t xml:space="preserve">. </w:t>
      </w:r>
      <w:bookmarkStart w:id="222" w:name="pg15030_143152"/>
    </w:p>
    <w:p>
      <w:pPr>
        <w:pStyle w:val="BookText"/>
        <w:rPr/>
      </w:pPr>
      <w:bookmarkEnd w:id="222"/>
      <w:r>
        <w:rPr>
          <w:rFonts w:ascii="Amiri" w:hAnsi="Amiri" w:eastAsia="Amiri" w:cs="Amiri"/>
          <w:color w:val="111111"/>
          <w:sz w:val="28"/>
          <w:sz w:val="28"/>
          <w:szCs w:val="28"/>
          <w:rtl w:val="true"/>
          <w:lang w:bidi="ar-SA"/>
        </w:rPr>
        <w:t xml:space="preserve">فالتحقيق قصور الرواية عن إثبات الحكم لما عدا ولوغه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لو شرب بغير النحو المتعارف 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كقطع 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لم يسمّ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يلحقه الحكم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متعلّق بالفضل ، وهو أيضاً فضله</w:t>
      </w:r>
      <w:r>
        <w:rPr>
          <w:rStyle w:val="FootnoteAnchor"/>
          <w:rtl w:val="true"/>
        </w:rPr>
        <w:footnoteReference w:id="588"/>
      </w:r>
      <w:r>
        <w:rPr>
          <w:rFonts w:ascii="Amiri" w:hAnsi="Amiri" w:eastAsia="Amiri" w:cs="Amiri"/>
          <w:color w:val="111111"/>
          <w:sz w:val="28"/>
          <w:sz w:val="28"/>
          <w:szCs w:val="28"/>
          <w:rtl w:val="true"/>
          <w:lang w:bidi="ar-SA"/>
        </w:rPr>
        <w:t xml:space="preserve">، في غير محلّه بعد معهودية نحو شربه الموجبة لانصراف الدليل إليه ، سيّما مع الخصوصية التي في شربه المعهود ، ولهذا اُخذ الولوغ خاصّة في معاقد الإجماعات وظواهر الفتاوى ، مع أنّ الأصل في الحكم صحيحة أبي العبّاس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في الأخير وفي وقوع اللعاب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تركه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لا إشكال في أنّ العرف لا يرى لخصوصية الماء دخالة ، بل الظاهر المتفاهم من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الشرب الكذائي تمام الموضوع للحكم ، فلو كان المشروب لبناً أو غيره من المائعات يلحقه الحكم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فضله من غير المائعات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كاللحم الفاضل منه في الإناء مع ملاقاته 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يلحقه الحكم ؛ لقصور الدليل عن إثباته </w:t>
      </w:r>
      <w:r>
        <w:rPr>
          <w:rFonts w:eastAsia="Amiri" w:cs="Amiri" w:ascii="Amiri" w:hAnsi="Amiri"/>
          <w:color w:val="111111"/>
          <w:sz w:val="28"/>
          <w:szCs w:val="28"/>
          <w:rtl w:val="true"/>
          <w:lang w:bidi="ar-SA"/>
        </w:rPr>
        <w:t>.</w:t>
      </w:r>
    </w:p>
    <w:p>
      <w:pPr>
        <w:pStyle w:val="Heading6"/>
        <w:numPr>
          <w:ilvl w:val="5"/>
          <w:numId w:val="1"/>
        </w:numPr>
        <w:rPr/>
      </w:pPr>
      <w:bookmarkStart w:id="223" w:name="__RefHeading___Toc212774_2142443653"/>
      <w:bookmarkStart w:id="224" w:name="_Toc79"/>
      <w:bookmarkEnd w:id="223"/>
      <w:r>
        <w:rPr>
          <w:rtl w:val="true"/>
        </w:rPr>
        <w:t>اختصاص التعفير بالإناء دون غيره</w:t>
      </w:r>
      <w:bookmarkEnd w:id="224"/>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يلحق غير الإناء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يمكن تعفيره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بالإناء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الإناء غير مذكور في النصّ ، ولو فرض فهمه منه لكن لا يفرّق العرف بينه وبين حجر مثلاً لو اجتمع على سطحه الماء ، وولغ فيه الكلب ، فإنّ الحكم عرفاً للولوغ من غير دخالة للمحلّ فيه ؟</w:t>
      </w:r>
      <w:r>
        <w:rPr>
          <w:rStyle w:val="FootnoteAnchor"/>
          <w:rtl w:val="true"/>
        </w:rPr>
        <w:footnoteReference w:id="589"/>
      </w:r>
      <w:bookmarkStart w:id="225" w:name="pg15030_143153"/>
    </w:p>
    <w:p>
      <w:pPr>
        <w:pStyle w:val="BookText"/>
        <w:rPr/>
      </w:pPr>
      <w:bookmarkEnd w:id="225"/>
      <w:r>
        <w:rPr>
          <w:rFonts w:ascii="Amiri" w:hAnsi="Amiri" w:eastAsia="Amiri" w:cs="Amiri"/>
          <w:color w:val="111111"/>
          <w:sz w:val="28"/>
          <w:sz w:val="28"/>
          <w:szCs w:val="28"/>
          <w:rtl w:val="true"/>
          <w:lang w:bidi="ar-SA"/>
        </w:rPr>
        <w:t>لكنّ الأقوى الاختصاص ، كما هو ظاهر الفقهاء وظاهر معاقد الإجماعات</w:t>
      </w:r>
      <w:r>
        <w:rPr>
          <w:rStyle w:val="FootnoteAnchor"/>
          <w:rtl w:val="true"/>
        </w:rPr>
        <w:footnoteReference w:id="590"/>
      </w:r>
      <w:r>
        <w:rPr>
          <w:rFonts w:ascii="Amiri" w:hAnsi="Amiri" w:eastAsia="Amiri" w:cs="Amiri"/>
          <w:color w:val="111111"/>
          <w:sz w:val="28"/>
          <w:sz w:val="28"/>
          <w:szCs w:val="28"/>
          <w:rtl w:val="true"/>
          <w:lang w:bidi="ar-SA"/>
        </w:rPr>
        <w:t xml:space="preserve">؛ لأنّ في الأواني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مورد استعمال الأكل والشرب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خصوصية ليست في غيرها ، والنظافة المطلوبة فيها ليست مطلوبة في غيرها ، ولهذا ترى أنّ الشارع الأقدس اعتبر في كيفية تطهيرها ما لا يعتبر في غيرها ، كالغسل ثلاثاً من مطلق النجاسات ، وسبعاً من بعضها ، فالأقوى اختصاص الحكم بولوغ الكلب في الأواني ونحوها ، كما هو ظاهر الأصحاب والمتيقّن من النصّ ، وطريق الاحتياط واضح </w:t>
      </w:r>
      <w:r>
        <w:rPr>
          <w:rFonts w:eastAsia="Amiri" w:cs="Amiri" w:ascii="Amiri" w:hAnsi="Amiri"/>
          <w:color w:val="111111"/>
          <w:sz w:val="28"/>
          <w:szCs w:val="28"/>
          <w:rtl w:val="true"/>
          <w:lang w:bidi="ar-SA"/>
        </w:rPr>
        <w:t>.</w:t>
      </w:r>
    </w:p>
    <w:p>
      <w:pPr>
        <w:pStyle w:val="Heading6"/>
        <w:numPr>
          <w:ilvl w:val="5"/>
          <w:numId w:val="1"/>
        </w:numPr>
        <w:rPr/>
      </w:pPr>
      <w:bookmarkStart w:id="226" w:name="__RefHeading___Toc212776_2142443653"/>
      <w:bookmarkStart w:id="227" w:name="_Toc80"/>
      <w:bookmarkEnd w:id="226"/>
      <w:r>
        <w:rPr>
          <w:rtl w:val="true"/>
        </w:rPr>
        <w:t xml:space="preserve">الثاني </w:t>
      </w:r>
      <w:r>
        <w:rPr>
          <w:rtl w:val="true"/>
        </w:rPr>
        <w:t xml:space="preserve">: </w:t>
      </w:r>
      <w:r>
        <w:rPr>
          <w:rtl w:val="true"/>
        </w:rPr>
        <w:t>في مزج التراب بالماء</w:t>
      </w:r>
      <w:bookmarkEnd w:id="227"/>
    </w:p>
    <w:p>
      <w:pPr>
        <w:pStyle w:val="BookText"/>
        <w:rPr/>
      </w:pPr>
      <w:r>
        <w:rPr>
          <w:rFonts w:ascii="Amiri" w:hAnsi="Amiri" w:eastAsia="Amiri" w:cs="Amiri"/>
          <w:color w:val="111111"/>
          <w:sz w:val="28"/>
          <w:sz w:val="28"/>
          <w:szCs w:val="28"/>
          <w:rtl w:val="true"/>
          <w:lang w:bidi="ar-SA"/>
        </w:rPr>
        <w:t xml:space="preserve">هل يعتبر مزج التراب بالماء مع بقاء 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يتعيّن عدم مزجه ؟ أو يعتبر المزج بما يخرجه عن مسمّاه ؟ أو بمقدار حصول الميعان ؟ أو يعتبر الغسل بالماء مع مزجه بالتراب بما لا يخرجه عن الإطلاق ؟ أو بما يخرجه عنه ؟ أو يجب الجمع بين الأوّلين ؟ أو هما مع الثالث ؟ أو هي مع ما قبل الأخير ؟ أو يتخيّر بينها ؟ وجوه ، بل في بعضها 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يتعرّض النصّ ولا الفتوى في الطبقة الاُولى من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كالصدوقين والسيّد والشيخين ، ومن في تلك الطبقة ، أو قريب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لكيفية الغسل بالتراب ، بل اقتصروا على ما في النصّ ؛ أي غسله بالتراب </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الحلّي والراوندي لزوم المزج</w:t>
      </w:r>
      <w:r>
        <w:rPr>
          <w:rStyle w:val="FootnoteAnchor"/>
          <w:rtl w:val="true"/>
        </w:rPr>
        <w:footnoteReference w:id="591"/>
      </w:r>
      <w:r>
        <w:rPr>
          <w:rFonts w:ascii="Amiri" w:hAnsi="Amiri" w:eastAsia="Amiri" w:cs="Amiri"/>
          <w:color w:val="111111"/>
          <w:sz w:val="28"/>
          <w:sz w:val="28"/>
          <w:szCs w:val="28"/>
          <w:rtl w:val="true"/>
          <w:lang w:bidi="ar-SA"/>
        </w:rPr>
        <w:t xml:space="preserve">، ولم يظهر من الاستدلال المحكيّ عن </w:t>
      </w:r>
    </w:p>
    <w:p>
      <w:pPr>
        <w:pStyle w:val="BookText"/>
        <w:rPr/>
      </w:pPr>
      <w:r>
        <w:rPr>
          <w:rFonts w:ascii="Amiri" w:hAnsi="Amiri" w:eastAsia="Amiri" w:cs="Amiri"/>
          <w:color w:val="111111"/>
          <w:sz w:val="28"/>
          <w:sz w:val="28"/>
          <w:szCs w:val="28"/>
          <w:rtl w:val="true"/>
          <w:lang w:bidi="ar-SA"/>
        </w:rPr>
        <w:t xml:space="preserve">الأوّل أ نّه قائل بأيّ نحو من الامتزاج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الغسل بالتراب غسل بمجموع</w:t>
      </w:r>
    </w:p>
    <w:p>
      <w:pPr>
        <w:pStyle w:val="BookText"/>
        <w:rPr/>
      </w:pPr>
      <w:r>
        <w:rPr>
          <w:rFonts w:ascii="Amiri" w:hAnsi="Amiri" w:eastAsia="Amiri" w:cs="Amiri"/>
          <w:color w:val="111111"/>
          <w:sz w:val="28"/>
          <w:sz w:val="28"/>
          <w:szCs w:val="28"/>
          <w:rtl w:val="true"/>
          <w:lang w:bidi="ar-SA"/>
        </w:rPr>
        <w:t xml:space="preserve">الأمرين منه ومن الماء ، لا يفرد أحدهما عن الآخر ؛ إذ الغسل بالتراب لا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حقيقته جريان المائع على الجسم المغسول ، والتراب وحده غير جارٍ</w:t>
      </w:r>
      <w:r>
        <w:rPr>
          <w:rFonts w:eastAsia="Amiri" w:cs="Amiri" w:ascii="Amiri" w:hAnsi="Amiri"/>
          <w:color w:val="111111"/>
          <w:sz w:val="28"/>
          <w:szCs w:val="28"/>
          <w:rtl w:val="true"/>
          <w:lang w:bidi="ar-SA"/>
        </w:rPr>
        <w:t>»</w:t>
      </w:r>
      <w:r>
        <w:rPr>
          <w:rStyle w:val="FootnoteAnchor"/>
          <w:rtl w:val="true"/>
        </w:rPr>
        <w:footnoteReference w:id="592"/>
      </w:r>
      <w:r>
        <w:rPr>
          <w:rFonts w:ascii="Amiri" w:hAnsi="Amiri" w:eastAsia="Amiri" w:cs="Amiri"/>
          <w:color w:val="111111"/>
          <w:sz w:val="28"/>
          <w:sz w:val="28"/>
          <w:szCs w:val="28"/>
          <w:rtl w:val="true"/>
          <w:lang w:bidi="ar-SA"/>
        </w:rPr>
        <w:t xml:space="preserve">انتهى ، ولا يبعد إرادته المزج بمقدار حصول الميعان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القائل بالامتزاج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الاكتفاء بامتزاج لا يخرج الماء عن إطلاقه مسلّم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قلنا بمزج الماء بالتراب ، فهل يجزي لو صار مضافاً ؟ إشكال</w:t>
      </w:r>
      <w:r>
        <w:rPr>
          <w:rFonts w:eastAsia="Amiri" w:cs="Amiri" w:ascii="Amiri" w:hAnsi="Amiri"/>
          <w:color w:val="111111"/>
          <w:sz w:val="28"/>
          <w:szCs w:val="28"/>
          <w:rtl w:val="true"/>
          <w:lang w:bidi="ar-SA"/>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أردأ الوجوه الوجه الثالث وما هو نظيره بحسب ظاهر النصّ ؛ لأ نّه موجب لرفع اليد عن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الغسل بالتراب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كونه موافقاً لفهم العرف من 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التراب</w:t>
      </w:r>
      <w:r>
        <w:rPr>
          <w:rFonts w:eastAsia="Amiri" w:cs="Amiri" w:ascii="Amiri" w:hAnsi="Amiri"/>
          <w:color w:val="111111"/>
          <w:sz w:val="28"/>
          <w:szCs w:val="28"/>
          <w:rtl w:val="true"/>
          <w:lang w:bidi="ar-SA"/>
        </w:rPr>
        <w:t>»</w:t>
      </w:r>
      <w:r>
        <w:rPr>
          <w:rStyle w:val="FootnoteAnchor"/>
          <w:rtl w:val="true"/>
        </w:rPr>
        <w:footnoteReference w:id="594"/>
      </w:r>
      <w:r>
        <w:rPr>
          <w:rFonts w:ascii="Amiri" w:hAnsi="Amiri" w:eastAsia="Amiri" w:cs="Amiri"/>
          <w:color w:val="111111"/>
          <w:sz w:val="28"/>
          <w:sz w:val="28"/>
          <w:szCs w:val="28"/>
          <w:rtl w:val="true"/>
          <w:lang w:bidi="ar-SA"/>
        </w:rPr>
        <w:t xml:space="preserve">فاسدة ، كما يأتي الإشارة إليه </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الوجه الخامس ؛ لأ نّه وإن كان موجباً لحفظ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موجب لرفع اليد عن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وظهور الظرف في اللغوية وتعلّقه بالغسل ، وعن ظهور المقابلة بين الغسل بالتراب والغسل بالماء في المغايرة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وصِرف كون أحد الماءين خالصاً والآخر مخلوطاً بما لا يخرجه عن الإطلاق ، لا يوجب مقابلته للغسل بالماء ، بل في مثله لا بدّ من مقابلة القُراح بالمخلوط ، وظاهر النصّ </w:t>
      </w:r>
    </w:p>
    <w:p>
      <w:pPr>
        <w:pStyle w:val="BookText"/>
        <w:rPr/>
      </w:pPr>
      <w:r>
        <w:rPr>
          <w:rFonts w:ascii="Amiri" w:hAnsi="Amiri" w:eastAsia="Amiri" w:cs="Amiri"/>
          <w:color w:val="111111"/>
          <w:sz w:val="28"/>
          <w:sz w:val="28"/>
          <w:szCs w:val="28"/>
          <w:rtl w:val="true"/>
          <w:lang w:bidi="ar-SA"/>
        </w:rPr>
        <w:t xml:space="preserve">خلافه ، فحفظ ظهور الغسل موجب لارتكاب مخالفات للظواهر المتقدّمة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الاحتياط بالجمع بين الاثنين فما زاد ، فلزومه يتوقّف على التوقّف في فهم النصّ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المتفاهم منه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بالمناسبات المغروسة في الأذهان ؛ من كون الغسل بالتراب لقلع اللزوجة الحاصلة للإناء من لعاب الكلب الخارجة من فمه بواسطة الولوغ ، أو لأجل رفع القذارة الشديدة التي حصلت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ذلك التعفير ، ووضع التراب في الإناء ، ودلكه عنيفاً حتّى يقلع الأثر ، أو يدفع الاستقذار منه ، وهذا هو الموافق لفهم العرف في محاوراتهم ومقاولاتهم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الظهورات المتقدّمة محكّمة لدى العرف على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ظهوره، بل تكون إضافته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موجبة لظهوره فيما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مقتضى إطلاق الرواية عدم الفرق بين التراب اليابس ، أو مع المزج بمقدار لا يخرجه عن 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أنّ العرف يرى أنّ التراب مع مزج ما موجب لقلع القذارة ، كذلك يرى هذه الخاصّة للتراب بلا مزج ، كما يشاهد أنّ ذلك التراب أو نحوه يابساً على الأواني ، موجب لنظافتها جدّاً ، بل لعلّه أبلغ فيها</w:t>
      </w:r>
    </w:p>
    <w:p>
      <w:pPr>
        <w:pStyle w:val="BookText"/>
        <w:rPr/>
      </w:pPr>
      <w:r>
        <w:rPr>
          <w:rFonts w:ascii="IRNazanin" w:hAnsi="IRNazanin" w:eastAsia="IRNazanin"/>
          <w:color w:val="111111"/>
          <w:sz w:val="28"/>
          <w:sz w:val="28"/>
          <w:szCs w:val="28"/>
          <w:rtl w:val="true"/>
          <w:lang w:bidi="fa-IR"/>
        </w:rPr>
        <w:t xml:space="preserve">من الممزوج بالماء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فالأقوى هو التخيير بينهما أخذاً بإطلاق النصّ ومعاقد الإجماعات </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طريق الاحتياط التامّ الموجب للعمل بقول جميع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يغسله أوّلاً بالماء ، ثمّ أربع مرّات بالتراب ؛ أي يابسة ، وممزوجة مع بقاء اسمه ، </w:t>
      </w:r>
      <w:bookmarkStart w:id="228" w:name="pg15030_143156"/>
    </w:p>
    <w:p>
      <w:pPr>
        <w:pStyle w:val="BookText"/>
        <w:rPr/>
      </w:pPr>
      <w:bookmarkEnd w:id="228"/>
      <w:r>
        <w:rPr>
          <w:rFonts w:ascii="Amiri" w:hAnsi="Amiri" w:eastAsia="Amiri" w:cs="Amiri"/>
          <w:color w:val="111111"/>
          <w:sz w:val="28"/>
          <w:sz w:val="28"/>
          <w:szCs w:val="28"/>
          <w:rtl w:val="true"/>
          <w:lang w:bidi="ar-SA"/>
        </w:rPr>
        <w:t>وممزوجة مع ميعانه ، ومزجه بالماء مع بقاء إطلاقه ، ثمّ ستّاً بالماء عملاً بقول ابن الجنيد</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ما أفاده الشيخ الأعظم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لزوم العشر إذا روعي مذهب المفيد مع احتمالات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 بالتراب بينها غسلة وبعدها غسلة ، وإذا روعي مذهب الإسكافي بالسبع صارت الغسلات المتأخّرة خمساً ، فيصير أربعة عشر</w:t>
      </w:r>
      <w:r>
        <w:rPr>
          <w:rFonts w:eastAsia="Amiri" w:cs="Amiri" w:ascii="Amiri" w:hAnsi="Amiri"/>
          <w:color w:val="111111"/>
          <w:sz w:val="28"/>
          <w:szCs w:val="28"/>
          <w:rtl w:val="true"/>
          <w:lang w:bidi="ar-SA"/>
        </w:rPr>
        <w:t>»</w:t>
      </w:r>
      <w:r>
        <w:rPr>
          <w:rStyle w:val="FootnoteAnchor"/>
          <w:rtl w:val="true"/>
        </w:rPr>
        <w:footnoteReference w:id="596"/>
      </w:r>
      <w:r>
        <w:rPr>
          <w:rFonts w:ascii="Amiri" w:hAnsi="Amiri" w:eastAsia="Amiri" w:cs="Amiri"/>
          <w:color w:val="111111"/>
          <w:sz w:val="28"/>
          <w:sz w:val="28"/>
          <w:szCs w:val="28"/>
          <w:rtl w:val="true"/>
          <w:lang w:bidi="ar-SA"/>
        </w:rPr>
        <w:t xml:space="preserve">انتهى ، فيحتاج إلى مزيد تأمّل ، وإلاّ فيرد على ظاهره إشكالات </w:t>
      </w:r>
      <w:r>
        <w:rPr>
          <w:rFonts w:eastAsia="Amiri" w:cs="Amiri" w:ascii="Amiri" w:hAnsi="Amiri"/>
          <w:color w:val="111111"/>
          <w:sz w:val="28"/>
          <w:szCs w:val="28"/>
          <w:rtl w:val="true"/>
          <w:lang w:bidi="ar-SA"/>
        </w:rPr>
        <w:t>.</w:t>
      </w:r>
    </w:p>
    <w:p>
      <w:pPr>
        <w:pStyle w:val="Heading6"/>
        <w:numPr>
          <w:ilvl w:val="5"/>
          <w:numId w:val="1"/>
        </w:numPr>
        <w:rPr/>
      </w:pPr>
      <w:bookmarkStart w:id="229" w:name="__RefHeading___Toc212778_2142443653"/>
      <w:bookmarkStart w:id="230" w:name="_Toc81"/>
      <w:bookmarkEnd w:id="229"/>
      <w:r>
        <w:rPr>
          <w:rtl w:val="true"/>
        </w:rPr>
        <w:t xml:space="preserve">الثالث </w:t>
      </w:r>
      <w:r>
        <w:rPr>
          <w:rtl w:val="true"/>
        </w:rPr>
        <w:t xml:space="preserve">: </w:t>
      </w:r>
      <w:r>
        <w:rPr>
          <w:rtl w:val="true"/>
        </w:rPr>
        <w:t>في قيام غير التراب مقامه في التعفير</w:t>
      </w:r>
      <w:bookmarkEnd w:id="230"/>
    </w:p>
    <w:p>
      <w:pPr>
        <w:pStyle w:val="Heading6"/>
        <w:numPr>
          <w:ilvl w:val="5"/>
          <w:numId w:val="1"/>
        </w:numPr>
        <w:rPr/>
      </w:pPr>
      <w:bookmarkStart w:id="231" w:name="__RefHeading___Toc212780_2142443653"/>
      <w:bookmarkStart w:id="232" w:name="_Toc82"/>
      <w:bookmarkEnd w:id="231"/>
      <w:r>
        <w:rPr>
          <w:rtl w:val="true"/>
        </w:rPr>
        <w:t>اشارة</w:t>
      </w:r>
      <w:bookmarkEnd w:id="232"/>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حكي عن أبي علي الغسل بالتراب أو ما يقوم مقامه من غير قيد بفقده</w:t>
      </w:r>
      <w:r>
        <w:rPr>
          <w:rStyle w:val="FootnoteAnchor"/>
          <w:rtl w:val="true"/>
        </w:rPr>
        <w:footnoteReference w:id="5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القيام مطلقاً </w:t>
      </w:r>
      <w:r>
        <w:rPr>
          <w:rStyle w:val="FootnoteAnchor"/>
          <w:rtl w:val="true"/>
        </w:rPr>
        <w:footnoteReference w:id="5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والعلاّمة في جملة من كتبه قيام ما يشبهه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كالاُشْنان والصابون والجصّ ونظائرها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مقامَه عند فقده</w:t>
      </w:r>
      <w:r>
        <w:rPr>
          <w:rStyle w:val="FootnoteAnchor"/>
          <w:rtl w:val="true"/>
        </w:rPr>
        <w:footnoteReference w:id="5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الشيخ وجمع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نّه مع تعذّر التراب سقط اعتباره ، وطهر الإناء بغسله مرّتين</w:t>
      </w:r>
      <w:r>
        <w:rPr>
          <w:rFonts w:eastAsia="Amiri" w:cs="Amiri" w:ascii="Amiri" w:hAnsi="Amiri"/>
          <w:color w:val="111111"/>
          <w:sz w:val="28"/>
          <w:szCs w:val="28"/>
          <w:rtl w:val="true"/>
          <w:lang w:bidi="ar-SA"/>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ولولا مخافة مخالفة ظاهر الأصحاب والاحتياط ، لكان قول أبي علي قويّاً في النفس ؛ فإنّ النصّ وإن اقتصر على التراب ، وكذا ظاهر كلمات الأصحاب لزوم الغسل بالتراب ، لكن ليس باب غسل القذارات كباب التيمّم من الاُمور التعبّدية التي ليس للعرف طريق إلى فهم الملاك منها، فإنّه أمر معهود معلوم الملاك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طريق تطهير جملة من الاُمور لدى العرف الغسل بالتراب ، كالأواني المتلوّثة بالدسومات ونحوها ممّا فيها لزوجة ، بل استقذار شديد ، ولم يقتصروا فيها على الغمس في الماء ، أو الدلك باليد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هذا وذاك لا ينقدح في ذهن العرف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اغسله بالتراب أوّل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ذكره من باب المثال لكلّ قالع نحوه ، وإنّما ذكره لكونه كثير الوجود والمتعارف في التعفير ، فلو أمر بعض أهل العرف بعضاً بغسل إناء دسم بالتراب لا ينقدح في ذهنه أنّ للتراب خصوصية لا يحصل التنظيف إلاّ به ، وأ نّه لو غسله بالرماد أو الرمل أو النورة أو الجصّ ونحوها ، تخلّف عن الإتيان بالمراد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نجاسة الولوغ أمر معنوي مغفول لا يصل إليها العقول ، والغسل بخصوص التراب موجب لحصول النظافة منه بكشف الشارع ، فاسد وإن كانت نجاسة الكلب بجعل من الشارع ، لكن لم تكن إلاّ كسائر النجاسات الشديدة التي كان لنظافتها طريق معهود </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التطهير في ارتكاز العقلاء ، عبارةً عن إرجاع الأجسام والملاقيات للقذارات إلى حالتها الأصلية الأوّلية ، وهو يحصل بقلع المادّة القذرة بكيفية معهودة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التغسيل بالماء في جملة منها ، والتعفير ثمّ التغسيل في جملة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ينقدح في ذهنهم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اغسله بالتراب أوّل مرّة ثمّ </w:t>
      </w:r>
      <w:bookmarkStart w:id="233" w:name="pg15030_143158"/>
    </w:p>
    <w:p>
      <w:pPr>
        <w:pStyle w:val="BookText"/>
        <w:rPr/>
      </w:pPr>
      <w:bookmarkEnd w:id="233"/>
      <w:r>
        <w:rPr>
          <w:rFonts w:ascii="Amiri" w:hAnsi="Amiri" w:eastAsia="Amiri" w:cs="Amiri"/>
          <w:color w:val="111111"/>
          <w:sz w:val="28"/>
          <w:sz w:val="28"/>
          <w:szCs w:val="28"/>
          <w:rtl w:val="true"/>
          <w:lang w:bidi="ar-SA"/>
        </w:rPr>
        <w:t>بالماء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هو المعهود بينهم في التعفير والغسل فيما يحتاج إليهما ، وإلاّ</w:t>
      </w:r>
    </w:p>
    <w:p>
      <w:pPr>
        <w:pStyle w:val="BookText"/>
        <w:rPr/>
      </w:pPr>
      <w:r>
        <w:rPr>
          <w:rFonts w:ascii="Amiri" w:hAnsi="Amiri" w:eastAsia="Amiri" w:cs="Amiri"/>
          <w:color w:val="111111"/>
          <w:sz w:val="28"/>
          <w:sz w:val="28"/>
          <w:szCs w:val="28"/>
          <w:rtl w:val="true"/>
          <w:lang w:bidi="ar-SA"/>
        </w:rPr>
        <w:t xml:space="preserve">كان لازم الاقتصار والجمود على النصّ ، وجوبَ غسله بالتراب الخالص ، وعدمَ كفاية التراب الممزوج بالتبن أو الرمل أو الحصاة في الجملة مثلاً ، كما أنّ الأمر كذلك في التيمّم بالتراب ، فيعتبر أن يكون خالصاً من الأجزاء غير الأرضية إلاّ إذا استهلك فيها ، ولا أظنّ التزامهم به في المقام ، وليس ذلك إلاّ لما ذكرناه من الارتكاز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ينقدح في الأذهان الخالية عن الدقائق العلمية والفارغة من الشبهات المخرجة للنفوس عن السذاجة لفهم المطالب العرفية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للتراب خصوصية ليست لغيره ، فكما لا يفهم العقلاء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شكّ بين الثلاث والأربع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للرجل خصوصية ، فلا يكون إسراء الحكم إلى المرأة قياساً ، كذلك الأمر فيما نحن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ولولا مخافة مخالفتهم لقلنا بقيام كلّ قالع مقامه ، لكنّ الخروج عمّا قالوا مشكل ، بل الخروج عن مورد النصّ كذلك ، فالاقتصار على مورده لو لم يكن أقوى فهو أحوط ، سيّما في هذه النجاسة المجعولة من قِبل الشارع </w:t>
      </w:r>
      <w:r>
        <w:rPr>
          <w:rFonts w:eastAsia="Amiri" w:cs="Amiri" w:ascii="Amiri" w:hAnsi="Amiri"/>
          <w:color w:val="111111"/>
          <w:sz w:val="28"/>
          <w:szCs w:val="28"/>
          <w:rtl w:val="true"/>
          <w:lang w:bidi="ar-SA"/>
        </w:rPr>
        <w:t>.</w:t>
      </w:r>
    </w:p>
    <w:p>
      <w:pPr>
        <w:pStyle w:val="Heading6"/>
        <w:numPr>
          <w:ilvl w:val="5"/>
          <w:numId w:val="1"/>
        </w:numPr>
        <w:rPr/>
      </w:pPr>
      <w:bookmarkStart w:id="234" w:name="__RefHeading___Toc212782_2142443653"/>
      <w:bookmarkStart w:id="235" w:name="_Toc83"/>
      <w:bookmarkEnd w:id="234"/>
      <w:r>
        <w:rPr>
          <w:rtl w:val="true"/>
        </w:rPr>
        <w:t>عدم سقوط التعفير عند فقد التراب</w:t>
      </w:r>
      <w:bookmarkEnd w:id="235"/>
    </w:p>
    <w:p>
      <w:pPr>
        <w:pStyle w:val="BookText"/>
        <w:rPr/>
      </w:pPr>
      <w:r>
        <w:rPr>
          <w:rFonts w:ascii="Amiri" w:hAnsi="Amiri" w:eastAsia="Amiri" w:cs="Amiri"/>
          <w:color w:val="111111"/>
          <w:sz w:val="28"/>
          <w:sz w:val="28"/>
          <w:szCs w:val="28"/>
          <w:rtl w:val="true"/>
          <w:lang w:bidi="ar-SA"/>
        </w:rPr>
        <w:t>وأمّا سقوط التعفير مطلقاً مع فقد التراب والاقتصار على الغسلتين ، فغير وجيه جدّاً ، فهو نظير الالتزام بسقوط إحدى الغسلتين إذا فقد الماء إلاّ لمرّة ، أو</w:t>
      </w:r>
    </w:p>
    <w:p>
      <w:pPr>
        <w:pStyle w:val="BookText"/>
        <w:rPr/>
      </w:pPr>
      <w:r>
        <w:rPr>
          <w:rFonts w:ascii="IRNazanin" w:hAnsi="IRNazanin" w:eastAsia="IRNazanin"/>
          <w:color w:val="111111"/>
          <w:sz w:val="28"/>
          <w:sz w:val="28"/>
          <w:szCs w:val="28"/>
          <w:rtl w:val="true"/>
          <w:lang w:bidi="fa-IR"/>
        </w:rPr>
        <w:t xml:space="preserve">سقوطهما مع فقده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قيام غير التراب مقامه حال الفقدان والعذر كذلك ؛ لأنّ خصوصية </w:t>
      </w:r>
      <w:bookmarkStart w:id="236" w:name="pg15030_143159"/>
    </w:p>
    <w:p>
      <w:pPr>
        <w:pStyle w:val="BookText"/>
        <w:rPr/>
      </w:pPr>
      <w:bookmarkEnd w:id="236"/>
      <w:r>
        <w:rPr>
          <w:rFonts w:ascii="Amiri" w:hAnsi="Amiri" w:eastAsia="Amiri" w:cs="Amiri"/>
          <w:color w:val="111111"/>
          <w:sz w:val="28"/>
          <w:sz w:val="28"/>
          <w:szCs w:val="28"/>
          <w:rtl w:val="true"/>
          <w:lang w:bidi="ar-SA"/>
        </w:rPr>
        <w:t xml:space="preserve">التراب معتبرة ، فلا تتحقّق الطهارة إلاّ به ، والعذر والفقدان لا يوجبان مطهّرية غير المطهّر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ودليل الميسور</w:t>
      </w:r>
      <w:r>
        <w:rPr>
          <w:rStyle w:val="FootnoteAnchor"/>
          <w:rtl w:val="true"/>
        </w:rPr>
        <w:footnoteReference w:id="6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ثبوت جابر له ، وعدم كون مثل المورد مصبّه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يدلّ على حصول الطهارة بالميسور ، ولهذا لو فقد الماء بمقدار الغسلتين ، لا يقوم المرّة مقام المرّتين بدليله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مثل المورد ليس مجرى دليل الحرج</w:t>
      </w:r>
      <w:r>
        <w:rPr>
          <w:rStyle w:val="FootnoteAnchor"/>
          <w:rtl w:val="true"/>
        </w:rPr>
        <w:footnoteReference w:id="602"/>
      </w:r>
      <w:r>
        <w:rPr>
          <w:rFonts w:ascii="IRNazanin" w:hAnsi="IRNazanin" w:eastAsia="IRNazanin"/>
          <w:color w:val="111111"/>
          <w:sz w:val="28"/>
          <w:sz w:val="28"/>
          <w:szCs w:val="28"/>
          <w:rtl w:val="true"/>
          <w:lang w:bidi="fa-IR"/>
        </w:rPr>
        <w:t>والضرر</w:t>
      </w:r>
      <w:r>
        <w:rPr>
          <w:rStyle w:val="FootnoteAnchor"/>
          <w:rtl w:val="true"/>
        </w:rPr>
        <w:footnoteReference w:id="603"/>
      </w:r>
      <w:r>
        <w:rPr>
          <w:rFonts w:ascii="Amiri" w:hAnsi="Amiri" w:eastAsia="Amiri" w:cs="Amiri"/>
          <w:color w:val="111111"/>
          <w:sz w:val="28"/>
          <w:sz w:val="28"/>
          <w:szCs w:val="28"/>
          <w:rtl w:val="true"/>
          <w:lang w:bidi="ar-SA"/>
        </w:rPr>
        <w:t xml:space="preserve">، ولا يكون دليلهما مشرّعاً ، ولهذا لو فقد الماء والتراب ، لا يمكن أن يقال بطهارة الإناء ، وهو واضح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فالأوجه من تلك الأقوال قول أبي علي ؛ وإن كان الوقوف على ظاهر النصّ وكلمات الأصحاب أحوط أو أوجه </w:t>
      </w:r>
      <w:r>
        <w:rPr>
          <w:rFonts w:eastAsia="Amiri" w:cs="Amiri" w:ascii="Amiri" w:hAnsi="Amiri"/>
          <w:color w:val="111111"/>
          <w:sz w:val="28"/>
          <w:szCs w:val="28"/>
          <w:rtl w:val="true"/>
          <w:lang w:bidi="ar-SA"/>
        </w:rPr>
        <w:t>.</w:t>
      </w:r>
    </w:p>
    <w:p>
      <w:pPr>
        <w:pStyle w:val="Heading6"/>
        <w:numPr>
          <w:ilvl w:val="5"/>
          <w:numId w:val="1"/>
        </w:numPr>
        <w:rPr/>
      </w:pPr>
      <w:bookmarkStart w:id="237" w:name="__RefHeading___Toc212784_2142443653"/>
      <w:bookmarkStart w:id="238" w:name="_Toc84"/>
      <w:bookmarkEnd w:id="237"/>
      <w:r>
        <w:rPr>
          <w:rtl w:val="true"/>
        </w:rPr>
        <w:t xml:space="preserve">الرابع </w:t>
      </w:r>
      <w:r>
        <w:rPr>
          <w:rtl w:val="true"/>
        </w:rPr>
        <w:t xml:space="preserve">: </w:t>
      </w:r>
      <w:r>
        <w:rPr>
          <w:rtl w:val="true"/>
        </w:rPr>
        <w:t>في صور العجز عن التعفير وأحكامها</w:t>
      </w:r>
      <w:bookmarkEnd w:id="238"/>
    </w:p>
    <w:p>
      <w:pPr>
        <w:pStyle w:val="BookText"/>
        <w:rPr/>
      </w:pPr>
      <w:r>
        <w:rPr>
          <w:rFonts w:ascii="Amiri" w:hAnsi="Amiri" w:eastAsia="Amiri" w:cs="Amiri"/>
          <w:color w:val="111111"/>
          <w:sz w:val="28"/>
          <w:sz w:val="28"/>
          <w:szCs w:val="28"/>
          <w:rtl w:val="true"/>
          <w:lang w:bidi="ar-SA"/>
        </w:rPr>
        <w:t xml:space="preserve">لو لم يمكن التعفير ، فهو إمّا لضيق المجرى ؛ بحيث لا يمكن معه ذلك ولو بآلة ، كخشبة رقيقة أو ميل كذلك تجعل في رأسهما خرقة ليعفّر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لعدم قابلية المحلّ ، ككون الإناء من القرطاس ونحوه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يلزم منه فساده ، كآنية منقوشة لو غسلت بالتراب زالت النقوش وفسدت </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شبهة في أنّ الأخيرة لا تطهر إلاّ بالتعفير ، وزوال النقوش به لا يوجب طهارتها بلا مطهّر معتبر ، كما لو فرض زوالها بالغسل ، فإنّه لا يوجب طهارتها </w:t>
      </w:r>
    </w:p>
    <w:p>
      <w:pPr>
        <w:pStyle w:val="BookText"/>
        <w:rPr/>
      </w:pPr>
      <w:r>
        <w:rPr>
          <w:rFonts w:ascii="Amiri" w:hAnsi="Amiri" w:eastAsia="Amiri" w:cs="Amiri"/>
          <w:color w:val="111111"/>
          <w:sz w:val="28"/>
          <w:sz w:val="28"/>
          <w:szCs w:val="28"/>
          <w:rtl w:val="true"/>
          <w:lang w:bidi="ar-SA"/>
        </w:rPr>
        <w:t xml:space="preserve">بلا 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ما في التمسّك بدليل الحرج والضرر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الاُوليان ، فيمكن القول بقصور دليل التعفير عن إثباته لنحوهما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تحقّق الولوغ فيها غير معلوم ، أو معلوم العدم ؛ لأ نّه عبارة</w:t>
      </w:r>
    </w:p>
    <w:p>
      <w:pPr>
        <w:pStyle w:val="BookText"/>
        <w:rPr/>
      </w:pPr>
      <w:r>
        <w:rPr>
          <w:rFonts w:ascii="Amiri" w:hAnsi="Amiri" w:eastAsia="Amiri" w:cs="Amiri"/>
          <w:color w:val="111111"/>
          <w:sz w:val="28"/>
          <w:sz w:val="28"/>
          <w:szCs w:val="28"/>
          <w:rtl w:val="true"/>
          <w:lang w:bidi="ar-SA"/>
        </w:rPr>
        <w:t xml:space="preserve">عن شرب الكلب من الإناء بأطراف لسانه بالنحو المعهود ، وهو لا يحصل في مثل قارورة ضيّقة الفم جدّاً بحيث لا يمكن إدخال ميل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فرض تحقّقه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رأسها وسيعاً ، وعنقها ضيّقاً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w:t>
      </w:r>
    </w:p>
    <w:p>
      <w:pPr>
        <w:pStyle w:val="BookText"/>
        <w:rPr/>
      </w:pPr>
      <w:r>
        <w:rPr>
          <w:rFonts w:ascii="Amiri" w:hAnsi="Amiri" w:eastAsia="Amiri" w:cs="Amiri"/>
          <w:color w:val="111111"/>
          <w:sz w:val="28"/>
          <w:sz w:val="28"/>
          <w:szCs w:val="28"/>
          <w:rtl w:val="true"/>
          <w:lang w:bidi="ar-SA"/>
        </w:rPr>
        <w:t xml:space="preserve">بقاؤها على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 تعطيلها حرجاً أو ضرراً قد مرّ الكلام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سوق الرواية في إناء يمكن تعفيره ، فالدليل منصرف عمّا لا يمكن تعفيره لفقد القابلية، ولهذا اقتصر الفقهاء قديماً وحديثاً على الأواني، مع</w:t>
      </w:r>
    </w:p>
    <w:p>
      <w:pPr>
        <w:pStyle w:val="BookText"/>
        <w:rPr/>
      </w:pPr>
      <w:r>
        <w:rPr>
          <w:rFonts w:ascii="Amiri" w:hAnsi="Amiri" w:eastAsia="Amiri" w:cs="Amiri"/>
          <w:color w:val="111111"/>
          <w:sz w:val="28"/>
          <w:sz w:val="28"/>
          <w:szCs w:val="28"/>
          <w:rtl w:val="true"/>
          <w:lang w:bidi="ar-SA"/>
        </w:rPr>
        <w:t>أنّ مورد النصّ فضل الكلب ، وهو صادق فيما إذا ولغ في ثوب اجتمع فيه الماء ، كعمامة أو قَلَنْسوة ، لكن لمّا لم يكن التعفير ونحوه في الأثواب ونظائرها متعارفاً</w:t>
      </w:r>
    </w:p>
    <w:p>
      <w:pPr>
        <w:pStyle w:val="BookText"/>
        <w:rPr/>
      </w:pPr>
      <w:r>
        <w:rPr>
          <w:rFonts w:ascii="Amiri" w:hAnsi="Amiri" w:eastAsia="Amiri" w:cs="Amiri"/>
          <w:color w:val="111111"/>
          <w:sz w:val="28"/>
          <w:sz w:val="28"/>
          <w:szCs w:val="28"/>
          <w:rtl w:val="true"/>
          <w:lang w:bidi="ar-SA"/>
        </w:rPr>
        <w:t xml:space="preserve">لدى العرف ، بل لم تكن قابلة له عرفاً ، لم يفهم من النصّ غير الأواني القابلة له </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فالأقوى في مثل الآنية غير القابلة ذاتاً للتعفير عدم لزومه ، وطهارته بغيره ؛ أخذاً بإطلاق صحيحة محمّد بن مسلم ،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الكلب يشرب من الإناء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اغسل الإناء</w:t>
      </w:r>
      <w:r>
        <w:rPr>
          <w:rFonts w:eastAsia="IRNazanin" w:cs="IRNazanin"/>
          <w:color w:val="111111"/>
          <w:sz w:val="28"/>
          <w:szCs w:val="28"/>
          <w:rtl w:val="true"/>
          <w:lang w:bidi="fa-IR"/>
        </w:rPr>
        <w:t>»</w:t>
      </w:r>
      <w:r>
        <w:rPr>
          <w:rStyle w:val="FootnoteAnchor"/>
          <w:rtl w:val="true"/>
        </w:rPr>
        <w:footnoteReference w:id="604"/>
      </w:r>
      <w:r>
        <w:rPr>
          <w:rFonts w:ascii="Amiri" w:hAnsi="Amiri" w:eastAsia="Amiri" w:cs="Amiri"/>
          <w:color w:val="111111"/>
          <w:sz w:val="28"/>
          <w:sz w:val="28"/>
          <w:szCs w:val="28"/>
          <w:rtl w:val="true"/>
          <w:lang w:bidi="ar-SA"/>
        </w:rPr>
        <w:t>لقصور صحيحة البقباق</w:t>
      </w:r>
      <w:r>
        <w:rPr>
          <w:rStyle w:val="FootnoteAnchor"/>
          <w:rtl w:val="true"/>
        </w:rPr>
        <w:footnoteReference w:id="605"/>
      </w:r>
      <w:r>
        <w:rPr>
          <w:rFonts w:ascii="Amiri" w:hAnsi="Amiri" w:eastAsia="Amiri" w:cs="Amiri"/>
          <w:color w:val="111111"/>
          <w:sz w:val="28"/>
          <w:sz w:val="28"/>
          <w:szCs w:val="28"/>
          <w:rtl w:val="true"/>
          <w:lang w:bidi="ar-SA"/>
        </w:rPr>
        <w:t xml:space="preserve">عن تقييدها في مثل المورد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ولو استشكل في إطلاقها أو قيل بوهنها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لاستلزام تقييدها بصحيحة البقباق في الأواني الممكنة الغسل ، بقاءَ الفرد النادر تحتها ، وهو مستهجن حتّى في المطلقات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يمكن التمسّك بموثّقة عمّار الساباطي ،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عن الكوز والإناء يكون قذراً ، كيف يغسل ، وكم مرّة يغسل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يغسل ثلاث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يصبّ فيه الماء فيحرّك فيه ، ثمّ يفرغ منه ، ثمّ يصبّ فيه ماء آخر فيحرّك فيه ، ثمّ يفرغ ذلك الماء ، ثمّ يصبّ فيه ماء آخر فيحرّك فيه ، ثمّ يفرغ منه ، فقد طهر</w:t>
      </w:r>
      <w:r>
        <w:rPr>
          <w:rFonts w:eastAsia="IRNazanin" w:cs="IRNazanin"/>
          <w:color w:val="111111"/>
          <w:sz w:val="28"/>
          <w:szCs w:val="28"/>
          <w:rtl w:val="true"/>
          <w:lang w:bidi="fa-IR"/>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بعد تقييدها بصحيحة البقباق في إناء يمكن تعفيره ، ولا يلزم فيه استهجان ، 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فالأقوى في الموارد التي كانت خارجة عن مصبّ الصحيحة ، الغسل ثلاثاً ، والاكتفاء بالواحد غير جائز ؛ لما عرفت من الإشكال في إطلاق صحيحة ابن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لقرب احتمال عدم الإطلاق فيها ، بل لعلّه مقطوع الخلاف ؛ لما يأتي من لزوم غسل الأواني من مطلق النجاسات ثلاث مرّات</w:t>
      </w:r>
      <w:r>
        <w:rPr>
          <w:rStyle w:val="FootnoteAnchor"/>
          <w:rtl w:val="true"/>
        </w:rPr>
        <w:footnoteReference w:id="607"/>
      </w:r>
      <w:r>
        <w:rPr>
          <w:rFonts w:ascii="Amiri" w:hAnsi="Amiri" w:eastAsia="Amiri" w:cs="Amiri"/>
          <w:color w:val="111111"/>
          <w:sz w:val="28"/>
          <w:sz w:val="28"/>
          <w:szCs w:val="28"/>
          <w:rtl w:val="true"/>
          <w:lang w:bidi="ar-SA"/>
        </w:rPr>
        <w:t>، مع كون الكلب أنجس من سائر المخلوقات ، وكون المتنجّس بولوغه أشدّ رجساً من سائر أجزائه ، كما يظهر من الروايات</w:t>
      </w:r>
      <w:r>
        <w:rPr>
          <w:rStyle w:val="FootnoteAnchor"/>
          <w:rtl w:val="true"/>
        </w:rPr>
        <w:footnoteReference w:id="608"/>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9" w:name="pg15030_143162"/>
    </w:p>
    <w:p>
      <w:pPr>
        <w:pStyle w:val="BookText"/>
        <w:rPr/>
      </w:pPr>
      <w:bookmarkEnd w:id="239"/>
      <w:r>
        <w:rPr>
          <w:rFonts w:ascii="Amiri" w:hAnsi="Amiri" w:eastAsia="Amiri" w:cs="Amiri"/>
          <w:color w:val="111111"/>
          <w:sz w:val="28"/>
          <w:sz w:val="28"/>
          <w:szCs w:val="28"/>
          <w:rtl w:val="true"/>
          <w:lang w:bidi="ar-SA"/>
        </w:rPr>
        <w:t xml:space="preserve">ومنه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الاكتفاء بالمرّتين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التعفير ساقط والغسلتين مطهّرتان بعد سقوطه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أخذاً بصحيحة البقباق في المرّتين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 لأنّ مصبّها أنّ الغسلتين مطهّرتان فيما إذا سبقهما التعفير ، المؤثّر في تخفيف النجاسة بالقلع ورفع الأثر ، ولولا موثّقة عمّار المتقدّمة لأمكن القول ببقاء تلك الأواني على النجاسة أخذاً بالاستصحاب </w:t>
      </w:r>
      <w:r>
        <w:rPr>
          <w:rFonts w:eastAsia="Amiri" w:cs="Amiri" w:ascii="Amiri" w:hAnsi="Amiri"/>
          <w:color w:val="111111"/>
          <w:sz w:val="28"/>
          <w:szCs w:val="28"/>
          <w:rtl w:val="true"/>
          <w:lang w:bidi="ar-SA"/>
        </w:rPr>
        <w:t>.</w:t>
      </w:r>
    </w:p>
    <w:p>
      <w:pPr>
        <w:pStyle w:val="Heading6"/>
        <w:numPr>
          <w:ilvl w:val="5"/>
          <w:numId w:val="1"/>
        </w:numPr>
        <w:rPr/>
      </w:pPr>
      <w:bookmarkStart w:id="240" w:name="__RefHeading___Toc212786_2142443653"/>
      <w:bookmarkStart w:id="241" w:name="_Toc85"/>
      <w:bookmarkEnd w:id="240"/>
      <w:r>
        <w:rPr>
          <w:rtl w:val="true"/>
        </w:rPr>
        <w:t xml:space="preserve">الخامس </w:t>
      </w:r>
      <w:r>
        <w:rPr>
          <w:rtl w:val="true"/>
        </w:rPr>
        <w:t xml:space="preserve">: </w:t>
      </w:r>
      <w:r>
        <w:rPr>
          <w:rtl w:val="true"/>
        </w:rPr>
        <w:t>عدم سقوط التعفير والعدد عند الغسل بالماء الكثير والجاري</w:t>
      </w:r>
      <w:bookmarkEnd w:id="241"/>
    </w:p>
    <w:p>
      <w:pPr>
        <w:pStyle w:val="BookText"/>
        <w:rPr/>
      </w:pPr>
      <w:r>
        <w:rPr>
          <w:rFonts w:ascii="Amiri" w:hAnsi="Amiri" w:eastAsia="Amiri" w:cs="Amiri"/>
          <w:color w:val="111111"/>
          <w:sz w:val="28"/>
          <w:sz w:val="28"/>
          <w:szCs w:val="28"/>
          <w:rtl w:val="true"/>
          <w:lang w:bidi="ar-SA"/>
        </w:rPr>
        <w:t xml:space="preserve">هل يسقط التعفير بالغسل بالماء الكثير والجاري والمطر وما بحكمها وكذا العدد فيكتفى بمرّة واحدة ؟ أو يسقط العدد دون التعفير ؟ أو يسقط العدد أيضاً ؟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المشهور بين الأصحاب سقوط التعدّد في الغسل إذا وقع الإناء في الماء الكثير ، وكذا كلّ نجس يحتاج إلى العدد ، إلاّ أ نّه لا بدّ من</w:t>
      </w:r>
    </w:p>
    <w:p>
      <w:pPr>
        <w:pStyle w:val="BookText"/>
        <w:rPr/>
      </w:pPr>
      <w:r>
        <w:rPr>
          <w:rFonts w:ascii="Amiri" w:hAnsi="Amiri" w:eastAsia="Amiri" w:cs="Amiri"/>
          <w:color w:val="111111"/>
          <w:sz w:val="28"/>
          <w:sz w:val="28"/>
          <w:szCs w:val="28"/>
          <w:rtl w:val="true"/>
          <w:lang w:bidi="ar-SA"/>
        </w:rPr>
        <w:t>تقديم التعفير في إناء الولوغ</w:t>
      </w:r>
      <w:r>
        <w:rPr>
          <w:rFonts w:eastAsia="Amiri" w:cs="Amiri" w:ascii="Amiri" w:hAnsi="Amiri"/>
          <w:color w:val="111111"/>
          <w:sz w:val="28"/>
          <w:szCs w:val="28"/>
          <w:rtl w:val="true"/>
          <w:lang w:bidi="ar-SA"/>
        </w:rPr>
        <w:t>»</w:t>
      </w:r>
      <w:r>
        <w:rPr>
          <w:rStyle w:val="FootnoteAnchor"/>
          <w:rtl w:val="true"/>
        </w:rPr>
        <w:footnoteReference w:id="609"/>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وفيما ادّعى من 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في الطبقة المتقدّمة من فقهاء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ومنع ، بل مقتضى إطلاقهم وإطلاق معاقد الإجماعات المدّعاة</w:t>
      </w:r>
      <w:r>
        <w:rPr>
          <w:rStyle w:val="FootnoteAnchor"/>
          <w:rtl w:val="true"/>
        </w:rPr>
        <w:footnoteReference w:id="610"/>
      </w:r>
      <w:r>
        <w:rPr>
          <w:rFonts w:ascii="Amiri" w:hAnsi="Amiri" w:eastAsia="Amiri" w:cs="Amiri"/>
          <w:color w:val="111111"/>
          <w:sz w:val="28"/>
          <w:sz w:val="28"/>
          <w:szCs w:val="28"/>
          <w:rtl w:val="true"/>
          <w:lang w:bidi="ar-SA"/>
        </w:rPr>
        <w:t xml:space="preserve">، عدم الفرق بين القليل والكثير وسائر أقسام المياه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ويؤكّد الإطلاق تصريح شيخ الطائفة بلزوم العدد في الكثير</w:t>
      </w:r>
      <w:r>
        <w:rPr>
          <w:rStyle w:val="FootnoteAnchor"/>
          <w:rtl w:val="true"/>
        </w:rPr>
        <w:footnoteReference w:id="611"/>
      </w:r>
      <w:r>
        <w:rPr>
          <w:rFonts w:ascii="Amiri" w:hAnsi="Amiri" w:eastAsia="Amiri" w:cs="Amiri"/>
          <w:color w:val="111111"/>
          <w:sz w:val="28"/>
          <w:sz w:val="28"/>
          <w:szCs w:val="28"/>
          <w:rtl w:val="true"/>
          <w:lang w:bidi="ar-SA"/>
        </w:rPr>
        <w:t xml:space="preserve">، فيظهر منه أ نّه أراد بلزوم الغسل بالماء </w:t>
      </w:r>
    </w:p>
    <w:p>
      <w:pPr>
        <w:pStyle w:val="BookText"/>
        <w:rPr/>
      </w:pPr>
      <w:r>
        <w:rPr>
          <w:rFonts w:ascii="Amiri" w:hAnsi="Amiri" w:eastAsia="Amiri" w:cs="Amiri"/>
          <w:color w:val="111111"/>
          <w:sz w:val="28"/>
          <w:sz w:val="28"/>
          <w:szCs w:val="28"/>
          <w:rtl w:val="true"/>
          <w:lang w:bidi="ar-SA"/>
        </w:rPr>
        <w:t>مرّتين مطلقَ المياه ، فتمسّكه بالإجماع وصحيحة أبي العبّاس ، يكون في الأعمّ</w:t>
      </w:r>
    </w:p>
    <w:p>
      <w:pPr>
        <w:pStyle w:val="BookText"/>
        <w:rPr/>
      </w:pPr>
      <w:r>
        <w:rPr>
          <w:rFonts w:ascii="Amiri" w:hAnsi="Amiri" w:eastAsia="Amiri" w:cs="Amiri"/>
          <w:color w:val="111111"/>
          <w:sz w:val="28"/>
          <w:sz w:val="28"/>
          <w:szCs w:val="28"/>
          <w:rtl w:val="true"/>
          <w:lang w:bidi="ar-SA"/>
        </w:rPr>
        <w:t>من القليل</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عدم سقوط التعفير ، وكذا العدد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الأوّل ، فلأنّ المتفاهم من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اغسله بالتراب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التعفير به لقلع الأثر لا التطهير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ومرسلة الكاهلي في المطر</w:t>
      </w:r>
      <w:r>
        <w:rPr>
          <w:rStyle w:val="FootnoteAnchor"/>
          <w:rtl w:val="true"/>
        </w:rPr>
        <w:footnoteReference w:id="613"/>
      </w:r>
      <w:r>
        <w:rPr>
          <w:rFonts w:ascii="Amiri" w:hAnsi="Amiri" w:eastAsia="Amiri" w:cs="Amiri"/>
          <w:color w:val="111111"/>
          <w:sz w:val="28"/>
          <w:sz w:val="28"/>
          <w:szCs w:val="28"/>
          <w:rtl w:val="true"/>
          <w:lang w:bidi="ar-SA"/>
        </w:rPr>
        <w:t>ومرسلة العلاّمة في الكثير</w:t>
      </w:r>
      <w:r>
        <w:rPr>
          <w:rStyle w:val="FootnoteAnchor"/>
          <w:rtl w:val="true"/>
        </w:rPr>
        <w:footnoteReference w:id="6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الغضّ عن إرسالهما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تد لاّن على قيام المطر والكثير مقام العدد في المطهّر المعتبر فيه العدد ، لا في القالع للأثر ؛ لظهورهما في كونهما مطهّرين وقائمين مقام</w:t>
      </w:r>
    </w:p>
    <w:p>
      <w:pPr>
        <w:pStyle w:val="BookText"/>
        <w:rPr/>
      </w:pPr>
      <w:r>
        <w:rPr>
          <w:rFonts w:ascii="Amiri" w:hAnsi="Amiri" w:eastAsia="Amiri" w:cs="Amiri"/>
          <w:color w:val="111111"/>
          <w:sz w:val="28"/>
          <w:sz w:val="28"/>
          <w:szCs w:val="28"/>
          <w:rtl w:val="true"/>
          <w:lang w:bidi="ar-SA"/>
        </w:rPr>
        <w:t>المطهّر لا القالع ، وليس القالع مطهّراً ، ولهذا إنّ الأقوى عدم اعتبار الطهارة في</w:t>
      </w:r>
    </w:p>
    <w:p>
      <w:pPr>
        <w:pStyle w:val="BookText"/>
        <w:rPr/>
      </w:pPr>
      <w:r>
        <w:rPr>
          <w:rFonts w:ascii="Amiri" w:hAnsi="Amiri" w:eastAsia="Amiri" w:cs="Amiri"/>
          <w:color w:val="111111"/>
          <w:sz w:val="28"/>
          <w:sz w:val="28"/>
          <w:szCs w:val="28"/>
          <w:rtl w:val="true"/>
          <w:lang w:bidi="ar-SA"/>
        </w:rPr>
        <w:t>التراب ؛ لإطلاق الصحيحة</w:t>
      </w:r>
      <w:r>
        <w:rPr>
          <w:rStyle w:val="FootnoteAnchor"/>
          <w:rtl w:val="true"/>
        </w:rPr>
        <w:footnoteReference w:id="615"/>
      </w:r>
      <w:r>
        <w:rPr>
          <w:rFonts w:ascii="Amiri" w:hAnsi="Amiri" w:eastAsia="Amiri" w:cs="Amiri"/>
          <w:color w:val="111111"/>
          <w:sz w:val="28"/>
          <w:sz w:val="28"/>
          <w:szCs w:val="28"/>
          <w:rtl w:val="true"/>
          <w:lang w:bidi="ar-SA"/>
        </w:rPr>
        <w:t>، ومنع الانصراف إلى الطاهر فيما لا يكون إلاّ للقلع</w:t>
      </w:r>
    </w:p>
    <w:p>
      <w:pPr>
        <w:pStyle w:val="BookText"/>
        <w:rPr/>
      </w:pPr>
      <w:r>
        <w:rPr>
          <w:rFonts w:ascii="IRNazanin" w:hAnsi="IRNazanin" w:eastAsia="IRNazanin"/>
          <w:color w:val="111111"/>
          <w:sz w:val="28"/>
          <w:sz w:val="28"/>
          <w:szCs w:val="28"/>
          <w:rtl w:val="true"/>
          <w:lang w:bidi="fa-IR"/>
        </w:rPr>
        <w:t xml:space="preserve">الحاصل به مطلقاً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الروايتين منصرفتان عن القيام مقامه </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القيام مقام العدد ، فقد يقال في تقريبه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 نّه إذا سلّمنا وجود المرّتين في رواية البقباق ، ومقتضى إطلاقها لزومهما حتّى في غير القليل ، لكن تقييدها بما إذا كان الغسل بالقليل ، أولى في مقام الجمع من تخصيص الخبرين بها ؛ فإنّ ظهور المطلق أضعف من ظهور العامّين في العموم بالنسبة إلى مورد الاجتماع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قد يدّعى انصراف المطلق في حدّ ذاته إلى إرادة الغسل بالماء القليل ؛ لكونه هو الغالب في مكان صدور المطلق</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ما فيه ؛ فإنّ الأمر لا يدور بين التخصيص والتقي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 حتّى يقال فيه</w:t>
      </w:r>
    </w:p>
    <w:p>
      <w:pPr>
        <w:pStyle w:val="BookText"/>
        <w:rPr/>
      </w:pPr>
      <w:r>
        <w:rPr>
          <w:rFonts w:ascii="IRNazanin" w:hAnsi="IRNazanin" w:eastAsia="IRNazanin"/>
          <w:color w:val="111111"/>
          <w:sz w:val="28"/>
          <w:sz w:val="28"/>
          <w:szCs w:val="28"/>
          <w:rtl w:val="true"/>
          <w:lang w:bidi="fa-IR"/>
        </w:rPr>
        <w:t xml:space="preserve">بالترجيح ، مع إشكال فيه أيضاً ، بل يدور بين التقييدين ؛ فإنّ لقوله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شيء يراه ماء المطر فقد طهر</w:t>
      </w:r>
      <w:r>
        <w:rPr>
          <w:rFonts w:eastAsia="IRNazanin" w:cs="IRNazanin"/>
          <w:color w:val="111111"/>
          <w:sz w:val="28"/>
          <w:szCs w:val="28"/>
          <w:rtl w:val="true"/>
          <w:lang w:bidi="fa-IR"/>
        </w:rPr>
        <w:t>»</w:t>
      </w:r>
      <w:r>
        <w:rPr>
          <w:rStyle w:val="FootnoteAnchor"/>
          <w:rtl w:val="true"/>
        </w:rPr>
        <w:footnoteReference w:id="618"/>
      </w:r>
      <w:r>
        <w:rPr>
          <w:rFonts w:ascii="Amiri" w:hAnsi="Amiri" w:eastAsia="Amiri" w:cs="Amiri"/>
          <w:color w:val="111111"/>
          <w:sz w:val="28"/>
          <w:sz w:val="28"/>
          <w:szCs w:val="28"/>
          <w:rtl w:val="true"/>
          <w:lang w:bidi="ar-SA"/>
        </w:rPr>
        <w:t xml:space="preserve">عموماً أفرادياً بالنسبة إلى المتنجّسات ، وإطلاقاً لازمه الاكتفاء بمجرّد الرؤية وعدم لزوم العدد ، فلو خرج المتنجّس بالولوغ عنه تخصيصاً ، يلزم منه عدم مطهّرية المطر له ؛ سواء أصابه مرّة أو دفعات ، وهو 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قيل بلزوم العدد فليس ذلك تخصيصاً للأفراد ، بل تقييد لإطلاق الرؤية ، كما أنّ لزوم التعفير أيضاً 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 ؛ لو فرض إطلاقها من هذه الجهة ، وغضّ البصر عمّا 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فحينئذٍ الأرجح في النظر العرفي تقديم إطلاق الصحيحة على إطلاق المرسلة ؛ لأنّ العرف يرى أنّ للولوغ خصوصية موجبة لشدّة نجاسة الإناء به ، بحيث لا يكتفى فيه بالماء فقط ، ولا بالمرّة ، فلا ينقدح في الأذهان إلاّ إخراج الإناء الذي ولغ فيه الكلب من سائر النجاسات ؛ لمزيد خصوصية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الأظهر تحكيم الصحيحة على المرسلة </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وأضعف منه دعوى الانصراف إلى القليل ؛ فإنّ مجرّد ذلك لا يوجبه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السائل من الكوفيين ، والمجيب يراعي حال السائل وبلده ، وهو محلّ وفور الجاري والكثير </w:t>
      </w:r>
      <w:r>
        <w:rPr>
          <w:rFonts w:eastAsia="Amiri" w:cs="Amiri" w:ascii="Amiri" w:hAnsi="Amiri"/>
          <w:color w:val="111111"/>
          <w:sz w:val="28"/>
          <w:szCs w:val="28"/>
          <w:rtl w:val="true"/>
          <w:lang w:bidi="ar-SA"/>
        </w:rPr>
        <w:t xml:space="preserve">. </w:t>
      </w:r>
      <w:bookmarkStart w:id="242" w:name="pg15030_143165"/>
    </w:p>
    <w:p>
      <w:pPr>
        <w:pStyle w:val="BookText"/>
        <w:rPr/>
      </w:pPr>
      <w:bookmarkEnd w:id="242"/>
      <w:r>
        <w:rPr>
          <w:rFonts w:ascii="Amiri" w:hAnsi="Amiri" w:eastAsia="Amiri" w:cs="Amiri"/>
          <w:color w:val="111111"/>
          <w:sz w:val="28"/>
          <w:sz w:val="28"/>
          <w:szCs w:val="28"/>
          <w:rtl w:val="true"/>
          <w:lang w:bidi="ar-SA"/>
        </w:rPr>
        <w:t xml:space="preserve">وممّا ذكرناه يظهر حال مرسلة العلاّمة ، مع أنّ فيها ضعفاً غير مجبور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الظاهر كون سند الاُولى مجبوراً بالعمل </w:t>
      </w:r>
      <w:r>
        <w:rPr>
          <w:rFonts w:eastAsia="Amiri" w:cs="Amiri" w:ascii="Amiri" w:hAnsi="Amiri"/>
          <w:color w:val="111111"/>
          <w:sz w:val="28"/>
          <w:szCs w:val="28"/>
          <w:rtl w:val="true"/>
          <w:lang w:bidi="ar-SA"/>
        </w:rPr>
        <w:t>.</w:t>
      </w:r>
    </w:p>
    <w:p>
      <w:pPr>
        <w:pStyle w:val="Heading4"/>
        <w:numPr>
          <w:ilvl w:val="3"/>
          <w:numId w:val="1"/>
        </w:numPr>
        <w:rPr/>
      </w:pPr>
      <w:bookmarkStart w:id="243" w:name="__RefHeading___Toc212788_2142443653"/>
      <w:bookmarkStart w:id="244" w:name="_Toc86"/>
      <w:bookmarkEnd w:id="243"/>
      <w:r>
        <w:rPr>
          <w:rtl w:val="true"/>
        </w:rPr>
        <w:t xml:space="preserve">المسألة الثانية </w:t>
      </w:r>
      <w:r>
        <w:rPr>
          <w:rtl w:val="true"/>
        </w:rPr>
        <w:t xml:space="preserve">: </w:t>
      </w:r>
      <w:r>
        <w:rPr>
          <w:rtl w:val="true"/>
        </w:rPr>
        <w:t>في تطهير إناء الخنزير أو الخمر أو ما مات فيه جُرَذ</w:t>
      </w:r>
      <w:bookmarkEnd w:id="244"/>
    </w:p>
    <w:p>
      <w:pPr>
        <w:pStyle w:val="BookText"/>
        <w:rPr/>
      </w:pPr>
      <w:r>
        <w:rPr>
          <w:rFonts w:ascii="Amiri" w:hAnsi="Amiri" w:eastAsia="Amiri" w:cs="Amiri"/>
          <w:color w:val="111111"/>
          <w:sz w:val="28"/>
          <w:sz w:val="28"/>
          <w:szCs w:val="28"/>
          <w:rtl w:val="true"/>
          <w:lang w:bidi="ar-SA"/>
        </w:rPr>
        <w:t xml:space="preserve">اختلفوا في إناء شرب منه الخنزير ؛ فالشيخ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ألحقه بولوغ الكلب متمسّكاً بوجهين غير وجيهين</w:t>
      </w:r>
      <w:r>
        <w:rPr>
          <w:rStyle w:val="FootnoteAnchor"/>
          <w:rtl w:val="true"/>
        </w:rPr>
        <w:footnoteReference w:id="6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وألحقه المحقّق بسائر النجاسات ؛ واكتفى بمرّة</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وحكيت الشهرة بين المتأخّرين على وجوب السبع</w:t>
      </w:r>
      <w:r>
        <w:rPr>
          <w:rStyle w:val="FootnoteAnchor"/>
          <w:rtl w:val="true"/>
        </w:rPr>
        <w:footnoteReference w:id="621"/>
      </w:r>
    </w:p>
    <w:p>
      <w:pPr>
        <w:pStyle w:val="BookText"/>
        <w:rPr/>
      </w:pPr>
      <w:r>
        <w:rPr>
          <w:rFonts w:eastAsia="Times New Roman" w:cs="Times New Roman" w:ascii="Times New Roman" w:hAnsi="Times New Roman"/>
          <w:color w:val="111111"/>
          <w:sz w:val="28"/>
          <w:szCs w:val="28"/>
          <w:lang w:val="en-US" w:bidi="en-US"/>
        </w:rPr>
        <w:t>418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 أخذاً بصحيحة علي ابن جعفر ، عن أخيه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خنزير يشرب من الإناء ، كيف يصنع</w:t>
      </w:r>
    </w:p>
    <w:p>
      <w:pPr>
        <w:pStyle w:val="BookText"/>
        <w:rPr/>
      </w:pPr>
      <w:r>
        <w:rPr>
          <w:rFonts w:ascii="Amiri" w:hAnsi="Amiri" w:eastAsia="Amiri" w:cs="Amiri"/>
          <w:color w:val="111111"/>
          <w:sz w:val="28"/>
          <w:sz w:val="28"/>
          <w:szCs w:val="28"/>
          <w:rtl w:val="true"/>
          <w:lang w:bidi="ar-SA"/>
        </w:rPr>
        <w:t xml:space="preserve">به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يغسل سبع مرّات</w:t>
      </w:r>
      <w:r>
        <w:rPr>
          <w:rFonts w:eastAsia="Amiri" w:cs="Amiri" w:ascii="Amiri" w:hAnsi="Amiri"/>
          <w:color w:val="111111"/>
          <w:sz w:val="28"/>
          <w:szCs w:val="28"/>
          <w:rtl w:val="true"/>
          <w:lang w:bidi="ar-SA"/>
        </w:rPr>
        <w:t>»</w:t>
      </w:r>
      <w:r>
        <w:rPr>
          <w:rStyle w:val="FootnoteAnchor"/>
          <w:rtl w:val="true"/>
        </w:rPr>
        <w:footnoteReference w:id="6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حملها المحقّق على الاستحباب</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لقلّة العامل بها</w:t>
      </w:r>
      <w:r>
        <w:rPr>
          <w:rFonts w:eastAsia="Amiri" w:cs="Amiri" w:ascii="Amiri" w:hAnsi="Amiri"/>
          <w:color w:val="111111"/>
          <w:sz w:val="28"/>
          <w:szCs w:val="28"/>
          <w:rtl w:val="true"/>
          <w:lang w:bidi="ar-SA"/>
        </w:rPr>
        <w:t>»</w:t>
      </w:r>
      <w:r>
        <w:rPr>
          <w:rStyle w:val="FootnoteAnchor"/>
          <w:rtl w:val="true"/>
        </w:rPr>
        <w:footnoteReference w:id="624"/>
      </w:r>
      <w:r>
        <w:rPr>
          <w:rFonts w:ascii="Amiri" w:hAnsi="Amiri" w:eastAsia="Amiri" w:cs="Amiri"/>
          <w:color w:val="111111"/>
          <w:sz w:val="28"/>
          <w:sz w:val="28"/>
          <w:szCs w:val="28"/>
          <w:rtl w:val="true"/>
          <w:lang w:bidi="ar-SA"/>
        </w:rPr>
        <w:t>وهو كذلك ؛ لأنّ الظاهر من قدماء أصحابنا كالمفيد</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والسيّد والشيخ وابن حمزة وسلاّر بل الصدوق ومن بعدهم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كالحلّي وابن </w:t>
      </w:r>
    </w:p>
    <w:p>
      <w:pPr>
        <w:pStyle w:val="BookText"/>
        <w:rPr/>
      </w:pPr>
      <w:r>
        <w:rPr>
          <w:rFonts w:ascii="Amiri" w:hAnsi="Amiri" w:eastAsia="Amiri" w:cs="Amiri"/>
          <w:color w:val="111111"/>
          <w:sz w:val="28"/>
          <w:sz w:val="28"/>
          <w:szCs w:val="28"/>
          <w:rtl w:val="true"/>
          <w:lang w:bidi="ar-SA"/>
        </w:rPr>
        <w:t xml:space="preserve">زهرة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السبع</w:t>
      </w:r>
      <w:r>
        <w:rPr>
          <w:rStyle w:val="FootnoteAnchor"/>
          <w:rtl w:val="true"/>
        </w:rPr>
        <w:footnoteReference w:id="625"/>
      </w:r>
      <w:r>
        <w:rPr>
          <w:rFonts w:ascii="Amiri" w:hAnsi="Amiri" w:eastAsia="Amiri" w:cs="Amiri"/>
          <w:color w:val="111111"/>
          <w:sz w:val="28"/>
          <w:sz w:val="28"/>
          <w:szCs w:val="28"/>
          <w:rtl w:val="true"/>
          <w:lang w:bidi="ar-SA"/>
        </w:rPr>
        <w:t xml:space="preserve">، بل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وجوب الزيادة على الثلاث في النجاسات سوى الولوغ</w:t>
      </w:r>
      <w:r>
        <w:rPr>
          <w:rStyle w:val="FootnoteAnchor"/>
          <w:rtl w:val="true"/>
        </w:rPr>
        <w:footnoteReference w:id="626"/>
      </w:r>
      <w:r>
        <w:rPr>
          <w:rFonts w:ascii="Amiri" w:hAnsi="Amiri" w:eastAsia="Amiri" w:cs="Amiri"/>
          <w:color w:val="111111"/>
          <w:sz w:val="28"/>
          <w:sz w:val="28"/>
          <w:szCs w:val="28"/>
          <w:rtl w:val="true"/>
          <w:lang w:bidi="ar-SA"/>
        </w:rPr>
        <w:t>، ومعه لا يبقى وثوق بها مع كونها بمرأى ومنظر لهم رواها الكليني والشيخ ، ومع عدم معارض لها ، فتقييد موثّقة عمّار الآتية</w:t>
      </w:r>
      <w:r>
        <w:rPr>
          <w:rStyle w:val="FootnoteAnchor"/>
          <w:rtl w:val="true"/>
        </w:rPr>
        <w:footnoteReference w:id="627"/>
      </w:r>
      <w:r>
        <w:rPr>
          <w:rFonts w:ascii="Amiri" w:hAnsi="Amiri" w:eastAsia="Amiri" w:cs="Amiri"/>
          <w:color w:val="111111"/>
          <w:sz w:val="28"/>
          <w:sz w:val="28"/>
          <w:szCs w:val="28"/>
          <w:rtl w:val="true"/>
          <w:lang w:bidi="ar-SA"/>
        </w:rPr>
        <w:t xml:space="preserve">بها مشكل ، وطريق الاحتياط واضح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الخمر ، فذهب جملة من الأصحاب إلى وجوب غسل الإناء منها سبعاً </w:t>
      </w:r>
      <w:r>
        <w:rPr>
          <w:rStyle w:val="FootnoteAnchor"/>
          <w:rtl w:val="true"/>
        </w:rPr>
        <w:footnoteReference w:id="6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وذهب جمع إلى الثلاث</w:t>
      </w:r>
      <w:r>
        <w:rPr>
          <w:rStyle w:val="FootnoteAnchor"/>
          <w:rtl w:val="true"/>
        </w:rPr>
        <w:footnoteReference w:id="629"/>
      </w:r>
      <w:r>
        <w:rPr>
          <w:rFonts w:ascii="IRNazanin" w:hAnsi="IRNazanin" w:eastAsia="IRNazanin"/>
          <w:color w:val="111111"/>
          <w:sz w:val="28"/>
          <w:sz w:val="28"/>
          <w:szCs w:val="28"/>
          <w:rtl w:val="true"/>
          <w:lang w:bidi="fa-IR"/>
        </w:rPr>
        <w:t xml:space="preserve">، وهو مقتضى الجمع بين الروايات ؛ فإنّ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تدلّ على السبع ، كموثّقة عمّار ، عن 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الإناء يشرب فيه النبيذ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تغسله سبع مرّات ، وكذلك الكلب</w:t>
      </w:r>
      <w:r>
        <w:rPr>
          <w:rFonts w:eastAsia="IRNazanin" w:cs="IRNazanin"/>
          <w:color w:val="111111"/>
          <w:sz w:val="28"/>
          <w:szCs w:val="28"/>
          <w:rtl w:val="true"/>
          <w:lang w:bidi="fa-IR"/>
        </w:rPr>
        <w:t>»</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إلغاء الخصوصية وفهم حكم الخمر منها ، ولهذا استدلّوا بها لها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تدلّ على الثلاث ، كموثّقته الاُخرى ، 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الدَنّ يكون فيه الخمر ، هل يصلح أن يكون فيه خلّ ، أو ماء كامخ ، أو زيتون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غسل فلا بأس</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وعن الإبريق وغيره يكون فيه خمر ، أيصلح أن يكون فيه ماء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غسل فلا بأس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في قدح أو إناء يشرب فيه الخمر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تغسله ثلاث مرّات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أيجزيه أن يصبّ فيه الماء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يجزيه حتّى يدلكه بيده ، ويغسله ثلاث مرّات</w:t>
      </w:r>
      <w:r>
        <w:rPr>
          <w:rFonts w:eastAsia="Amiri" w:cs="Amiri" w:ascii="Amiri" w:hAnsi="Amiri"/>
          <w:color w:val="111111"/>
          <w:sz w:val="28"/>
          <w:szCs w:val="28"/>
          <w:rtl w:val="true"/>
          <w:lang w:bidi="ar-SA"/>
        </w:rPr>
        <w:t>»</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فتحمل الاُولى على الاستحباب جمعاً ، سيّما مع عطف الكلب عليها ، ويحمل إطلاق الغسل في الدَنّ والإبريق على المقيّد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هو في المقام لا يخلو من إشكال ؛ لقوّة ظهور الصدر في الإطلاق ، لمقابلته مع الأمر بالثلاث في القدح والإناء ، واحتمالِ الفرق بين الأواني المستعملة في الشرب 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الأقوى التقييد ؛ لأنّ من المحتمل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عمّاراً جمع في النقل بين روايات مستقلّة ، لا أ نّها كانت واحدة ، ومعه لا قوّة في الإطلاق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ذلك التفصيل مخالف لفهم العقلاء ، ولهذا لم ينقل من أحد حتّى احتماله </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لا يبعد إنكار إطلاق الصدر رأساً ؛ لاحتمال أن تكون شبهة السائل عدمَ جواز جعل الخلّ في ظرف الخمر ولو بعد الغسل ، فأجاب بجوازه بعده ، فلا يكون في مقام بيان كيفية الغسل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ما مات فيه الجُرَذ ، فقد ورد عن عمّار في الموثّقة الغسل سبعاً </w:t>
      </w:r>
      <w:r>
        <w:rPr>
          <w:rStyle w:val="FootnoteAnchor"/>
          <w:rtl w:val="true"/>
        </w:rPr>
        <w:footnoteReference w:id="633"/>
      </w:r>
      <w:r>
        <w:rPr>
          <w:rFonts w:ascii="Amiri" w:hAnsi="Amiri" w:eastAsia="Amiri" w:cs="Amiri"/>
          <w:color w:val="111111"/>
          <w:sz w:val="28"/>
          <w:sz w:val="28"/>
          <w:szCs w:val="28"/>
          <w:rtl w:val="true"/>
          <w:lang w:bidi="ar-SA"/>
        </w:rPr>
        <w:t>ومقتضى الجمود هو الأخذ بها مع كونها موثّقة ، ولا معارض لها ، فيقيّد بها موثّقته الاُخرى الآتية</w:t>
      </w:r>
      <w:r>
        <w:rPr>
          <w:rStyle w:val="FootnoteAnchor"/>
          <w:rtl w:val="true"/>
        </w:rPr>
        <w:footnoteReference w:id="634"/>
      </w:r>
      <w:r>
        <w:rPr>
          <w:rFonts w:ascii="Amiri" w:hAnsi="Amiri" w:eastAsia="Amiri" w:cs="Amiri"/>
          <w:color w:val="111111"/>
          <w:sz w:val="28"/>
          <w:sz w:val="28"/>
          <w:szCs w:val="28"/>
          <w:rtl w:val="true"/>
          <w:lang w:bidi="ar-SA"/>
        </w:rPr>
        <w:t xml:space="preserve">في مطلق القذارات الآمرة بالثلاث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النفس وسوسة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أنّ السبع في الكلب والخمر والخنزير بعد ما كان محمولاً على الاستحباب ، واكتفي فيها بالثلاث ، وكذا في جميع النجاسات ، يشكل الالتزام بوجوب السبع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بين جميع النجاسات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بميتة الجُرَذ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الكلب بحسب النصّ أنجس من جميع المخلوقات</w:t>
      </w:r>
      <w:r>
        <w:rPr>
          <w:rStyle w:val="FootnoteAnchor"/>
          <w:rtl w:val="true"/>
        </w:rPr>
        <w:footnoteReference w:id="635"/>
      </w:r>
      <w:r>
        <w:rPr>
          <w:rFonts w:ascii="Amiri" w:hAnsi="Amiri" w:eastAsia="Amiri" w:cs="Amiri"/>
          <w:color w:val="111111"/>
          <w:sz w:val="28"/>
          <w:sz w:val="28"/>
          <w:szCs w:val="28"/>
          <w:rtl w:val="true"/>
          <w:lang w:bidi="ar-SA"/>
        </w:rPr>
        <w:t>، وورد في الخمر ما يظهر منه شدّة قذارته</w:t>
      </w:r>
      <w:r>
        <w:rPr>
          <w:rStyle w:val="FootnoteAnchor"/>
          <w:rtl w:val="true"/>
        </w:rPr>
        <w:footnoteReference w:id="6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دعوى الشيخ الإجماع على طهارة النجاسات</w:t>
      </w:r>
    </w:p>
    <w:p>
      <w:pPr>
        <w:pStyle w:val="BookText"/>
        <w:rPr/>
      </w:pPr>
      <w:r>
        <w:rPr>
          <w:rFonts w:ascii="IRNazanin" w:hAnsi="IRNazanin" w:eastAsia="IRNazanin"/>
          <w:color w:val="111111"/>
          <w:sz w:val="28"/>
          <w:sz w:val="28"/>
          <w:szCs w:val="28"/>
          <w:rtl w:val="true"/>
          <w:lang w:bidi="fa-IR"/>
        </w:rPr>
        <w:t>سوى الولوغ بالثلاث</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حمل الموثّقة على 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نرى من حمل نظائرها عليه في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أهون من تقييد الموثّقة الآمرة بالثلاث ، مع قوّة إطلاقها ، كما يظهر بالتأمّل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رفع اليد عن ظاهر الأمر بالسبع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دعوى </w:t>
      </w:r>
      <w:bookmarkStart w:id="245" w:name="pg15030_143169"/>
    </w:p>
    <w:p>
      <w:pPr>
        <w:pStyle w:val="BookText"/>
        <w:rPr/>
      </w:pPr>
      <w:bookmarkEnd w:id="245"/>
      <w:r>
        <w:rPr>
          <w:rFonts w:ascii="IRNazanin" w:hAnsi="IRNazanin" w:eastAsia="IRNazanin"/>
          <w:color w:val="111111"/>
          <w:sz w:val="28"/>
          <w:sz w:val="28"/>
          <w:szCs w:val="28"/>
          <w:rtl w:val="true"/>
          <w:lang w:bidi="fa-IR"/>
        </w:rPr>
        <w:t>اشتهاره</w:t>
      </w:r>
      <w:r>
        <w:rPr>
          <w:rStyle w:val="FootnoteAnchor"/>
          <w:rtl w:val="true"/>
        </w:rPr>
        <w:footnoteReference w:id="638"/>
      </w:r>
      <w:r>
        <w:rPr>
          <w:rFonts w:ascii="IRNazanin" w:hAnsi="IRNazanin" w:eastAsia="IRNazanin"/>
          <w:color w:val="111111"/>
          <w:sz w:val="28"/>
          <w:sz w:val="28"/>
          <w:szCs w:val="28"/>
          <w:rtl w:val="true"/>
          <w:lang w:bidi="fa-IR"/>
        </w:rPr>
        <w:t xml:space="preserve">، وفتوى جمع من قدماء أصحابنا </w:t>
      </w:r>
      <w:r>
        <w:rPr>
          <w:rStyle w:val="FootnoteAnchor"/>
          <w:rtl w:val="true"/>
        </w:rPr>
        <w:footnoteReference w:id="6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جرأة على المولى ، فالسبع أشبه مع كونه أحوط ؛ وإن بقيت الوسوسة في النفس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أو يحتمل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الغسل سبعاً لشيء آخر غير محض القذارة </w:t>
      </w:r>
      <w:r>
        <w:rPr>
          <w:rFonts w:eastAsia="Amiri" w:cs="Amiri" w:ascii="Amiri" w:hAnsi="Amiri"/>
          <w:color w:val="111111"/>
          <w:sz w:val="28"/>
          <w:szCs w:val="28"/>
          <w:rtl w:val="true"/>
          <w:lang w:bidi="ar-SA"/>
        </w:rPr>
        <w:t>.</w:t>
      </w:r>
    </w:p>
    <w:p>
      <w:pPr>
        <w:pStyle w:val="Heading4"/>
        <w:numPr>
          <w:ilvl w:val="3"/>
          <w:numId w:val="1"/>
        </w:numPr>
        <w:rPr/>
      </w:pPr>
      <w:bookmarkStart w:id="246" w:name="__RefHeading___Toc212790_2142443653"/>
      <w:bookmarkStart w:id="247" w:name="_Toc87"/>
      <w:bookmarkEnd w:id="246"/>
      <w:r>
        <w:rPr>
          <w:rtl w:val="true"/>
        </w:rPr>
        <w:t xml:space="preserve">المسألة الثالثة </w:t>
      </w:r>
      <w:r>
        <w:rPr>
          <w:rtl w:val="true"/>
        </w:rPr>
        <w:t xml:space="preserve">: </w:t>
      </w:r>
      <w:r>
        <w:rPr>
          <w:rtl w:val="true"/>
        </w:rPr>
        <w:t>في لزوم غسل الأواني ثلاث مرّات من سائر النجاسات</w:t>
      </w:r>
      <w:bookmarkEnd w:id="247"/>
    </w:p>
    <w:p>
      <w:pPr>
        <w:pStyle w:val="Heading5"/>
        <w:numPr>
          <w:ilvl w:val="4"/>
          <w:numId w:val="1"/>
        </w:numPr>
        <w:rPr/>
      </w:pPr>
      <w:bookmarkStart w:id="248" w:name="__RefHeading___Toc212792_2142443653"/>
      <w:bookmarkStart w:id="249" w:name="_Toc88"/>
      <w:bookmarkEnd w:id="248"/>
      <w:r>
        <w:rPr>
          <w:rtl w:val="true"/>
        </w:rPr>
        <w:t>اشارة</w:t>
      </w:r>
      <w:bookmarkEnd w:id="249"/>
    </w:p>
    <w:p>
      <w:pPr>
        <w:pStyle w:val="BookText"/>
        <w:rPr/>
      </w:pPr>
      <w:r>
        <w:rPr>
          <w:rFonts w:ascii="IRNazanin" w:hAnsi="IRNazanin" w:eastAsia="IRNazanin"/>
          <w:color w:val="111111"/>
          <w:sz w:val="28"/>
          <w:sz w:val="28"/>
          <w:szCs w:val="28"/>
          <w:rtl w:val="true"/>
          <w:lang w:bidi="fa-IR"/>
        </w:rPr>
        <w:t xml:space="preserve">مقتضى موثّقة عمّار عن أبي عبداللّه علیه السلام وجوب غسل الأواني من سائر النجاسات ثلاثاً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الكوز والإناء يكون قذراً ، كيف يغسل ، وكم مرّة يغسل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يغسل 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يصبّ فيه الماء فيحرّك فيه ، ثمّ يفرغ منه ، ثمّ يصبّ فيه ماء آخر فيحرّك فيه ، ثمّ يفرغ ذلك الماء ، ثمّ يصبّ فيه ماء آخر فيحرّك فيه ، ثمّ يفرغ منه ، وقد طهر</w:t>
      </w:r>
      <w:r>
        <w:rPr>
          <w:rFonts w:eastAsia="Amiri" w:cs="Amiri" w:ascii="Amiri" w:hAnsi="Amiri"/>
          <w:color w:val="111111"/>
          <w:sz w:val="28"/>
          <w:szCs w:val="28"/>
          <w:rtl w:val="true"/>
          <w:lang w:bidi="ar-SA"/>
        </w:rPr>
        <w:t>»</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المحكيّ عن أبي علي</w:t>
      </w:r>
      <w:r>
        <w:rPr>
          <w:rStyle w:val="FootnoteAnchor"/>
          <w:rtl w:val="true"/>
        </w:rPr>
        <w:footnoteReference w:id="641"/>
      </w:r>
      <w:r>
        <w:rPr>
          <w:rFonts w:ascii="Amiri" w:hAnsi="Amiri" w:eastAsia="Amiri" w:cs="Amiri"/>
          <w:color w:val="111111"/>
          <w:sz w:val="28"/>
          <w:sz w:val="28"/>
          <w:szCs w:val="28"/>
          <w:rtl w:val="true"/>
          <w:lang w:bidi="ar-SA"/>
        </w:rPr>
        <w:t xml:space="preserve">والشيخ في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642"/>
      </w:r>
      <w:r>
        <w:rPr>
          <w:rFonts w:ascii="Amiri" w:hAnsi="Amiri" w:eastAsia="Amiri" w:cs="Amiri"/>
          <w:color w:val="111111"/>
          <w:sz w:val="28"/>
          <w:sz w:val="28"/>
          <w:szCs w:val="28"/>
          <w:rtl w:val="true"/>
          <w:lang w:bidi="ar-SA"/>
        </w:rPr>
        <w:t xml:space="preserve">والشهيد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Style w:val="FootnoteAnchor"/>
          <w:rtl w:val="true"/>
        </w:rPr>
        <w:footnoteReference w:id="643"/>
      </w:r>
      <w:r>
        <w:rPr>
          <w:rFonts w:ascii="Amiri" w:hAnsi="Amiri" w:eastAsia="Amiri" w:cs="Amiri"/>
          <w:color w:val="111111"/>
          <w:sz w:val="28"/>
          <w:sz w:val="28"/>
          <w:szCs w:val="28"/>
          <w:rtl w:val="true"/>
          <w:lang w:bidi="ar-SA"/>
        </w:rPr>
        <w:t xml:space="preserve">والكركي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تعليق </w:t>
      </w:r>
    </w:p>
    <w:p>
      <w:pPr>
        <w:pStyle w:val="BookText"/>
        <w:rPr/>
      </w:pP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w:t>
      </w:r>
      <w:r>
        <w:rPr>
          <w:rStyle w:val="FootnoteAnchor"/>
          <w:rtl w:val="true"/>
        </w:rPr>
        <w:footnoteReference w:id="644"/>
      </w:r>
      <w:r>
        <w:rPr>
          <w:rFonts w:ascii="Amiri" w:hAnsi="Amiri" w:eastAsia="Amiri" w:cs="Amiri"/>
          <w:color w:val="111111"/>
          <w:sz w:val="28"/>
          <w:sz w:val="28"/>
          <w:szCs w:val="28"/>
          <w:rtl w:val="true"/>
          <w:lang w:bidi="ar-SA"/>
        </w:rPr>
        <w:t xml:space="preserve">وجعلها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أحوط</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واختار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المرّة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يقوى عندي الاقتصار في اعتبار العدد على الولوغ ، وفيما عداه على إزالة النجاسة ، وغسلِ الإناء بعد ذلك مرّة واحدة ؛ لحصول الغرض من الإزالة</w:t>
      </w:r>
      <w:r>
        <w:rPr>
          <w:rFonts w:eastAsia="Amiri" w:cs="Amiri" w:ascii="Amiri" w:hAnsi="Amiri"/>
          <w:color w:val="111111"/>
          <w:sz w:val="28"/>
          <w:szCs w:val="28"/>
          <w:rtl w:val="true"/>
          <w:lang w:bidi="ar-SA"/>
        </w:rPr>
        <w:t>»</w:t>
      </w:r>
      <w:r>
        <w:rPr>
          <w:rStyle w:val="FootnoteAnchor"/>
          <w:rtl w:val="true"/>
        </w:rPr>
        <w:footnoteReference w:id="646"/>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وتقريب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النجاسة والطهارة ليستا من الاُمور المعنوية التي لم يصلها العقول ، بل هما من الاُمور الواضحة والمفاهيم الظاهرة عنواناً ومصداقاً ، فإذا علم من الشارع لزوم تطهير الأواني أو غيرها ، وعدم جواز استعمالها إلاّ مع طهارتها ، لا يحتاج العقلاء في تحصيل الطهارة إلى بيان من الشارع ، كما لا يحتاجون في بيان سائر المصاديق العرفية والعناوين الكذائية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واحتمال أنّ الطهارة أمر غير ما يدركها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كاحتمال لزوم الغسل تعبّداً ؛ من غير نظر إلى التطهير وإرجاع الشيء إلى حالته الأصلية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مخالف لظواهر الأدلّة وفهم العقلاء منها ، ولهذا لا ينقدح في ذهن العقلاء من الأمر بغسل الأواني ثلاثاً ، إلاّ أ نّه لغرض تنظيفها ، فإذا حصلت النظافة بمرّة إذا بالغ في تنظيفها ، فقد حصل الغرض </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الوجه يمكن الاستدلال على جواز الاكتفاء بمرّة في الغسل بماء جارٍ أو كثير ؛ إذا حصل الغرض من الغمس فيهما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يتّسع نطاق البيان إلى جميع أنواع النجاسات ، كالبول والولوغ أيضاً ؛ بدعوى عدم إعمال تعبّد من الشرع في باب النجاسات والطهارات ، إلاّ بجعل مصداق نجساً ، أو سلب النجاسة عن قذر عرفي ، فالطهارة أمر واضح يدركه العقلاء ، والأمر بالغسل والدلك والتعفير والتعدّد لأجل حصولها ، من غير إعمال تعبّد في ماهيتها ، فإذا علم حصولها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بنحو مغاير لما في الأوامر الشرعية التوصّلية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تسقط الأوامر ؛ لحصول الغرض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غاية تقريب كلام المحقّق رحمه الله علیه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وبه قال العلاّمة ، وحمل الروايات الآمرة بالعدد على الغالب ، لا على المقدّر ؛ قال في جملة من كلامه في الخمر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والأقرب عندي عدم اعتبار العدد ، بل الواجب الإنقاء ، لنا محلّ نجس ، فوجب تطهيره بصيرورته إلى الحال الأوّل ، وذلك إنّما يحصل بالنقاء ، فيجب الإنقاء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الغالب أ نّه لا يحصل إلاّ مع الثلاث ، فيجب لا باعتبار أ نّه مقدّر</w:t>
      </w:r>
      <w:r>
        <w:rPr>
          <w:rFonts w:eastAsia="Amiri" w:cs="Amiri" w:ascii="Amiri" w:hAnsi="Amiri"/>
          <w:color w:val="111111"/>
          <w:sz w:val="28"/>
          <w:szCs w:val="28"/>
          <w:rtl w:val="true"/>
          <w:lang w:bidi="ar-SA"/>
        </w:rPr>
        <w:t>»</w:t>
      </w:r>
      <w:r>
        <w:rPr>
          <w:rStyle w:val="FootnoteAnchor"/>
          <w:rtl w:val="true"/>
        </w:rPr>
        <w:footnoteReference w:id="647"/>
      </w:r>
      <w:r>
        <w:rPr>
          <w:rFonts w:ascii="Amiri" w:hAnsi="Amiri" w:eastAsia="Amiri" w:cs="Amiri"/>
          <w:color w:val="111111"/>
          <w:sz w:val="28"/>
          <w:sz w:val="28"/>
          <w:szCs w:val="28"/>
          <w:rtl w:val="true"/>
          <w:lang w:bidi="ar-SA"/>
        </w:rPr>
        <w:t xml:space="preserve">انتهى ، وهو متين </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مع ذلك يشكل الخروج عن مقتضى موثّقة عمّار ، سيّما مع ما نرى من إعمال التعبّد في أبواب النجاسات إلى ما شاء اللّه ، كالاكتفاء في محلّ النجو بالأحجار ونحوها ، دون محلّ البول ، مع أشدّية قذارة الأوّل عرفاً ، وكالاكتفاء بالأرض في تطهير بعض الاُمور خاصّة ، مثل تحت الأقدام ، وكالاكتفاء بتطهير الشمس في بعض الاُمور ؛ أي غير المنقول ، وكزوال عين النجاسة في الحيوان </w:t>
      </w:r>
      <w:bookmarkStart w:id="250" w:name="pg15030_143172"/>
    </w:p>
    <w:p>
      <w:pPr>
        <w:pStyle w:val="BookText"/>
        <w:rPr/>
      </w:pPr>
      <w:bookmarkEnd w:id="250"/>
      <w:r>
        <w:rPr>
          <w:rFonts w:ascii="Amiri" w:hAnsi="Amiri" w:eastAsia="Amiri" w:cs="Amiri"/>
          <w:color w:val="111111"/>
          <w:sz w:val="28"/>
          <w:sz w:val="28"/>
          <w:szCs w:val="28"/>
          <w:rtl w:val="true"/>
          <w:lang w:bidi="ar-SA"/>
        </w:rPr>
        <w:t xml:space="preserve">الصامت بأيّ نحو كان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إلى غير ذلك ، ومعه كيف يمكن دعوى عدم إعمال تعبّد</w:t>
      </w:r>
    </w:p>
    <w:p>
      <w:pPr>
        <w:pStyle w:val="BookText"/>
        <w:rPr/>
      </w:pPr>
      <w:r>
        <w:rPr>
          <w:rFonts w:ascii="Amiri" w:hAnsi="Amiri" w:eastAsia="Amiri" w:cs="Amiri"/>
          <w:color w:val="111111"/>
          <w:sz w:val="28"/>
          <w:sz w:val="28"/>
          <w:szCs w:val="28"/>
          <w:rtl w:val="true"/>
          <w:lang w:bidi="ar-SA"/>
        </w:rPr>
        <w:t xml:space="preserve">من قِبله في أبوابهما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محيص عن الوقوف على المنصوص </w:t>
      </w:r>
      <w:r>
        <w:rPr>
          <w:rFonts w:eastAsia="Amiri" w:cs="Amiri" w:ascii="Amiri" w:hAnsi="Amiri"/>
          <w:color w:val="111111"/>
          <w:sz w:val="28"/>
          <w:szCs w:val="28"/>
          <w:rtl w:val="true"/>
          <w:lang w:bidi="ar-SA"/>
        </w:rPr>
        <w:t>.</w:t>
      </w:r>
    </w:p>
    <w:p>
      <w:pPr>
        <w:pStyle w:val="Heading5"/>
        <w:numPr>
          <w:ilvl w:val="4"/>
          <w:numId w:val="1"/>
        </w:numPr>
        <w:rPr/>
      </w:pPr>
      <w:bookmarkStart w:id="251" w:name="__RefHeading___Toc212794_2142443653"/>
      <w:bookmarkStart w:id="252" w:name="_Toc89"/>
      <w:bookmarkEnd w:id="251"/>
      <w:r>
        <w:rPr>
          <w:rtl w:val="true"/>
        </w:rPr>
        <w:t>لزوم التعدّد حتّى مع الغسل بالكثير والجاري والمطر</w:t>
      </w:r>
      <w:bookmarkEnd w:id="252"/>
    </w:p>
    <w:p>
      <w:pPr>
        <w:pStyle w:val="BookText"/>
        <w:rPr/>
      </w:pPr>
      <w:r>
        <w:rPr>
          <w:rFonts w:ascii="IRNazanin" w:hAnsi="IRNazanin" w:eastAsia="IRNazanin"/>
          <w:color w:val="111111"/>
          <w:sz w:val="28"/>
          <w:sz w:val="28"/>
          <w:szCs w:val="28"/>
          <w:rtl w:val="true"/>
          <w:lang w:bidi="fa-IR"/>
        </w:rPr>
        <w:t>وعليه لا فرق ظاهراً بين القليل والكثير والجاري والمطر ؛ لأنّ الظاهر من موثّقة عمّار أ نّه علیه السلام سئل عن كيفية الغسل وعن كمّيته ، فأجاب عن الثانية</w:t>
      </w:r>
    </w:p>
    <w:p>
      <w:pPr>
        <w:pStyle w:val="BookText"/>
        <w:rPr/>
      </w:pPr>
      <w:r>
        <w:rPr>
          <w:rFonts w:ascii="IRNazanin" w:hAnsi="IRNazanin" w:eastAsia="IRNazanin"/>
          <w:color w:val="111111"/>
          <w:sz w:val="28"/>
          <w:sz w:val="28"/>
          <w:szCs w:val="28"/>
          <w:rtl w:val="true"/>
          <w:lang w:bidi="fa-IR"/>
        </w:rPr>
        <w:t xml:space="preserve">بقوله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يغسل 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الاُولى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يصبّ فيه الماء </w:t>
      </w:r>
      <w:r>
        <w:rPr>
          <w:rFonts w:eastAsia="IRNazanin" w:cs="IRNazanin"/>
          <w:color w:val="111111"/>
          <w:sz w:val="28"/>
          <w:szCs w:val="28"/>
          <w:rtl w:val="true"/>
          <w:lang w:bidi="fa-IR"/>
        </w:rPr>
        <w:t>. . .»</w:t>
      </w:r>
      <w:r>
        <w:rPr>
          <w:rStyle w:val="FootnoteAnchor"/>
          <w:rtl w:val="true"/>
        </w:rPr>
        <w:footnoteReference w:id="648"/>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وإطلاق الجواب الأوّل يقتضي عدم الفرق بين القليل وغيره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والجملة الثانية لا تكون قرينة على أنّ المراد بالاُولى الغسل بالقليل ؛ لأنّ</w:t>
      </w:r>
    </w:p>
    <w:p>
      <w:pPr>
        <w:pStyle w:val="BookText"/>
        <w:rPr/>
      </w:pPr>
      <w:r>
        <w:rPr>
          <w:rFonts w:ascii="Amiri" w:hAnsi="Amiri" w:eastAsia="Amiri" w:cs="Amiri"/>
          <w:color w:val="111111"/>
          <w:sz w:val="28"/>
          <w:sz w:val="28"/>
          <w:szCs w:val="28"/>
          <w:rtl w:val="true"/>
          <w:lang w:bidi="ar-SA"/>
        </w:rPr>
        <w:t>بيان الكيفية إنّما يحتاج إليه في القليل ، دون الكرّ والجاري ؛ فإنّ كيفية غسله فيهما واضحة ، وأمّا الغسل بالقليل فلمّا كان في نظر العرف أنّ صبّ الماء في الإناء يوجب تنجيسه ، فلا يمكن التطهير به إلاّ بنحو يجري الماء من غير أن يجتمع فيه ، كان بيانه لازماً ورافعاً للتحيّر ، فلا يصير الذيل قرينة على الصدر ، ولا مقيّداً له ، فتكون الموثّقة مقدّمة على مرسلة الكاهلي الواردة في المطر ، وعلى مرسلة العلاّمة في الكثير</w:t>
      </w:r>
      <w:r>
        <w:rPr>
          <w:rStyle w:val="FootnoteAnchor"/>
          <w:rtl w:val="true"/>
        </w:rPr>
        <w:footnoteReference w:id="649"/>
      </w:r>
      <w:r>
        <w:rPr>
          <w:rFonts w:ascii="Amiri" w:hAnsi="Amiri" w:eastAsia="Amiri" w:cs="Amiri"/>
          <w:color w:val="111111"/>
          <w:sz w:val="28"/>
          <w:sz w:val="28"/>
          <w:szCs w:val="28"/>
          <w:rtl w:val="true"/>
          <w:lang w:bidi="ar-SA"/>
        </w:rPr>
        <w:t xml:space="preserve">؛ لما مرّ سابقاً من تحكيم مثلها عليهما </w:t>
      </w:r>
      <w:r>
        <w:rPr>
          <w:rStyle w:val="FootnoteAnchor"/>
          <w:rtl w:val="true"/>
        </w:rPr>
        <w:footnoteReference w:id="6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ضعف الثانية بلا جبر </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التعدّد مطلقاً </w:t>
      </w:r>
      <w:r>
        <w:rPr>
          <w:rFonts w:eastAsia="Amiri" w:cs="Amiri" w:ascii="Amiri" w:hAnsi="Amiri"/>
          <w:color w:val="111111"/>
          <w:sz w:val="28"/>
          <w:szCs w:val="28"/>
          <w:rtl w:val="true"/>
          <w:lang w:bidi="ar-SA"/>
        </w:rPr>
        <w:t xml:space="preserve">. </w:t>
      </w:r>
      <w:bookmarkStart w:id="253" w:name="pg15030_143173"/>
    </w:p>
    <w:p>
      <w:pPr>
        <w:pStyle w:val="Heading5"/>
        <w:numPr>
          <w:ilvl w:val="4"/>
          <w:numId w:val="1"/>
        </w:numPr>
        <w:rPr/>
      </w:pPr>
      <w:bookmarkStart w:id="254" w:name="__RefHeading___Toc212796_2142443653"/>
      <w:bookmarkStart w:id="255" w:name="_Toc90"/>
      <w:bookmarkEnd w:id="253"/>
      <w:bookmarkEnd w:id="254"/>
      <w:r>
        <w:rPr>
          <w:rtl w:val="true"/>
        </w:rPr>
        <w:t>فائدة استطرادية في أحكام الأواني والجلود</w:t>
      </w:r>
      <w:bookmarkEnd w:id="255"/>
    </w:p>
    <w:p>
      <w:pPr>
        <w:pStyle w:val="Heading6"/>
        <w:numPr>
          <w:ilvl w:val="5"/>
          <w:numId w:val="1"/>
        </w:numPr>
        <w:rPr/>
      </w:pPr>
      <w:bookmarkStart w:id="256" w:name="__RefHeading___Toc212798_2142443653"/>
      <w:bookmarkStart w:id="257" w:name="_Toc91"/>
      <w:bookmarkEnd w:id="256"/>
      <w:r>
        <w:rPr>
          <w:rtl w:val="true"/>
        </w:rPr>
        <w:t>اشارة</w:t>
      </w:r>
      <w:bookmarkEnd w:id="257"/>
    </w:p>
    <w:p>
      <w:pPr>
        <w:pStyle w:val="BookText"/>
        <w:rPr/>
      </w:pPr>
      <w:r>
        <w:rPr>
          <w:rFonts w:ascii="Amiri" w:hAnsi="Amiri" w:eastAsia="Amiri" w:cs="Amiri"/>
          <w:color w:val="111111"/>
          <w:sz w:val="28"/>
          <w:sz w:val="28"/>
          <w:szCs w:val="28"/>
          <w:rtl w:val="true"/>
          <w:lang w:bidi="ar-SA"/>
        </w:rPr>
        <w:t xml:space="preserve">جرت عادتهم باستطراد أحكام الأواني والجلود في المقام ، وفيها مسائل </w:t>
      </w:r>
      <w:r>
        <w:rPr>
          <w:rFonts w:eastAsia="Amiri" w:cs="Amiri" w:ascii="Amiri" w:hAnsi="Amiri"/>
          <w:color w:val="111111"/>
          <w:sz w:val="28"/>
          <w:szCs w:val="28"/>
          <w:rtl w:val="true"/>
          <w:lang w:bidi="ar-SA"/>
        </w:rPr>
        <w:t>:</w:t>
      </w:r>
    </w:p>
    <w:p>
      <w:pPr>
        <w:pStyle w:val="Heading6"/>
        <w:numPr>
          <w:ilvl w:val="5"/>
          <w:numId w:val="1"/>
        </w:numPr>
        <w:rPr/>
      </w:pPr>
      <w:bookmarkStart w:id="258" w:name="__RefHeading___Toc212800_2142443653"/>
      <w:bookmarkStart w:id="259" w:name="_Toc92"/>
      <w:bookmarkEnd w:id="258"/>
      <w:r>
        <w:rPr>
          <w:rtl w:val="true"/>
        </w:rPr>
        <w:t xml:space="preserve">المسألة الاُولى </w:t>
      </w:r>
      <w:r>
        <w:rPr>
          <w:rtl w:val="true"/>
        </w:rPr>
        <w:t xml:space="preserve">: </w:t>
      </w:r>
      <w:r>
        <w:rPr>
          <w:rtl w:val="true"/>
        </w:rPr>
        <w:t>حكم استعمال آنية الذهب والفضّة</w:t>
      </w:r>
      <w:bookmarkEnd w:id="259"/>
    </w:p>
    <w:p>
      <w:pPr>
        <w:pStyle w:val="Heading6"/>
        <w:numPr>
          <w:ilvl w:val="5"/>
          <w:numId w:val="1"/>
        </w:numPr>
        <w:rPr/>
      </w:pPr>
      <w:bookmarkStart w:id="260" w:name="__RefHeading___Toc212802_2142443653"/>
      <w:bookmarkStart w:id="261" w:name="_Toc93"/>
      <w:bookmarkEnd w:id="260"/>
      <w:r>
        <w:rPr>
          <w:rtl w:val="true"/>
        </w:rPr>
        <w:t>اشارة</w:t>
      </w:r>
      <w:bookmarkEnd w:id="261"/>
    </w:p>
    <w:p>
      <w:pPr>
        <w:pStyle w:val="BookText"/>
        <w:rPr/>
      </w:pPr>
      <w:r>
        <w:rPr>
          <w:rFonts w:ascii="Amiri" w:hAnsi="Amiri" w:eastAsia="Amiri" w:cs="Amiri"/>
          <w:color w:val="111111"/>
          <w:sz w:val="28"/>
          <w:sz w:val="28"/>
          <w:szCs w:val="28"/>
          <w:rtl w:val="true"/>
          <w:lang w:bidi="ar-SA"/>
        </w:rPr>
        <w:t>لا يجوز الأكل والشرب وكذا سائر الاستعمالات من آنية الذهب والفضّة وهو في الجملة ثابت ، ادّعي عليه الإجماع</w:t>
      </w:r>
      <w:r>
        <w:rPr>
          <w:rStyle w:val="FootnoteAnchor"/>
          <w:rtl w:val="true"/>
        </w:rPr>
        <w:footnoteReference w:id="651"/>
      </w:r>
      <w:r>
        <w:rPr>
          <w:rFonts w:ascii="IRNazanin" w:hAnsi="IRNazanin" w:eastAsia="IRNazanin"/>
          <w:color w:val="111111"/>
          <w:sz w:val="28"/>
          <w:sz w:val="28"/>
          <w:szCs w:val="28"/>
          <w:rtl w:val="true"/>
          <w:lang w:bidi="fa-IR"/>
        </w:rPr>
        <w:t>وعدم الخلاف</w:t>
      </w:r>
      <w:r>
        <w:rPr>
          <w:rStyle w:val="FootnoteAnchor"/>
          <w:rtl w:val="true"/>
        </w:rPr>
        <w:footnoteReference w:id="652"/>
      </w:r>
      <w:r>
        <w:rPr>
          <w:rFonts w:ascii="Amiri" w:hAnsi="Amiri" w:eastAsia="Amiri" w:cs="Amiri"/>
          <w:color w:val="111111"/>
          <w:sz w:val="28"/>
          <w:sz w:val="28"/>
          <w:szCs w:val="28"/>
          <w:rtl w:val="true"/>
          <w:lang w:bidi="ar-SA"/>
        </w:rPr>
        <w:t>، وسيأتي الكلام فيه</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62" w:name="__RefHeading___Toc212804_2142443653"/>
      <w:bookmarkStart w:id="263" w:name="_Toc94"/>
      <w:bookmarkEnd w:id="262"/>
      <w:r>
        <w:rPr>
          <w:rtl w:val="true"/>
        </w:rPr>
        <w:t>في التمسّك بالروايات لإثبات حرمة الأكل والشرب</w:t>
      </w:r>
      <w:bookmarkEnd w:id="263"/>
    </w:p>
    <w:p>
      <w:pPr>
        <w:pStyle w:val="BookText"/>
        <w:rPr/>
      </w:pPr>
      <w:r>
        <w:rPr>
          <w:rFonts w:ascii="IRNazanin" w:hAnsi="IRNazanin" w:eastAsia="IRNazanin"/>
          <w:color w:val="111111"/>
          <w:sz w:val="28"/>
          <w:sz w:val="28"/>
          <w:szCs w:val="28"/>
          <w:rtl w:val="true"/>
          <w:lang w:bidi="fa-IR"/>
        </w:rPr>
        <w:t xml:space="preserve">وتدلّ على الأوّل جملة من الروايات من طرق الناس ، كالمرويّ عن النبي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تشربوا في آنية الذهب والفضّة ، ولا تأكلوا في صحافها ، فإنّها لهم في الدنيا ، ولكم في الآخرة</w:t>
      </w:r>
      <w:r>
        <w:rPr>
          <w:rFonts w:eastAsia="IRNazanin" w:cs="IRNazanin"/>
          <w:color w:val="111111"/>
          <w:sz w:val="28"/>
          <w:szCs w:val="28"/>
          <w:rtl w:val="true"/>
          <w:lang w:bidi="fa-IR"/>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نهى عن الشرب في آنية الفضّة</w:t>
      </w:r>
      <w:r>
        <w:rPr>
          <w:rFonts w:eastAsia="IRNazanin" w:cs="IRNazanin"/>
          <w:color w:val="111111"/>
          <w:sz w:val="28"/>
          <w:szCs w:val="28"/>
          <w:rtl w:val="true"/>
          <w:lang w:bidi="fa-IR"/>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وعنه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يشرب في آنية الفضّة في الدنيا لم يشرب فيها في الآخرة</w:t>
      </w:r>
      <w:r>
        <w:rPr>
          <w:rFonts w:eastAsia="IRNazanin" w:cs="IRNazanin"/>
          <w:color w:val="111111"/>
          <w:sz w:val="28"/>
          <w:szCs w:val="28"/>
          <w:rtl w:val="true"/>
          <w:lang w:bidi="fa-IR"/>
        </w:rPr>
        <w:t>»</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 يشرب في آنية الفضّة إنّما يجرجر في بطنه نار جهنّم</w:t>
      </w:r>
      <w:r>
        <w:rPr>
          <w:rFonts w:eastAsia="IRNazanin" w:cs="IRNazanin"/>
          <w:color w:val="111111"/>
          <w:sz w:val="28"/>
          <w:szCs w:val="28"/>
          <w:rtl w:val="true"/>
          <w:lang w:bidi="fa-IR"/>
        </w:rPr>
        <w:t>»</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طرقنا صحيحة محمّد بن مسلم ، عن أبي جعفر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تأكل من آنية الذهب والفضّة</w:t>
      </w:r>
      <w:r>
        <w:rPr>
          <w:rFonts w:eastAsia="IRNazanin" w:cs="IRNazanin"/>
          <w:color w:val="111111"/>
          <w:sz w:val="28"/>
          <w:szCs w:val="28"/>
          <w:rtl w:val="true"/>
          <w:lang w:bidi="fa-IR"/>
        </w:rPr>
        <w:t>»</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وصحيحته الاُخرى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الأصحّ</w:t>
      </w:r>
      <w:r>
        <w:rPr>
          <w:rStyle w:val="FootnoteAnchor"/>
          <w:rtl w:val="true"/>
        </w:rPr>
        <w:footnoteReference w:id="6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نّه نهى عن آنية الذهب والفضّة</w:t>
      </w:r>
      <w:r>
        <w:rPr>
          <w:rFonts w:eastAsia="IRNazanin" w:cs="IRNazanin"/>
          <w:color w:val="111111"/>
          <w:sz w:val="28"/>
          <w:szCs w:val="28"/>
          <w:rtl w:val="true"/>
          <w:lang w:bidi="fa-IR"/>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ورواية داود بن سِرحان ، عن أبي عبداللّه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تأكل في آنية</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الذهب والفضّة</w:t>
      </w:r>
      <w:r>
        <w:rPr>
          <w:rFonts w:eastAsia="Amiri" w:cs="Amiri" w:ascii="Amiri" w:hAnsi="Amiri"/>
          <w:color w:val="111111"/>
          <w:sz w:val="28"/>
          <w:szCs w:val="28"/>
          <w:rtl w:val="true"/>
          <w:lang w:bidi="ar-SA"/>
        </w:rPr>
        <w:t>»</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وفي حديث المناهي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نهى رسول اللّه صلی الله علیه و آله وسلم عن الشرب في آنية الذهب والفضّة</w:t>
      </w:r>
      <w:r>
        <w:rPr>
          <w:rFonts w:eastAsia="IRNazanin" w:cs="IRNazanin"/>
          <w:color w:val="111111"/>
          <w:sz w:val="28"/>
          <w:szCs w:val="28"/>
          <w:rtl w:val="true"/>
          <w:lang w:bidi="fa-IR"/>
        </w:rPr>
        <w:t>»</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مَسعدة بن 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الموثّقة ظاهراً </w:t>
      </w:r>
      <w:r>
        <w:rPr>
          <w:rStyle w:val="FootnoteAnchor"/>
          <w:rtl w:val="true"/>
        </w:rPr>
        <w:footnoteReference w:id="6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 عن أبيه علیهما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رسول اللّه صلی الله علیه و آله وسلم نهاهم عن سبع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الشرب في آنية الذهب والفضّة</w:t>
      </w:r>
      <w:r>
        <w:rPr>
          <w:rFonts w:eastAsia="IRNazanin" w:cs="IRNazanin"/>
          <w:color w:val="111111"/>
          <w:sz w:val="28"/>
          <w:szCs w:val="28"/>
          <w:rtl w:val="true"/>
          <w:lang w:bidi="fa-IR"/>
        </w:rPr>
        <w:t>»</w:t>
      </w:r>
      <w:r>
        <w:rPr>
          <w:rStyle w:val="FootnoteAnchor"/>
          <w:rtl w:val="true"/>
        </w:rPr>
        <w:footnoteReference w:id="664"/>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لكن بإزائها روايات ربّما يكون مقتضى الجمع العقلائي بينها وبين الاُولى ، الحكم على الكراهة لولا الجهات الخارجية ، كموثّقة سَماعة بن مِهران ، عن أبي عبداللّه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ينبغي الشرب في آنية الذهب والفضّة</w:t>
      </w:r>
      <w:r>
        <w:rPr>
          <w:rFonts w:eastAsia="IRNazanin" w:cs="IRNazanin"/>
          <w:color w:val="111111"/>
          <w:sz w:val="28"/>
          <w:szCs w:val="28"/>
          <w:rtl w:val="true"/>
          <w:lang w:bidi="fa-IR"/>
        </w:rPr>
        <w:t>»</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وصحيحة الحلبي ، عن أبي عبداللّه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نّه كره آنية الذهب والفضّة والآنية المفضّضة</w:t>
      </w:r>
      <w:r>
        <w:rPr>
          <w:rFonts w:eastAsia="IRNazanin" w:cs="IRNazanin"/>
          <w:color w:val="111111"/>
          <w:sz w:val="28"/>
          <w:szCs w:val="28"/>
          <w:rtl w:val="true"/>
          <w:lang w:bidi="fa-IR"/>
        </w:rPr>
        <w:t>»</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وظاهرها أنّ الكراهة في الفضّة والمفضّضة سواء ، فتكون الكراهة ظاهرة في الاصطلاحية </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الكراهة لأصل الآنية لا تنافي حرمة الشرب منها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المراد من كراهتهما كراهة الأكل والشرب ، كما تشهد به روايته الاُخرى عنه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تأكل في آنية من فضّة ، ولا آنية مفضّضة</w:t>
      </w:r>
      <w:r>
        <w:rPr>
          <w:rFonts w:eastAsia="IRNazanin" w:cs="IRNazanin"/>
          <w:color w:val="111111"/>
          <w:sz w:val="28"/>
          <w:szCs w:val="28"/>
          <w:rtl w:val="true"/>
          <w:lang w:bidi="fa-IR"/>
        </w:rPr>
        <w:t>»</w:t>
      </w:r>
      <w:r>
        <w:rPr>
          <w:rStyle w:val="FootnoteAnchor"/>
          <w:rtl w:val="true"/>
        </w:rPr>
        <w:footnoteReference w:id="667"/>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الرواية الاُولى نقل بالمعنى للثانية ، وإنّما فهم الحلبي من النهي الكراهة</w:t>
      </w:r>
    </w:p>
    <w:p>
      <w:pPr>
        <w:pStyle w:val="BookText"/>
        <w:rPr/>
      </w:pPr>
      <w:r>
        <w:rPr>
          <w:rFonts w:ascii="IRNazanin" w:hAnsi="IRNazanin" w:eastAsia="IRNazanin"/>
          <w:color w:val="111111"/>
          <w:sz w:val="28"/>
          <w:sz w:val="28"/>
          <w:szCs w:val="28"/>
          <w:rtl w:val="true"/>
          <w:lang w:bidi="fa-IR"/>
        </w:rPr>
        <w:t xml:space="preserve">بقرينة ذكر المفضّضة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جيّد ؛ لأنّ الظاهر من الثاني أنّ المفضّضة كالفضّة ، فإذا ضمّ إليها صحيحة عبداللّه بن سِنان ، عن أبي عبداللّه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أن يشرب الرجل في القدح المفضّض ، واعزل فمك عن موضع الفضّة</w:t>
      </w:r>
      <w:r>
        <w:rPr>
          <w:rFonts w:eastAsia="IRNazanin" w:cs="IRNazanin"/>
          <w:color w:val="111111"/>
          <w:sz w:val="28"/>
          <w:szCs w:val="28"/>
          <w:rtl w:val="true"/>
          <w:lang w:bidi="fa-IR"/>
        </w:rPr>
        <w:t>»</w:t>
      </w:r>
      <w:r>
        <w:rPr>
          <w:rStyle w:val="FootnoteAnchor"/>
          <w:rtl w:val="true"/>
        </w:rPr>
        <w:footnoteReference w:id="668"/>
      </w:r>
      <w:r>
        <w:rPr>
          <w:rFonts w:ascii="Amiri" w:hAnsi="Amiri" w:eastAsia="Amiri" w:cs="Amiri"/>
          <w:color w:val="111111"/>
          <w:sz w:val="28"/>
          <w:sz w:val="28"/>
          <w:szCs w:val="28"/>
          <w:rtl w:val="true"/>
          <w:lang w:bidi="ar-SA"/>
        </w:rPr>
        <w:t xml:space="preserve">يستفاد منها الكراهة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 الاُولى في الأكل والثانية في الشرب ، لا يقدح في ذلك ؛ لإلغاء الخصوصية عرفاً ، وعدم الفصل جزماً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وموثّقة بُرَيد ، عن أبي عبداللّه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نّه كره الشرب في الفضّة ، وفي القدح المفضّض ، وكذلك أن يدهن في مدهن مفضّض ، والمشطة كذلك</w:t>
      </w:r>
      <w:r>
        <w:rPr>
          <w:rFonts w:eastAsia="IRNazanin" w:cs="IRNazanin"/>
          <w:color w:val="111111"/>
          <w:sz w:val="28"/>
          <w:szCs w:val="28"/>
          <w:rtl w:val="true"/>
          <w:lang w:bidi="fa-IR"/>
        </w:rPr>
        <w:t>»</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وهي ظاهرة الدلالة في الكراهة الاصطلاحية بعد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المفضّض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وصحيحة ابن بَزيع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الرضا علیه السلام عن آنية الذهب والفضّة فكرههما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روى بعض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 كان لأبي الحسن علیه السلام مرآة ملبّسة فضّة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والحمد للّه ، وإنّما كانت لها حلقة من فضّة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نحواً </w:t>
      </w:r>
      <w:bookmarkStart w:id="264" w:name="pg15030_143177"/>
    </w:p>
    <w:p>
      <w:pPr>
        <w:pStyle w:val="BookText"/>
        <w:rPr/>
      </w:pPr>
      <w:bookmarkEnd w:id="264"/>
      <w:r>
        <w:rPr>
          <w:rFonts w:ascii="IRNazanin" w:hAnsi="IRNazanin" w:eastAsia="IRNazanin"/>
          <w:color w:val="111111"/>
          <w:sz w:val="28"/>
          <w:sz w:val="28"/>
          <w:szCs w:val="28"/>
          <w:rtl w:val="true"/>
          <w:lang w:bidi="fa-IR"/>
        </w:rPr>
        <w:t>من عشرة دراهم ، فأمر به أبو الحسن علیه السلام فكسر</w:t>
      </w:r>
      <w:r>
        <w:rPr>
          <w:rFonts w:eastAsia="IRNazanin" w:cs="IRNazanin"/>
          <w:color w:val="111111"/>
          <w:sz w:val="28"/>
          <w:szCs w:val="28"/>
          <w:rtl w:val="true"/>
          <w:lang w:bidi="fa-IR"/>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بلحاظ ذيلها ونحو تعبيرها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في الكراهة مقابل الحرمة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ورواية موسى بن بكر ، عن أبي الحسن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آنية الذهب والفضّة متاع الذين لا يوقنون</w:t>
      </w:r>
      <w:r>
        <w:rPr>
          <w:rFonts w:eastAsia="IRNazanin" w:cs="IRNazanin"/>
          <w:color w:val="111111"/>
          <w:sz w:val="28"/>
          <w:szCs w:val="28"/>
          <w:rtl w:val="true"/>
          <w:lang w:bidi="fa-IR"/>
        </w:rPr>
        <w:t>»</w:t>
      </w:r>
      <w:r>
        <w:rPr>
          <w:rStyle w:val="FootnoteAnchor"/>
          <w:rtl w:val="true"/>
        </w:rPr>
        <w:footnoteReference w:id="671"/>
      </w:r>
    </w:p>
    <w:p>
      <w:pPr>
        <w:pStyle w:val="BookText"/>
        <w:rPr/>
      </w:pPr>
      <w:r>
        <w:rPr>
          <w:rFonts w:ascii="Amiri" w:hAnsi="Amiri" w:eastAsia="Amiri" w:cs="Amiri"/>
          <w:color w:val="111111"/>
          <w:sz w:val="28"/>
          <w:sz w:val="28"/>
          <w:szCs w:val="28"/>
          <w:rtl w:val="true"/>
          <w:lang w:bidi="ar-SA"/>
        </w:rPr>
        <w:t xml:space="preserve">أبواب النجاسات ، الباب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وهي أيضاً مشعرة بالكراهة ، أو ظاهرة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الجمع بين الطائفتين من أهون التصرّفات العقلائية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كانت الروايات التي من طرقهم معتبرة عندنا ، كان الجمع بينهما مشكلاً ، لكنّها غير معوّل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حال الأكل والشرب </w:t>
      </w:r>
      <w:r>
        <w:rPr>
          <w:rFonts w:eastAsia="Amiri" w:cs="Amiri" w:ascii="Amiri" w:hAnsi="Amiri"/>
          <w:color w:val="111111"/>
          <w:sz w:val="28"/>
          <w:szCs w:val="28"/>
          <w:rtl w:val="true"/>
          <w:lang w:bidi="ar-SA"/>
        </w:rPr>
        <w:t>.</w:t>
      </w:r>
    </w:p>
    <w:p>
      <w:pPr>
        <w:pStyle w:val="Heading6"/>
        <w:numPr>
          <w:ilvl w:val="5"/>
          <w:numId w:val="1"/>
        </w:numPr>
        <w:rPr/>
      </w:pPr>
      <w:bookmarkStart w:id="265" w:name="__RefHeading___Toc212806_2142443653"/>
      <w:bookmarkStart w:id="266" w:name="_Toc95"/>
      <w:bookmarkEnd w:id="265"/>
      <w:r>
        <w:rPr>
          <w:rtl w:val="true"/>
        </w:rPr>
        <w:t>بيان حكم سائر الاستعمالات على ضوء الأخبار</w:t>
      </w:r>
      <w:bookmarkEnd w:id="266"/>
    </w:p>
    <w:p>
      <w:pPr>
        <w:pStyle w:val="BookText"/>
        <w:rPr/>
      </w:pPr>
      <w:r>
        <w:rPr>
          <w:rFonts w:ascii="Amiri" w:hAnsi="Amiri" w:eastAsia="Amiri" w:cs="Amiri"/>
          <w:color w:val="111111"/>
          <w:sz w:val="28"/>
          <w:sz w:val="28"/>
          <w:szCs w:val="28"/>
          <w:rtl w:val="true"/>
          <w:lang w:bidi="ar-SA"/>
        </w:rPr>
        <w:t>ومنه يظهر حال سائر الاستعمالات ، فإنّ ما يمكن الاستشهاد بها على حرمة سائرها ، ليست إلاّ صحيحة محمّد بن مسلم الثانية</w:t>
      </w:r>
      <w:r>
        <w:rPr>
          <w:rStyle w:val="FootnoteAnchor"/>
          <w:rtl w:val="true"/>
        </w:rPr>
        <w:footnoteReference w:id="672"/>
      </w:r>
      <w:r>
        <w:rPr>
          <w:rFonts w:ascii="Amiri" w:hAnsi="Amiri" w:eastAsia="Amiri" w:cs="Amiri"/>
          <w:color w:val="111111"/>
          <w:sz w:val="28"/>
          <w:sz w:val="28"/>
          <w:szCs w:val="28"/>
          <w:rtl w:val="true"/>
          <w:lang w:bidi="ar-SA"/>
        </w:rPr>
        <w:t xml:space="preserve">، لكن لمّا لا يمكن أن يتعلّق النهي بماهية آنية الذهب والفضّة ، لا بدّ وأن يتعلّق بمحذوف ، كالأكل والشرب ، أو الاستعمال ، أو الاقتناء </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وليس المقام ممّا يقال فيه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حذف المتعلّق دليل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محمّد بن مسلم حكى أ نّه علیه السلام نهى عنها ، ولم يحكِ نحو النهي الذي في كلامه ، ولا متعلّقه ، </w:t>
      </w:r>
    </w:p>
    <w:p>
      <w:pPr>
        <w:pStyle w:val="BookText"/>
        <w:rPr/>
      </w:pPr>
      <w:r>
        <w:rPr>
          <w:rFonts w:ascii="Amiri" w:hAnsi="Amiri" w:eastAsia="Amiri" w:cs="Amiri"/>
          <w:color w:val="111111"/>
          <w:sz w:val="28"/>
          <w:sz w:val="28"/>
          <w:szCs w:val="28"/>
          <w:rtl w:val="true"/>
          <w:lang w:bidi="ar-SA"/>
        </w:rPr>
        <w:t xml:space="preserve">والمتيقّن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النهي عن الأكل والشرب ، لا كلّ شيء ، كما تشهد به سائر الروايات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وقياس المورد بقوله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نهى النبي صلی الله علیه و آله وسلم عن الغرر</w:t>
      </w:r>
      <w:r>
        <w:rPr>
          <w:rFonts w:eastAsia="IRNazanin" w:cs="IRNazanin"/>
          <w:color w:val="111111"/>
          <w:sz w:val="28"/>
          <w:szCs w:val="28"/>
          <w:rtl w:val="true"/>
          <w:lang w:bidi="fa-IR"/>
        </w:rPr>
        <w:t>»</w:t>
      </w:r>
      <w:r>
        <w:rPr>
          <w:rStyle w:val="FootnoteAnchor"/>
          <w:rtl w:val="true"/>
        </w:rPr>
        <w:footnoteReference w:id="673"/>
      </w:r>
      <w:r>
        <w:rPr>
          <w:rFonts w:ascii="Amiri" w:hAnsi="Amiri" w:eastAsia="Amiri" w:cs="Amiri"/>
          <w:color w:val="111111"/>
          <w:sz w:val="28"/>
          <w:sz w:val="28"/>
          <w:szCs w:val="28"/>
          <w:rtl w:val="true"/>
          <w:lang w:bidi="ar-SA"/>
        </w:rPr>
        <w:t xml:space="preserve">حيث يستفاد منه الغرر في كلّ معاملة ، مع الفارق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يمكن تعلّق النهي به ، دون آنية الذهب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الظاهر أنّ هذه الرواية نقل بالمعنى لروايته الاُخرى عنه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تأكل من آنية الذهب والفضّة</w:t>
      </w:r>
      <w:r>
        <w:rPr>
          <w:rFonts w:eastAsia="IRNazanin" w:cs="IRNazanin"/>
          <w:color w:val="111111"/>
          <w:sz w:val="28"/>
          <w:szCs w:val="28"/>
          <w:rtl w:val="true"/>
          <w:lang w:bidi="fa-IR"/>
        </w:rPr>
        <w:t>»</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سمع ابن مسلم من أبي جعفر علیه السلام هذا النهي ، يجوز له أن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نهى أبو جعفر علیه السلام عن آنية الذهب والفضّة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وتوهّم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الصادر عن أبي جعفر علیه السلام بتوسّط ابن مسلم روايتان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إحداهما منقولة بلفظها ، والاُخرى بمعناها ، ولا بدّ أن يكون النهي عن عنوان عامّ حتّى يصحّ له أن يحكي عنه علیه السلام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نهى عن الآنية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 لا يمكن إثبات نهي عن مطلق الاستعمال بحكايته النهي عن الآنية ، مع صحّة الحكاية إن لم يصدر عن أبي جعفر علیه السلام إلاّ روايته الاُخرى المتقدّمة </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سائر الروايات التي يمكن استفادة حكم مطلق الاستعمال منها ، فظاهرة في الكراهة ، كرواية موسى بن بكر ، وصحيحة ابن بَزيع وصحيحة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إشكال فيها تقدّم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 نّها عين صحيحته الاُخرى منقولة بالمعنى </w:t>
      </w:r>
      <w:r>
        <w:rPr>
          <w:rFonts w:eastAsia="Amiri" w:cs="Amiri" w:ascii="Amiri" w:hAnsi="Amiri"/>
          <w:color w:val="111111"/>
          <w:sz w:val="28"/>
          <w:szCs w:val="28"/>
          <w:rtl w:val="true"/>
          <w:lang w:bidi="ar-SA"/>
        </w:rPr>
        <w:t xml:space="preserve">- </w:t>
      </w:r>
      <w:bookmarkStart w:id="267" w:name="pg15030_143179"/>
    </w:p>
    <w:p>
      <w:pPr>
        <w:pStyle w:val="BookText"/>
        <w:rPr/>
      </w:pPr>
      <w:bookmarkEnd w:id="267"/>
      <w:r>
        <w:rPr>
          <w:rFonts w:ascii="IRNazanin" w:hAnsi="IRNazanin" w:eastAsia="IRNazanin"/>
          <w:color w:val="111111"/>
          <w:sz w:val="28"/>
          <w:sz w:val="28"/>
          <w:szCs w:val="28"/>
          <w:rtl w:val="true"/>
          <w:lang w:bidi="fa-IR"/>
        </w:rPr>
        <w:t xml:space="preserve">ورواية علي بن جعفر ، عن أخيه موسى بن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المرآة ، هل يصلح إمساكها إذا كان لها حلقة من فضّة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 إنّما يكره استعمال ما يشرب فيه</w:t>
      </w:r>
      <w:r>
        <w:rPr>
          <w:rFonts w:eastAsia="IRNazanin" w:cs="IRNazanin"/>
          <w:color w:val="111111"/>
          <w:sz w:val="28"/>
          <w:szCs w:val="28"/>
          <w:rtl w:val="true"/>
          <w:lang w:bidi="fa-IR"/>
        </w:rPr>
        <w:t>»</w:t>
      </w:r>
      <w:r>
        <w:rPr>
          <w:rStyle w:val="FootnoteAnchor"/>
          <w:rtl w:val="true"/>
        </w:rPr>
        <w:footnoteReference w:id="6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المراد كراهة مطلق استعمال إناء يشرب فيه ؛ أي يكون معدّاً للشرب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أيضاً ظاهرة الدلالة على الكراهة المصطلحة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لو فرض ظهور في صحيحة ابن مسلم في حرمة مطلق الاستعمال ، تكون هذه الرواية حاكمة عليها موجبة لصرفها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دليل لفظي على حرمة استعمال الأواني بنحو الإطلاق ، ولا الأكل والشرب منها </w:t>
      </w:r>
      <w:r>
        <w:rPr>
          <w:rFonts w:eastAsia="Amiri" w:cs="Amiri" w:ascii="Amiri" w:hAnsi="Amiri"/>
          <w:color w:val="111111"/>
          <w:sz w:val="28"/>
          <w:szCs w:val="28"/>
          <w:rtl w:val="true"/>
          <w:lang w:bidi="ar-SA"/>
        </w:rPr>
        <w:t>.</w:t>
      </w:r>
    </w:p>
    <w:p>
      <w:pPr>
        <w:pStyle w:val="Heading6"/>
        <w:numPr>
          <w:ilvl w:val="5"/>
          <w:numId w:val="1"/>
        </w:numPr>
        <w:rPr/>
      </w:pPr>
      <w:bookmarkStart w:id="268" w:name="__RefHeading___Toc212808_2142443653"/>
      <w:bookmarkStart w:id="269" w:name="_Toc96"/>
      <w:bookmarkEnd w:id="268"/>
      <w:r>
        <w:rPr>
          <w:rtl w:val="true"/>
        </w:rPr>
        <w:t>حكم الاستعمالات غير المتعارفة والتزيين والاقتناء</w:t>
      </w:r>
      <w:bookmarkEnd w:id="269"/>
    </w:p>
    <w:p>
      <w:pPr>
        <w:pStyle w:val="BookText"/>
        <w:rPr/>
      </w:pPr>
      <w:r>
        <w:rPr>
          <w:rFonts w:ascii="Amiri" w:hAnsi="Amiri" w:eastAsia="Amiri" w:cs="Amiri"/>
          <w:color w:val="111111"/>
          <w:sz w:val="28"/>
          <w:sz w:val="28"/>
          <w:szCs w:val="28"/>
          <w:rtl w:val="true"/>
          <w:lang w:bidi="ar-SA"/>
        </w:rPr>
        <w:t>ثمّ لو فرض دلالة الأدلّة على حرمة الأكل والشرب وكذا حرمة الاستعمال ، هل تنصرف إلى حرمة الشرب والأكل في آنية يتعارف الأكل والشرب منها ، وكذا تنصرف إلى الأكل والشرب المتعارفين ، أو تعمّ غير المتعارفين في البابين ؟</w:t>
      </w:r>
    </w:p>
    <w:p>
      <w:pPr>
        <w:pStyle w:val="BookText"/>
        <w:rPr/>
      </w:pPr>
      <w:r>
        <w:rPr>
          <w:rFonts w:ascii="Amiri" w:hAnsi="Amiri" w:eastAsia="Amiri" w:cs="Amiri"/>
          <w:color w:val="111111"/>
          <w:sz w:val="28"/>
          <w:sz w:val="28"/>
          <w:szCs w:val="28"/>
          <w:rtl w:val="true"/>
          <w:lang w:bidi="ar-SA"/>
        </w:rPr>
        <w:t xml:space="preserve">وجهان ، لا يبعد القول بالتعميم ؛ لأجل ارتكاز العقلاء على عدم دخالة كيفية الأكل والشرب ، ولا تعارف الإناء فيهما </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 الظاهر أنّ استعمال الإناء منصرف إلى استعمال يكون من شأن الأواني ، لا مثل قتل الحيّة ودقّ الباب بها ، فلو ورد دليل على أنّ استعمال الأواني 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كمرسلة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روي عن النبي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نّه نهى عن استعمال أواني </w:t>
      </w:r>
    </w:p>
    <w:p>
      <w:pPr>
        <w:pStyle w:val="BookText"/>
        <w:rPr/>
      </w:pPr>
      <w:r>
        <w:rPr>
          <w:rFonts w:ascii="Amiri" w:hAnsi="Amiri" w:eastAsia="Amiri" w:cs="Amiri"/>
          <w:color w:val="111111"/>
          <w:sz w:val="28"/>
          <w:sz w:val="28"/>
          <w:szCs w:val="28"/>
          <w:rtl w:val="true"/>
          <w:lang w:bidi="ar-SA"/>
        </w:rPr>
        <w:t>الذهب والفضّة</w:t>
      </w:r>
      <w:r>
        <w:rPr>
          <w:rFonts w:eastAsia="Amiri" w:cs="Amiri" w:ascii="Amiri" w:hAnsi="Amiri"/>
          <w:color w:val="111111"/>
          <w:sz w:val="28"/>
          <w:szCs w:val="28"/>
          <w:rtl w:val="true"/>
          <w:lang w:bidi="ar-SA"/>
        </w:rPr>
        <w:t>»</w:t>
      </w:r>
      <w:r>
        <w:rPr>
          <w:rStyle w:val="FootnoteAnchor"/>
          <w:rtl w:val="true"/>
        </w:rPr>
        <w:footnoteReference w:id="6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يعمّ إلاّ ما يكون الاستعمال نحو استعمال الأواني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استعمل ما للشرب في الأكل أو بالعكس ، أو استعمل ما ليس لهما فيهما ، فشرب من القنديل وغلاف السيف ، يكون محرّماً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إشكال في مثل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ما لو استعمل الإناء فيما لا يكون شأن الأواني بما هي ، كاستعمالها في ضرب الدابّة ، ووضعها والجلوس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الظاهر عدم التعميم لمثل الوضع على الرفوف للتزيين ، إلاّ ما كان نحو استعمالها كذلك ؛ بناءً على عموم حرمة الاستعمال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وأولى بعدم الحرمة اقتناؤها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استفيد من صحيحة ابن بَزيع</w:t>
      </w:r>
      <w:r>
        <w:rPr>
          <w:rStyle w:val="FootnoteAnchor"/>
          <w:rtl w:val="true"/>
        </w:rPr>
        <w:footnoteReference w:id="677"/>
      </w:r>
      <w:r>
        <w:rPr>
          <w:rFonts w:ascii="IRNazanin" w:hAnsi="IRNazanin" w:eastAsia="IRNazanin"/>
          <w:color w:val="111111"/>
          <w:sz w:val="28"/>
          <w:sz w:val="28"/>
          <w:szCs w:val="28"/>
          <w:rtl w:val="true"/>
          <w:lang w:bidi="fa-IR"/>
        </w:rPr>
        <w:t xml:space="preserve">الحرمة ، لا يبعد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متعلّقة بذات الآنية ، فيكون وجودها مبغوضاً لا يجوز اقتناؤها ، بل يجب كسرها ، كما أمر أبو الحسن علیه السلام بكسر قضيب ملبّس بالفضّة على ما فيها لكنّها ظاهرة في الكراهة ، أو غير دالّة على الحرمة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أ نّه لو فرض استفادة الحرمة من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آنية الذهب والفضّة متاع الذين لا يوقنون</w:t>
      </w:r>
      <w:r>
        <w:rPr>
          <w:rFonts w:eastAsia="IRNazanin" w:cs="IRNazanin"/>
          <w:color w:val="111111"/>
          <w:sz w:val="28"/>
          <w:szCs w:val="28"/>
          <w:rtl w:val="true"/>
          <w:lang w:bidi="fa-IR"/>
        </w:rPr>
        <w:t>»</w:t>
      </w:r>
      <w:r>
        <w:rPr>
          <w:rStyle w:val="FootnoteAnchor"/>
          <w:rtl w:val="true"/>
        </w:rPr>
        <w:footnoteReference w:id="678"/>
      </w:r>
      <w:r>
        <w:rPr>
          <w:rFonts w:ascii="Amiri" w:hAnsi="Amiri" w:eastAsia="Amiri" w:cs="Amiri"/>
          <w:color w:val="111111"/>
          <w:sz w:val="28"/>
          <w:sz w:val="28"/>
          <w:szCs w:val="28"/>
          <w:rtl w:val="true"/>
          <w:lang w:bidi="ar-SA"/>
        </w:rPr>
        <w:t xml:space="preserve">يكون دالاًّ على حرمة مطلق الانتفاع والتمتّع بها ممّا هو من شأن الأواني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يشمل مثل الاقتناء ، فإنّه تعطيل عن الانتفاع ، لا انتفاع بها </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حال الأدلّة اللفظية ، وقد عرفت عدم نهوضها لإثبات حرمة الأكل والشرب ، فضلاً عن سائر الاستعمالات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التمسّك بالإجماع على حرمة الأكل والشرب وسائر الاستعمالات</w:t>
      </w:r>
    </w:p>
    <w:p>
      <w:pPr>
        <w:pStyle w:val="BookText"/>
        <w:rPr/>
      </w:pPr>
      <w:r>
        <w:rPr>
          <w:rFonts w:ascii="Amiri" w:hAnsi="Amiri" w:eastAsia="Amiri" w:cs="Amiri"/>
          <w:color w:val="111111"/>
          <w:sz w:val="28"/>
          <w:sz w:val="28"/>
          <w:szCs w:val="28"/>
          <w:rtl w:val="true"/>
          <w:lang w:bidi="ar-SA"/>
        </w:rPr>
        <w:t>نعم ، قد تكرّر واستفاض نقل الإجماع من عصر العلاّمة إلى عصرنا على حرمة الأكل والشرب في جملة من الكتب</w:t>
      </w:r>
      <w:r>
        <w:rPr>
          <w:rStyle w:val="FootnoteAnchor"/>
          <w:rtl w:val="true"/>
        </w:rPr>
        <w:footnoteReference w:id="679"/>
      </w:r>
      <w:r>
        <w:rPr>
          <w:rFonts w:ascii="Amiri" w:hAnsi="Amiri" w:eastAsia="Amiri" w:cs="Amiri"/>
          <w:color w:val="111111"/>
          <w:sz w:val="28"/>
          <w:sz w:val="28"/>
          <w:szCs w:val="28"/>
          <w:rtl w:val="true"/>
          <w:lang w:bidi="ar-SA"/>
        </w:rPr>
        <w:t xml:space="preserve">،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Style w:val="FootnoteAnchor"/>
          <w:rtl w:val="true"/>
        </w:rPr>
        <w:footnoteReference w:id="680"/>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للأردبيلي</w:t>
      </w:r>
      <w:r>
        <w:rPr>
          <w:rStyle w:val="FootnoteAnchor"/>
          <w:rtl w:val="true"/>
        </w:rPr>
        <w:footnoteReference w:id="681"/>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682"/>
      </w:r>
      <w:r>
        <w:rPr>
          <w:rFonts w:ascii="Amiri" w:hAnsi="Amiri" w:eastAsia="Amiri" w:cs="Amiri"/>
          <w:color w:val="111111"/>
          <w:sz w:val="28"/>
          <w:sz w:val="28"/>
          <w:szCs w:val="28"/>
          <w:rtl w:val="true"/>
          <w:lang w:bidi="ar-SA"/>
        </w:rPr>
        <w:t xml:space="preserve">وغيرها </w:t>
      </w:r>
      <w:r>
        <w:rPr>
          <w:rStyle w:val="FootnoteAnchor"/>
          <w:rtl w:val="true"/>
        </w:rPr>
        <w:footnoteReference w:id="683"/>
      </w:r>
      <w:r>
        <w:rPr>
          <w:rFonts w:ascii="Amiri" w:hAnsi="Amiri" w:eastAsia="Amiri" w:cs="Amiri"/>
          <w:color w:val="111111"/>
          <w:sz w:val="28"/>
          <w:sz w:val="28"/>
          <w:szCs w:val="28"/>
          <w:rtl w:val="true"/>
          <w:lang w:bidi="ar-SA"/>
        </w:rPr>
        <w:t xml:space="preserve">على حرمة سائر الاستعمالات أيضاً ،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الرموز</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خلاف فيه</w:t>
      </w:r>
      <w:r>
        <w:rPr>
          <w:rFonts w:eastAsia="Amiri" w:cs="Amiri" w:ascii="Amiri" w:hAnsi="Amiri"/>
          <w:color w:val="111111"/>
          <w:sz w:val="28"/>
          <w:szCs w:val="28"/>
          <w:rtl w:val="true"/>
          <w:lang w:bidi="ar-SA"/>
        </w:rPr>
        <w:t>»</w:t>
      </w:r>
      <w:r>
        <w:rPr>
          <w:rStyle w:val="FootnoteAnchor"/>
          <w:rtl w:val="true"/>
        </w:rPr>
        <w:footnoteReference w:id="684"/>
      </w:r>
      <w:r>
        <w:rPr>
          <w:rFonts w:ascii="Amiri" w:hAnsi="Amiri" w:eastAsia="Amiri" w:cs="Amiri"/>
          <w:color w:val="111111"/>
          <w:sz w:val="28"/>
          <w:sz w:val="28"/>
          <w:szCs w:val="28"/>
          <w:rtl w:val="true"/>
          <w:lang w:bidi="ar-SA"/>
        </w:rPr>
        <w:t xml:space="preserve">ونسبه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المشهور</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الصدوق والمفيد وسلاّر والشيخ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الاقتصار على الأكل والشرب</w:t>
      </w:r>
      <w:r>
        <w:rPr>
          <w:rStyle w:val="FootnoteAnchor"/>
          <w:rtl w:val="true"/>
        </w:rPr>
        <w:footnoteReference w:id="686"/>
      </w:r>
      <w:r>
        <w:rPr>
          <w:rFonts w:ascii="Amiri" w:hAnsi="Amiri" w:eastAsia="Amiri" w:cs="Amiri"/>
          <w:color w:val="111111"/>
          <w:sz w:val="28"/>
          <w:sz w:val="28"/>
          <w:szCs w:val="28"/>
          <w:rtl w:val="true"/>
          <w:lang w:bidi="ar-SA"/>
        </w:rPr>
        <w:t xml:space="preserve">،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 تحريم اتّخاذها لغير الاستعمال هو المشهور</w:t>
      </w:r>
      <w:r>
        <w:rPr>
          <w:rFonts w:eastAsia="Amiri" w:cs="Amiri" w:ascii="Amiri" w:hAnsi="Amiri"/>
          <w:color w:val="111111"/>
          <w:sz w:val="28"/>
          <w:szCs w:val="28"/>
          <w:rtl w:val="true"/>
          <w:lang w:bidi="ar-SA"/>
        </w:rPr>
        <w:t>»</w:t>
      </w:r>
      <w:r>
        <w:rPr>
          <w:rStyle w:val="FootnoteAnchor"/>
          <w:rtl w:val="true"/>
        </w:rPr>
        <w:footnoteReference w:id="687"/>
      </w:r>
      <w:r>
        <w:rPr>
          <w:rFonts w:ascii="Amiri" w:hAnsi="Amiri" w:eastAsia="Amiri" w:cs="Amiri"/>
          <w:color w:val="111111"/>
          <w:sz w:val="28"/>
          <w:sz w:val="28"/>
          <w:szCs w:val="28"/>
          <w:rtl w:val="true"/>
          <w:lang w:bidi="ar-SA"/>
        </w:rPr>
        <w:t xml:space="preserve">،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هو مذهب الأكثر</w:t>
      </w:r>
      <w:r>
        <w:rPr>
          <w:rFonts w:eastAsia="Amiri" w:cs="Amiri" w:ascii="Amiri" w:hAnsi="Amiri"/>
          <w:color w:val="111111"/>
          <w:sz w:val="28"/>
          <w:szCs w:val="28"/>
          <w:rtl w:val="true"/>
          <w:lang w:bidi="ar-SA"/>
        </w:rPr>
        <w:t>»</w:t>
      </w:r>
      <w:r>
        <w:rPr>
          <w:rStyle w:val="FootnoteAnchor"/>
          <w:rtl w:val="true"/>
        </w:rPr>
        <w:footnoteReference w:id="688"/>
      </w:r>
      <w:r>
        <w:rPr>
          <w:rFonts w:ascii="Amiri" w:hAnsi="Amiri" w:eastAsia="Amiri" w:cs="Amiri"/>
          <w:color w:val="111111"/>
          <w:sz w:val="28"/>
          <w:sz w:val="28"/>
          <w:szCs w:val="28"/>
          <w:rtl w:val="true"/>
          <w:lang w:bidi="ar-SA"/>
        </w:rPr>
        <w:t>وهو المحكيّ عن الشيخ والمحقّق واليوسفي والعلاّمة والفخر والكركي وظاهر الشهيد</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الحلّي والعلاّمة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 الجواز</w:t>
      </w:r>
      <w:r>
        <w:rPr>
          <w:rStyle w:val="FootnoteAnchor"/>
          <w:rtl w:val="true"/>
        </w:rPr>
        <w:footnoteReference w:id="690"/>
      </w:r>
      <w:r>
        <w:rPr>
          <w:rFonts w:ascii="Amiri" w:hAnsi="Amiri" w:eastAsia="Amiri" w:cs="Amiri"/>
          <w:color w:val="111111"/>
          <w:sz w:val="28"/>
          <w:sz w:val="28"/>
          <w:szCs w:val="28"/>
          <w:rtl w:val="true"/>
          <w:lang w:bidi="ar-SA"/>
        </w:rPr>
        <w:t xml:space="preserve">،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استحسانه</w:t>
      </w:r>
      <w:r>
        <w:rPr>
          <w:rStyle w:val="FootnoteAnchor"/>
          <w:rtl w:val="true"/>
        </w:rPr>
        <w:footnoteReference w:id="691"/>
      </w:r>
      <w:r>
        <w:rPr>
          <w:rFonts w:ascii="Amiri" w:hAnsi="Amiri" w:eastAsia="Amiri" w:cs="Amiri"/>
          <w:color w:val="111111"/>
          <w:sz w:val="28"/>
          <w:sz w:val="28"/>
          <w:szCs w:val="28"/>
          <w:rtl w:val="true"/>
          <w:lang w:bidi="ar-SA"/>
        </w:rPr>
        <w:t>، وعن شيخه الأردبيلي الميل إليه</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 والذي يوجب وسوسة في النفس أمران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تخلّل الاجتهاد في الحكم ؛ وأنّ الفقهاء إنّما أفتوا بالحرمة في الأكل والشرب وسائر الاستعمالات اتّكالاً على الروايات ، سيّما مع استدلال الشيخ والمفيد ، ومن بعدهما كالمحقّق والعلاّمة ، وأمثالهما من عُمَد أصحاب الفتوى وأئمّة الفنّ ، بها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ومعه كيف يمكن القطع بأنّ عندهم غير تلك الروايات أمراً آخر ، ويكون الحكم معروفاً من لدن زمن الأئمّة علیهم السلام وإنّما ذكروا الروايات إيراداً ، لا استناداً واعتماداً ، أو أعرضوا عن الروايات الحاكمة عليها ، لا رجّحوا مفاد ما دلّت على التحريم عليها بالتقريبات التي ذكرها المتأخّرون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مع الظنّ الراجح على استنادهم إلى الروايات ، كيف يمكن القطع بكشف الإجماع عن الدليل المعتبر غيرها ، أو عن أخذهم الحكم خلفاً عن سلف من غير تخلّل اجتهاد ؟ </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استعمال أواني الذهب والفضّة ، وكذلك المفضّض منها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الشافعي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استعمال أواني الذهب والفضّة</w:t>
      </w:r>
      <w:r>
        <w:rPr>
          <w:rFonts w:eastAsia="Amiri" w:cs="Amiri" w:ascii="Amiri" w:hAnsi="Amiri"/>
          <w:color w:val="111111"/>
          <w:sz w:val="28"/>
          <w:szCs w:val="28"/>
          <w:rtl w:val="true"/>
          <w:lang w:bidi="ar-SA"/>
        </w:rPr>
        <w:t>»</w:t>
      </w:r>
      <w:r>
        <w:rPr>
          <w:rStyle w:val="FootnoteAnchor"/>
          <w:rtl w:val="true"/>
        </w:rPr>
        <w:footnoteReference w:id="693"/>
      </w:r>
      <w:r>
        <w:rPr>
          <w:rFonts w:ascii="Amiri" w:hAnsi="Amiri" w:eastAsia="Amiri" w:cs="Amiri"/>
          <w:color w:val="111111"/>
          <w:sz w:val="28"/>
          <w:sz w:val="28"/>
          <w:szCs w:val="28"/>
          <w:rtl w:val="true"/>
          <w:lang w:bidi="ar-SA"/>
        </w:rPr>
        <w:t>وبه قال أبو حنيفة في الشرب والأكل والتطيّب على كلّ حال</w:t>
      </w:r>
      <w:r>
        <w:rPr>
          <w:rStyle w:val="FootnoteAnchor"/>
          <w:rtl w:val="true"/>
        </w:rPr>
        <w:footnoteReference w:id="6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الشافعي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يكره المفضّض</w:t>
      </w:r>
      <w:r>
        <w:rPr>
          <w:rFonts w:eastAsia="Amiri" w:cs="Amiri" w:ascii="Amiri" w:hAnsi="Amiri"/>
          <w:color w:val="111111"/>
          <w:sz w:val="28"/>
          <w:szCs w:val="28"/>
          <w:rtl w:val="true"/>
          <w:lang w:bidi="ar-SA"/>
        </w:rPr>
        <w:t>»</w:t>
      </w:r>
      <w:r>
        <w:rPr>
          <w:rStyle w:val="FootnoteAnchor"/>
          <w:rtl w:val="true"/>
        </w:rPr>
        <w:footnoteReference w:id="695"/>
      </w:r>
      <w:r>
        <w:rPr>
          <w:rFonts w:ascii="Amiri" w:hAnsi="Amiri" w:eastAsia="Amiri" w:cs="Amiri"/>
          <w:color w:val="111111"/>
          <w:sz w:val="28"/>
          <w:sz w:val="28"/>
          <w:szCs w:val="28"/>
          <w:rtl w:val="true"/>
          <w:lang w:bidi="ar-SA"/>
        </w:rPr>
        <w:t xml:space="preserve">وقال أبو حنيفة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يكره</w:t>
      </w:r>
      <w:r>
        <w:rPr>
          <w:rFonts w:eastAsia="Amiri" w:cs="Amiri" w:ascii="Amiri" w:hAnsi="Amiri"/>
          <w:color w:val="111111"/>
          <w:sz w:val="28"/>
          <w:szCs w:val="28"/>
          <w:rtl w:val="true"/>
          <w:lang w:bidi="ar-SA"/>
        </w:rPr>
        <w:t>»</w:t>
      </w:r>
      <w:r>
        <w:rPr>
          <w:rStyle w:val="FootnoteAnchor"/>
          <w:rtl w:val="true"/>
        </w:rPr>
        <w:footnoteReference w:id="696"/>
      </w:r>
      <w:r>
        <w:rPr>
          <w:rFonts w:ascii="IRNazanin" w:hAnsi="IRNazanin" w:eastAsia="IRNazanin"/>
          <w:color w:val="111111"/>
          <w:sz w:val="28"/>
          <w:sz w:val="28"/>
          <w:szCs w:val="28"/>
          <w:rtl w:val="true"/>
          <w:lang w:bidi="fa-IR"/>
        </w:rPr>
        <w:t xml:space="preserve">وهو مذهب داود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دليلنا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إجماع الفرقة ، وأيضاً روى الحلبي ، عن أبي عبداللّه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تأكل في آنية من فضّة ، ولا في آنية مفضّضة</w:t>
      </w:r>
      <w:r>
        <w:rPr>
          <w:rFonts w:eastAsia="IRNazanin" w:cs="IRNazanin"/>
          <w:color w:val="111111"/>
          <w:sz w:val="28"/>
          <w:szCs w:val="28"/>
          <w:rtl w:val="true"/>
          <w:lang w:bidi="fa-IR"/>
        </w:rPr>
        <w:t>»</w:t>
      </w:r>
      <w:r>
        <w:rPr>
          <w:rStyle w:val="FootnoteAnchor"/>
          <w:rtl w:val="true"/>
        </w:rPr>
        <w:footnoteReference w:id="6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ابن محبوب ، عن العلاء بن رَزين ، عن محمّد بن مسلم ، عن أبي جعفر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نّه نهى عن آنية الذهب والفضّة</w:t>
      </w:r>
      <w:r>
        <w:rPr>
          <w:rFonts w:eastAsia="IRNazanin" w:cs="IRNazanin"/>
          <w:color w:val="111111"/>
          <w:sz w:val="28"/>
          <w:szCs w:val="28"/>
          <w:rtl w:val="true"/>
          <w:lang w:bidi="fa-IR"/>
        </w:rPr>
        <w:t>»</w:t>
      </w:r>
      <w:r>
        <w:rPr>
          <w:rStyle w:val="FootnoteAnchor"/>
          <w:rtl w:val="true"/>
        </w:rPr>
        <w:footnoteReference w:id="6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 عن النبي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نّه نهى عن استعمال أواني الذهب والفضّة</w:t>
      </w:r>
      <w:r>
        <w:rPr>
          <w:rFonts w:eastAsia="IRNazanin" w:cs="IRNazanin"/>
          <w:color w:val="111111"/>
          <w:sz w:val="28"/>
          <w:szCs w:val="28"/>
          <w:rtl w:val="true"/>
          <w:lang w:bidi="fa-IR"/>
        </w:rPr>
        <w:t>»</w:t>
      </w:r>
      <w:r>
        <w:rPr>
          <w:rStyle w:val="FootnoteAnchor"/>
          <w:rtl w:val="true"/>
        </w:rPr>
        <w:footnoteReference w:id="699"/>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في الكراهة المصطلحة ، غيرُ ممكن التأويل بغيرها من وجوه ؛ وإن كان مقتضى تمسّكه بالروايات الظاهرة في الحرمة أن يكون مدّعاه التحريم ، لكن نصوصية الصدر حاكمة على الذيل ، سيّما مع أنّ رواية الحلبي محمولة على الكراهة بقرينة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المفضّضة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آنية الفضّة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والنصّ قائم على عدم البأس بها ؛ وهو صحيحة عبداللّه بن سِنان المتقدّمة</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ولعلّ استناد الشيخ إليها للكراهة كذلك ، كما أنّ الحلبي الناقل لها عن أبي عبداللّه علیه السلام قال في موضع آخر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كره آنية الذهب والفضّة ، والآنية المفضّضة</w:t>
      </w:r>
      <w:r>
        <w:rPr>
          <w:rFonts w:eastAsia="IRNazanin" w:cs="IRNazanin"/>
          <w:color w:val="111111"/>
          <w:sz w:val="28"/>
          <w:szCs w:val="28"/>
          <w:rtl w:val="true"/>
          <w:lang w:bidi="fa-IR"/>
        </w:rPr>
        <w:t>»</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فتواه في 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بحرمة الاتّخاذ والاستعمال</w:t>
      </w:r>
      <w:r>
        <w:rPr>
          <w:rStyle w:val="FootnoteAnchor"/>
          <w:rtl w:val="true"/>
        </w:rPr>
        <w:footnoteReference w:id="702"/>
      </w:r>
      <w:r>
        <w:rPr>
          <w:rFonts w:ascii="Amiri" w:hAnsi="Amiri" w:eastAsia="Amiri" w:cs="Amiri"/>
          <w:color w:val="111111"/>
          <w:sz w:val="28"/>
          <w:sz w:val="28"/>
          <w:szCs w:val="28"/>
          <w:rtl w:val="true"/>
          <w:lang w:bidi="ar-SA"/>
        </w:rPr>
        <w:t>مستدلاًّ بالنبويين المتقدّمين</w:t>
      </w:r>
      <w:r>
        <w:rPr>
          <w:rStyle w:val="FootnoteAnchor"/>
          <w:rtl w:val="true"/>
        </w:rPr>
        <w:footnoteReference w:id="703"/>
      </w:r>
      <w:r>
        <w:rPr>
          <w:rFonts w:ascii="Amiri" w:hAnsi="Amiri" w:eastAsia="Amiri" w:cs="Amiri"/>
          <w:color w:val="111111"/>
          <w:sz w:val="28"/>
          <w:sz w:val="28"/>
          <w:szCs w:val="28"/>
          <w:rtl w:val="true"/>
          <w:lang w:bidi="ar-SA"/>
        </w:rPr>
        <w:t xml:space="preserve">، وكذا فتواه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بحرمة الأكل والشرب</w:t>
      </w:r>
      <w:r>
        <w:rPr>
          <w:rStyle w:val="FootnoteAnchor"/>
          <w:rtl w:val="true"/>
        </w:rPr>
        <w:footnoteReference w:id="704"/>
      </w:r>
      <w:r>
        <w:rPr>
          <w:rFonts w:ascii="Amiri" w:hAnsi="Amiri" w:eastAsia="Amiri" w:cs="Amiri"/>
          <w:color w:val="111111"/>
          <w:sz w:val="28"/>
          <w:sz w:val="28"/>
          <w:szCs w:val="28"/>
          <w:rtl w:val="true"/>
          <w:lang w:bidi="ar-SA"/>
        </w:rPr>
        <w:t xml:space="preserve">، فلا يصيران قرينة على أنّ مراده في المقام الحرمة، أو الجامع بينهما وبين الكراهة؛ فإنّ التصرّف في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كطرح النصّ ، لا تأويل الظاهر أو المجمل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لأحد أن يقول بتصحيف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كما ترى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الأمر كذلك ، والمسألة على هذا المنوال ، كيف يمكن الاتّكال على دعوى إجماع العلاّمة ومن تأخّر عنه ، سيّما في مطلق الاستعمال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جمعاً من المتقدّمين اقتصروا على الأكل والشرب ، كما تقدّم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فالمسألة قويّة الإشكال </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الخروج عن الإجماعات المنقولة في الأكل والشرب والاستعمالات </w:t>
      </w:r>
      <w:bookmarkStart w:id="270" w:name="pg15030_143185"/>
    </w:p>
    <w:p>
      <w:pPr>
        <w:pStyle w:val="BookText"/>
        <w:rPr/>
      </w:pPr>
      <w:bookmarkEnd w:id="270"/>
      <w:r>
        <w:rPr>
          <w:rFonts w:ascii="Amiri" w:hAnsi="Amiri" w:eastAsia="Amiri" w:cs="Amiri"/>
          <w:color w:val="111111"/>
          <w:sz w:val="28"/>
          <w:sz w:val="28"/>
          <w:szCs w:val="28"/>
          <w:rtl w:val="true"/>
          <w:lang w:bidi="ar-SA"/>
        </w:rPr>
        <w:t xml:space="preserve">المتعارفة المتيقّنة أشكل ؛ للوهن الحاصل منها في الروايات المقابلة للنواهي الواردة عن الأكل والشرب ، أو حصول الوثوق بأنّ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الروايات غير معناها الاصطلاحي </w:t>
      </w:r>
      <w:r>
        <w:rPr>
          <w:rFonts w:eastAsia="Amiri" w:cs="Amiri" w:ascii="Amiri" w:hAnsi="Amiri"/>
          <w:color w:val="111111"/>
          <w:sz w:val="28"/>
          <w:szCs w:val="28"/>
          <w:rtl w:val="true"/>
          <w:lang w:bidi="ar-SA"/>
        </w:rPr>
        <w:t>.</w:t>
      </w:r>
    </w:p>
    <w:p>
      <w:pPr>
        <w:pStyle w:val="Heading6"/>
        <w:numPr>
          <w:ilvl w:val="5"/>
          <w:numId w:val="1"/>
        </w:numPr>
        <w:rPr/>
      </w:pPr>
      <w:bookmarkStart w:id="271" w:name="__RefHeading___Toc212810_2142443653"/>
      <w:bookmarkStart w:id="272" w:name="_Toc97"/>
      <w:bookmarkEnd w:id="271"/>
      <w:r>
        <w:rPr>
          <w:rtl w:val="true"/>
        </w:rPr>
        <w:t>المختار في المقام</w:t>
      </w:r>
      <w:bookmarkEnd w:id="272"/>
    </w:p>
    <w:p>
      <w:pPr>
        <w:pStyle w:val="BookText"/>
        <w:rPr/>
      </w:pPr>
      <w:r>
        <w:rPr>
          <w:rFonts w:ascii="Amiri" w:hAnsi="Amiri" w:eastAsia="Amiri" w:cs="Amiri"/>
          <w:color w:val="111111"/>
          <w:sz w:val="28"/>
          <w:sz w:val="28"/>
          <w:szCs w:val="28"/>
          <w:rtl w:val="true"/>
          <w:lang w:bidi="ar-SA"/>
        </w:rPr>
        <w:t xml:space="preserve">وعلى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ما يمكن الاتّكال عليها في ذاك وذلك ، هي حرمة الأكل والشرب والاستعمالات المتعارفة ، دون غير المتعارفة ، أو غير المتوقّعة من الأواني ، ولا سيّما الثانية ، فضلاً عمّا لا يكون استعمالاً أو شكّ فيه ، كالوضع</w:t>
      </w:r>
    </w:p>
    <w:p>
      <w:pPr>
        <w:pStyle w:val="BookText"/>
        <w:rPr/>
      </w:pPr>
      <w:r>
        <w:rPr>
          <w:rFonts w:ascii="Amiri" w:hAnsi="Amiri" w:eastAsia="Amiri" w:cs="Amiri"/>
          <w:color w:val="111111"/>
          <w:sz w:val="28"/>
          <w:sz w:val="28"/>
          <w:szCs w:val="28"/>
          <w:rtl w:val="true"/>
          <w:lang w:bidi="ar-SA"/>
        </w:rPr>
        <w:t>على الرفوف للتزي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 والاقتناء ونحوهما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فالأقوى حلّية غير الأكل والشرب والاستعمالات المتوقّعة من الأواني ؛ وإن لا يخلو عن تأمّل فيما لا يتعارف فيها ، كالشرب من غلاف السيف 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 نّه آنية ، أو جعل الكوز والكأس محلاًّ للمداد لأجل الكتابة ونظائرها </w:t>
      </w:r>
      <w:r>
        <w:rPr>
          <w:rFonts w:eastAsia="Amiri" w:cs="Amiri" w:ascii="Amiri" w:hAnsi="Amiri"/>
          <w:color w:val="111111"/>
          <w:sz w:val="28"/>
          <w:szCs w:val="28"/>
          <w:rtl w:val="true"/>
          <w:lang w:bidi="ar-SA"/>
        </w:rPr>
        <w:t>.</w:t>
      </w:r>
    </w:p>
    <w:p>
      <w:pPr>
        <w:pStyle w:val="Heading6"/>
        <w:numPr>
          <w:ilvl w:val="5"/>
          <w:numId w:val="1"/>
        </w:numPr>
        <w:rPr/>
      </w:pPr>
      <w:bookmarkStart w:id="273" w:name="__RefHeading___Toc212812_2142443653"/>
      <w:bookmarkStart w:id="274" w:name="_Toc98"/>
      <w:bookmarkEnd w:id="273"/>
      <w:r>
        <w:rPr>
          <w:rtl w:val="true"/>
        </w:rPr>
        <w:t>عدم حرمة الأكل والشرب من الآنية المفضّضة</w:t>
      </w:r>
      <w:bookmarkEnd w:id="274"/>
    </w:p>
    <w:p>
      <w:pPr>
        <w:pStyle w:val="BookText"/>
        <w:rPr/>
      </w:pPr>
      <w:r>
        <w:rPr>
          <w:rFonts w:ascii="Amiri" w:hAnsi="Amiri" w:eastAsia="Amiri" w:cs="Amiri"/>
          <w:color w:val="111111"/>
          <w:sz w:val="28"/>
          <w:sz w:val="28"/>
          <w:szCs w:val="28"/>
          <w:rtl w:val="true"/>
          <w:lang w:bidi="ar-SA"/>
        </w:rPr>
        <w:t xml:space="preserve">وقد ظهر من بعض ما تقدّم عدم حرمة المفضّض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يحرم الشرب من موضع الفضّة ، أو يكره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 ذيل صحيحة ابن سِنان المتقدّمة</w:t>
      </w:r>
      <w:r>
        <w:rPr>
          <w:rStyle w:val="FootnoteAnchor"/>
          <w:rtl w:val="true"/>
        </w:rPr>
        <w:footnoteReference w:id="705"/>
      </w:r>
      <w:r>
        <w:rPr>
          <w:rFonts w:ascii="Amiri" w:hAnsi="Amiri" w:eastAsia="Amiri" w:cs="Amiri"/>
          <w:color w:val="111111"/>
          <w:sz w:val="28"/>
          <w:sz w:val="28"/>
          <w:szCs w:val="28"/>
          <w:rtl w:val="true"/>
          <w:lang w:bidi="ar-SA"/>
        </w:rPr>
        <w:t xml:space="preserve">الأوّل ، وبه قال جملة من الأصحاب قديماً وحديثاً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الشهرة عليه</w:t>
      </w:r>
      <w:r>
        <w:rPr>
          <w:rStyle w:val="FootnoteAnchor"/>
          <w:rtl w:val="true"/>
        </w:rPr>
        <w:footnoteReference w:id="707"/>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عامّة المتأخّرين</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واختار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الاستحباب</w:t>
      </w:r>
      <w:r>
        <w:rPr>
          <w:rStyle w:val="FootnoteAnchor"/>
          <w:rtl w:val="true"/>
        </w:rPr>
        <w:footnoteReference w:id="709"/>
      </w:r>
      <w:r>
        <w:rPr>
          <w:rFonts w:ascii="Amiri" w:hAnsi="Amiri" w:eastAsia="Amiri" w:cs="Amiri"/>
          <w:color w:val="111111"/>
          <w:sz w:val="28"/>
          <w:sz w:val="28"/>
          <w:szCs w:val="28"/>
          <w:rtl w:val="true"/>
          <w:lang w:bidi="ar-SA"/>
        </w:rPr>
        <w:t xml:space="preserve">، واستحسنه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710"/>
      </w:r>
      <w:r>
        <w:rPr>
          <w:rFonts w:ascii="IRNazanin" w:hAnsi="IRNazanin" w:eastAsia="IRNazanin"/>
          <w:color w:val="111111"/>
          <w:sz w:val="28"/>
          <w:sz w:val="28"/>
          <w:szCs w:val="28"/>
          <w:rtl w:val="true"/>
          <w:lang w:bidi="fa-IR"/>
        </w:rPr>
        <w:t xml:space="preserve">، لإطلاق صحيحة معاوية بن وهب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عبداللّه علیه السلام عن الشرب في القدح فيه ضَبّة من فضّة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 إلاّ أن يكره الفضّة فينزعها</w:t>
      </w:r>
      <w:r>
        <w:rPr>
          <w:rFonts w:eastAsia="IRNazanin" w:cs="IRNazanin"/>
          <w:color w:val="111111"/>
          <w:sz w:val="28"/>
          <w:szCs w:val="28"/>
          <w:rtl w:val="true"/>
          <w:lang w:bidi="fa-IR"/>
        </w:rPr>
        <w:t>»</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ومقتضى الجمود على قواعد الفنّ وإن كان تقييد هذا الإطلاق ، لكن لا يبعد أقربية حمل الصحيحة على استحباب العزل أو كراهة الشرب من المحلّ منها ؛ لقوّة الإطلاق ، سيّما إذا كانت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الشُعَب التي يزيّن بها الإناء ، فإنّ الابتلاء بها في الشرب كثير ، فعدم النهي عنها والتذييل بقوله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يكره الفضّة فينزعها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والمناسبات المغروسة في الذهن ، ربّما توجب ترجيح الحمل على الكراهة على التقييد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لكن مع ذلك رفع اليد عن ظهور الصحيحة مشكل </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فالأحوط العزل ، كما أنّ الأحوط إلحاق المذهّب بالمفضّض ، بل لا يخلو من قوّة </w:t>
      </w:r>
      <w:r>
        <w:rPr>
          <w:rFonts w:eastAsia="Amiri" w:cs="Amiri" w:ascii="Amiri" w:hAnsi="Amiri"/>
          <w:color w:val="111111"/>
          <w:sz w:val="28"/>
          <w:szCs w:val="28"/>
          <w:rtl w:val="true"/>
          <w:lang w:bidi="ar-SA"/>
        </w:rPr>
        <w:t xml:space="preserve">. </w:t>
      </w:r>
      <w:bookmarkStart w:id="275" w:name="pg15030_143187"/>
    </w:p>
    <w:p>
      <w:pPr>
        <w:pStyle w:val="Heading6"/>
        <w:numPr>
          <w:ilvl w:val="5"/>
          <w:numId w:val="1"/>
        </w:numPr>
        <w:rPr/>
      </w:pPr>
      <w:bookmarkStart w:id="276" w:name="__RefHeading___Toc212814_2142443653"/>
      <w:bookmarkStart w:id="277" w:name="_Toc99"/>
      <w:bookmarkEnd w:id="275"/>
      <w:bookmarkEnd w:id="276"/>
      <w:r>
        <w:rPr>
          <w:rtl w:val="true"/>
        </w:rPr>
        <w:t>المسألة الثانية في أنّ المحرّم هو الأكل والشرب ونحوهما أو عنوان الاستعمال</w:t>
      </w:r>
      <w:bookmarkEnd w:id="277"/>
    </w:p>
    <w:p>
      <w:pPr>
        <w:pStyle w:val="BookText"/>
        <w:rPr/>
      </w:pPr>
      <w:r>
        <w:rPr>
          <w:rFonts w:ascii="Amiri" w:hAnsi="Amiri" w:eastAsia="Amiri" w:cs="Amiri"/>
          <w:color w:val="111111"/>
          <w:sz w:val="28"/>
          <w:sz w:val="28"/>
          <w:szCs w:val="28"/>
          <w:rtl w:val="true"/>
          <w:lang w:bidi="ar-SA"/>
        </w:rPr>
        <w:t xml:space="preserve">يحتمل بحسب التصوّر 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الآنيتين ، وكذا سائر العناوين التي نظيرهما في استلزام الاستعمال ،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 بمعنى أنّ المنهيّ عنه ذات تلك العناوين ، فكلّ منها محرّم بعنوانه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حرمة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استعمالهما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في الأكل أو الشرب أو غيرهما من المقاصد ؛ بحيث يكون نفس الاستعمال بما هو محرّماً ، لا العناوين المتقدّمة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يكون الأكل والشرب بعنوانهما محرّماً دون سائر العناوين ، بل هي بعنوان الاستعمال محرّمة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 شيخ الطائفة في عبارته المتقدّمة</w:t>
      </w:r>
      <w:r>
        <w:rPr>
          <w:rStyle w:val="FootnoteAnchor"/>
          <w:rtl w:val="true"/>
        </w:rPr>
        <w:footnoteReference w:id="712"/>
      </w:r>
      <w:r>
        <w:rPr>
          <w:rFonts w:ascii="Amiri" w:hAnsi="Amiri" w:eastAsia="Amiri" w:cs="Amiri"/>
          <w:color w:val="111111"/>
          <w:sz w:val="28"/>
          <w:sz w:val="28"/>
          <w:szCs w:val="28"/>
          <w:rtl w:val="true"/>
          <w:lang w:bidi="ar-SA"/>
        </w:rPr>
        <w:t xml:space="preserve">عن موضعين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 الاحتمالات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ظاهر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713"/>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w:t>
      </w:r>
      <w:r>
        <w:rPr>
          <w:rStyle w:val="FootnoteAnchor"/>
          <w:rtl w:val="true"/>
        </w:rPr>
        <w:footnoteReference w:id="714"/>
      </w:r>
      <w:r>
        <w:rPr>
          <w:rFonts w:ascii="Amiri" w:hAnsi="Amiri" w:eastAsia="Amiri" w:cs="Amiri"/>
          <w:color w:val="111111"/>
          <w:sz w:val="28"/>
          <w:sz w:val="28"/>
          <w:szCs w:val="28"/>
          <w:rtl w:val="true"/>
          <w:lang w:bidi="ar-SA"/>
        </w:rPr>
        <w:t xml:space="preserve">حيث قال في الأوّل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استعمال أواني الذهب والفضّة في الأكل والشرب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منه حرمة نفس الاستعمال ، لا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ويشهد له ما قال بعد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يحرم المأكول والمشروب فيهما وإن كان </w:t>
      </w:r>
    </w:p>
    <w:p>
      <w:pPr>
        <w:pStyle w:val="BookText"/>
        <w:rPr/>
      </w:pPr>
      <w:r>
        <w:rPr>
          <w:rFonts w:ascii="Amiri" w:hAnsi="Amiri" w:eastAsia="Amiri" w:cs="Amiri"/>
          <w:color w:val="111111"/>
          <w:sz w:val="28"/>
          <w:sz w:val="28"/>
          <w:szCs w:val="28"/>
          <w:rtl w:val="true"/>
          <w:lang w:bidi="ar-SA"/>
        </w:rPr>
        <w:t>الاستعمال محرّماً ؛ لأنّ النهي عن الاستعمال لا يتناول المستعمل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ويؤيّده ما قال في ردّ من قال ببطلان الوضوء من آنية الذهب والفضّة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انتزاع الماء ليس جزءاً من الطهارة ، بل لا يحصل الشروع فيها إلاّ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 تأمّل تعرف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لا يبعد رجوع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الأكل والشرب في آنية من ذهب أو فضّة ، ولا استعمالها في غير ذلك</w:t>
      </w:r>
      <w:r>
        <w:rPr>
          <w:rFonts w:eastAsia="Amiri" w:cs="Amiri" w:ascii="Amiri" w:hAnsi="Amiri"/>
          <w:color w:val="111111"/>
          <w:sz w:val="28"/>
          <w:szCs w:val="28"/>
          <w:rtl w:val="true"/>
          <w:lang w:bidi="ar-SA"/>
        </w:rPr>
        <w:t>»</w:t>
      </w:r>
      <w:r>
        <w:rPr>
          <w:rStyle w:val="FootnoteAnchor"/>
          <w:rtl w:val="true"/>
        </w:rPr>
        <w:footnoteReference w:id="715"/>
      </w:r>
      <w:r>
        <w:rPr>
          <w:rFonts w:ascii="Amiri" w:hAnsi="Amiri" w:eastAsia="Amiri" w:cs="Amiri"/>
          <w:color w:val="111111"/>
          <w:sz w:val="28"/>
          <w:sz w:val="28"/>
          <w:szCs w:val="28"/>
          <w:rtl w:val="true"/>
          <w:lang w:bidi="ar-SA"/>
        </w:rPr>
        <w:t xml:space="preserve">؛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الأكل والشرب المذكورين ، مثال لأنحاء الاستعمال المذكور في الذيل ، فكأ 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استعمالها في الأكل والشرب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مع قرينية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وهو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716"/>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717"/>
      </w:r>
      <w:r>
        <w:rPr>
          <w:rFonts w:ascii="Amiri" w:hAnsi="Amiri" w:eastAsia="Amiri" w:cs="Amiri"/>
          <w:color w:val="111111"/>
          <w:sz w:val="28"/>
          <w:sz w:val="28"/>
          <w:szCs w:val="28"/>
          <w:rtl w:val="true"/>
          <w:lang w:bidi="ar-SA"/>
        </w:rPr>
        <w:t xml:space="preserve">قال في الثاني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ويحرم استعمال المتّخذ من الذهب والفضّة في أكل وشرب وغيرهما عند علمائنا أجمع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تحريم الاستعمال بين الأكل والشرب وغيرهما ، كالبخور والاكتحال منه ، والطهارة وشبهه ، وجميع وجوه الاستعمال ؛ لأنّ في تحريم الأكل والشرب تنبيهاً على منع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فيظهر منه البناء على إلغاء الخصوصية من الأكل والشرب الواردين في النصوص </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ولولا ذهابه إلى صحّة الوضوء والغسل في آنيتهما </w:t>
      </w:r>
      <w:r>
        <w:rPr>
          <w:rStyle w:val="FootnoteAnchor"/>
          <w:rtl w:val="true"/>
        </w:rPr>
        <w:footnoteReference w:id="718"/>
      </w:r>
      <w:r>
        <w:rPr>
          <w:rFonts w:ascii="IRNazanin" w:hAnsi="IRNazanin" w:eastAsia="IRNazanin"/>
          <w:color w:val="111111"/>
          <w:sz w:val="28"/>
          <w:sz w:val="28"/>
          <w:szCs w:val="28"/>
          <w:rtl w:val="true"/>
          <w:lang w:bidi="fa-IR"/>
        </w:rPr>
        <w:t xml:space="preserve">، واستدلاله بما استدلّ </w:t>
      </w:r>
    </w:p>
    <w:p>
      <w:pPr>
        <w:pStyle w:val="BookText"/>
        <w:rPr/>
      </w:pPr>
      <w:r>
        <w:rPr>
          <w:rFonts w:ascii="Amiri" w:hAnsi="Amiri" w:eastAsia="Amiri" w:cs="Amiri"/>
          <w:color w:val="111111"/>
          <w:sz w:val="28"/>
          <w:sz w:val="28"/>
          <w:szCs w:val="28"/>
          <w:rtl w:val="true"/>
          <w:lang w:bidi="ar-SA"/>
        </w:rPr>
        <w:t>به المحقّق ، لكان المحتمل في عبارته أنّ مراده من سائر الاستعمالات غير الأكل</w:t>
      </w:r>
    </w:p>
    <w:p>
      <w:pPr>
        <w:pStyle w:val="BookText"/>
        <w:rPr/>
      </w:pPr>
      <w:r>
        <w:rPr>
          <w:rFonts w:ascii="Amiri" w:hAnsi="Amiri" w:eastAsia="Amiri" w:cs="Amiri"/>
          <w:color w:val="111111"/>
          <w:sz w:val="28"/>
          <w:sz w:val="28"/>
          <w:szCs w:val="28"/>
          <w:rtl w:val="true"/>
          <w:lang w:bidi="ar-SA"/>
        </w:rPr>
        <w:t>والشرب ، عناوين اُخر نظيرهما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موافقاً للاحتمال الأوّل من الاحتمالات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ما ذكره أخيراً كالنصّ في أنّ النهي لم يتعلّق بالعناوين ، فيكون قرينة على أنّ مراده من كون الأكل والشرب تنبيهاً على منع غيرهما ، أ نّهما مثال لمطلق الاستعمال ، فهو محرّم منطبق على سائر العناوين ، وهو قرينة 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ظاهرهم حرمة الاستعمال والتناول ، كما نسب إلى المشهور</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ذكروه هو الأقرب ؛ لأنّ مقتضى الجمود على ظاهر النواهي المتعلّقة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موضوعيتهما ؛ وأنّ المحرّم نفس عنوانهما ، لا الاستعمالات التي هي مقدّمات لهما ، فلا بدّ من الاقتصار عليهما لولا دليل آخر ، لكن بعد ثبوت حرمة مطلق الاستعمالات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للإجماع</w:t>
      </w:r>
      <w:r>
        <w:rPr>
          <w:rStyle w:val="FootnoteAnchor"/>
          <w:rtl w:val="true"/>
        </w:rPr>
        <w:footnoteReference w:id="721"/>
      </w:r>
      <w:r>
        <w:rPr>
          <w:rFonts w:ascii="Amiri" w:hAnsi="Amiri" w:eastAsia="Amiri" w:cs="Amiri"/>
          <w:color w:val="111111"/>
          <w:sz w:val="28"/>
          <w:sz w:val="28"/>
          <w:szCs w:val="28"/>
          <w:rtl w:val="true"/>
          <w:lang w:bidi="ar-SA"/>
        </w:rPr>
        <w:t>أو بعض الأدلّة المتقدّمة</w:t>
      </w:r>
      <w:r>
        <w:rPr>
          <w:rStyle w:val="FootnoteAnchor"/>
          <w:rtl w:val="true"/>
        </w:rPr>
        <w:footnoteReference w:id="7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كون الشرب والأكل فيها نحو استعمال لها عرفاً ، لا يبقى ظهور في موضوعية العنوانين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ترى أ نّه لو ورد دليل بعدم جواز استعمال الأواني مطلقاً ، ثمّ ورد النهي عن الاغتراف منها ، لا ينقدح في الذهن إلاّ أنّ النهي عنه لكونه استعمالاً ، لا لخصوصية في عنوانه </w:t>
      </w:r>
      <w:r>
        <w:rPr>
          <w:rFonts w:eastAsia="Amiri" w:cs="Amiri" w:ascii="Amiri" w:hAnsi="Amiri"/>
          <w:color w:val="111111"/>
          <w:sz w:val="28"/>
          <w:szCs w:val="28"/>
          <w:rtl w:val="true"/>
          <w:lang w:bidi="ar-SA"/>
        </w:rPr>
        <w:t>!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ملازمةَ الأكل والشرب للاستعمال ، وكونَهما من الأفراد </w:t>
      </w:r>
    </w:p>
    <w:p>
      <w:pPr>
        <w:pStyle w:val="BookText"/>
        <w:rPr/>
      </w:pPr>
      <w:r>
        <w:rPr>
          <w:rFonts w:ascii="Amiri" w:hAnsi="Amiri" w:eastAsia="Amiri" w:cs="Amiri"/>
          <w:color w:val="111111"/>
          <w:sz w:val="28"/>
          <w:sz w:val="28"/>
          <w:szCs w:val="28"/>
          <w:rtl w:val="true"/>
          <w:lang w:bidi="ar-SA"/>
        </w:rPr>
        <w:t xml:space="preserve">الشائعة في استعمال الأواني ، وبُعدَ حرمة العنوانين مستقلاًّ في مقابل الاستعمال المطلق ، وبُعدَ كون الشرب من الآنية محرّماً من حيث الشرب ومن حيث الاستعمال ، فيكون وضع الفم على الآنية وجذب الماء منها محرّماً ، وبلعه وازدراده محرّماً آخر ، وبُعدَ عدم حرمة التناول والاستعمال في الأكل والشرب ، فيكون المحرّم مطلق الاستعمالات إلاّ ما كانت مقدّمة لهما ، توجب رفع اليد عن موضوعية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بل بعد التنبيه على تلك المقدّمات ، لا ينقدح في الذهن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 من آنية الذهب والفضّة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يفهم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تحجّ على الدابّة المغصوبة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ترتفع على السطح بالسلَّم المغصوب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يرى العرف أنّ المبغوض هو التصرّف في المال المغصوب ، لا الحجّ أو الكون على السطح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لم يكن في المقام إلاّ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تشرب من آنية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تأكل</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الظاهر حرمة عنوانهما ، بخلاف باب الغصب في المثالين ؛ للقرينة العرفية فيهما ، لكن بعد ما ذكرناه من الشواهد ، لا يبقى مجال لدعوى الظهور في حرمة نفس العنوانين</w:t>
      </w:r>
      <w:r>
        <w:rPr>
          <w:rStyle w:val="FootnoteAnchor"/>
          <w:rtl w:val="true"/>
        </w:rPr>
        <w:footnoteReference w:id="723"/>
      </w:r>
      <w:r>
        <w:rPr>
          <w:rFonts w:ascii="Amiri" w:hAnsi="Amiri" w:eastAsia="Amiri" w:cs="Amiri"/>
          <w:color w:val="111111"/>
          <w:sz w:val="28"/>
          <w:sz w:val="28"/>
          <w:szCs w:val="28"/>
          <w:rtl w:val="true"/>
          <w:lang w:bidi="ar-SA"/>
        </w:rPr>
        <w:t>، بل المستفاد عرفاً منه أنّ المحرّم هو الاستعمال مطلقاً ، ولهذا ترى أنّ الشيخ قد استدلّ على حرمة مطلق الاستعمالات بالروايات الناهية عن الأكل والشرب</w:t>
      </w:r>
      <w:r>
        <w:rPr>
          <w:rStyle w:val="FootnoteAnchor"/>
          <w:rtl w:val="true"/>
        </w:rPr>
        <w:footnoteReference w:id="724"/>
      </w:r>
      <w:r>
        <w:rPr>
          <w:rFonts w:ascii="Amiri" w:hAnsi="Amiri" w:eastAsia="Amiri" w:cs="Amiri"/>
          <w:color w:val="111111"/>
          <w:sz w:val="28"/>
          <w:sz w:val="28"/>
          <w:szCs w:val="28"/>
          <w:rtl w:val="true"/>
          <w:lang w:bidi="ar-SA"/>
        </w:rPr>
        <w:t>، وكذا المحقّق</w:t>
      </w:r>
      <w:r>
        <w:rPr>
          <w:rStyle w:val="FootnoteAnchor"/>
          <w:rtl w:val="true"/>
        </w:rPr>
        <w:footnoteReference w:id="725"/>
      </w:r>
      <w:r>
        <w:rPr>
          <w:rFonts w:ascii="Amiri" w:hAnsi="Amiri" w:eastAsia="Amiri" w:cs="Amiri"/>
          <w:color w:val="111111"/>
          <w:sz w:val="28"/>
          <w:sz w:val="28"/>
          <w:szCs w:val="28"/>
          <w:rtl w:val="true"/>
          <w:lang w:bidi="ar-SA"/>
        </w:rPr>
        <w:t xml:space="preserve">، بعد الوثوق بأنّ استدلالهما بروايات الناس ليس استناداً واعتماداً ، بل جدلاً في مقابلهم </w:t>
      </w:r>
      <w:r>
        <w:rPr>
          <w:rFonts w:eastAsia="Amiri" w:cs="Amiri" w:ascii="Amiri" w:hAnsi="Amiri"/>
          <w:color w:val="111111"/>
          <w:sz w:val="28"/>
          <w:szCs w:val="28"/>
          <w:rtl w:val="true"/>
          <w:lang w:bidi="ar-SA"/>
        </w:rPr>
        <w:t xml:space="preserve">. </w:t>
      </w:r>
      <w:bookmarkStart w:id="278" w:name="pg15030_143191"/>
    </w:p>
    <w:p>
      <w:pPr>
        <w:pStyle w:val="Heading6"/>
        <w:numPr>
          <w:ilvl w:val="5"/>
          <w:numId w:val="1"/>
        </w:numPr>
        <w:rPr/>
      </w:pPr>
      <w:bookmarkStart w:id="279" w:name="__RefHeading___Toc212816_2142443653"/>
      <w:bookmarkStart w:id="280" w:name="_Toc100"/>
      <w:bookmarkEnd w:id="278"/>
      <w:bookmarkEnd w:id="279"/>
      <w:r>
        <w:rPr>
          <w:rtl w:val="true"/>
        </w:rPr>
        <w:t>المسألة الثالثة في عدم سراية الحرمة إلى المأكول والمشروب</w:t>
      </w:r>
      <w:bookmarkEnd w:id="280"/>
    </w:p>
    <w:p>
      <w:pPr>
        <w:pStyle w:val="BookText"/>
        <w:rPr/>
      </w:pPr>
      <w:r>
        <w:rPr>
          <w:rFonts w:ascii="Amiri" w:hAnsi="Amiri" w:eastAsia="Amiri" w:cs="Amiri"/>
          <w:color w:val="111111"/>
          <w:sz w:val="28"/>
          <w:sz w:val="28"/>
          <w:szCs w:val="28"/>
          <w:rtl w:val="true"/>
          <w:lang w:bidi="ar-SA"/>
        </w:rPr>
        <w:t>لو فرضنا حرمة العنوانين ، فهل تسري إلى المأكول والمشروب ؟</w:t>
      </w:r>
    </w:p>
    <w:p>
      <w:pPr>
        <w:pStyle w:val="BookText"/>
        <w:rPr/>
      </w:pPr>
      <w:r>
        <w:rPr>
          <w:rFonts w:ascii="Amiri" w:hAnsi="Amiri" w:eastAsia="Amiri" w:cs="Amiri"/>
          <w:color w:val="111111"/>
          <w:sz w:val="28"/>
          <w:sz w:val="28"/>
          <w:szCs w:val="28"/>
          <w:rtl w:val="true"/>
          <w:lang w:bidi="ar-SA"/>
        </w:rPr>
        <w:t xml:space="preserve">فعن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7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وهو يلوح من كلام أبي الصلاح</w:t>
      </w:r>
      <w:r>
        <w:rPr>
          <w:rFonts w:eastAsia="Amiri" w:cs="Amiri" w:ascii="Amiri" w:hAnsi="Amiri"/>
          <w:color w:val="111111"/>
          <w:sz w:val="28"/>
          <w:szCs w:val="28"/>
          <w:rtl w:val="true"/>
          <w:lang w:bidi="ar-SA"/>
        </w:rPr>
        <w:t>»</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وردّه المحقّق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النهي عن الاستعمال لا يتناول المستعمل</w:t>
      </w:r>
      <w:r>
        <w:rPr>
          <w:rFonts w:eastAsia="Amiri" w:cs="Amiri" w:ascii="Amiri" w:hAnsi="Amiri"/>
          <w:color w:val="111111"/>
          <w:sz w:val="28"/>
          <w:szCs w:val="28"/>
          <w:rtl w:val="true"/>
          <w:lang w:bidi="ar-SA"/>
        </w:rPr>
        <w:t>»</w:t>
      </w:r>
      <w:r>
        <w:rPr>
          <w:rStyle w:val="FootnoteAnchor"/>
          <w:rtl w:val="true"/>
        </w:rPr>
        <w:footnoteReference w:id="728"/>
      </w:r>
      <w:r>
        <w:rPr>
          <w:rFonts w:ascii="Amiri" w:hAnsi="Amiri" w:eastAsia="Amiri" w:cs="Amiri"/>
          <w:color w:val="111111"/>
          <w:sz w:val="28"/>
          <w:sz w:val="28"/>
          <w:szCs w:val="28"/>
          <w:rtl w:val="true"/>
          <w:lang w:bidi="ar-SA"/>
        </w:rPr>
        <w:t xml:space="preserve">وهو موافق للتحقيق ولو كان المراد من الاستعمال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ما تعلّق به النهي هو الشرب من الآنية من غير لحاظ إضافته إلى مشروب أصلاً ، ولزوم التعلّق بمشروب ما محقّق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جزء موضوع المحرّم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هاهنا عناوين يمكن بحسب الثبوت أن يتعلّق النهي بكلّ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 ، مقابل الأكل والمشي ونحوهما ، فيكون المبغوض أصل الشرب ، لا الشرب المتعلّق بمائع ؛ وإن كان في تحقّقه يتوقّف على متعلّق ما ، لكنّه خارج عن الموضوع المنهيّ عنه </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 شرب الماء ، فيكون المنهيّ عنه شرب هذا العنوان الخاصّ ، وهو بذاته مبغوض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 شرب المتنجّس أو أكل لحم الموطوء ، فإنّ النهي إذا تعلّق بالعنوان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كشرب المتنجّس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بذاته مبغوضاً ، نعم إذا تعلّق بمائع إذا تنجّس يكون المائع مبغوضاً بالعرض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شرب المائع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 والفرق بينه وبين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المائع هاهنا اُخذ جزء الموضوع بخلافه هناك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شرب الخمر من آنية كذائية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مكان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يكون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الموضوع ، والإضافة إلى الآنية أو المكان جزءاً آخر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والخامس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شرب المائع المطلق من آنية كذائية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 كذا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والسادس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الشرب في 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آنية كذائية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تكون نفس طبيعة الشرب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تعلّق بمتعلّق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من آنية كذائية أو فيها مبغوضةً ، فيكون الشرب في آنية كذائية متعلّق النهي ، فيكون الشرب المطلق من حيث المتعلّق جزءاً من الموضوع ، والإضافة إلى الآنية جزءاً آخر منه ، فالمتعلّق في هذه الصورة محتاج إليه في وجوده من غير أن يكون مقوّماً للموضوع المنهيّ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والمقام من قبيل الأخير ؛ فإنّ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تشرب في آنية الذهب والفضّة ، ولا تأكل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من حيث المتعلّق ساقط الإضافة ، فلا يكون المائع بنحو الإطلاق ولا العناوين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كالماء واللبن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جزءاً للموضوع المنهيّ عنه ، ولا متعلّقاً للنهي ، ولا مبغوضاً </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مرادنا من أنّ النهي عن الشرب لا يتناول المشروب ، ولعلّه مراد المحقّق </w:t>
      </w:r>
    </w:p>
    <w:p>
      <w:pPr>
        <w:pStyle w:val="BookText"/>
        <w:rPr/>
      </w:pPr>
      <w:r>
        <w:rPr>
          <w:rFonts w:ascii="Amiri" w:hAnsi="Amiri" w:eastAsia="Amiri" w:cs="Amiri"/>
          <w:color w:val="111111"/>
          <w:sz w:val="28"/>
          <w:sz w:val="28"/>
          <w:szCs w:val="28"/>
          <w:rtl w:val="true"/>
          <w:lang w:bidi="ar-SA"/>
        </w:rPr>
        <w:t xml:space="preserve">أيضاً وإن استظهرنا من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المحرّم هو الاستعمال والتناول من الآنيتين</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وممّا ذكرنا يظهر ضعف الاستدلال للسراية بقوله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 يشرب في آنية الذهب والفضّة إنّما يجرجر في بطنه نار جهنّم</w:t>
      </w:r>
      <w:r>
        <w:rPr>
          <w:rFonts w:eastAsia="IRNazanin" w:cs="IRNazanin"/>
          <w:color w:val="111111"/>
          <w:sz w:val="28"/>
          <w:szCs w:val="28"/>
          <w:rtl w:val="true"/>
          <w:lang w:bidi="fa-IR"/>
        </w:rPr>
        <w:t>»</w:t>
      </w:r>
      <w:r>
        <w:rPr>
          <w:rStyle w:val="FootnoteAnchor"/>
          <w:rtl w:val="true"/>
        </w:rPr>
        <w:footnoteReference w:id="730"/>
      </w:r>
      <w:r>
        <w:rPr>
          <w:rFonts w:ascii="Amiri" w:hAnsi="Amiri" w:eastAsia="Amiri" w:cs="Amiri"/>
          <w:color w:val="111111"/>
          <w:sz w:val="28"/>
          <w:sz w:val="28"/>
          <w:szCs w:val="28"/>
          <w:rtl w:val="true"/>
          <w:lang w:bidi="ar-SA"/>
        </w:rPr>
        <w:t xml:space="preserve">فإنّ ظاهره أنّ نفس الشرب منها يوجب الجرجرة ، لا المشروب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المناسب للجرجرة هو الشرب ؛ لأ نّه سببها ، لا المشروب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يتّضح ممّا ذكرناه ضعف توجيه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المفيد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المأكول صار حراماً بالعرض ، ويرجع النهي ثانياً وبالعرض إلى المأكول ، فيكون حراماً متى اُكل بهذه الكيفية ، وظاهر النصوص يساعده</w:t>
      </w:r>
      <w:r>
        <w:rPr>
          <w:rFonts w:eastAsia="Amiri" w:cs="Amiri" w:ascii="Amiri" w:hAnsi="Amiri"/>
          <w:color w:val="111111"/>
          <w:sz w:val="28"/>
          <w:szCs w:val="28"/>
          <w:rtl w:val="true"/>
          <w:lang w:bidi="ar-SA"/>
        </w:rPr>
        <w:t>»</w:t>
      </w:r>
      <w:r>
        <w:rPr>
          <w:rStyle w:val="FootnoteAnchor"/>
          <w:rtl w:val="true"/>
        </w:rPr>
        <w:footnoteReference w:id="731"/>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يساعده شيء من النصوص ؛ فإنّ النهي فيها إنّما تعلّق بالشرب من الآنية ، لا بالمشروب </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وأضعف منه تنظيره بما اُخذ من الحقّ الشرعي بحكم حاكم الجور ؛ لوضوح الفارق ، فإنّ الدليل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مقبولة عمر بن حنظلة</w:t>
      </w:r>
      <w:r>
        <w:rPr>
          <w:rStyle w:val="FootnoteAnchor"/>
          <w:rtl w:val="true"/>
        </w:rPr>
        <w:footnoteReference w:id="7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 على أنّ ما أخذه بحكمه سُحت ، فالحرمة تعلّقت بما أخذ ، بخلاف المقام ، فإنّ النهي لم يتعلّق بما شرب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ويتلوه في الضعف قول بعض أهل النظر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إضافة الحرمة إلى الذوات ، إنّما هي بلحاظ الفعل المتعلّق بها ، فالمراد بحرمة المأكول ما دام في الآنية ، ليس</w:t>
      </w:r>
    </w:p>
    <w:p>
      <w:pPr>
        <w:pStyle w:val="BookText"/>
        <w:rPr/>
      </w:pPr>
      <w:r>
        <w:rPr>
          <w:rFonts w:ascii="Amiri" w:hAnsi="Amiri" w:eastAsia="Amiri" w:cs="Amiri"/>
          <w:color w:val="111111"/>
          <w:sz w:val="28"/>
          <w:sz w:val="28"/>
          <w:szCs w:val="28"/>
          <w:rtl w:val="true"/>
          <w:lang w:bidi="ar-SA"/>
        </w:rPr>
        <w:t xml:space="preserve">إلاّ حرمة أكله فيها ، فالاعتراض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النهي عن الأكل لا يتعدّي إلى المأكول ، ليس على ما ينبغي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ذكر المناقشة التي أوردوها في الاستدلال بحديث الجرجرة ، وأجاب عنها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المتبادر منه كون الشرب بنفسه سبباً لجرجرة النار في البطن ، لا مقدّمته التي هي أجنبيّة عن البطن ، فالمتبادر إلى الذهن من التشبيه ، ليس إلاّ</w:t>
      </w:r>
    </w:p>
    <w:p>
      <w:pPr>
        <w:pStyle w:val="BookText"/>
        <w:rPr/>
      </w:pPr>
      <w:r>
        <w:rPr>
          <w:rFonts w:ascii="Amiri" w:hAnsi="Amiri" w:eastAsia="Amiri" w:cs="Amiri"/>
          <w:color w:val="111111"/>
          <w:sz w:val="28"/>
          <w:sz w:val="28"/>
          <w:szCs w:val="28"/>
          <w:rtl w:val="true"/>
          <w:lang w:bidi="ar-SA"/>
        </w:rPr>
        <w:t>حرمة المأكول التي مآلها إلى حرمة الأكل ، كما أنّ هذا هو المتبادر من الأخبار الناهية ، فهذا هو الأقوى</w:t>
      </w:r>
      <w:r>
        <w:rPr>
          <w:rFonts w:eastAsia="Amiri" w:cs="Amiri" w:ascii="Amiri" w:hAnsi="Amiri"/>
          <w:color w:val="111111"/>
          <w:sz w:val="28"/>
          <w:szCs w:val="28"/>
          <w:rtl w:val="true"/>
          <w:lang w:bidi="ar-SA"/>
        </w:rPr>
        <w:t>»</w:t>
      </w:r>
      <w:r>
        <w:rPr>
          <w:rStyle w:val="FootnoteAnchor"/>
          <w:rtl w:val="true"/>
        </w:rPr>
        <w:footnoteReference w:id="733"/>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وأنت خبير بما فيه ؛ فإنّ المراد من عدم حرمة المأكول ، ليس عدم حرمة الذات بما هي ،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الذات لا يتعلّق بها النهي إلاّ بلحاظ الفعل ، بل المراد أنّ المنهيّ عنه هو الاستعمال ، أو الشرب والأكل من الآنية أو فيها ، لا شرب المائع فيها ، أو شرب الماء واللبن وسائر العناوين ، فلا تسري الحرمة من الشرب إلى متعلّقه ؛ أي الماء ، فلا يكون شرب الماء من الآنية حراماً ، بل الشرب منها حرام بلا إضافة إلى متعلّق ، وإنّما هو دخيل في تحقّق عنوان المحرّم ، لا جزء لموضوعه </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فالمفيد رحمه الله علیه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المأكول حرام كحرمة الخمر ، أو حرمة المال الذي اُخذ بحكم حاكم الجور ، أو حرمة لحم الموطوء ، أو العين المنذور عدم أكلها ، وكلّ </w:t>
      </w:r>
    </w:p>
    <w:p>
      <w:pPr>
        <w:pStyle w:val="BookText"/>
        <w:rPr/>
      </w:pPr>
      <w:r>
        <w:rPr>
          <w:rFonts w:ascii="Amiri" w:hAnsi="Amiri" w:eastAsia="Amiri" w:cs="Amiri"/>
          <w:color w:val="111111"/>
          <w:sz w:val="28"/>
          <w:sz w:val="28"/>
          <w:szCs w:val="28"/>
          <w:rtl w:val="true"/>
          <w:lang w:bidi="ar-SA"/>
        </w:rPr>
        <w:t>ذلك يرجع إلى حرمة أكل هذه العناوين ذاتاً أو عرضاً بالمعنى الذي أشرنا إليه</w:t>
      </w:r>
      <w:r>
        <w:rPr>
          <w:rStyle w:val="FootnoteAnchor"/>
          <w:rtl w:val="true"/>
        </w:rPr>
        <w:footnoteReference w:id="734"/>
      </w:r>
      <w:r>
        <w:rPr>
          <w:rFonts w:ascii="Amiri" w:hAnsi="Amiri" w:eastAsia="Amiri" w:cs="Amiri"/>
          <w:color w:val="111111"/>
          <w:sz w:val="28"/>
          <w:sz w:val="28"/>
          <w:szCs w:val="28"/>
          <w:rtl w:val="true"/>
          <w:lang w:bidi="ar-SA"/>
        </w:rPr>
        <w:t xml:space="preserve">، على تأمّل في المثال الأخير ، قد أشرنا إليه في بعض مسفوراتنا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والمحقّق رحمه الله علیه منكر لذلك</w:t>
      </w:r>
      <w:r>
        <w:rPr>
          <w:rStyle w:val="FootnoteAnchor"/>
          <w:rtl w:val="true"/>
        </w:rPr>
        <w:footnoteReference w:id="736"/>
      </w:r>
      <w:r>
        <w:rPr>
          <w:rFonts w:ascii="Amiri" w:hAnsi="Amiri" w:eastAsia="Amiri" w:cs="Amiri"/>
          <w:color w:val="111111"/>
          <w:sz w:val="28"/>
          <w:sz w:val="28"/>
          <w:szCs w:val="28"/>
          <w:rtl w:val="true"/>
          <w:lang w:bidi="ar-SA"/>
        </w:rPr>
        <w:t>؛ إمّا لأنّ المحرّم التناول والاستعمال ، كما قدّمنا</w:t>
      </w:r>
    </w:p>
    <w:p>
      <w:pPr>
        <w:pStyle w:val="BookText"/>
        <w:rPr/>
      </w:pPr>
      <w:r>
        <w:rPr>
          <w:rFonts w:ascii="Amiri" w:hAnsi="Amiri" w:eastAsia="Amiri" w:cs="Amiri"/>
          <w:color w:val="111111"/>
          <w:sz w:val="28"/>
          <w:sz w:val="28"/>
          <w:szCs w:val="28"/>
          <w:rtl w:val="true"/>
          <w:lang w:bidi="ar-SA"/>
        </w:rPr>
        <w:t>تقريبه وتقويته</w:t>
      </w:r>
      <w:r>
        <w:rPr>
          <w:rStyle w:val="FootnoteAnchor"/>
          <w:rtl w:val="true"/>
        </w:rPr>
        <w:footnoteReference w:id="737"/>
      </w:r>
      <w:r>
        <w:rPr>
          <w:rFonts w:ascii="Amiri" w:hAnsi="Amiri" w:eastAsia="Amiri" w:cs="Amiri"/>
          <w:color w:val="111111"/>
          <w:sz w:val="28"/>
          <w:sz w:val="28"/>
          <w:szCs w:val="28"/>
          <w:rtl w:val="true"/>
          <w:lang w:bidi="ar-SA"/>
        </w:rPr>
        <w:t>، وإمّا لأنّ المحرّم الشرب والأكل من الإناء ، لا شرب المائع أو الماء ، كما تقدّم</w:t>
      </w:r>
      <w:r>
        <w:rPr>
          <w:rStyle w:val="FootnoteAnchor"/>
          <w:rtl w:val="true"/>
        </w:rPr>
        <w:footnoteReference w:id="7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الكلام في حديث الجرجرة</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ارتكبنا في المقام التطويل المملّ مع وضوح المطلب بنظري القاصر ، لما وقع الخلط من بعض أهل التحقيق ، وحمله كلام المحقّق على غير مرضيّه</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 xml:space="preserve">. </w:t>
      </w:r>
      <w:bookmarkStart w:id="281" w:name="pg15030_143196"/>
    </w:p>
    <w:p>
      <w:pPr>
        <w:pStyle w:val="Heading6"/>
        <w:numPr>
          <w:ilvl w:val="5"/>
          <w:numId w:val="1"/>
        </w:numPr>
        <w:rPr/>
      </w:pPr>
      <w:bookmarkStart w:id="282" w:name="__RefHeading___Toc212818_2142443653"/>
      <w:bookmarkStart w:id="283" w:name="_Toc101"/>
      <w:bookmarkEnd w:id="281"/>
      <w:bookmarkEnd w:id="282"/>
      <w:r>
        <w:rPr>
          <w:rtl w:val="true"/>
        </w:rPr>
        <w:t>المسألة الرابعة في الوضوء والغسل بأواني الذهب والفضّة</w:t>
      </w:r>
      <w:bookmarkEnd w:id="283"/>
    </w:p>
    <w:p>
      <w:pPr>
        <w:pStyle w:val="Heading6"/>
        <w:numPr>
          <w:ilvl w:val="5"/>
          <w:numId w:val="1"/>
        </w:numPr>
        <w:rPr/>
      </w:pPr>
      <w:bookmarkStart w:id="284" w:name="__RefHeading___Toc212820_2142443653"/>
      <w:bookmarkStart w:id="285" w:name="_Toc102"/>
      <w:bookmarkEnd w:id="284"/>
      <w:r>
        <w:rPr>
          <w:rtl w:val="true"/>
        </w:rPr>
        <w:t>اشارة</w:t>
      </w:r>
      <w:bookmarkEnd w:id="285"/>
    </w:p>
    <w:p>
      <w:pPr>
        <w:pStyle w:val="BookText"/>
        <w:rPr/>
      </w:pPr>
      <w:r>
        <w:rPr>
          <w:rFonts w:ascii="Amiri" w:hAnsi="Amiri" w:eastAsia="Amiri" w:cs="Amiri"/>
          <w:color w:val="111111"/>
          <w:sz w:val="28"/>
          <w:sz w:val="28"/>
          <w:szCs w:val="28"/>
          <w:rtl w:val="true"/>
          <w:lang w:bidi="ar-SA"/>
        </w:rPr>
        <w:t xml:space="preserve">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المنهيّ عنه استعمال الأواني ، فالأقوى صحّة الوضوء والغسل بها ؛ سواء كانا بالاغتراف أو الارتماس ، وسواء كان الماء منحصراً ولم يمكن إفراغه في غيرها أم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صورة عدم الانحصار وإتيانه بالاغتراف فواضح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مع الانحصار والإتيان بالاغتراف ، فلأنّ غاية ما يقال في وجه البطلان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الأمر بهما ، أو عدم تنجّز التكليف بهما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صحّتهما لا تتوقّف على الأمر ، ولا على تنجّزه ، وكفى فيها عباديتهما ومطلوبيتهما الذاتية ، والمفروض أنّ النهي لم يتعلّق بهما ، والتبديل بالتيمّم ليس لمبغوضيتهما في هذه الحالة ، بل لمبغوضية استعمال الإناء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المقام من قبيل تزاحم المطلوب الأعلى مع المبغوض ، فاكتفاء الشارع بالمطلوب الأدنى بلحاظ عدم الابتلاء باستعمال المبغوض ، لا بلحاظ عدم الاقتضاء في المحبوب الأعلى أو مبغوضيته ، فلو تخلّف المكلّف وأتى بالمطلوب الأعلى ، صحّ وضوؤه وإن عصى باستعمال الآنية </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لنا الالتزام بتعلّق الأمر الاستحبابي النفسي بالوضوء والغسل ؛ بناءً </w:t>
      </w:r>
    </w:p>
    <w:p>
      <w:pPr>
        <w:pStyle w:val="BookText"/>
        <w:rPr/>
      </w:pPr>
      <w:r>
        <w:rPr>
          <w:rFonts w:ascii="IRNazanin" w:hAnsi="IRNazanin" w:eastAsia="IRNazanin"/>
          <w:color w:val="111111"/>
          <w:sz w:val="28"/>
          <w:sz w:val="28"/>
          <w:szCs w:val="28"/>
          <w:rtl w:val="true"/>
          <w:lang w:bidi="fa-IR"/>
        </w:rPr>
        <w:t>على ما حقّقناه</w:t>
      </w:r>
      <w:r>
        <w:rPr>
          <w:rStyle w:val="FootnoteAnchor"/>
          <w:rtl w:val="true"/>
        </w:rPr>
        <w:footnoteReference w:id="7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عباديتهما غير متقوّمة بالأمر الوجوبي الغيري ، بل إنّما تتوقّف على الأمر الاستحبابي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توقّفها على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الأوامر متعلّقة بنفس الطبائع من غير لحاظ حال التزاحم ، وفي صورة التزاحم لا يسقط الأمر ، بل يرجّح العقل أو الشرع المزاحمَ الأقوى على الأضعف ، فالوضوء فيما نحن فيه متعلّق لأمر استحبابي فعلي ، لكنّ الشارع رجّح جانب حرمة الاستعمال على الوضوء الاستحبابي الذي هو مقدّمة وشرط للصلاة الواجبة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ويتّضح ممّا ذكر حال ما لو قلنا بتقوّم العبادية بالأمر الغيري ، فتدبّر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معتدّ به لبطلان الوضوء والغسل في صورة الانحصار ؛ لأنّ الأمر بالتيمّم لا يوجب النهي عن الوضوء ، ولا مبغوضيته ، بل ولا عدم الأمر ، على ما حقّقناه في تصويره</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يصحّ الوضوء والغسل ارتماساً ؛ لما قلنا في باب اجتماع الأمر والنهي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صحّة العبادة المتّحدة في الوجود مع المنهيّ عنه ، وحديث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المبعّد لا يمكن أن يصير مقرّباً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فرغنا عن حلّه</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لو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المستفاد من الأدلّة النهي عن العناوين الخاصّة فكأ 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تتوضّأ من الآنيتين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يمكن تقريب الصحّة بأن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المنهيّ عنه في أمثال المقام هو إيجاد الطبيعة بتلك الإضافة ، فالنهي في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تصلّ في </w:t>
      </w:r>
      <w:bookmarkStart w:id="286" w:name="pg15030_143198"/>
    </w:p>
    <w:p>
      <w:pPr>
        <w:pStyle w:val="BookText"/>
        <w:rPr/>
      </w:pPr>
      <w:bookmarkEnd w:id="286"/>
      <w:r>
        <w:rPr>
          <w:rFonts w:ascii="Amiri" w:hAnsi="Amiri" w:eastAsia="Amiri" w:cs="Amiri"/>
          <w:color w:val="111111"/>
          <w:sz w:val="28"/>
          <w:sz w:val="28"/>
          <w:szCs w:val="28"/>
          <w:rtl w:val="true"/>
          <w:lang w:bidi="ar-SA"/>
        </w:rPr>
        <w:t>الحمّام</w:t>
      </w:r>
      <w:r>
        <w:rPr>
          <w:rFonts w:eastAsia="Amiri" w:cs="Amiri" w:ascii="Amiri" w:hAnsi="Amiri"/>
          <w:color w:val="111111"/>
          <w:sz w:val="28"/>
          <w:szCs w:val="28"/>
          <w:rtl w:val="true"/>
          <w:lang w:bidi="ar-SA"/>
        </w:rPr>
        <w:t>»</w:t>
      </w:r>
      <w:r>
        <w:rPr>
          <w:rStyle w:val="FootnoteAnchor"/>
          <w:rtl w:val="true"/>
        </w:rPr>
        <w:footnoteReference w:id="745"/>
      </w:r>
      <w:r>
        <w:rPr>
          <w:rFonts w:ascii="Amiri" w:hAnsi="Amiri" w:eastAsia="Amiri" w:cs="Amiri"/>
          <w:color w:val="111111"/>
          <w:sz w:val="28"/>
          <w:sz w:val="28"/>
          <w:szCs w:val="28"/>
          <w:rtl w:val="true"/>
          <w:lang w:bidi="ar-SA"/>
        </w:rPr>
        <w:t xml:space="preserve">إنّما تعلّق بأمر خارج ؛ وهو تمكين الصلاة المطلوبة في المكان الكذائي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الحال في المقام ، فإنّ النهي تعلّق بالإضافة الخارجية أو نحوها ؛ وهي</w:t>
      </w:r>
    </w:p>
    <w:p>
      <w:pPr>
        <w:pStyle w:val="BookText"/>
        <w:rPr/>
      </w:pPr>
      <w:r>
        <w:rPr>
          <w:rFonts w:ascii="Amiri" w:hAnsi="Amiri" w:eastAsia="Amiri" w:cs="Amiri"/>
          <w:color w:val="111111"/>
          <w:sz w:val="28"/>
          <w:sz w:val="28"/>
          <w:szCs w:val="28"/>
          <w:rtl w:val="true"/>
          <w:lang w:bidi="ar-SA"/>
        </w:rPr>
        <w:t xml:space="preserve">كون الوضوء من آنية الذهب ، لا بنفس طبيعة الوضوء ، فالمسألة في هذه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حكم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نظر وإشكال وإن كان العرف لا يساعد على هذا التحليل ، ويكون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تتوضّأ من آنية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النهي في العبادة عرفاً ، فالأوجه في هذه الصورة البطلان </w:t>
      </w:r>
      <w:r>
        <w:rPr>
          <w:rFonts w:eastAsia="Amiri" w:cs="Amiri" w:ascii="Amiri" w:hAnsi="Amiri"/>
          <w:color w:val="111111"/>
          <w:sz w:val="28"/>
          <w:szCs w:val="28"/>
          <w:rtl w:val="true"/>
          <w:lang w:bidi="ar-SA"/>
        </w:rPr>
        <w:t>.</w:t>
      </w:r>
    </w:p>
    <w:p>
      <w:pPr>
        <w:pStyle w:val="Heading6"/>
        <w:numPr>
          <w:ilvl w:val="5"/>
          <w:numId w:val="1"/>
        </w:numPr>
        <w:rPr/>
      </w:pPr>
      <w:bookmarkStart w:id="287" w:name="__RefHeading___Toc212822_2142443653"/>
      <w:bookmarkStart w:id="288" w:name="_Toc103"/>
      <w:bookmarkEnd w:id="287"/>
      <w:r>
        <w:rPr>
          <w:rtl w:val="true"/>
        </w:rPr>
        <w:t>مرجعية العرف في تشخيص الإناء</w:t>
      </w:r>
      <w:bookmarkEnd w:id="288"/>
    </w:p>
    <w:p>
      <w:pPr>
        <w:pStyle w:val="BookText"/>
        <w:rPr/>
      </w:pPr>
      <w:r>
        <w:rPr>
          <w:rFonts w:ascii="Amiri" w:hAnsi="Amiri" w:eastAsia="Amiri" w:cs="Amiri"/>
          <w:color w:val="111111"/>
          <w:sz w:val="28"/>
          <w:sz w:val="28"/>
          <w:szCs w:val="28"/>
          <w:rtl w:val="true"/>
          <w:lang w:bidi="ar-SA"/>
        </w:rPr>
        <w:t>ثمّ إنّ المرجع في تشخيص الإناء والآنية والأواني المذكورة في النصوص ، هو العرف ، كما عن كثير من اللغويين إيكاله إليه</w:t>
      </w:r>
      <w:r>
        <w:rPr>
          <w:rStyle w:val="FootnoteAnchor"/>
          <w:rtl w:val="true"/>
        </w:rPr>
        <w:footnoteReference w:id="7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والتفسير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الأوعية</w:t>
      </w:r>
      <w:r>
        <w:rPr>
          <w:rFonts w:eastAsia="Amiri" w:cs="Amiri" w:ascii="Amiri" w:hAnsi="Amiri"/>
          <w:color w:val="111111"/>
          <w:sz w:val="28"/>
          <w:szCs w:val="28"/>
          <w:rtl w:val="true"/>
          <w:lang w:bidi="ar-SA"/>
        </w:rPr>
        <w:t>»</w:t>
      </w:r>
      <w:r>
        <w:rPr>
          <w:rStyle w:val="FootnoteAnchor"/>
          <w:rtl w:val="true"/>
        </w:rPr>
        <w:footnoteReference w:id="747"/>
      </w:r>
      <w:r>
        <w:rPr>
          <w:rFonts w:ascii="Amiri" w:hAnsi="Amiri" w:eastAsia="Amiri" w:cs="Amiri"/>
          <w:color w:val="111111"/>
          <w:sz w:val="28"/>
          <w:sz w:val="28"/>
          <w:szCs w:val="28"/>
          <w:rtl w:val="true"/>
          <w:lang w:bidi="ar-SA"/>
        </w:rPr>
        <w:t xml:space="preserve">في غير محلّه ؛ لإطلاق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لا تكون آنية جزماً من غير تأويل ، قال تعالى في قضيّة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نبيّنا وآله وعليه 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فَبَدَأَ</w:t>
      </w:r>
    </w:p>
    <w:p>
      <w:pPr>
        <w:pStyle w:val="BookText"/>
        <w:rPr/>
      </w:pPr>
      <w:r>
        <w:rPr>
          <w:rFonts w:ascii="Amiri" w:hAnsi="Amiri" w:eastAsia="Amiri" w:cs="Amiri"/>
          <w:color w:val="111111"/>
          <w:sz w:val="28"/>
          <w:sz w:val="28"/>
          <w:szCs w:val="28"/>
          <w:rtl w:val="true"/>
          <w:lang w:bidi="ar-SA"/>
        </w:rPr>
        <w:t>بِأَوْعِيَتِهِمْ قَبْلَ وِعَاءِ أَخِيهِ</w:t>
      </w:r>
      <w:r>
        <w:rPr>
          <w:rFonts w:eastAsia="Amiri" w:cs="Amiri" w:ascii="Amiri" w:hAnsi="Amiri"/>
          <w:color w:val="111111"/>
          <w:sz w:val="28"/>
          <w:szCs w:val="28"/>
          <w:rtl w:val="true"/>
          <w:lang w:bidi="ar-SA"/>
        </w:rPr>
        <w:t>(</w:t>
      </w:r>
      <w:r>
        <w:rPr>
          <w:rStyle w:val="FootnoteAnchor"/>
          <w:rtl w:val="true"/>
        </w:rPr>
        <w:footnoteReference w:id="748"/>
      </w:r>
      <w:r>
        <w:rPr>
          <w:rFonts w:ascii="Amiri" w:hAnsi="Amiri" w:eastAsia="Amiri" w:cs="Amiri"/>
          <w:color w:val="111111"/>
          <w:sz w:val="28"/>
          <w:sz w:val="28"/>
          <w:szCs w:val="28"/>
          <w:rtl w:val="true"/>
          <w:lang w:bidi="ar-SA"/>
        </w:rPr>
        <w:t>ومعلوم أنّ أوعيتهم لم تكن من الأواني ، بل كانت</w:t>
      </w:r>
    </w:p>
    <w:p>
      <w:pPr>
        <w:pStyle w:val="BookText"/>
        <w:rPr/>
      </w:pPr>
      <w:r>
        <w:rPr>
          <w:rFonts w:ascii="Amiri" w:hAnsi="Amiri" w:eastAsia="Amiri" w:cs="Amiri"/>
          <w:color w:val="111111"/>
          <w:sz w:val="28"/>
          <w:sz w:val="28"/>
          <w:szCs w:val="28"/>
          <w:rtl w:val="true"/>
          <w:lang w:bidi="ar-SA"/>
        </w:rPr>
        <w:t xml:space="preserve">من الجواليق وما يشبهها </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عن كاشف الغطاء في تشخيص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اعتبار الظرفية ، وكون </w:t>
      </w:r>
    </w:p>
    <w:p>
      <w:pPr>
        <w:pStyle w:val="BookText"/>
        <w:rPr/>
      </w:pPr>
      <w:r>
        <w:rPr>
          <w:rFonts w:ascii="Amiri" w:hAnsi="Amiri" w:eastAsia="Amiri" w:cs="Amiri"/>
          <w:color w:val="111111"/>
          <w:sz w:val="28"/>
          <w:sz w:val="28"/>
          <w:szCs w:val="28"/>
          <w:rtl w:val="true"/>
          <w:lang w:bidi="ar-SA"/>
        </w:rPr>
        <w:t xml:space="preserve">المظروف معرضاً للرفع والوضع ؛ احترازاً عن موضع فصّ الخاتم وعَكُّوز الرمح ونحوها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تكون موضوعة على صورة متاع البيت الذي يعتاد استعماله عند أهله في أكل أو شرب أو طبخ أو غسل أو نحوها ؛ احترازاً عن كوز الغليان ورأسها ، ورأس الشطب ، وقراب السيف ونحوه ، وبيت السهام ، وبيت المكحلة والمرآة والصندوق وقوطي النَشُوق والعطر ونحوها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يكون لها أسفل يمسك ما يوضع فيه ، وحواشٍ كذلك ؛ احترازاً عن القناديل والمشبّكات والمخرّمات والطبق</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يخلو من إشكال ؛ وإن كان كلامه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من أهل 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لنا الشكّ في صدقها على كثير ممّا ذكره ، ومعه مقتضى الأصل الإباحة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المتيقّن منها ما ذكره ؛ وإن كان الاحتياط في مثل كوز الغليان لا ينبغي تركه ، بل لا يترك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عدّ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كرأس الغليان ، ورأس الشطب ، وما يجعل موضعاً له ، وقراب السيف والخنجر والسكّين ، وبيت السهام ، وظروف الغالية والكحل والعنبر والقير والمعجون والتتن والتنباك والأفيون ، والمشكاة والمجامر والمحابر ونحوها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فكثير منها محلّ إشكال أو منع ، سيّما مع جزم الاُستاذ على خلافه ، وهو يوجب الشكّ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إمكان إحرازها أو إحراز كثير منها من العرف واللغة ؛ </w:t>
      </w:r>
    </w:p>
    <w:p>
      <w:pPr>
        <w:pStyle w:val="BookText"/>
        <w:rPr/>
      </w:pPr>
      <w:r>
        <w:rPr>
          <w:rFonts w:ascii="Amiri" w:hAnsi="Amiri" w:eastAsia="Amiri" w:cs="Amiri"/>
          <w:color w:val="111111"/>
          <w:sz w:val="28"/>
          <w:sz w:val="28"/>
          <w:szCs w:val="28"/>
          <w:rtl w:val="true"/>
          <w:lang w:bidi="ar-SA"/>
        </w:rPr>
        <w:t xml:space="preserve">بعد ما كان الإناء في عصرنا قليل الاستعمال أو عديمه ، على ما شهد به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من أهل اللسان</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ودعوى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استفادة إنائية كثير منها أو جميعها من صحيحة محمّد بن إسماعيل ابن بَزيع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الرضا علیه السلام عن آنية الذهب والفضّة فكرهها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روى بعض أصحابنا أ نّه كان لأبي الحسن علیه السلام مرآة ملبّسة فضّة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والحمد للّه ، إنّما كانت لها حلقة من فضّة ، وهي عندي</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العبّاس حين عذر عمل له قضيب ملبّس فضّة من نحو ما يعمل للصبيان ، تكون فضّة نحواً من عشرة دراهم ، فأمر به أبو الحسن علیه السلام فكسر</w:t>
      </w:r>
      <w:r>
        <w:rPr>
          <w:rFonts w:eastAsia="IRNazanin" w:cs="IRNazanin"/>
          <w:color w:val="111111"/>
          <w:sz w:val="28"/>
          <w:szCs w:val="28"/>
          <w:rtl w:val="true"/>
          <w:lang w:bidi="fa-IR"/>
        </w:rPr>
        <w:t>»</w:t>
      </w:r>
      <w:r>
        <w:rPr>
          <w:rStyle w:val="FootnoteAnchor"/>
          <w:rtl w:val="true"/>
        </w:rPr>
        <w:footnoteReference w:id="7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أنّ الراوي نقض عليه بفعل أبي الحسن علیه السلام فأنكره شديداً ، وحكى أمره بكسر القضيب الملبّس ، وهو دليل على صدقها في جميع تلك الموارد</w:t>
      </w:r>
      <w:r>
        <w:rPr>
          <w:rStyle w:val="FootnoteAnchor"/>
          <w:rtl w:val="true"/>
        </w:rPr>
        <w:footnoteReference w:id="753"/>
      </w:r>
      <w:r>
        <w:rPr>
          <w:rFonts w:ascii="Amiri" w:hAnsi="Amiri" w:eastAsia="Amiri" w:cs="Amiri"/>
          <w:color w:val="111111"/>
          <w:sz w:val="28"/>
          <w:sz w:val="28"/>
          <w:szCs w:val="28"/>
          <w:rtl w:val="true"/>
          <w:lang w:bidi="ar-SA"/>
        </w:rPr>
        <w:t xml:space="preserve">حتّى فيما لا يقول به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كالمثال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ضعيفة ؛ لمنع كون كلام الراوي نقضاً بالنسبة إلى المرآة بدعوى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 ، بل من المحتمل قريباً أ نّه فهم من كراهة أبي الحسن الرضا علیه السلام</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استعمال مطلق الذهب والفضّة مكروه ، فقال ما قال ، وإلاّ فالظاهر عدم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المرآة الملبّسة ، ولا على لباس المرآة ، وكذا لا يصدق على القضيب أو لباسه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والظاهر من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تكون فضّة نحواً من عشرة دراهم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إدخار الفضّة حتّى بهذا المقدار ، كان مكروهاً لدى أبي الحسن علیه السلام فضلاً عن إدخار الملبّسة بها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دعوى تشخيص الآنية من الرواية في غاية السقوط ؛ بعد عدم صدقها على ما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وأضعف منه دعوى كون الموضوع الشرعي أعمّ ؛ بدعوى أنّ للآنية حقيقة شرعية ، وهو كما ترى </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يبعد استفادة كراهة مطلق استعمال الآلات المعمولة من الفضّة والذهب من هذه الرواية وبعض روايات اُخر واردة فيها وفي الذهب</w:t>
      </w:r>
      <w:r>
        <w:rPr>
          <w:rStyle w:val="FootnoteAnchor"/>
          <w:rtl w:val="true"/>
        </w:rPr>
        <w:footnoteReference w:id="754"/>
      </w:r>
      <w:r>
        <w:rPr>
          <w:rFonts w:ascii="IRNazanin" w:hAnsi="IRNazanin" w:eastAsia="IRNazanin"/>
          <w:color w:val="111111"/>
          <w:sz w:val="28"/>
          <w:sz w:val="28"/>
          <w:szCs w:val="28"/>
          <w:rtl w:val="true"/>
          <w:lang w:bidi="fa-IR"/>
        </w:rPr>
        <w:t xml:space="preserve">والأمر سهل </w:t>
      </w:r>
      <w:r>
        <w:rPr>
          <w:rFonts w:eastAsia="IRNazanin" w:cs="IRNazanin"/>
          <w:color w:val="111111"/>
          <w:sz w:val="28"/>
          <w:szCs w:val="28"/>
          <w:rtl w:val="true"/>
          <w:lang w:bidi="fa-IR"/>
        </w:rPr>
        <w:t xml:space="preserve">. </w:t>
      </w:r>
      <w:bookmarkStart w:id="289" w:name="pg15030_143202"/>
    </w:p>
    <w:p>
      <w:pPr>
        <w:pStyle w:val="Heading6"/>
        <w:numPr>
          <w:ilvl w:val="5"/>
          <w:numId w:val="1"/>
        </w:numPr>
        <w:rPr/>
      </w:pPr>
      <w:bookmarkStart w:id="290" w:name="__RefHeading___Toc212824_2142443653"/>
      <w:bookmarkStart w:id="291" w:name="_Toc104"/>
      <w:bookmarkEnd w:id="289"/>
      <w:bookmarkEnd w:id="290"/>
      <w:r>
        <w:rPr>
          <w:rtl w:val="true"/>
        </w:rPr>
        <w:t>المسألة الخامسة اشتراط التذكية في جواز استعمال الجلود</w:t>
      </w:r>
      <w:bookmarkEnd w:id="291"/>
    </w:p>
    <w:p>
      <w:pPr>
        <w:pStyle w:val="Heading6"/>
        <w:numPr>
          <w:ilvl w:val="5"/>
          <w:numId w:val="1"/>
        </w:numPr>
        <w:rPr/>
      </w:pPr>
      <w:bookmarkStart w:id="292" w:name="__RefHeading___Toc212826_2142443653"/>
      <w:bookmarkStart w:id="293" w:name="_Toc105"/>
      <w:bookmarkEnd w:id="292"/>
      <w:r>
        <w:rPr>
          <w:rtl w:val="true"/>
        </w:rPr>
        <w:t>اشارة</w:t>
      </w:r>
      <w:bookmarkEnd w:id="293"/>
    </w:p>
    <w:p>
      <w:pPr>
        <w:pStyle w:val="BookText"/>
        <w:rPr/>
      </w:pPr>
      <w:r>
        <w:rPr>
          <w:rFonts w:ascii="Amiri" w:hAnsi="Amiri" w:eastAsia="Amiri" w:cs="Amiri"/>
          <w:color w:val="111111"/>
          <w:sz w:val="28"/>
          <w:sz w:val="28"/>
          <w:szCs w:val="28"/>
          <w:rtl w:val="true"/>
          <w:lang w:bidi="ar-SA"/>
        </w:rPr>
        <w:t xml:space="preserve">لا يجوز استعمال شيء من الجلود إذا كانت من ذوات الأنفس فيما يشترط فيه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كانت من حيوان وردت عليه تذكية شرعية بالشروط المقرّرة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دبغت سبعين مرّة ؛ إذ هي بدون التذكية نجسة ميتة لا تحلّ الصلاة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إشكال فيه نصّاً وفتوى إلاّ من ابن الجنيد القائل بطهارتها بالدباغة</w:t>
      </w:r>
      <w:r>
        <w:rPr>
          <w:rStyle w:val="FootnoteAnchor"/>
          <w:rtl w:val="true"/>
        </w:rPr>
        <w:footnoteReference w:id="755"/>
      </w:r>
      <w:r>
        <w:rPr>
          <w:rFonts w:ascii="Amiri" w:hAnsi="Amiri" w:eastAsia="Amiri" w:cs="Amiri"/>
          <w:color w:val="111111"/>
          <w:sz w:val="28"/>
          <w:sz w:val="28"/>
          <w:szCs w:val="28"/>
          <w:rtl w:val="true"/>
          <w:lang w:bidi="ar-SA"/>
        </w:rPr>
        <w:t xml:space="preserve">؛ وإن قال بعدم جواز الصلاة فيها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94" w:name="__RefHeading___Toc212828_2142443653"/>
      <w:bookmarkStart w:id="295" w:name="_Toc106"/>
      <w:bookmarkEnd w:id="294"/>
      <w:r>
        <w:rPr>
          <w:rtl w:val="true"/>
        </w:rPr>
        <w:t>حكم الحيوان مشكوك التذكية</w:t>
      </w:r>
      <w:bookmarkEnd w:id="295"/>
    </w:p>
    <w:p>
      <w:pPr>
        <w:pStyle w:val="BookText"/>
        <w:rPr/>
      </w:pPr>
      <w:r>
        <w:rPr>
          <w:rFonts w:ascii="Amiri" w:hAnsi="Amiri" w:eastAsia="Amiri" w:cs="Amiri"/>
          <w:color w:val="111111"/>
          <w:sz w:val="28"/>
          <w:sz w:val="28"/>
          <w:szCs w:val="28"/>
          <w:rtl w:val="true"/>
          <w:lang w:bidi="ar-SA"/>
        </w:rPr>
        <w:t xml:space="preserve">والذي ينبغي بسط الكلام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هل يعتبر في جواز استعمالها ، وكذا في حلّية اللحوم من الحيوانات المحلّلة الأكل ، وكذا في صحّة الصلاة فيما تجوز فيها مع التذكية ، إحرازها بالعلم أو بأمارة شرعية معتبرة ، ومع عدمه يحكم بنجاستها ، وحرمةِ الانتفاع بها ، وعدمِ جواز الصلاة فيها ؟</w:t>
      </w:r>
    </w:p>
    <w:p>
      <w:pPr>
        <w:pStyle w:val="BookText"/>
        <w:rPr/>
      </w:pPr>
      <w:r>
        <w:rPr>
          <w:rFonts w:ascii="Amiri" w:hAnsi="Amiri" w:eastAsia="Amiri" w:cs="Amiri"/>
          <w:color w:val="111111"/>
          <w:sz w:val="28"/>
          <w:sz w:val="28"/>
          <w:szCs w:val="28"/>
          <w:rtl w:val="true"/>
          <w:lang w:bidi="ar-SA"/>
        </w:rPr>
        <w:t>أو عدم التذكية يحتاج إلى دليل ، ومع عدمه يحكم بطهارتها ، وجوازِ الصلاة فيها ، وحلّيةِ أكل اللحم ؟ أو تفصيل بين الطهارة وغيرها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استقرّ آراؤهم على جريان أصالة عدم التذكية في الجملة ، وإن فصّل </w:t>
      </w:r>
    </w:p>
    <w:p>
      <w:pPr>
        <w:pStyle w:val="BookText"/>
        <w:rPr/>
      </w:pPr>
      <w:r>
        <w:rPr>
          <w:rFonts w:ascii="Amiri" w:hAnsi="Amiri" w:eastAsia="Amiri" w:cs="Amiri"/>
          <w:color w:val="111111"/>
          <w:sz w:val="28"/>
          <w:sz w:val="28"/>
          <w:szCs w:val="28"/>
          <w:rtl w:val="true"/>
          <w:lang w:bidi="ar-SA"/>
        </w:rPr>
        <w:t>بعضهم بين ما إذا رتّبت الأحكام على مجرّد عدم التذكية بنحو السالبة المحصّلة ، وبين ما إذا كان الموضوع بنحو الإيجاب العدولي ، كما لعلّه الظاهر من الشيخ الأعظم</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وفصّل آخر بين كون المذكّى ومقابله من قبيل الضدّين فلا تجري ، وبين كونهما من قبيل العدم والملكة فتجري ، وتترتّب عليها الأحكام ؛ بدعوى كون الموضوع في هذه الصورة من قبيل الموضوعات المركّبة أو المقيّدة المشكوك فيها بقيدها أو جزئها ، فيحرز بالأصل ، وهو ظاهر المحقّق الخراساني</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وثالث بين الآثار التي رتّبت على عدم كون الحيوان مذكّى ، كعدم الحلّية ، وعدم جواز الصلاة ، وعدم الطهارة ؛ من الأحكام العدمية المنتزعة من الوجوديات التي تكون التذكية شرطاً في ثبوتها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عدم تعلّق التذكية بهذا اللحم الذي زهق روحه ، فلا يحلّ أكله ، ولا الصلاة فيه ، ولا استعماله</w:t>
      </w:r>
    </w:p>
    <w:p>
      <w:pPr>
        <w:pStyle w:val="BookText"/>
        <w:rPr/>
      </w:pPr>
      <w:r>
        <w:rPr>
          <w:rFonts w:ascii="Amiri" w:hAnsi="Amiri" w:eastAsia="Amiri" w:cs="Amiri"/>
          <w:color w:val="111111"/>
          <w:sz w:val="28"/>
          <w:sz w:val="28"/>
          <w:szCs w:val="28"/>
          <w:rtl w:val="true"/>
          <w:lang w:bidi="ar-SA"/>
        </w:rPr>
        <w:t xml:space="preserve">فيما يشترط بالطهارة ، وبين الآثار المترتّبة على كونه غير المذكّى ، كالأحكام الوجودية الملازمة لهذه العدميات ، كحرمة أكله ، ونجاسته وتنجيس ملاقيه ونحوها </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الحلّية وسائر الأحكام الوجودية المترتّبة على سبب حادث تصير منتفية بانتفاء سببها ، فالموت المقرون بالشرائط أمر مركّب سبب للأحكام ، وهو أمر حادث مسبوق بالعدم ، فأصالة عدمه ممّا يترتّب عليها عدم الحلّية والطهارة وجواز الصلاة فيها ، فعدم حلّية اللحم من آثار عدم حدوث ما </w:t>
      </w:r>
      <w:bookmarkStart w:id="296" w:name="pg15030_143204"/>
    </w:p>
    <w:p>
      <w:pPr>
        <w:pStyle w:val="BookText"/>
        <w:rPr/>
      </w:pPr>
      <w:bookmarkEnd w:id="296"/>
      <w:r>
        <w:rPr>
          <w:rFonts w:ascii="Amiri" w:hAnsi="Amiri" w:eastAsia="Amiri" w:cs="Amiri"/>
          <w:color w:val="111111"/>
          <w:sz w:val="28"/>
          <w:sz w:val="28"/>
          <w:szCs w:val="28"/>
          <w:rtl w:val="true"/>
          <w:lang w:bidi="ar-SA"/>
        </w:rPr>
        <w:t xml:space="preserve">يؤثّر في حلّيته بعد الموت ، لا من آثار كون الموت فاقداً للشرائط حتّى لا يمكن إحرازه بالأصل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صريح المولى الهمداني</w:t>
      </w:r>
      <w:r>
        <w:rPr>
          <w:rStyle w:val="FootnoteAnchor"/>
          <w:rtl w:val="true"/>
        </w:rPr>
        <w:footnoteReference w:id="759"/>
      </w:r>
      <w:r>
        <w:rPr>
          <w:rFonts w:ascii="Amiri" w:hAnsi="Amiri" w:eastAsia="Amiri" w:cs="Amiri"/>
          <w:color w:val="111111"/>
          <w:sz w:val="28"/>
          <w:sz w:val="28"/>
          <w:szCs w:val="28"/>
          <w:rtl w:val="true"/>
          <w:lang w:bidi="ar-SA"/>
        </w:rPr>
        <w:t xml:space="preserve">تبعاً لظاهر الشيخ الأعظم ، ولعلّه يرجع إلى التفصيل الأوّل ، أو قريب منه </w:t>
      </w:r>
      <w:r>
        <w:rPr>
          <w:rFonts w:eastAsia="Amiri" w:cs="Amiri" w:ascii="Amiri" w:hAnsi="Amiri"/>
          <w:color w:val="111111"/>
          <w:sz w:val="28"/>
          <w:szCs w:val="28"/>
          <w:rtl w:val="true"/>
          <w:lang w:bidi="ar-SA"/>
        </w:rPr>
        <w:t>.</w:t>
      </w:r>
    </w:p>
    <w:p>
      <w:pPr>
        <w:pStyle w:val="Heading6"/>
        <w:numPr>
          <w:ilvl w:val="5"/>
          <w:numId w:val="1"/>
        </w:numPr>
        <w:rPr/>
      </w:pPr>
      <w:bookmarkStart w:id="297" w:name="__RefHeading___Toc212830_2142443653"/>
      <w:bookmarkStart w:id="298" w:name="_Toc107"/>
      <w:bookmarkEnd w:id="297"/>
      <w:r>
        <w:rPr>
          <w:rtl w:val="true"/>
        </w:rPr>
        <w:t>حول جريان أصالة عدم التذكية</w:t>
      </w:r>
      <w:bookmarkEnd w:id="298"/>
    </w:p>
    <w:p>
      <w:pPr>
        <w:pStyle w:val="BookText"/>
        <w:rPr/>
      </w:pPr>
      <w:r>
        <w:rPr>
          <w:rFonts w:ascii="Amiri" w:hAnsi="Amiri" w:eastAsia="Amiri" w:cs="Amiri"/>
          <w:color w:val="111111"/>
          <w:sz w:val="28"/>
          <w:sz w:val="28"/>
          <w:szCs w:val="28"/>
          <w:rtl w:val="true"/>
          <w:lang w:bidi="ar-SA"/>
        </w:rPr>
        <w:t>ونحن قد استقصينا البحث في أطراف أصالة عدم التذكية وما هي نحوها بما لا مزيد عليه مع مقدّمات مفيدة في المقام وسائر المقامات في الاُصول</w:t>
      </w:r>
      <w:r>
        <w:rPr>
          <w:rStyle w:val="FootnoteAnchor"/>
          <w:rtl w:val="true"/>
        </w:rPr>
        <w:footnoteReference w:id="760"/>
      </w:r>
      <w:r>
        <w:rPr>
          <w:rFonts w:ascii="Amiri" w:hAnsi="Amiri" w:eastAsia="Amiri" w:cs="Amiri"/>
          <w:color w:val="111111"/>
          <w:sz w:val="28"/>
          <w:sz w:val="28"/>
          <w:szCs w:val="28"/>
          <w:rtl w:val="true"/>
          <w:lang w:bidi="ar-SA"/>
        </w:rPr>
        <w:t xml:space="preserve">، وتذكارها ونقلها هاهنا موجب للتطويل المخالف لوضع هذا المختصر ، ولهذا نشير إلى لمحة منها احترازاً عن الحوالة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شبهة في أنّ التذكية عبارة عن أمر وجودي ؛ هو إزهاق الروح بكيفية خاصّة معتبرة في الشرع ؛ أي فري المسلم الأوداج الأربعة ، متوجّهاً بالحيوان إلى القبلة ، ذاكراً عليه اسم اللّه ، مع قابلية الحيوان لها ، وهو الموضوع</w:t>
      </w:r>
    </w:p>
    <w:p>
      <w:pPr>
        <w:pStyle w:val="BookText"/>
        <w:rPr/>
      </w:pPr>
      <w:r>
        <w:rPr>
          <w:rFonts w:ascii="Amiri" w:hAnsi="Amiri" w:eastAsia="Amiri" w:cs="Amiri"/>
          <w:color w:val="111111"/>
          <w:sz w:val="28"/>
          <w:sz w:val="28"/>
          <w:szCs w:val="28"/>
          <w:rtl w:val="true"/>
          <w:lang w:bidi="ar-SA"/>
        </w:rPr>
        <w:t xml:space="preserve">للأحكام المتقدّمة ؛ أي الطهارة ، وحلّية الأكل ، وجواز الصلاة في أجزائه وغيرها </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ومقابل هذا العنوان الذي يكون موضوعاً لأحكام 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الحرمة والنجاسة، أو عدم الحلّية وعدم الطهارة، وعدم جواز الصلاة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w:t>
      </w:r>
    </w:p>
    <w:p>
      <w:pPr>
        <w:pStyle w:val="BookText"/>
        <w:rPr/>
      </w:pPr>
      <w:r>
        <w:rPr>
          <w:rFonts w:ascii="Amiri" w:hAnsi="Amiri" w:eastAsia="Amiri" w:cs="Amiri"/>
          <w:color w:val="111111"/>
          <w:sz w:val="28"/>
          <w:sz w:val="28"/>
          <w:szCs w:val="28"/>
          <w:rtl w:val="true"/>
          <w:lang w:bidi="ar-SA"/>
        </w:rPr>
        <w:t>عنواناً وجودياً؛ هو إزهاق الروح بكيفية اُخرى ضدّ الكيفية المأخوذة في التذكية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يكون إزهاقه لا بالكيفية المذكورة ؛ على نعت الإيجاب العدولي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إزهاقه الذي لم يكن بالكيفية الخاصّة ؛ على نعت الموجبة السالبة المحمول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إزهاقه مسلوباً عنه الكيفية الخاصّة ؛ على نعت سلب محصّل بسلب المحمول ، مع فرض وجود الموضوع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يكون أمراً سلبياً بالسلب التحصيلي الأعمّ من سلب الموضوع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يكون مركّباً من إزهاق الروح ، وعدمِ تحقّق الكيفية الخاصّة بنحو العدم المحمولي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بحسب التصوّر والاحتمال البدوي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لا شبهة في أنّ الموضوع للأحكام ، ليس عدم إزهاق الروح بالكيفية الخاصّة بنحو السالبة المحصّلة الأعمّ من سلب الموضوع ؛ ضرورة عدم إمكان موضوعية عدمٍ محض للأحكام ثبوتاً ، وعدم مساعدة الأدلّة عليها إثباتاً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بطلان الصورة الأخيرة ؛ لعدم تعقّل كون جزء الموضوع للأحكام ، شيئاً أعمّ من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يلزم من جزئيته له التناقض ؛ لأنّ فرضَ إزهاق الروح الذي هو صفة لأمر وجودي وفرضَ سلب الكيفية بالسلب البسيط الأعمّ ، فرض كون المتناقضين موضوع الحكم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فبقيت الاعتبارات الاُخر ، وفي شيء منها لا مصير لجريان أصالة عدم التذكية لإثبات الحكم </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في صورة الضدّية فواضح ؛ ضرورة أنّ سلب الضدّ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جريان </w:t>
      </w:r>
    </w:p>
    <w:p>
      <w:pPr>
        <w:pStyle w:val="BookText"/>
        <w:rPr/>
      </w:pP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يثبت تحقّق الضدّ الآخر إلاّ بالأصل المثبت ولو مع فرض عدم الثالث لهما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صورة اعتبار الإيجاب العدولي ، والموجبة السالبة المحمول ، والسالبة المحصّلة مع فرض وجود الموضوع وكون السلب عنه ، فليس لشيء منها بعنوانه حالة سابقة يقينية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واستصحاب السلب البسيط التحصيلي الجامع بين سلب الحيوان وسلب الزهوق وسلب الكيفية ، لا يثبت الحكم المترتّب على مصداقه المنحصر إلاّ بالأصل المثبت ؛ فإنّ موضوع الحكم إذا كان بأحد الاعتبارات الثلاثة ، لا يكون السلب التحصيلي موضوعاً له ، بل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السلب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 جامع منطبق على السلب الأزلي بسلب الحيوان وسلب الإزهاق مع وجود الحيوان وإزهاق روحه بغير الكيفية الخاصّة ، وموضوع الحكم هو الأخير ، واستصحاب الجامع وإثبات الفرد وأحكامه مثبت ، كما هو 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يتّضح بطلان ما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الحيوان في حالة حياته يصدق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غير زاهق الروح بالكيفية الخاصّة ، أو مسلوب عنه الزهوق الكذائي ، وهذا العنوان وإن لم يكن موضوعاً للحكم في حال اليقين ، لكنّه موضوع له في حال الشكّ ، وهو كافٍ في الاستصحاب </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لأنّ موضوعه ليس عنوان عدم زهوق الروح القابل للصدق على الحيوان الحيّ ولو بنحو الإيجاب العدولي مع موضوعية الحيوان ، بل الموضوع زهوقه بلا كيفية خاصّة ، فاستصحاب أنّ الحيوان غير زاهق الروح بالكيفية الخاصّة لترتّب الأحكام عليه ، غير صحيح ؛ لأنّ هذا العنوان المستصحب ليس </w:t>
      </w:r>
      <w:bookmarkStart w:id="299" w:name="pg15030_143207"/>
    </w:p>
    <w:p>
      <w:pPr>
        <w:pStyle w:val="BookText"/>
        <w:rPr/>
      </w:pPr>
      <w:bookmarkEnd w:id="299"/>
      <w:r>
        <w:rPr>
          <w:rFonts w:ascii="Amiri" w:hAnsi="Amiri" w:eastAsia="Amiri" w:cs="Amiri"/>
          <w:color w:val="111111"/>
          <w:sz w:val="28"/>
          <w:sz w:val="28"/>
          <w:szCs w:val="28"/>
          <w:rtl w:val="true"/>
          <w:lang w:bidi="ar-SA"/>
        </w:rPr>
        <w:t xml:space="preserve">موضوع الحكم ، بل الموضوع عنوان آخر منطبَق هذا العنوان ، واستصحاب العنوان الأعمّ لا يثبت أحكام الأخصّ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ذكره المولى الهمداني فهو غفلة عن دقيقة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أنّ سلب السبب الموجب لأحكام وجودية بالسلب المطلق ، لازمه سلبُ الأحكام الوجودية القابلُ للانطباق على عدم التشريع رأساً ، لا ثبوت حكم آخر سلبي أو ثبوتي ، فاستصحاب عدم تحقّق السبب لإثبات حكم من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كعدم الحلّية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المثبتات لو لم 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سلب السبب لإثبات سلب المسبّب أيضاً من المثبتات ، فأصالة الحلّ والطهارة محكّمة ما لم يدلّ دليل على خلافها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إجمال ممّا فصّلناه في الاُصول</w:t>
      </w:r>
      <w:r>
        <w:rPr>
          <w:rStyle w:val="FootnoteAnchor"/>
          <w:rtl w:val="true"/>
        </w:rPr>
        <w:footnoteReference w:id="761"/>
      </w:r>
      <w:r>
        <w:rPr>
          <w:rFonts w:ascii="Amiri" w:hAnsi="Amiri" w:eastAsia="Amiri" w:cs="Amiri"/>
          <w:color w:val="111111"/>
          <w:sz w:val="28"/>
          <w:sz w:val="28"/>
          <w:szCs w:val="28"/>
          <w:rtl w:val="true"/>
          <w:lang w:bidi="ar-SA"/>
        </w:rPr>
        <w:t xml:space="preserve">، ولا بدّ أن يطلب التحقيق من هناك </w:t>
      </w:r>
      <w:r>
        <w:rPr>
          <w:rFonts w:eastAsia="Amiri" w:cs="Amiri" w:ascii="Amiri" w:hAnsi="Amiri"/>
          <w:color w:val="111111"/>
          <w:sz w:val="28"/>
          <w:szCs w:val="28"/>
          <w:rtl w:val="true"/>
          <w:lang w:bidi="ar-SA"/>
        </w:rPr>
        <w:t>.</w:t>
      </w:r>
    </w:p>
    <w:p>
      <w:pPr>
        <w:pStyle w:val="Heading6"/>
        <w:numPr>
          <w:ilvl w:val="5"/>
          <w:numId w:val="1"/>
        </w:numPr>
        <w:rPr/>
      </w:pPr>
      <w:bookmarkStart w:id="300" w:name="__RefHeading___Toc212832_2142443653"/>
      <w:bookmarkStart w:id="301" w:name="_Toc108"/>
      <w:bookmarkEnd w:id="300"/>
      <w:r>
        <w:rPr>
          <w:rtl w:val="true"/>
        </w:rPr>
        <w:t>دلالة الأخبار على توقّف حلّية الأكل على إحراز التذكية</w:t>
      </w:r>
      <w:bookmarkEnd w:id="301"/>
    </w:p>
    <w:p>
      <w:pPr>
        <w:pStyle w:val="BookText"/>
        <w:rPr/>
      </w:pPr>
      <w:r>
        <w:rPr>
          <w:rFonts w:ascii="Amiri" w:hAnsi="Amiri" w:eastAsia="Amiri" w:cs="Amiri"/>
          <w:color w:val="111111"/>
          <w:sz w:val="28"/>
          <w:sz w:val="28"/>
          <w:szCs w:val="28"/>
          <w:rtl w:val="true"/>
          <w:lang w:bidi="ar-SA"/>
        </w:rPr>
        <w:t xml:space="preserve">والأولى في المقام صرف الكلام إلى حال الروايات </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وردت جملة من الأخبار في باب الصيد والذباحة ، يستفاد منها توقّف حلّية الأكل على إحراز الذبح الشرعي ، كصحيحة الحذّاء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 السلام عن الرجل يسرّح كلبه المعلّم ، ويسمّي إذا سرّحه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يأكل ممّا أمسك عليه ، فإذا أدركه قبل قتله ذكّاه ، وإن وجد معه كلباً غير معلّم فلا يأكل منه</w:t>
      </w:r>
      <w:r>
        <w:rPr>
          <w:rFonts w:eastAsia="IRNazanin" w:cs="IRNazanin"/>
          <w:color w:val="111111"/>
          <w:sz w:val="28"/>
          <w:szCs w:val="28"/>
          <w:rtl w:val="true"/>
          <w:lang w:bidi="fa-IR"/>
        </w:rPr>
        <w:t>»</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ورواية أبي بصير ، 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قوم أرسلوا كلابهم وهي معلّمة</w:t>
      </w:r>
    </w:p>
    <w:p>
      <w:pPr>
        <w:pStyle w:val="BookText"/>
        <w:rPr/>
      </w:pPr>
      <w:r>
        <w:rPr>
          <w:rFonts w:ascii="Amiri" w:hAnsi="Amiri" w:eastAsia="Amiri" w:cs="Amiri"/>
          <w:color w:val="111111"/>
          <w:sz w:val="28"/>
          <w:sz w:val="28"/>
          <w:szCs w:val="28"/>
          <w:rtl w:val="true"/>
          <w:lang w:bidi="ar-SA"/>
        </w:rPr>
        <w:t xml:space="preserve">كلّها ، وقد سمّوا عليها ، فلمّا أن مضت الكلاب دخل فيها كلب غريب لا يعرفون له صاحباً ، واشتركت جميعاً في الصيد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يؤكل منه ؛ لأ نّك لا تدري أخذه معلّم أم لا</w:t>
      </w:r>
      <w:r>
        <w:rPr>
          <w:rFonts w:eastAsia="Amiri" w:cs="Amiri" w:ascii="Amiri" w:hAnsi="Amiri"/>
          <w:color w:val="111111"/>
          <w:sz w:val="28"/>
          <w:szCs w:val="28"/>
          <w:rtl w:val="true"/>
          <w:lang w:bidi="ar-SA"/>
        </w:rPr>
        <w:t>»</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وصحيحة محمّد بن قيس ، عن أبي جعفر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جرح صيداً بسلاح ، وذكر اسم اللّه عليه ، ثمّ بقي ليلة أو ليلتين لم يأكل منه سبع ، وقد علم أنّ سلاحه هو الذي قتله ، فليأكل منه إن شاء</w:t>
      </w:r>
      <w:r>
        <w:rPr>
          <w:rFonts w:eastAsia="IRNazanin" w:cs="IRNazanin"/>
          <w:color w:val="111111"/>
          <w:sz w:val="28"/>
          <w:szCs w:val="28"/>
          <w:rtl w:val="true"/>
          <w:lang w:bidi="fa-IR"/>
        </w:rPr>
        <w:t>»</w:t>
      </w:r>
      <w:r>
        <w:rPr>
          <w:rStyle w:val="FootnoteAnchor"/>
          <w:rtl w:val="true"/>
        </w:rPr>
        <w:footnoteReference w:id="764"/>
      </w:r>
      <w:r>
        <w:rPr>
          <w:rFonts w:ascii="Amiri" w:hAnsi="Amiri" w:eastAsia="Amiri" w:cs="Amiri"/>
          <w:color w:val="111111"/>
          <w:sz w:val="28"/>
          <w:sz w:val="28"/>
          <w:szCs w:val="28"/>
          <w:rtl w:val="true"/>
          <w:lang w:bidi="ar-SA"/>
        </w:rPr>
        <w:t>وبمضمونها عدّة روايات</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وصحيحته الاُخرى ، عنه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أمير المؤمنين علیه السلام في صيد وجد فيه سهم ، وهو ميّت لا يدرى من قتله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تطعمه</w:t>
      </w:r>
      <w:r>
        <w:rPr>
          <w:rFonts w:eastAsia="IRNazanin" w:cs="IRNazanin"/>
          <w:color w:val="111111"/>
          <w:sz w:val="28"/>
          <w:szCs w:val="28"/>
          <w:rtl w:val="true"/>
          <w:lang w:bidi="fa-IR"/>
        </w:rPr>
        <w:t>»</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وحسنة</w:t>
      </w:r>
      <w:r>
        <w:rPr>
          <w:rStyle w:val="FootnoteAnchor"/>
          <w:rtl w:val="true"/>
        </w:rPr>
        <w:footnoteReference w:id="767"/>
      </w:r>
      <w:r>
        <w:rPr>
          <w:rFonts w:ascii="IRNazanin" w:hAnsi="IRNazanin" w:eastAsia="IRNazanin"/>
          <w:color w:val="111111"/>
          <w:sz w:val="28"/>
          <w:sz w:val="28"/>
          <w:szCs w:val="28"/>
          <w:rtl w:val="true"/>
          <w:lang w:bidi="fa-IR"/>
        </w:rPr>
        <w:t xml:space="preserve">حُمران ، عنه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 سأله عن الذبح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تردّى في جُبّ أو </w:t>
      </w:r>
    </w:p>
    <w:p>
      <w:pPr>
        <w:pStyle w:val="BookText"/>
        <w:rPr/>
      </w:pPr>
      <w:r>
        <w:rPr>
          <w:rFonts w:ascii="Amiri" w:hAnsi="Amiri" w:eastAsia="Amiri" w:cs="Amiri"/>
          <w:color w:val="111111"/>
          <w:sz w:val="28"/>
          <w:sz w:val="28"/>
          <w:szCs w:val="28"/>
          <w:rtl w:val="true"/>
          <w:lang w:bidi="ar-SA"/>
        </w:rPr>
        <w:t>وَهْدة من الأرض فلا تأكله ولا تطعم ؛ فإنّك لا تدري التردّي قتله أو</w:t>
      </w:r>
    </w:p>
    <w:p>
      <w:pPr>
        <w:pStyle w:val="BookText"/>
        <w:rPr/>
      </w:pPr>
      <w:r>
        <w:rPr>
          <w:rFonts w:ascii="IRNazanin" w:hAnsi="IRNazanin" w:eastAsia="IRNazanin"/>
          <w:color w:val="111111"/>
          <w:sz w:val="28"/>
          <w:sz w:val="28"/>
          <w:szCs w:val="28"/>
          <w:rtl w:val="true"/>
          <w:lang w:bidi="fa-IR"/>
        </w:rPr>
        <w:t>الذبح</w:t>
      </w:r>
      <w:r>
        <w:rPr>
          <w:rFonts w:eastAsia="IRNazanin" w:cs="IRNazanin"/>
          <w:color w:val="111111"/>
          <w:sz w:val="28"/>
          <w:szCs w:val="28"/>
          <w:rtl w:val="true"/>
          <w:lang w:bidi="fa-IR"/>
        </w:rPr>
        <w:t>»</w:t>
      </w:r>
      <w:r>
        <w:rPr>
          <w:rStyle w:val="FootnoteAnchor"/>
          <w:rtl w:val="true"/>
        </w:rPr>
        <w:footnoteReference w:id="768"/>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ويستفاد من التعليل فيها وفي رواية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بالمناسبات وإلغاء الخصوصيات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مع الشكّ في وقوع التذكية الشرعية على الحيوان ، لا يجوز الأكل منه ، فجواز الأكل موقوف على إحراز التذكية الشرعية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وبإزائها موثّقة السَكوني ، عن أبي عبداللّه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أمير المؤمنين علیه السلام سئل</w:t>
      </w:r>
    </w:p>
    <w:p>
      <w:pPr>
        <w:pStyle w:val="BookText"/>
        <w:rPr/>
      </w:pPr>
      <w:r>
        <w:rPr>
          <w:rFonts w:ascii="Amiri" w:hAnsi="Amiri" w:eastAsia="Amiri" w:cs="Amiri"/>
          <w:color w:val="111111"/>
          <w:sz w:val="28"/>
          <w:sz w:val="28"/>
          <w:szCs w:val="28"/>
          <w:rtl w:val="true"/>
          <w:lang w:bidi="ar-SA"/>
        </w:rPr>
        <w:t xml:space="preserve">عن سفرة وجدت في الطريق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لا يدرى سفرة مسلم ، أم سفرة مجوسي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في سعة حتّى يعلموا</w:t>
      </w:r>
      <w:r>
        <w:rPr>
          <w:rFonts w:eastAsia="Amiri" w:cs="Amiri" w:ascii="Amiri" w:hAnsi="Amiri"/>
          <w:color w:val="111111"/>
          <w:sz w:val="28"/>
          <w:szCs w:val="28"/>
          <w:rtl w:val="true"/>
          <w:lang w:bidi="ar-SA"/>
        </w:rPr>
        <w:t>»</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ومقتضى إطلاقها وإن كان جواز الأكل حتّى مع الشكّ في التذكية ، لكنّها مقيّدة بالروايات المتقدّمة ، فتحمل على جواز الأكل إذا كانت الشبهة في الطهارة والنجاسة </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لو كان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الحمل مشكلاً ؛ لأنّ اليهود لا يأكلون من ذبائح المسلمين ، ونقل عن بعضهم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أكل ذبائح المسلمين علامة الخروج عن التهوّد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كالخروج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الظاهر أنّ المجوس ليسوا كذلك ، فلا مانع من هذا الجمع </w:t>
      </w:r>
      <w:r>
        <w:rPr>
          <w:rFonts w:eastAsia="Amiri" w:cs="Amiri" w:ascii="Amiri" w:hAnsi="Amiri"/>
          <w:color w:val="111111"/>
          <w:sz w:val="28"/>
          <w:szCs w:val="28"/>
          <w:rtl w:val="true"/>
          <w:lang w:bidi="ar-SA"/>
        </w:rPr>
        <w:t xml:space="preserve">. </w:t>
      </w:r>
      <w:bookmarkStart w:id="302" w:name="pg15030_143210"/>
    </w:p>
    <w:p>
      <w:pPr>
        <w:pStyle w:val="Heading6"/>
        <w:numPr>
          <w:ilvl w:val="5"/>
          <w:numId w:val="1"/>
        </w:numPr>
        <w:rPr/>
      </w:pPr>
      <w:bookmarkStart w:id="303" w:name="__RefHeading___Toc212834_2142443653"/>
      <w:bookmarkStart w:id="304" w:name="_Toc109"/>
      <w:bookmarkEnd w:id="302"/>
      <w:bookmarkEnd w:id="303"/>
      <w:r>
        <w:rPr>
          <w:rtl w:val="true"/>
        </w:rPr>
        <w:t>الكلام في مقدار ما يستفاد من الأخبار السابقة</w:t>
      </w:r>
      <w:bookmarkEnd w:id="304"/>
    </w:p>
    <w:p>
      <w:pPr>
        <w:pStyle w:val="BookText"/>
        <w:rPr/>
      </w:pPr>
      <w:r>
        <w:rPr>
          <w:rFonts w:ascii="Amiri" w:hAnsi="Amiri" w:eastAsia="Amiri" w:cs="Amiri"/>
          <w:color w:val="111111"/>
          <w:sz w:val="28"/>
          <w:sz w:val="28"/>
          <w:szCs w:val="28"/>
          <w:rtl w:val="true"/>
          <w:lang w:bidi="ar-SA"/>
        </w:rPr>
        <w:t xml:space="preserve">إنّما الكلام في أ نّه هل يستفاد من تلك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مع عدم إحراز التذكية يحكم بأ نّه غير مذكّى في جميع الأحكام ، فهو محكوم بالنجاسة ، ولا تصحّ الصلاة في أجزائه ، مع قطع النظر عن الروايات الواردة في الصلاة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منها أنّ هذا الحكم إنّما هو للاتّكال على الاستصحاب ، فيكشف منها جريان استصحاب عدم التذكية ، كما جعلها بعضهم شاهدة على جريانه</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وإمّا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إلغاء الخصوصية عرفاً بين عدم جواز الأكل وسائر أ حكام غير المذكّى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التعليل في الروايتين ، دليل على أنّ تمام العلّة للحكم بعدم جواز الأكل ، هو الجهل بالتذكية ، ومعه يكون محكوماً بعدمها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النهي عن الأكل ليس إلاّ للشكّ في عدم التذكية ، فما</w:t>
      </w:r>
    </w:p>
    <w:p>
      <w:pPr>
        <w:pStyle w:val="BookText"/>
        <w:rPr/>
      </w:pPr>
      <w:r>
        <w:rPr>
          <w:rFonts w:ascii="Amiri" w:hAnsi="Amiri" w:eastAsia="Amiri" w:cs="Amiri"/>
          <w:color w:val="111111"/>
          <w:sz w:val="28"/>
          <w:sz w:val="28"/>
          <w:szCs w:val="28"/>
          <w:rtl w:val="true"/>
          <w:lang w:bidi="ar-SA"/>
        </w:rPr>
        <w:t>شكّ في تذكيته محكوم بعدمها ، والحكم بالحرمة متفرّع على ذلك ، سيّما مع ما يأتي من الروايات الدالّة على لزوم إحراز التذكية الشرعية في صحّة الصلاة</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ضمّ تلك الروايات إلى هذه ، يستفاد منها استفادة قطعية بأنّ المشكوك فيه في حكم غير المذكّى مطلقاً ، وأنّ الحكم بعدم جواز الصلاة فيه وعدم </w:t>
      </w:r>
    </w:p>
    <w:p>
      <w:pPr>
        <w:pStyle w:val="BookText"/>
        <w:rPr/>
      </w:pPr>
      <w:r>
        <w:rPr>
          <w:rFonts w:ascii="Amiri" w:hAnsi="Amiri" w:eastAsia="Amiri" w:cs="Amiri"/>
          <w:color w:val="111111"/>
          <w:sz w:val="28"/>
          <w:sz w:val="28"/>
          <w:szCs w:val="28"/>
          <w:rtl w:val="true"/>
          <w:lang w:bidi="ar-SA"/>
        </w:rPr>
        <w:t xml:space="preserve">جواز الأكل منه ، متفرّعان على ترجيح احتمال عدم التذكية على الاحتمال المقابل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وللإشكال في جميع الدعاوى مجال واسع ؛ فإنّ الاتّكال على الاستصحاب لم يظهر في شيء منها ، بل الظاهر منها أنّ مجرّد عدم الدراية موضوع للحكم بالحرمة ، لا إحراز عدم التذكية بالأصل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لازمه حجّية الاستصحاب في المثبتات بعد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الأصل المذكور مثبت ، وهذا وإن لم يكن محذوراً لو دلّ الدليل عليه ، لكنّ التزامهم به مشكل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الشأن في قيام الدليل عليه ، وهو</w:t>
      </w:r>
    </w:p>
    <w:p>
      <w:pPr>
        <w:pStyle w:val="BookText"/>
        <w:rPr/>
      </w:pPr>
      <w:r>
        <w:rPr>
          <w:rFonts w:ascii="IRNazanin" w:hAnsi="IRNazanin" w:eastAsia="IRNazanin"/>
          <w:color w:val="111111"/>
          <w:sz w:val="28"/>
          <w:sz w:val="28"/>
          <w:szCs w:val="28"/>
          <w:rtl w:val="true"/>
          <w:lang w:bidi="fa-IR"/>
        </w:rPr>
        <w:t xml:space="preserve">ممنوع مخالف للظواهر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ودعوى إلغاء الخصوصية عرفاً ممنوعة ، مع الاحتمال القريب في أنّ لأكل الميتة خصوصية لا يرضى الشارع بارتكابه بمجرّد الشكّ وأصل الحلّ ، بل لا بدّ فيه من إحراز التذكية والحلّية بأمارة معتبرة ، فدعوى إلغاء الخصوصية من حرمة الأكل ومن عدم صحّة الصلاة ، والحكم بترتّب سائر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كالنجاسة وحرمة سائر الانتفاعات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وجيهة </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وأضعف منها دعوى الاستفادة من التعليل ؛ فإنّه وإن يعمّ ، لكن لا لموضوع أجنبيّ أو حكم كذلك ، فأيّ تناسب بين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تأكله ؛ فإنّك لا تدري التردّي قتله أو الذبح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نجاسة الحيوان المذبوح ، أو عدم جواز الصلاة في أجزائه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والنهي عن الأكل وإن كان للشكّ في تذكيته ، لكن لا ينتج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كلّ ما شكّ في تذكيته محكوم بعدمها في جميع الأحكام ، وحكم حرمة الأكل متفرّع على التعبّد بعدمها مطلقاً ؛ إذ لا شاهد عليها ، وإنّما هي مجرّد دعوى بلا بيّنة ، </w:t>
      </w:r>
    </w:p>
    <w:p>
      <w:pPr>
        <w:pStyle w:val="BookText"/>
        <w:rPr/>
      </w:pPr>
      <w:r>
        <w:rPr>
          <w:rFonts w:ascii="Amiri" w:hAnsi="Amiri" w:eastAsia="Amiri" w:cs="Amiri"/>
          <w:color w:val="111111"/>
          <w:sz w:val="28"/>
          <w:sz w:val="28"/>
          <w:szCs w:val="28"/>
          <w:rtl w:val="true"/>
          <w:lang w:bidi="ar-SA"/>
        </w:rPr>
        <w:t xml:space="preserve">كدعوى ترجيح جانب احتمال عدم التذكية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المشكوك فيه ليس غير المذكّى واقعاً ، فلا بدّ من قيام دليل على التعبّد بعدم التذكية مطلقاً ، ولم يظهر من تلك الروايات ولا الروايات الآتية إشعار بأنّ المشكوك فيه محكوم بعدمها ، فضلاً عن الدلالة ، فضلاً عن عموم التنزيل والتعبّد ، والتفكيك في الأحكام تعبّداً بين المتلازمات غير عزيز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دعوى حصول الظنّ من جميع ما ذكر بعدم التفكيك وجيهة ، لكنّه لا يغني من الحقّ شيئاً </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فمقتضى قصور الأخبار عن إثبات عدم التذكية مطلقاً تعبّداً ، البناء على الطهارة وجواز لبسها وسائر الانتفاعات بها إلاّ الأكل </w:t>
      </w:r>
      <w:r>
        <w:rPr>
          <w:rFonts w:eastAsia="Amiri" w:cs="Amiri" w:ascii="Amiri" w:hAnsi="Amiri"/>
          <w:color w:val="111111"/>
          <w:sz w:val="28"/>
          <w:szCs w:val="28"/>
          <w:rtl w:val="true"/>
          <w:lang w:bidi="ar-SA"/>
        </w:rPr>
        <w:t xml:space="preserve">. </w:t>
      </w:r>
      <w:bookmarkStart w:id="305" w:name="pg15030_143213"/>
    </w:p>
    <w:p>
      <w:pPr>
        <w:pStyle w:val="Heading6"/>
        <w:numPr>
          <w:ilvl w:val="5"/>
          <w:numId w:val="1"/>
        </w:numPr>
        <w:rPr/>
      </w:pPr>
      <w:bookmarkStart w:id="306" w:name="__RefHeading___Toc212836_2142443653"/>
      <w:bookmarkStart w:id="307" w:name="_Toc110"/>
      <w:bookmarkEnd w:id="305"/>
      <w:bookmarkEnd w:id="306"/>
      <w:r>
        <w:rPr>
          <w:rtl w:val="true"/>
        </w:rPr>
        <w:t>حكم الصلاة في مشكوك التذكية</w:t>
      </w:r>
      <w:bookmarkEnd w:id="307"/>
    </w:p>
    <w:p>
      <w:pPr>
        <w:pStyle w:val="BookText"/>
        <w:rPr/>
      </w:pPr>
      <w:r>
        <w:rPr>
          <w:rFonts w:ascii="Amiri" w:hAnsi="Amiri" w:eastAsia="Amiri" w:cs="Amiri"/>
          <w:color w:val="111111"/>
          <w:sz w:val="28"/>
          <w:sz w:val="28"/>
          <w:szCs w:val="28"/>
          <w:rtl w:val="true"/>
          <w:lang w:bidi="ar-SA"/>
        </w:rPr>
        <w:t xml:space="preserve">وأمّا جواز الصلاة في أجزائها ، فمع عدم جريان أصالة عدم التذكية والبناء على البراءة في الأقلّ والأكثر ، هو ذلك مع قطع النظر عن الأخبار ، فلا بدّ من التماس دليل على المنع ، وفي كلّ مورد قصرت الأدلّة عن إثبات المنع يحكم بالجواز على طبق القواعد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الأخبار الواردة في المقام</w:t>
      </w:r>
    </w:p>
    <w:p>
      <w:pPr>
        <w:pStyle w:val="BookText"/>
        <w:rPr/>
      </w:pPr>
      <w:r>
        <w:rPr>
          <w:rFonts w:ascii="Amiri" w:hAnsi="Amiri" w:eastAsia="Amiri" w:cs="Amiri"/>
          <w:color w:val="111111"/>
          <w:sz w:val="28"/>
          <w:sz w:val="28"/>
          <w:szCs w:val="28"/>
          <w:rtl w:val="true"/>
          <w:lang w:bidi="ar-SA"/>
        </w:rPr>
        <w:t xml:space="preserve">ثمّ إنّ الأخبار في المقام على طوائف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تدلّ على عدم جواز الصلاة فيها إلاّ بعد العلم بالتذكية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كموثّقة ابن بكير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زرارة أبا عبداللّه علیه السلام عن الصلاة في الثعالب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كان ممّا يؤكل لحمه ، فالصلاة في وبره وبوله وشعره وروثه وألبانه وكلّ شيء منه جائز ؛ إذا علمت أ نّه ذكيّ وقد ذكّاه الذبح</w:t>
      </w:r>
      <w:r>
        <w:rPr>
          <w:rFonts w:eastAsia="IRNazanin" w:cs="IRNazanin"/>
          <w:color w:val="111111"/>
          <w:sz w:val="28"/>
          <w:szCs w:val="28"/>
          <w:rtl w:val="true"/>
          <w:lang w:bidi="fa-IR"/>
        </w:rPr>
        <w:t>»</w:t>
      </w:r>
      <w:r>
        <w:rPr>
          <w:rStyle w:val="FootnoteAnchor"/>
          <w:rtl w:val="true"/>
        </w:rPr>
        <w:footnoteReference w:id="772"/>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تدلّ على الجواز مطلقاً حتّى يعلم أ نّها ميتة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كصحيحة جعفر بن محمّد بن يونس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أباه كتب إلى أبي الحسن علیه السلام يسأله</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الفرو والخفّ ، ألبسه واُصلّي فيه ولا أعلم أ نّه ذكيّ ،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وموثّقة سَماعة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 سأل أبا عبداللّه علیه السلام عن تقليد السيف في الصلاة وفيه الفراء والكيمخت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ما لم تعلم أ نّه ميتة</w:t>
      </w:r>
      <w:r>
        <w:rPr>
          <w:rFonts w:eastAsia="IRNazanin" w:cs="IRNazanin"/>
          <w:color w:val="111111"/>
          <w:sz w:val="28"/>
          <w:szCs w:val="28"/>
          <w:rtl w:val="true"/>
          <w:lang w:bidi="fa-IR"/>
        </w:rPr>
        <w:t>»</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ورواية علي بن أبي 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رجلاً سأل أبا عبداللّه علیه السلام وأنا عنده عن الرجل يتقلّد السيف ويصلّي فيه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فيه الكيمخت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الكيمخت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جلود دوابّ ، منه ما يكون ذكيّاً ، ومنه ما يكون ميتة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علمت أ نّه ميتة فلا تصلّ فيه</w:t>
      </w:r>
      <w:r>
        <w:rPr>
          <w:rFonts w:eastAsia="Amiri" w:cs="Amiri" w:ascii="Amiri" w:hAnsi="Amiri"/>
          <w:color w:val="111111"/>
          <w:sz w:val="28"/>
          <w:szCs w:val="28"/>
          <w:rtl w:val="true"/>
          <w:lang w:bidi="ar-SA"/>
        </w:rPr>
        <w:t>»</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دلّت على جوازها في موارد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كمورد السؤال عن الاشتراء من السوق ، وهي صحيحة الحلبي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 السلام عن الخفاف التي تباع في السوق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 وصلّ فيها حتّى تعلم أ نّه ميتة بعينه</w:t>
      </w:r>
      <w:r>
        <w:rPr>
          <w:rFonts w:eastAsia="IRNazanin" w:cs="IRNazanin"/>
          <w:color w:val="111111"/>
          <w:sz w:val="28"/>
          <w:szCs w:val="28"/>
          <w:rtl w:val="true"/>
          <w:lang w:bidi="fa-IR"/>
        </w:rPr>
        <w:t>»</w:t>
      </w:r>
      <w:r>
        <w:rPr>
          <w:rStyle w:val="FootnoteAnchor"/>
          <w:rtl w:val="true"/>
        </w:rPr>
        <w:footnoteReference w:id="776"/>
      </w:r>
      <w:r>
        <w:rPr>
          <w:rFonts w:ascii="Amiri" w:hAnsi="Amiri" w:eastAsia="Amiri" w:cs="Amiri"/>
          <w:color w:val="111111"/>
          <w:sz w:val="28"/>
          <w:sz w:val="28"/>
          <w:szCs w:val="28"/>
          <w:rtl w:val="true"/>
          <w:lang w:bidi="ar-SA"/>
        </w:rPr>
        <w:t>وقريب منها صحيحته الاُخرى</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البَزَنْطي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يأتي السوق فيشتري جبّة فراء ، لا يدري أ ذكيّة هي أم غير ذكيّة ، أيصلّي فيها ؟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 ليس عليكم المسألة ؛ إنّ أبا جعفر علیه السلام 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الخوارج ضيّقوا على أنفسهم بجهالتهم ، إنّ الدين أوسع من ذلك</w:t>
      </w:r>
      <w:r>
        <w:rPr>
          <w:rFonts w:eastAsia="IRNazanin" w:cs="IRNazanin"/>
          <w:color w:val="111111"/>
          <w:sz w:val="28"/>
          <w:szCs w:val="28"/>
          <w:rtl w:val="true"/>
          <w:lang w:bidi="fa-IR"/>
        </w:rPr>
        <w:t>»</w:t>
      </w:r>
      <w:r>
        <w:rPr>
          <w:rStyle w:val="FootnoteAnchor"/>
          <w:rtl w:val="true"/>
        </w:rPr>
        <w:footnoteReference w:id="778"/>
      </w:r>
      <w:r>
        <w:rPr>
          <w:rFonts w:ascii="IRNazanin" w:hAnsi="IRNazanin" w:eastAsia="IRNazanin"/>
          <w:color w:val="111111"/>
          <w:sz w:val="28"/>
          <w:sz w:val="28"/>
          <w:szCs w:val="28"/>
          <w:rtl w:val="true"/>
          <w:lang w:bidi="fa-IR"/>
        </w:rPr>
        <w:t xml:space="preserve">وقريب منها صحيحته الاُخرى عن الرضا علیه السلام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ورواية الحسن بن الجهم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أعترض السوق فأشتري خفّاً لا أدري أ ذكيّ أم لا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فيه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فالنعل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ذلك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أضيق من هذا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أترغب عمّا كان أبو الحسن علیه السلام يفعله ؟ </w:t>
      </w:r>
      <w:r>
        <w:rPr>
          <w:rFonts w:eastAsia="IRNazanin" w:cs="IRNazanin"/>
          <w:color w:val="111111"/>
          <w:sz w:val="28"/>
          <w:szCs w:val="28"/>
          <w:rtl w:val="true"/>
          <w:lang w:bidi="fa-IR"/>
        </w:rPr>
        <w:t>!»</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ومثل مورد الضمان ، وهي رواية محمّد بن الحسين الأشعري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بعض أصحابنا إلى أبي جعفر الثاني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في الفرو يشترى من السوق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مضموناً فلا بأس</w:t>
      </w:r>
      <w:r>
        <w:rPr>
          <w:rFonts w:eastAsia="IRNazanin" w:cs="IRNazanin"/>
          <w:color w:val="111111"/>
          <w:sz w:val="28"/>
          <w:szCs w:val="28"/>
          <w:rtl w:val="true"/>
          <w:lang w:bidi="fa-IR"/>
        </w:rPr>
        <w:t>»</w:t>
      </w:r>
      <w:r>
        <w:rPr>
          <w:rStyle w:val="FootnoteAnchor"/>
          <w:rtl w:val="true"/>
        </w:rPr>
        <w:footnoteReference w:id="781"/>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ومورد المصنوع في أرض الإسلام ، وهي موثّقة إسحاق بن عمّار ، عن</w:t>
      </w:r>
    </w:p>
    <w:p>
      <w:pPr>
        <w:pStyle w:val="BookText"/>
        <w:rPr/>
      </w:pPr>
      <w:r>
        <w:rPr>
          <w:rFonts w:ascii="IRNazanin" w:hAnsi="IRNazanin" w:eastAsia="IRNazanin"/>
          <w:color w:val="111111"/>
          <w:sz w:val="28"/>
          <w:sz w:val="28"/>
          <w:szCs w:val="28"/>
          <w:rtl w:val="true"/>
          <w:lang w:bidi="fa-IR"/>
        </w:rPr>
        <w:t xml:space="preserve">العبد الصالح علیه السلام أ 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بالصلاة في الفراء اليماني ، وفيما صنع</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أرض الإسلام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فيها غير أهل الإسلام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w:t>
      </w:r>
    </w:p>
    <w:p>
      <w:pPr>
        <w:pStyle w:val="BookText"/>
        <w:rPr/>
      </w:pPr>
      <w:r>
        <w:rPr>
          <w:rFonts w:ascii="Amiri" w:hAnsi="Amiri" w:eastAsia="Amiri" w:cs="Amiri"/>
          <w:color w:val="111111"/>
          <w:sz w:val="28"/>
          <w:sz w:val="28"/>
          <w:szCs w:val="28"/>
          <w:rtl w:val="true"/>
          <w:lang w:bidi="ar-SA"/>
        </w:rPr>
        <w:t>الغالب عليها المسلمين فلا بأس</w:t>
      </w:r>
      <w:r>
        <w:rPr>
          <w:rFonts w:eastAsia="Amiri" w:cs="Amiri" w:ascii="Amiri" w:hAnsi="Amiri"/>
          <w:color w:val="111111"/>
          <w:sz w:val="28"/>
          <w:szCs w:val="28"/>
          <w:rtl w:val="true"/>
          <w:lang w:bidi="ar-SA"/>
        </w:rPr>
        <w:t>»</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ومورد صلاتهم فيها ، كرواية إسماعيل بن عيسى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جلود الفراء يشتريها الرجل في سوق من أسواق الجيل ، أيسأل عن ذكاته إذا كان البائع مسلماً غير عارف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أنتم أن تسألوا عنه إذا رأيتم المشركين يبيعون ذلك ، وإذا رأيتم يصلّون فيه فلا تسألوا عنه</w:t>
      </w:r>
      <w:r>
        <w:rPr>
          <w:rFonts w:eastAsia="Amiri" w:cs="Amiri" w:ascii="Amiri" w:hAnsi="Amiri"/>
          <w:color w:val="111111"/>
          <w:sz w:val="28"/>
          <w:szCs w:val="28"/>
          <w:rtl w:val="true"/>
          <w:lang w:bidi="ar-SA"/>
        </w:rPr>
        <w:t>»</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فصّلت بين النعل والخفاف في المشترى في أرض غير المسلمين وغيرهما ، كموثّقة إسماعيل بن الفضل الهاشمي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 السلام عن لباس الجلود والخفاف والنعال والصلاة فيها إذا لم تكن من أرض المسلمين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المصلّين 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النعل والخفاف فلا بأس بهما</w:t>
      </w:r>
      <w:r>
        <w:rPr>
          <w:rFonts w:eastAsia="IRNazanin" w:cs="IRNazanin"/>
          <w:color w:val="111111"/>
          <w:sz w:val="28"/>
          <w:szCs w:val="28"/>
          <w:rtl w:val="true"/>
          <w:lang w:bidi="fa-IR"/>
        </w:rPr>
        <w:t>»</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يظهر منها التفصيل بين ما صنع في أرض يستحلّ أهلها الميتة بدباغتها وغيرها ، كرواية أبي بصير قال </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سألت أبا عبداللّه علیه السلام عن الصلاة في الفراء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علي بن الحسين علیه السلام رجلاً صَرِداً لا يدفئه فراء الحجاز ؛ لأنّ دباغها بالقَرَظ ، فكان يبعث إلى العراق فيؤتى ممّا قِبلكم بالفرو فيلبسه ، فإذا حضرت الصلاة ألقاه </w:t>
      </w:r>
      <w:bookmarkStart w:id="308" w:name="pg15030_143217"/>
    </w:p>
    <w:p>
      <w:pPr>
        <w:pStyle w:val="BookText"/>
        <w:rPr/>
      </w:pPr>
      <w:bookmarkEnd w:id="308"/>
      <w:r>
        <w:rPr>
          <w:rFonts w:ascii="Amiri" w:hAnsi="Amiri" w:eastAsia="Amiri" w:cs="Amiri"/>
          <w:color w:val="111111"/>
          <w:sz w:val="28"/>
          <w:sz w:val="28"/>
          <w:szCs w:val="28"/>
          <w:rtl w:val="true"/>
          <w:lang w:bidi="ar-SA"/>
        </w:rPr>
        <w:t xml:space="preserve">وألقى القميص الذي يليه ، فكان يسأل عن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العراق يستحلّون لباس جلود الميّت ، ويزعمون أنّ دباغه ذكاته</w:t>
      </w:r>
      <w:r>
        <w:rPr>
          <w:rFonts w:eastAsia="Amiri" w:cs="Amiri" w:ascii="Amiri" w:hAnsi="Amiri"/>
          <w:color w:val="111111"/>
          <w:sz w:val="28"/>
          <w:szCs w:val="28"/>
          <w:rtl w:val="true"/>
          <w:lang w:bidi="ar-SA"/>
        </w:rPr>
        <w:t>»</w:t>
      </w:r>
      <w:r>
        <w:rPr>
          <w:rStyle w:val="FootnoteAnchor"/>
          <w:rtl w:val="true"/>
        </w:rPr>
        <w:footnoteReference w:id="785"/>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وصحيحة الحلبي ، عن أبي عبداللّه علیه 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تكره الصلاة في الفراء إلاّ ما صنع في أرض الحجاز ، أو ما علمت منه ذكاة</w:t>
      </w:r>
      <w:r>
        <w:rPr>
          <w:rFonts w:eastAsia="IRNazanin" w:cs="IRNazanin"/>
          <w:color w:val="111111"/>
          <w:sz w:val="28"/>
          <w:szCs w:val="28"/>
          <w:rtl w:val="true"/>
          <w:lang w:bidi="fa-IR"/>
        </w:rPr>
        <w:t>»</w:t>
      </w:r>
      <w:r>
        <w:rPr>
          <w:rStyle w:val="FootnoteAnchor"/>
          <w:rtl w:val="true"/>
        </w:rPr>
        <w:footnoteReference w:id="786"/>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09" w:name="__RefHeading___Toc212838_2142443653"/>
      <w:bookmarkStart w:id="310" w:name="_Toc111"/>
      <w:bookmarkEnd w:id="309"/>
      <w:r>
        <w:rPr>
          <w:rtl w:val="true"/>
        </w:rPr>
        <w:t>وجوه الجمع بين الطوائف السابقة من الأخبار</w:t>
      </w:r>
      <w:bookmarkEnd w:id="310"/>
    </w:p>
    <w:p>
      <w:pPr>
        <w:pStyle w:val="BookText"/>
        <w:rPr/>
      </w:pPr>
      <w:r>
        <w:rPr>
          <w:rFonts w:ascii="Amiri" w:hAnsi="Amiri" w:eastAsia="Amiri" w:cs="Amiri"/>
          <w:color w:val="111111"/>
          <w:sz w:val="28"/>
          <w:sz w:val="28"/>
          <w:szCs w:val="28"/>
          <w:rtl w:val="true"/>
          <w:lang w:bidi="ar-SA"/>
        </w:rPr>
        <w:t xml:space="preserve">وقد جمعوا بين الروايات بحمل المطلقات من الطرفين على الموارد الخاصّة ، فصارت 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الصلاة فيها إلاّ إذا علم تذكيته ، أو قامت أمارة عليها ،</w:t>
      </w:r>
    </w:p>
    <w:p>
      <w:pPr>
        <w:pStyle w:val="BookText"/>
        <w:rPr/>
      </w:pPr>
      <w:r>
        <w:rPr>
          <w:rFonts w:ascii="Amiri" w:hAnsi="Amiri" w:eastAsia="Amiri" w:cs="Amiri"/>
          <w:color w:val="111111"/>
          <w:sz w:val="28"/>
          <w:sz w:val="28"/>
          <w:szCs w:val="28"/>
          <w:rtl w:val="true"/>
          <w:lang w:bidi="ar-SA"/>
        </w:rPr>
        <w:t>كسوق المسلمين ، أو الصنع في أرضهم ، أو يد المسلم مطلقاً أو مع معاملته معه معاملة المذكّى أو إخباره بالتذكية</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الجمع لا يخلو من إشكال </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في مثل الطائفة الاُولى من الطائفة الثالثة التي لم يرد القيد في كلام المعصوم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كصحيحتي الحلبي وما بعدهما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فهم القيدية فيهما مشكل ؛ فإنّ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الرجل يأتي السوق فيشتري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أعترض السوق فأشتري خفّاً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وكذا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 السلام عن الخفاف التي تباع في السوق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إنّما يجري مجرى العادة ، كقوله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 السوق واشترِ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وليست العناية بالاشتراء منه بخصوصه والسؤال عن حاله حتّى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بصدد بيان أمارية السوق للتذكية ، بل الظاهر من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فيها حتّى تعلم أ نّه ميتة بعينه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الموضوع لجواز الصلاة عدم العلم ، لا الأمارة على التذكية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فهل ترى من نفسك فيما إذا قال أبو عبداللّه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شيء نظيف حتّى تعلم أ نّه قذر</w:t>
      </w:r>
      <w:r>
        <w:rPr>
          <w:rFonts w:eastAsia="IRNazanin" w:cs="IRNazanin"/>
          <w:color w:val="111111"/>
          <w:sz w:val="28"/>
          <w:szCs w:val="28"/>
          <w:rtl w:val="true"/>
          <w:lang w:bidi="fa-IR"/>
        </w:rPr>
        <w:t>»</w:t>
      </w:r>
      <w:r>
        <w:rPr>
          <w:rStyle w:val="FootnoteAnchor"/>
          <w:rtl w:val="true"/>
        </w:rPr>
        <w:footnoteReference w:id="788"/>
      </w:r>
      <w:r>
        <w:rPr>
          <w:rFonts w:ascii="Amiri" w:hAnsi="Amiri" w:eastAsia="Amiri" w:cs="Amiri"/>
          <w:color w:val="111111"/>
          <w:sz w:val="28"/>
          <w:sz w:val="28"/>
          <w:szCs w:val="28"/>
          <w:rtl w:val="true"/>
          <w:lang w:bidi="ar-SA"/>
        </w:rPr>
        <w:t xml:space="preserve">ثمّ سئل عنه منفصلاً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أعترض السوق ، فأشرب من المياه التي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اشرب منها حتّى تعلم أ نّها قذرة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 الرواية الاُولى</w:t>
      </w:r>
    </w:p>
    <w:p>
      <w:pPr>
        <w:pStyle w:val="BookText"/>
        <w:rPr/>
      </w:pPr>
      <w:r>
        <w:rPr>
          <w:rFonts w:ascii="Amiri" w:hAnsi="Amiri" w:eastAsia="Amiri" w:cs="Amiri"/>
          <w:color w:val="111111"/>
          <w:sz w:val="28"/>
          <w:sz w:val="28"/>
          <w:szCs w:val="28"/>
          <w:rtl w:val="true"/>
          <w:lang w:bidi="ar-SA"/>
        </w:rPr>
        <w:t xml:space="preserve">بالثانية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الشرب إلاّ مع قيام 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سوق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الطهارة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فهل المقام إلاّ نظيره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قال علیه السلام في مورد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ما لم تعلم أ نّه ميتة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وسئل في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أعترض السوق ، فأشتري الخفّ واُصلّي فيه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حتّى تعلم أ نّه ميتة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الذهن الخالي عن شبهة جريان أصالة عدم التذكية وأ نّه لا بدّ من قيام أمارة يدفع بها الأصل ، ينقدح فيه غير ما ينقدح فيه من المثال المتقدّم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فكما لا يتوهّم منه أمارية السوق كذلك فيما نحن فيه ، سيّما مع ما تقدّم من عدم جريان أصالة عدم التذكية</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ولكن إلغاء الخصوصية وفهم الإطلاق أشكل </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المراد عدم صالحية تلك الروايات لتقي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 المطلقات ، لا التمسّك </w:t>
      </w:r>
    </w:p>
    <w:p>
      <w:pPr>
        <w:pStyle w:val="BookText"/>
        <w:rPr/>
      </w:pPr>
      <w:r>
        <w:rPr>
          <w:rFonts w:ascii="Amiri" w:hAnsi="Amiri" w:eastAsia="Amiri" w:cs="Amiri"/>
          <w:color w:val="111111"/>
          <w:sz w:val="28"/>
          <w:sz w:val="28"/>
          <w:szCs w:val="28"/>
          <w:rtl w:val="true"/>
          <w:lang w:bidi="ar-SA"/>
        </w:rPr>
        <w:t xml:space="preserve">بإطلاقها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الإنصاف أنّ عدّ تلك الروايات في عداد المطلقات ، أقرب إلى الفهم العرفي من عدّها في المقيّدات والبناء على أمارية سوق المسلمين ، سيّما 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إحراز عدم التذكية يحتاج إلى أمارة ، لا جواز الصلاة ونحوه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سائر الروايات ما عدا موثّقة ابن بكير وموثّقة الهاشمي ، فالجمع بينها بالحمل على مراتب الفضل في التنزّه عن المشكوك فيه ، أقرب من تقييد المطلقات أو حملها على مورد قيام الأمارة ؛ فإنّ الظاهر من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فيها حتّى تعلم أ نّه ميتة بعينه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هو نظيره ؛ أنّ تمام الموضوع لجواز الصلاة هو عدم العلم بكونه ميتة ، وعدم اعتبار قيام الأمارة على التذكية في الجواز ، وإرجاع مثله إلى مورد قيام الأمارة بعيد عن الأذهان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ودعوى الانصراف إلى ما يشترى من سوق المسلمين</w:t>
      </w:r>
      <w:r>
        <w:rPr>
          <w:rStyle w:val="FootnoteAnchor"/>
          <w:rtl w:val="true"/>
        </w:rPr>
        <w:footnoteReference w:id="790"/>
      </w:r>
      <w:r>
        <w:rPr>
          <w:rFonts w:ascii="Amiri" w:hAnsi="Amiri" w:eastAsia="Amiri" w:cs="Amiri"/>
          <w:color w:val="111111"/>
          <w:sz w:val="28"/>
          <w:sz w:val="28"/>
          <w:szCs w:val="28"/>
          <w:rtl w:val="true"/>
          <w:lang w:bidi="ar-SA"/>
        </w:rPr>
        <w:t xml:space="preserve">وإن لم تكن بعيدة ذلك البعد ، لكن حملها على مراتب الفضل في التنزّه أو مراتب الكراهة في الارتكاب لعلّه أقرب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شكّ في تذكيته تصحّ الصلاة فيه إلى أن يعلم كونه ميتة ، أو قامت أمارة عليه ، لكن يكره ارتكابه ، وترتفع كراهته بمراتبها إذا علم وجداناً تذكيته ، أو صنع في مثل أرض الحجاز ، كما هو ظاهر صحيحة الحلبي الأخيرة </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وعليه يحمل فعل زين العابدين علي بن الحسين علیه السلام وتنزّهه عمّا صنع في أرض العراق ، وفعل أبي جعفر علیه السلام على ما في رواية عبداللّه بن 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علیه السلام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اُهديت لأبي جبّة فرو من العراق ، وكان إذا أراد </w:t>
      </w:r>
    </w:p>
    <w:p>
      <w:pPr>
        <w:pStyle w:val="BookText"/>
        <w:rPr/>
      </w:pPr>
      <w:r>
        <w:rPr>
          <w:rFonts w:ascii="Amiri" w:hAnsi="Amiri" w:eastAsia="Amiri" w:cs="Amiri"/>
          <w:color w:val="111111"/>
          <w:sz w:val="28"/>
          <w:sz w:val="28"/>
          <w:szCs w:val="28"/>
          <w:rtl w:val="true"/>
          <w:lang w:bidi="ar-SA"/>
        </w:rPr>
        <w:t>أن يصلّي نزعها فطرحها</w:t>
      </w:r>
      <w:r>
        <w:rPr>
          <w:rFonts w:eastAsia="Amiri" w:cs="Amiri" w:ascii="Amiri" w:hAnsi="Amiri"/>
          <w:color w:val="111111"/>
          <w:sz w:val="28"/>
          <w:szCs w:val="28"/>
          <w:rtl w:val="true"/>
          <w:lang w:bidi="ar-SA"/>
        </w:rPr>
        <w:t>»</w:t>
      </w:r>
      <w:r>
        <w:rPr>
          <w:rStyle w:val="FootnoteAnchor"/>
          <w:rtl w:val="true"/>
        </w:rPr>
        <w:footnoteReference w:id="7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اشتراءه وقبول هديّته ولبسه وعدم التنزّه عنه إلاّ في الصلاة ، دليل على أ نّه على سبيل الفضل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ترتفع ببعض مراتبها أو جميعها إذا اشترى من سوق المسلمين من مسلم ضمن تذكيته ، وهو ظاهر رواية الأشعري</w:t>
      </w:r>
      <w:r>
        <w:rPr>
          <w:rStyle w:val="FootnoteAnchor"/>
          <w:rtl w:val="true"/>
        </w:rPr>
        <w:footnoteReference w:id="792"/>
      </w:r>
      <w:r>
        <w:rPr>
          <w:rFonts w:ascii="IRNazanin" w:hAnsi="IRNazanin" w:eastAsia="IRNazanin"/>
          <w:color w:val="111111"/>
          <w:sz w:val="28"/>
          <w:sz w:val="28"/>
          <w:szCs w:val="28"/>
          <w:rtl w:val="true"/>
          <w:lang w:bidi="fa-IR"/>
        </w:rPr>
        <w:t xml:space="preserve">،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الاشتراء من 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منصرف إلى الاشتراء من سوق المسلمين ، والظاهر من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مضموناً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الضامن البائع المسلم لا الكافر فإنّه في غاية البعد ، فمع قيام أمارة أو أمارتين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سوق المسلم ، وبيعه على التذكية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يكون اعتبار الضمان إلاّ على الفضل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وترتفع ببعض مراتبها فيما إذا صنع في أرض الإسلام ، أو أرض كان الغالب عليها المسلمين ، أو صلّى فيه المسلم ، أو كان في سوق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والحمل المذكور قريب جدّاً ، لكنّ المانع منه موثّقة ابن بكير المتقدّمة</w:t>
      </w:r>
      <w:r>
        <w:rPr>
          <w:rStyle w:val="FootnoteAnchor"/>
          <w:rtl w:val="true"/>
        </w:rPr>
        <w:footnoteReference w:id="793"/>
      </w:r>
      <w:r>
        <w:rPr>
          <w:rFonts w:ascii="Amiri" w:hAnsi="Amiri" w:eastAsia="Amiri" w:cs="Amiri"/>
          <w:color w:val="111111"/>
          <w:sz w:val="28"/>
          <w:sz w:val="28"/>
          <w:szCs w:val="28"/>
          <w:rtl w:val="true"/>
          <w:lang w:bidi="ar-SA"/>
        </w:rPr>
        <w:t xml:space="preserve">، حيث إنّ ظاهرها أنّ الصلاة في الجلود مع عدم العلم بتذكيتها فاسدة ، وأنّ الجواز موقوف على العلم بالتذكية ، وحملها على الجواز بلا كراهية مع العلم بها ، بعيد غايته ، سيّما مع التصريح بالفساد في صدرها وذيلها ، الموجب لقوّة ظهور كون الجواز مقابل الفساد </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فالأقرب بالنظر إلى الموثّقة ، حمل الروايات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ترك فيها الاستفصال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كون الكيمخت وغيره كان في أرض المسلمين وسوقهم </w:t>
      </w:r>
      <w:bookmarkStart w:id="311" w:name="pg15030_143221"/>
    </w:p>
    <w:p>
      <w:pPr>
        <w:pStyle w:val="BookText"/>
        <w:rPr/>
      </w:pPr>
      <w:bookmarkEnd w:id="311"/>
      <w:r>
        <w:rPr>
          <w:rFonts w:ascii="Amiri" w:hAnsi="Amiri" w:eastAsia="Amiri" w:cs="Amiri"/>
          <w:color w:val="111111"/>
          <w:sz w:val="28"/>
          <w:sz w:val="28"/>
          <w:szCs w:val="28"/>
          <w:rtl w:val="true"/>
          <w:lang w:bidi="ar-SA"/>
        </w:rPr>
        <w:t xml:space="preserve">لا الكفّار ؛ فإنّ المظنون أنّ ما كان مورد السؤال ، الأشياءُ التي اشتريت من الأسواق ، وكانت هي من المسلمين ، أو كان الغالب على أهلها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الجمع الذي صنعه أهل التحقيق</w:t>
      </w:r>
      <w:r>
        <w:rPr>
          <w:rStyle w:val="FootnoteAnchor"/>
          <w:rtl w:val="true"/>
        </w:rPr>
        <w:footnoteReference w:id="794"/>
      </w:r>
      <w:r>
        <w:rPr>
          <w:rFonts w:ascii="Amiri" w:hAnsi="Amiri" w:eastAsia="Amiri" w:cs="Amiri"/>
          <w:color w:val="111111"/>
          <w:sz w:val="28"/>
          <w:sz w:val="28"/>
          <w:szCs w:val="28"/>
          <w:rtl w:val="true"/>
          <w:lang w:bidi="ar-SA"/>
        </w:rPr>
        <w:t xml:space="preserve">لا محيص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يبقى الكلام في موثّقة الهاشمي</w:t>
      </w:r>
      <w:r>
        <w:rPr>
          <w:rStyle w:val="FootnoteAnchor"/>
          <w:rtl w:val="true"/>
        </w:rPr>
        <w:footnoteReference w:id="795"/>
      </w:r>
      <w:r>
        <w:rPr>
          <w:rFonts w:ascii="Amiri" w:hAnsi="Amiri" w:eastAsia="Amiri" w:cs="Amiri"/>
          <w:color w:val="111111"/>
          <w:sz w:val="28"/>
          <w:sz w:val="28"/>
          <w:szCs w:val="28"/>
          <w:rtl w:val="true"/>
          <w:lang w:bidi="ar-SA"/>
        </w:rPr>
        <w:t xml:space="preserve">، ولا يبعد أن يكون التفصيل فيها بين ما تتمّ وما لا تتمّ في غير المذكّى ، لا في مشتبه التذكية ، كما فصّل بينهما في النجس ، ويشهد له أنّ الظاهر منها قيام الأمارة العقلائية على عدم التذكية ، فإنّ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غير أرض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يراد به أ نّه من أرض الكفّار ، والحمل على مشتبه الحال أو الأعمّ فاسد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فاتّضح أ نّها بصدد بيان مسألة غير ما نحن بصددها </w:t>
      </w:r>
      <w:r>
        <w:rPr>
          <w:rFonts w:eastAsia="Amiri" w:cs="Amiri" w:ascii="Amiri" w:hAnsi="Amiri"/>
          <w:color w:val="111111"/>
          <w:sz w:val="28"/>
          <w:szCs w:val="28"/>
          <w:rtl w:val="true"/>
          <w:lang w:bidi="ar-SA"/>
        </w:rPr>
        <w:t>.</w:t>
      </w:r>
    </w:p>
    <w:p>
      <w:pPr>
        <w:pStyle w:val="Heading6"/>
        <w:numPr>
          <w:ilvl w:val="5"/>
          <w:numId w:val="1"/>
        </w:numPr>
        <w:rPr/>
      </w:pPr>
      <w:bookmarkStart w:id="312" w:name="__RefHeading___Toc212840_2142443653"/>
      <w:bookmarkStart w:id="313" w:name="_Toc112"/>
      <w:bookmarkEnd w:id="312"/>
      <w:r>
        <w:rPr>
          <w:rtl w:val="true"/>
        </w:rPr>
        <w:t>أمارية سوق المسلمين على التذكية وإن كانوا مستحلّين لغير المذكّى</w:t>
      </w:r>
      <w:bookmarkEnd w:id="313"/>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منصرف إلى سوق المسلمين ، سيّما بالنظر إلى موثّقة إسحاق بن عمّار</w:t>
      </w:r>
      <w:r>
        <w:rPr>
          <w:rStyle w:val="FootnoteAnchor"/>
          <w:rtl w:val="true"/>
        </w:rPr>
        <w:footnoteReference w:id="796"/>
      </w:r>
      <w:r>
        <w:rPr>
          <w:rFonts w:ascii="Amiri" w:hAnsi="Amiri" w:eastAsia="Amiri" w:cs="Amiri"/>
          <w:color w:val="111111"/>
          <w:sz w:val="28"/>
          <w:sz w:val="28"/>
          <w:szCs w:val="28"/>
          <w:rtl w:val="true"/>
          <w:lang w:bidi="ar-SA"/>
        </w:rPr>
        <w:t xml:space="preserve">، وهو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سوق المستحلّين وغيرهم ؛ لما قدّمنا من ظهور رواية أبي بصير</w:t>
      </w:r>
      <w:r>
        <w:rPr>
          <w:rStyle w:val="FootnoteAnchor"/>
          <w:rtl w:val="true"/>
        </w:rPr>
        <w:footnoteReference w:id="797"/>
      </w:r>
      <w:r>
        <w:rPr>
          <w:rFonts w:ascii="IRNazanin" w:hAnsi="IRNazanin" w:eastAsia="IRNazanin"/>
          <w:color w:val="111111"/>
          <w:sz w:val="28"/>
          <w:sz w:val="28"/>
          <w:szCs w:val="28"/>
          <w:rtl w:val="true"/>
          <w:lang w:bidi="fa-IR"/>
        </w:rPr>
        <w:t>الحاكية عن فعل علي بن الحسين علیهما السلام في أنّ جلود الع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راق أيضاً محكومة بالتذكية ، وإلاّ لما اشتراها ، ولما لبسها ، ولما قبل </w:t>
      </w:r>
      <w:bookmarkStart w:id="314" w:name="pg15030_143222"/>
    </w:p>
    <w:p>
      <w:pPr>
        <w:pStyle w:val="BookText"/>
        <w:rPr/>
      </w:pPr>
      <w:bookmarkEnd w:id="314"/>
      <w:r>
        <w:rPr>
          <w:rFonts w:ascii="IRNazanin" w:hAnsi="IRNazanin" w:eastAsia="IRNazanin"/>
          <w:color w:val="111111"/>
          <w:sz w:val="28"/>
          <w:sz w:val="28"/>
          <w:szCs w:val="28"/>
          <w:rtl w:val="true"/>
          <w:lang w:bidi="fa-IR"/>
        </w:rPr>
        <w:t>أبو جعفر علیه السلام هديّتها ، وإنّما ألقاها لفضل التنزّه منها ، فهي ونحوها ظاهرة في عدم الفرق بين السوقين ، فتوهّم تقي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يد إطلاق الأدلّة بها فاسد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ويشهد للتعميم موثّقة إسحاق بن عمّار ، حيث نفي فيها البأس عن الفراء اليماني وفيما صنع في أرض الإسلام ، ومقتضى المقابلة بينهما جواز الصلاة فيما صنع في أرض غير المستحلّين كاليمن ، والمستحلّين ، وحملها على سائر المستحلّين بعيد ، لها إطلاق قويّ في قوّة التصريح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ويشهد له أيضاً كون السائلين فقهاء العراق ، كالحلبي وابن أبي نصر وإسحاق بن عمّار ، ومن البعيد جدّاً استثناء سوق العراق ، وعدم جواز الصلاة فيما يشترى من أرضه ، وعدم التنبّه للعراقيين مع ابتلائهم به ، ولعلّ سوق العراق القدر المتيقّن من الروايات </w:t>
      </w:r>
      <w:r>
        <w:rPr>
          <w:rFonts w:eastAsia="Amiri" w:cs="Amiri" w:ascii="Amiri" w:hAnsi="Amiri"/>
          <w:color w:val="111111"/>
          <w:sz w:val="28"/>
          <w:szCs w:val="28"/>
          <w:rtl w:val="true"/>
          <w:lang w:bidi="ar-SA"/>
        </w:rPr>
        <w:t>.</w:t>
      </w:r>
    </w:p>
    <w:p>
      <w:pPr>
        <w:pStyle w:val="Heading6"/>
        <w:numPr>
          <w:ilvl w:val="5"/>
          <w:numId w:val="1"/>
        </w:numPr>
        <w:rPr/>
      </w:pPr>
      <w:bookmarkStart w:id="315" w:name="__RefHeading___Toc212842_2142443653"/>
      <w:bookmarkStart w:id="316" w:name="_Toc113"/>
      <w:bookmarkEnd w:id="315"/>
      <w:r>
        <w:rPr>
          <w:rtl w:val="true"/>
        </w:rPr>
        <w:t>أمارية سوق المسلمين ومجتمعهم وإن كان البائع كافراً</w:t>
      </w:r>
      <w:bookmarkEnd w:id="316"/>
    </w:p>
    <w:p>
      <w:pPr>
        <w:pStyle w:val="BookText"/>
        <w:rPr/>
      </w:pPr>
      <w:r>
        <w:rPr>
          <w:rFonts w:ascii="Amiri" w:hAnsi="Amiri" w:eastAsia="Amiri" w:cs="Amiri"/>
          <w:color w:val="111111"/>
          <w:sz w:val="28"/>
          <w:sz w:val="28"/>
          <w:szCs w:val="28"/>
          <w:rtl w:val="true"/>
          <w:lang w:bidi="ar-SA"/>
        </w:rPr>
        <w:t>ثمّ إنّ مقتضى إطلاق الأدلّة ، اعتبار سوق المسلمين وأماريته للتذكية مطلقاً</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 الكافر بائعاً في سوقهم ، فضلاً عن مجهول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لموثّقة إسحاق بن عمّار قوّة إطلاق بالنسبة إلى الأخذ من 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فيها غير أهل الإسلام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الغالب عليها المسلمين فلا بأس</w:t>
      </w:r>
      <w:r>
        <w:rPr>
          <w:rFonts w:eastAsia="Amiri" w:cs="Amiri" w:ascii="Amiri" w:hAnsi="Amiri"/>
          <w:color w:val="111111"/>
          <w:sz w:val="28"/>
          <w:szCs w:val="28"/>
          <w:rtl w:val="true"/>
          <w:lang w:bidi="ar-SA"/>
        </w:rPr>
        <w:t>»</w:t>
      </w:r>
      <w:r>
        <w:rPr>
          <w:rStyle w:val="FootnoteAnchor"/>
          <w:rtl w:val="true"/>
        </w:rPr>
        <w:footnoteReference w:id="798"/>
      </w:r>
      <w:r>
        <w:rPr>
          <w:rFonts w:ascii="Amiri" w:hAnsi="Amiri" w:eastAsia="Amiri" w:cs="Amiri"/>
          <w:color w:val="111111"/>
          <w:sz w:val="28"/>
          <w:sz w:val="28"/>
          <w:szCs w:val="28"/>
          <w:rtl w:val="true"/>
          <w:lang w:bidi="ar-SA"/>
        </w:rPr>
        <w:t xml:space="preserve">لا يبعد أن يراد به الاشتراء من غير المسلم بعد كون يد المسلم أمارة بنفسها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منها أنّ غلبة المسلمين في بلد ، أمارة على أنّ المصنوع من صنعهم ، لا صنع الصنف الذي في الأقلّية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الإطلاق اعتبار سوق المسلمين وأرضهم ، فهما أمارة على وقوع التذكية الشرعية ، 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أمارة على إجراء يد المسلمين عليه ، وكون المصنوع منهم ولو كان بيد الكافر ، إلاّ أن يعلم عدم إجراء يد المسلم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الأمر كذلك لدى العقلاء أيضاً ؛ فإنّ السوق إذا كان للمسلمين ، ويكون متاعٌ متاعَ تجارتهم ، وكان فيهم بعض أهل ملّة اُخرى ، وكانت تحت يده من ذلك المتاع ، يكون احتمال كونه من غير بلد المسلمين واشترائه من غير أهل هذا السوق ، احتمالاً بعيداً لا يعتني به العقلاء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استشكل في هذا البناء أو حجّيته ، لكن لا إشكال في أنّ ذلك الارتكاز موجب لفهم العرف من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سوق المسلمين وغلبتهم صار سبباً لحكم الشارع بجواز الصلاة فيما يشترى منه ، أو ممّا صنع في أرضهم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يقال</w:t>
      </w:r>
      <w:r>
        <w:rPr>
          <w:rStyle w:val="FootnoteAnchor"/>
          <w:rtl w:val="true"/>
        </w:rPr>
        <w:footnoteReference w:id="7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رواية إسماعيل بن عيسى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w:t>
      </w:r>
    </w:p>
    <w:p>
      <w:pPr>
        <w:pStyle w:val="BookText"/>
        <w:rPr/>
      </w:pPr>
      <w:r>
        <w:rPr>
          <w:rFonts w:ascii="Amiri" w:hAnsi="Amiri" w:eastAsia="Amiri" w:cs="Amiri"/>
          <w:color w:val="111111"/>
          <w:sz w:val="28"/>
          <w:sz w:val="28"/>
          <w:szCs w:val="28"/>
          <w:rtl w:val="true"/>
          <w:lang w:bidi="ar-SA"/>
        </w:rPr>
        <w:t>عن جلود الفراء يشتريها الرجل في سوق من أسواق الجيل ، أيسأل عن ذكاته إذا كان البائع مسلماً غير عارف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أنتم أن تسألوا عنه إذا رأيتم المشركين يبيعون ذلك ، وإذا رأيتم يصلّون فيه فلا تسألوا عنه</w:t>
      </w:r>
      <w:r>
        <w:rPr>
          <w:rFonts w:eastAsia="Amiri" w:cs="Amiri" w:ascii="Amiri" w:hAnsi="Amiri"/>
          <w:color w:val="111111"/>
          <w:sz w:val="28"/>
          <w:szCs w:val="28"/>
          <w:rtl w:val="true"/>
          <w:lang w:bidi="ar-SA"/>
        </w:rPr>
        <w:t>»</w:t>
      </w:r>
      <w:r>
        <w:rPr>
          <w:rStyle w:val="FootnoteAnchor"/>
          <w:rtl w:val="true"/>
        </w:rPr>
        <w:footnoteReference w:id="800"/>
      </w:r>
      <w:r>
        <w:rPr>
          <w:rFonts w:ascii="Amiri" w:hAnsi="Amiri" w:eastAsia="Amiri" w:cs="Amiri"/>
          <w:color w:val="111111"/>
          <w:sz w:val="28"/>
          <w:sz w:val="28"/>
          <w:szCs w:val="28"/>
          <w:rtl w:val="true"/>
          <w:lang w:bidi="ar-SA"/>
        </w:rPr>
        <w:t xml:space="preserve">دلّت على أنّ يد الكافر أمارة على عدم التذكية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ضعف الرواية</w:t>
      </w:r>
      <w:r>
        <w:rPr>
          <w:rStyle w:val="FootnoteAnchor"/>
          <w:rtl w:val="true"/>
        </w:rPr>
        <w:footnoteReference w:id="8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منها أنّ الفراء إذا كان من المتاع الذي يبيعه المشركون ، وكان له نحو اختصاص بهم في التجارة ، وكانوا هم الذين يبيعونه ، لا يجوز الصلاة فيه ، ويجب السؤال عنه ، وهو غير أمارية يد الكافر ، فكما أنّ سوق المسلمين أمارة على التذكية بما قدّمناه ، كذلك سوق الكفّار ، وكون المتاع منهم ومن مال تجارتهم يكون أمارة على عدمها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بين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المشركون يبيعون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اشتريت من مشرك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فالمفهوم من العبارة الاُولى أنّ للمتاع نحو اختصاص بهم في التجارة دون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أقلّ من مساواة هذا الاحتمال للاحتمال الآخر ، فلا يجوز معه رفع اليد عن إطلاق أدلّة اعتبار السوق الموافق لارتكاز العقلاء </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 سوق الكفّار أو كون المتاع من أمتعتهم ، أمارة على عدم التذكية ، ما لم تقم أمارة أقوى عليها ، كترتيب المسلم آثار التذكية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 الظاهر من ذيل رواية إسماعيل ، وهو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رأيتم يصلّون فيه فلا تسألوا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المفهوم منه أنّ ما رأيتم المشركين يبيعونه يجب السؤال عنه ، إلاّ إذا رأيتم المسلمين يصلّون فيه ؛ أي في ذلك المتاع الذي يبيعه المشركون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المراد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يصلّون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جميع المسلمين يصلّون فيه ، فلا محالة يراد به جواز الصلاة إذا رتّب المسلم آثار التذكية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اختصاص بالصلاة فيه ، بل الظاهر </w:t>
      </w:r>
    </w:p>
    <w:p>
      <w:pPr>
        <w:pStyle w:val="BookText"/>
        <w:rPr/>
      </w:pPr>
      <w:r>
        <w:rPr>
          <w:rFonts w:ascii="Amiri" w:hAnsi="Amiri" w:eastAsia="Amiri" w:cs="Amiri"/>
          <w:color w:val="111111"/>
          <w:sz w:val="28"/>
          <w:sz w:val="28"/>
          <w:szCs w:val="28"/>
          <w:rtl w:val="true"/>
          <w:lang w:bidi="ar-SA"/>
        </w:rPr>
        <w:t>أنّ ترتيب مطلق آثارها موجب لذلك ، وسيأتي إشكال فيه</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نّا وإن قلنا بعدم جريان أصالة عدم التذكية</w:t>
      </w:r>
      <w:r>
        <w:rPr>
          <w:rStyle w:val="FootnoteAnchor"/>
          <w:rtl w:val="true"/>
        </w:rPr>
        <w:footnoteReference w:id="803"/>
      </w:r>
      <w:r>
        <w:rPr>
          <w:rFonts w:ascii="Amiri" w:hAnsi="Amiri" w:eastAsia="Amiri" w:cs="Amiri"/>
          <w:color w:val="111111"/>
          <w:sz w:val="28"/>
          <w:sz w:val="28"/>
          <w:szCs w:val="28"/>
          <w:rtl w:val="true"/>
          <w:lang w:bidi="ar-SA"/>
        </w:rPr>
        <w:t>، لكن بمقتضى موثّقة ابن بكير التي علّق فيها جواز الصلاة على العلم بالتذكية</w:t>
      </w:r>
      <w:r>
        <w:rPr>
          <w:rStyle w:val="FootnoteAnchor"/>
          <w:rtl w:val="true"/>
        </w:rPr>
        <w:footnoteReference w:id="804"/>
      </w:r>
      <w:r>
        <w:rPr>
          <w:rFonts w:ascii="Amiri" w:hAnsi="Amiri" w:eastAsia="Amiri" w:cs="Amiri"/>
          <w:color w:val="111111"/>
          <w:sz w:val="28"/>
          <w:sz w:val="28"/>
          <w:szCs w:val="28"/>
          <w:rtl w:val="true"/>
          <w:lang w:bidi="ar-SA"/>
        </w:rPr>
        <w:t xml:space="preserve">، نحكم بعدم الجواز إلاّ مع قيام الأمارة عليها ، أو دلّ دليل على جواز معاملة المذكّى معه ، ولا شبهة عندهم في أنّ سوق المسلمين والصنع في أرضهم أمارة عليها ، لا بمعنى اعتبار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أنّ ما هو الموضوع للحكم هو اجتماع المسلمين ، وكون المتاع في مجتمعهم ومورد تجارتهم ، سواء كان في السوق أو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المراد بما صنع في أرض الإسلام ، أنّ المصنوع من مصنوعات مجتمعهم ولو لم تكن الأرض لهم ، فلو اجتمع المسلمون في أرض غيرهم ، وكان المتاع الفلاني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مصنوعات ذلك المجتمع ، وكان صنع غيرهم له مشكوكاً فيه أو نادراً ، يحكم عليه بالتذكية </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الأمارة على التذكية كون الجلد في مجتمعهم ؛ سوقاً أو غيره ، وكونُه صنعَ مجتمعهم ومستقرّهم ؛ كان الأرض ملكاً لهم أو لا ، وهذا لا ريب فيه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واحتمال خصوصية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من العناوين ، ضعيف ملغى بنظر العرف ؛ ضرورة أ نّهم لا يرون لخصوصية السقف والجدار دخالة في الحكم ، وكذا لمملوكية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 النكتة للجعل دفع الحرج ، مشتركة بين السوق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كونها ذلك غير معلوم </w:t>
      </w:r>
      <w:r>
        <w:rPr>
          <w:rFonts w:eastAsia="Amiri" w:cs="Amiri" w:ascii="Amiri" w:hAnsi="Amiri"/>
          <w:color w:val="111111"/>
          <w:sz w:val="28"/>
          <w:szCs w:val="28"/>
          <w:rtl w:val="true"/>
          <w:lang w:bidi="ar-SA"/>
        </w:rPr>
        <w:t xml:space="preserve">. </w:t>
      </w:r>
      <w:bookmarkStart w:id="317" w:name="pg15030_143226"/>
    </w:p>
    <w:p>
      <w:pPr>
        <w:pStyle w:val="Heading6"/>
        <w:numPr>
          <w:ilvl w:val="5"/>
          <w:numId w:val="1"/>
        </w:numPr>
        <w:rPr/>
      </w:pPr>
      <w:bookmarkStart w:id="318" w:name="__RefHeading___Toc212844_2142443653"/>
      <w:bookmarkStart w:id="319" w:name="_Toc114"/>
      <w:bookmarkEnd w:id="317"/>
      <w:bookmarkEnd w:id="318"/>
      <w:r>
        <w:rPr>
          <w:rtl w:val="true"/>
        </w:rPr>
        <w:t>أمارية سوق المسلمين على التذكية بلا وسط</w:t>
      </w:r>
      <w:bookmarkEnd w:id="319"/>
    </w:p>
    <w:p>
      <w:pPr>
        <w:pStyle w:val="BookText"/>
        <w:rPr/>
      </w:pPr>
      <w:r>
        <w:rPr>
          <w:rFonts w:ascii="Amiri" w:hAnsi="Amiri" w:eastAsia="Amiri" w:cs="Amiri"/>
          <w:color w:val="111111"/>
          <w:sz w:val="28"/>
          <w:sz w:val="28"/>
          <w:szCs w:val="28"/>
          <w:rtl w:val="true"/>
          <w:lang w:bidi="ar-SA"/>
        </w:rPr>
        <w:t xml:space="preserve">ثمّ إنّه لا ثمرة مهمّة في البحث عن أنّ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الصنع في أرض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الفراء اليماني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الحجازي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ممّا ورد في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عنوان واحد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الشيء في مجتمعهم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عناوين مستقلّة ؟</w:t>
      </w:r>
    </w:p>
    <w:p>
      <w:pPr>
        <w:pStyle w:val="BookText"/>
        <w:rPr/>
      </w:pPr>
      <w:r>
        <w:rPr>
          <w:rFonts w:ascii="Amiri" w:hAnsi="Amiri" w:eastAsia="Amiri" w:cs="Amiri"/>
          <w:color w:val="111111"/>
          <w:sz w:val="28"/>
          <w:sz w:val="28"/>
          <w:szCs w:val="28"/>
          <w:rtl w:val="true"/>
          <w:lang w:bidi="ar-SA"/>
        </w:rPr>
        <w:t xml:space="preserve">نعم ، الظاهر بناءً على الأمارية أنّ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أمارة على التذكية بلا 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أمارة على الأمارة عليها ، وما هي أمارة بلا وسط يد المسلم ، أو يده مع ترتيبه أثر التذكية على ما في اليد ، أو نفس ترتيب المسلم أثرها ولو لم يكن تحت يده ، مثل عدم احترازه عن ملاقاته والصلاة في ملاقيه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ظاهر الأدلّة أنّ السوق بنفسه أمارة عليها لا بوسط ، ولا دليل على الوسطية ، بل لا إشعار في الروايات عليها </w:t>
      </w:r>
      <w:r>
        <w:rPr>
          <w:rFonts w:eastAsia="Amiri" w:cs="Amiri" w:ascii="Amiri" w:hAnsi="Amiri"/>
          <w:color w:val="111111"/>
          <w:sz w:val="28"/>
          <w:szCs w:val="28"/>
          <w:rtl w:val="true"/>
          <w:lang w:bidi="ar-SA"/>
        </w:rPr>
        <w:t>.</w:t>
      </w:r>
    </w:p>
    <w:p>
      <w:pPr>
        <w:pStyle w:val="Heading6"/>
        <w:numPr>
          <w:ilvl w:val="5"/>
          <w:numId w:val="1"/>
        </w:numPr>
        <w:rPr/>
      </w:pPr>
      <w:bookmarkStart w:id="320" w:name="__RefHeading___Toc212846_2142443653"/>
      <w:bookmarkStart w:id="321" w:name="_Toc115"/>
      <w:bookmarkEnd w:id="320"/>
      <w:r>
        <w:rPr>
          <w:rtl w:val="true"/>
        </w:rPr>
        <w:t>حول أمارية يد المسلم على التذكية</w:t>
      </w:r>
      <w:bookmarkEnd w:id="321"/>
    </w:p>
    <w:p>
      <w:pPr>
        <w:pStyle w:val="BookText"/>
        <w:rPr/>
      </w:pPr>
      <w:r>
        <w:rPr>
          <w:rFonts w:ascii="Amiri" w:hAnsi="Amiri" w:eastAsia="Amiri" w:cs="Amiri"/>
          <w:color w:val="111111"/>
          <w:sz w:val="28"/>
          <w:sz w:val="28"/>
          <w:szCs w:val="28"/>
          <w:rtl w:val="true"/>
          <w:lang w:bidi="ar-SA"/>
        </w:rPr>
        <w:t xml:space="preserve">فحينئذٍ يقع الكلام في أنّ يد المسلم مطلقاً أو مع ترتيب أثر التذكية أو نفس ترتيبه الأثر ، أمارة عليها ، فإن كان شيء تحت يده أو تعامل معه معاملة المذكّى في غير سوق المسلمين وأرضهم ، يحكم عليه بالتذكية ؟ الظاهر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لكون الأدلّة الواردة في المقام ، ظاهرة في أمارية يده عليها أصالة ؛ لما عرفت </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لرواية إسماعيل بن عيسى المتقدّمة</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منها عدم لزوم السؤال عمّا كان بائعه مسلماً غير عارف ، فضلاً عن العارف ؛ لقصرها لزوم السؤال على ما إذا كان المشركون يبيعونه ، فكأ 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يجب السؤال إذا كان المسلم يبيعه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دلالة ذيلها على أنّ ترتيب المسلم أثر التذكية أمارة كما تقدّم</w:t>
      </w:r>
      <w:r>
        <w:rPr>
          <w:rStyle w:val="FootnoteAnchor"/>
          <w:rtl w:val="true"/>
        </w:rPr>
        <w:footnoteReference w:id="806"/>
      </w:r>
      <w:r>
        <w:rPr>
          <w:rFonts w:ascii="Amiri" w:hAnsi="Amiri" w:eastAsia="Amiri" w:cs="Amiri"/>
          <w:color w:val="111111"/>
          <w:sz w:val="28"/>
          <w:sz w:val="28"/>
          <w:szCs w:val="28"/>
          <w:rtl w:val="true"/>
          <w:lang w:bidi="ar-SA"/>
        </w:rPr>
        <w:t xml:space="preserve">، فتدلّ على اعتبار يد المسلم وترتيبه الأثر وإن كانت يده مسبوقة بيد الكافر ، كما يظهر من ذيلها بالتقريب السابق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وذلك لأنّ في الرواية احتمالاً آخر مساوياً له ، أو أقرب منه ؛ وهو أنّ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عليكم أنتم أن تسألوا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عليكم أن تسألوا عمّا يبيعه المسلم غير العارف إذا كان المتاع ممّا يبيعه المشركون ، فيكون المراد أنّ المبيع إذا كان من متاع المشركين ومورد تجارتهم نوعاً ، يجب السؤال عنه وإن باعه مسلم ؛ ترجيحاً للغلبة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رأيتهم يصلّون فيه فلا تسألوا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كان من متاع تجارة المشركين ، وكان له نحو اختصاص بهم ، لا يجوز الصلاة فيه ، إلاّ أن يكون المسلمون يصلّون فيه ، لا بمعنى صلاة جميع المسلمين فيه ، بل بمعنى بناء المسلمين على الصلاة فيه </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 فقه الحديث على هذا 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البائع إذا كان مسلماً ، وباع المتاع الذي كان يبيعه المشركون نوعاً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ينسب المتجر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السؤال عنه ؛ لترجيح غلبة الكفّار على فرد من المسلمين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إن كان بناء المسلمين على الصلاة فيه ، يجوز الصلاة فيه بلا سؤال ؛ ترجيحاً لعمل المسلمين على سوق الكفّار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الاحتمال لو لم يكن ظاهر الرواية ، فلا أقلّ من مساواته للاحتمال المتقدّم ، فتدلّ الرواية حينئذٍ على عدم اعتبار يد المسلم في مثل الواقعة ، نعم لاتدلّ على نفي الاعتبار مطلقاً ، ولا على الاعتبار ولو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بعد تسليم أنّ السوق المسؤول عنه أعمّ من سوق المسلمين في خصوص الرواية ؛ لقرينة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للروايات الواردة في باب سَوْق الهدي ، كصحيحة حفص بن البَخْتَري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ساق الهدي ، فعطب في موضع لا يقدر على من يتصدّق به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يعلم أنّه 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ينحره ، ويكتب كتاباً يضعه عليه ؛ ليعلم من مرّ به أ نّه صدقة</w:t>
      </w:r>
      <w:r>
        <w:rPr>
          <w:rFonts w:eastAsia="IRNazanin" w:cs="IRNazanin"/>
          <w:color w:val="111111"/>
          <w:sz w:val="28"/>
          <w:szCs w:val="28"/>
          <w:rtl w:val="true"/>
          <w:lang w:bidi="fa-IR"/>
        </w:rPr>
        <w:t>»</w:t>
      </w:r>
      <w:r>
        <w:rPr>
          <w:rStyle w:val="FootnoteAnchor"/>
          <w:rtl w:val="true"/>
        </w:rPr>
        <w:footnoteReference w:id="807"/>
      </w:r>
      <w:r>
        <w:rPr>
          <w:rFonts w:ascii="Amiri" w:hAnsi="Amiri" w:eastAsia="Amiri" w:cs="Amiri"/>
          <w:color w:val="111111"/>
          <w:sz w:val="28"/>
          <w:sz w:val="28"/>
          <w:szCs w:val="28"/>
          <w:rtl w:val="true"/>
          <w:lang w:bidi="ar-SA"/>
        </w:rPr>
        <w:t>وقريب منها روايات اُخر</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وذلك لأنّ في مورد تلك الروايات يكون النحر وجدانياً ، وكونه بيد مسلم مجزوماً به بالأمارات ، كالنحر والكتابة وكونه في طريق الحجّ ، وإنّما الشكّ في حصول التذكية الشرعية ، وهي محرزة بأصالة الصحّة ، ولا كلام في جريانها فيما إذا اُحرز عمل المسلم وشكّ في صحّته ، وهو غير ما نحن بصدده من إحراز التذكية من غير إحراز الذبح والنحر ، فضلاً عن كونهما بيد المسلم ، فتلك الروايات أجنبيّة عن المدّعى </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لأولوية اعتبار يد المسلم من يد مجهول الحال في سوق المسلمين ؛ </w:t>
      </w:r>
    </w:p>
    <w:p>
      <w:pPr>
        <w:pStyle w:val="BookText"/>
        <w:rPr/>
      </w:pPr>
      <w:r>
        <w:rPr>
          <w:rFonts w:ascii="Amiri" w:hAnsi="Amiri" w:eastAsia="Amiri" w:cs="Amiri"/>
          <w:color w:val="111111"/>
          <w:sz w:val="28"/>
          <w:sz w:val="28"/>
          <w:szCs w:val="28"/>
          <w:rtl w:val="true"/>
          <w:lang w:bidi="ar-SA"/>
        </w:rPr>
        <w:t xml:space="preserve">وذلك لأنّ المعتبر في المفروض سوق المسلمين ، لا يد مجهول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مخافة مخالفة الأصحاب ، لقلنا باعتبار سوق المسلمين ولو كان الشيء في يد الكافر ، لا لكون يده معتبرة ، بل لكون السوق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لأصالة الصحّة ؛ لأنّ إثباتها لتلك المثبتات محلّ إشكال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مبنى أصالة الصحّة عند العقلاء ، أنّ العاقل إذا أتى بعمل يعتبر</w:t>
      </w:r>
    </w:p>
    <w:p>
      <w:pPr>
        <w:pStyle w:val="BookText"/>
        <w:rPr/>
      </w:pPr>
      <w:r>
        <w:rPr>
          <w:rFonts w:ascii="Amiri" w:hAnsi="Amiri" w:eastAsia="Amiri" w:cs="Amiri"/>
          <w:color w:val="111111"/>
          <w:sz w:val="28"/>
          <w:sz w:val="28"/>
          <w:szCs w:val="28"/>
          <w:rtl w:val="true"/>
          <w:lang w:bidi="ar-SA"/>
        </w:rPr>
        <w:t>في صحّته اُمور، لا يتركها عمداً ، ولا يأتي بها فاسداً ؛ لمنافاة الترك عمداً لقصد</w:t>
      </w:r>
    </w:p>
    <w:p>
      <w:pPr>
        <w:pStyle w:val="BookText"/>
        <w:rPr/>
      </w:pPr>
      <w:r>
        <w:rPr>
          <w:rFonts w:ascii="Amiri" w:hAnsi="Amiri" w:eastAsia="Amiri" w:cs="Amiri"/>
          <w:color w:val="111111"/>
          <w:sz w:val="28"/>
          <w:sz w:val="28"/>
          <w:szCs w:val="28"/>
          <w:rtl w:val="true"/>
          <w:lang w:bidi="ar-SA"/>
        </w:rPr>
        <w:t xml:space="preserve">فراغ الذمّة وقصد تحقّق المأتيّ به ، والترك من غير عمد مخالف للأصل ، وهذا غير جارٍ في المستحلّ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تجري أصالة الصحّة مع احتمال التصادف للواقع من باب الاتّفاق ، كما قرّر في محلّه</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أنّ الصحّة في بعض الأحيان والأعمال لا تلازم التذكية ، كما لو صلّى في شيء لإمكان كون صلاته فيه لعذر ، ولا يحرز بأصالة الصحّة عدم العذر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لكون ترتيب آثار التذكية بمنزلة الإخبار عنها ، فكما أنّ إخبار ذي اليد حجّة عند العقلاء كذلك ما هو بمنزلته ؛ وذلك لمنع كونه بمنزلته ، سيّما في المستحلّ ذبيحة أهل الكتاب ومستحلّ الصلاة في جلد الميتة مع دباغه ، وسيّما مع اختلاف الناس معنا في بعض شرائط التذكية ، كالتسمية وفري الأوداج وغيرهما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لا يلازم بعض الأعمال من غير المستحلّ أيضاً التذكيةَ ، كما تقدّم ، فلا يكون مطلق ترتيب الآثار بمنزلة الإخبار </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لبناء المتشرّعة على ترتيب آثار الملكية على ما في يد المسلمين </w:t>
      </w:r>
    </w:p>
    <w:p>
      <w:pPr>
        <w:pStyle w:val="BookText"/>
        <w:rPr/>
      </w:pPr>
      <w:r>
        <w:rPr>
          <w:rFonts w:ascii="Amiri" w:hAnsi="Amiri" w:eastAsia="Amiri" w:cs="Amiri"/>
          <w:color w:val="111111"/>
          <w:sz w:val="28"/>
          <w:sz w:val="28"/>
          <w:szCs w:val="28"/>
          <w:rtl w:val="true"/>
          <w:lang w:bidi="ar-SA"/>
        </w:rPr>
        <w:t xml:space="preserve">من غير نكير ، وهو كاشف عن التذكية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سيرة المتشرّعة على ترتيب آثار الملكية والتذكية على ما في يدهم من غير تفرقة بين المستحلّ وغيره ؛ سواء كان في سوق المسلمين أم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البناء العملي على التذكية فيما في يد غير المستحلّ مع ترتيبه</w:t>
      </w:r>
    </w:p>
    <w:p>
      <w:pPr>
        <w:pStyle w:val="BookText"/>
        <w:rPr/>
      </w:pPr>
      <w:r>
        <w:rPr>
          <w:rFonts w:ascii="Amiri" w:hAnsi="Amiri" w:eastAsia="Amiri" w:cs="Amiri"/>
          <w:color w:val="111111"/>
          <w:sz w:val="28"/>
          <w:sz w:val="28"/>
          <w:szCs w:val="28"/>
          <w:rtl w:val="true"/>
          <w:lang w:bidi="ar-SA"/>
        </w:rPr>
        <w:t>آثارها ، كأ نّه إجماعي لم ينقل الخلاف فيه من أحد</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الخدش في كلّ واحد ممّا ذكر وإن أمكن ، لكن لا يبعد دعوى الوثوق من مجموعها على أ نّه يتعامل مع ما في أيدي المسلمين معاملة المذكّى ، سيّما مع كون ذبيحة المسلمين محلّلة علينا ، وقد اختلفوا معنا في شرائط الذبح ، مع مناسبة الحكم لسهولة الملّة وسمحتها </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أنّ سوق المسلمين في تلك الأعصار والبلاد ، كان لغير الطائفة المحقّة ، ولم يكن لهذه الطائفة سوق في تلك البلاد ، وهم مختلفون مع الطائفة في كثير من الشرائط ، كفري الأوداج</w:t>
      </w:r>
      <w:r>
        <w:rPr>
          <w:rStyle w:val="FootnoteAnchor"/>
          <w:rtl w:val="true"/>
        </w:rPr>
        <w:footnoteReference w:id="811"/>
      </w:r>
      <w:r>
        <w:rPr>
          <w:rFonts w:ascii="Amiri" w:hAnsi="Amiri" w:eastAsia="Amiri" w:cs="Amiri"/>
          <w:color w:val="111111"/>
          <w:sz w:val="28"/>
          <w:sz w:val="28"/>
          <w:szCs w:val="28"/>
          <w:rtl w:val="true"/>
          <w:lang w:bidi="ar-SA"/>
        </w:rPr>
        <w:t>واستقبال القبلة</w:t>
      </w:r>
      <w:r>
        <w:rPr>
          <w:rStyle w:val="FootnoteAnchor"/>
          <w:rtl w:val="true"/>
        </w:rPr>
        <w:footnoteReference w:id="812"/>
      </w:r>
      <w:r>
        <w:rPr>
          <w:rFonts w:ascii="Amiri" w:hAnsi="Amiri" w:eastAsia="Amiri" w:cs="Amiri"/>
          <w:color w:val="111111"/>
          <w:sz w:val="28"/>
          <w:sz w:val="28"/>
          <w:szCs w:val="28"/>
          <w:rtl w:val="true"/>
          <w:lang w:bidi="ar-SA"/>
        </w:rPr>
        <w:t>، والتسمية</w:t>
      </w:r>
      <w:r>
        <w:rPr>
          <w:rStyle w:val="FootnoteAnchor"/>
          <w:rtl w:val="true"/>
        </w:rPr>
        <w:footnoteReference w:id="813"/>
      </w:r>
      <w:r>
        <w:rPr>
          <w:rFonts w:ascii="IRNazanin" w:hAnsi="IRNazanin" w:eastAsia="IRNazanin"/>
          <w:color w:val="111111"/>
          <w:sz w:val="28"/>
          <w:sz w:val="28"/>
          <w:szCs w:val="28"/>
          <w:rtl w:val="true"/>
          <w:lang w:bidi="fa-IR"/>
        </w:rPr>
        <w:t>، ومورد النحر والذبح</w:t>
      </w:r>
      <w:r>
        <w:rPr>
          <w:rStyle w:val="FootnoteAnchor"/>
          <w:rtl w:val="true"/>
        </w:rPr>
        <w:footnoteReference w:id="814"/>
      </w:r>
      <w:r>
        <w:rPr>
          <w:rFonts w:ascii="Amiri" w:hAnsi="Amiri" w:eastAsia="Amiri" w:cs="Amiri"/>
          <w:color w:val="111111"/>
          <w:sz w:val="28"/>
          <w:sz w:val="28"/>
          <w:szCs w:val="28"/>
          <w:rtl w:val="true"/>
          <w:lang w:bidi="ar-SA"/>
        </w:rPr>
        <w:t>، وآلة الذبح</w:t>
      </w:r>
      <w:r>
        <w:rPr>
          <w:rStyle w:val="FootnoteAnchor"/>
          <w:rtl w:val="true"/>
        </w:rPr>
        <w:footnoteReference w:id="815"/>
      </w:r>
      <w:r>
        <w:rPr>
          <w:rFonts w:ascii="Amiri" w:hAnsi="Amiri" w:eastAsia="Amiri" w:cs="Amiri"/>
          <w:color w:val="111111"/>
          <w:sz w:val="28"/>
          <w:sz w:val="28"/>
          <w:szCs w:val="28"/>
          <w:rtl w:val="true"/>
          <w:lang w:bidi="ar-SA"/>
        </w:rPr>
        <w:t>، وفي الصيد أيضاً في صائده وشرائطه</w:t>
      </w:r>
      <w:r>
        <w:rPr>
          <w:rStyle w:val="FootnoteAnchor"/>
          <w:rtl w:val="true"/>
        </w:rPr>
        <w:footnoteReference w:id="816"/>
      </w:r>
      <w:r>
        <w:rPr>
          <w:rFonts w:ascii="Amiri" w:hAnsi="Amiri" w:eastAsia="Amiri" w:cs="Amiri"/>
          <w:color w:val="111111"/>
          <w:sz w:val="28"/>
          <w:sz w:val="28"/>
          <w:szCs w:val="28"/>
          <w:rtl w:val="true"/>
          <w:lang w:bidi="ar-SA"/>
        </w:rPr>
        <w:t xml:space="preserve">، وفي </w:t>
      </w:r>
      <w:bookmarkStart w:id="322" w:name="pg15030_143231"/>
    </w:p>
    <w:p>
      <w:pPr>
        <w:pStyle w:val="BookText"/>
        <w:rPr/>
      </w:pPr>
      <w:bookmarkEnd w:id="322"/>
      <w:r>
        <w:rPr>
          <w:rFonts w:ascii="Amiri" w:hAnsi="Amiri" w:eastAsia="Amiri" w:cs="Amiri"/>
          <w:color w:val="111111"/>
          <w:sz w:val="28"/>
          <w:sz w:val="28"/>
          <w:szCs w:val="28"/>
          <w:rtl w:val="true"/>
          <w:lang w:bidi="ar-SA"/>
        </w:rPr>
        <w:t>استحلال ذبيحة أهل الكتاب</w:t>
      </w:r>
      <w:r>
        <w:rPr>
          <w:rStyle w:val="FootnoteAnchor"/>
          <w:rtl w:val="true"/>
        </w:rPr>
        <w:footnoteReference w:id="817"/>
      </w:r>
      <w:r>
        <w:rPr>
          <w:rFonts w:ascii="Amiri" w:hAnsi="Amiri" w:eastAsia="Amiri" w:cs="Amiri"/>
          <w:color w:val="111111"/>
          <w:sz w:val="28"/>
          <w:sz w:val="28"/>
          <w:szCs w:val="28"/>
          <w:rtl w:val="true"/>
          <w:lang w:bidi="ar-SA"/>
        </w:rPr>
        <w:t>مع كثرتهم في ذلك العصر ، كما يظهر من الأسئلة والأجوبة في الروايات الواردة في ذبيحتهم وأوانيهم وأثوابهم</w:t>
      </w:r>
      <w:r>
        <w:rPr>
          <w:rStyle w:val="FootnoteAnchor"/>
          <w:rtl w:val="true"/>
        </w:rPr>
        <w:footnoteReference w:id="8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يمكن أن يقال </w:t>
      </w:r>
      <w:r>
        <w:rPr>
          <w:rFonts w:eastAsia="Amiri" w:cs="Amiri" w:ascii="Amiri" w:hAnsi="Amiri"/>
          <w:color w:val="111111"/>
          <w:sz w:val="28"/>
          <w:szCs w:val="28"/>
          <w:rtl w:val="true"/>
          <w:lang w:bidi="ar-SA"/>
        </w:rPr>
        <w:t>:</w:t>
      </w:r>
    </w:p>
    <w:p>
      <w:pPr>
        <w:pStyle w:val="Heading6"/>
        <w:numPr>
          <w:ilvl w:val="5"/>
          <w:numId w:val="1"/>
        </w:numPr>
        <w:rPr/>
      </w:pPr>
      <w:bookmarkStart w:id="323" w:name="__RefHeading___Toc212848_2142443653"/>
      <w:bookmarkStart w:id="324" w:name="_Toc116"/>
      <w:bookmarkEnd w:id="323"/>
      <w:r>
        <w:rPr>
          <w:rtl w:val="true"/>
        </w:rPr>
        <w:t>اعتبار السوق واليد لأجل التوسعة على العباد لا الأمارية</w:t>
      </w:r>
      <w:bookmarkEnd w:id="324"/>
    </w:p>
    <w:p>
      <w:pPr>
        <w:pStyle w:val="BookText"/>
        <w:rPr/>
      </w:pPr>
      <w:r>
        <w:rPr>
          <w:rFonts w:ascii="Amiri" w:hAnsi="Amiri" w:eastAsia="Amiri" w:cs="Amiri"/>
          <w:color w:val="111111"/>
          <w:sz w:val="28"/>
          <w:sz w:val="28"/>
          <w:szCs w:val="28"/>
          <w:rtl w:val="true"/>
          <w:lang w:bidi="ar-SA"/>
        </w:rPr>
        <w:t xml:space="preserve">إنّ حكم تحليل ما يشترى من السوق ، لأجل التوسعة على العباد لا لكاشفيته وأماريته عن التذكية ؛ ضرورة أ نّه مع هذا الاختلاف الفاحش بين الفرقتين ، وأقلّية الفرقة الحقّة ، لم يكن سوق المسلمين ولا يدهم أمارة عقلائية على التذكية الشرعية ، فخصوصية السوق ليست لكاشفيته عن التذكية الشرعية ، بل لأجل أ نّه يتعامل مع المأخوذ من يد المسلمين الذين لا يراعون شرائط التذكية ، معاملة المذكّى توسعةً على العباد ، كما أ نّه يتعامل مع ما في سوقهم وما صنع في أرضهم معاملته ، كلّ ذلك للتوسعة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وتشهد لما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عدم صالحية مثل هذا السوق وتلك اليد للأمارية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الواردة في الباب الظاهرة فيما ذكرناه ، وليس فيها بكثرتها ما</w:t>
      </w:r>
    </w:p>
    <w:p>
      <w:pPr>
        <w:pStyle w:val="BookText"/>
        <w:rPr/>
      </w:pPr>
      <w:r>
        <w:rPr>
          <w:rFonts w:ascii="Amiri" w:hAnsi="Amiri" w:eastAsia="Amiri" w:cs="Amiri"/>
          <w:color w:val="111111"/>
          <w:sz w:val="28"/>
          <w:sz w:val="28"/>
          <w:szCs w:val="28"/>
          <w:rtl w:val="true"/>
          <w:lang w:bidi="ar-SA"/>
        </w:rPr>
        <w:t xml:space="preserve">تشعر بالأمارية ، بل لسانها لسان أدلّة الاُصول </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في سعة حتّى يعلموا</w:t>
      </w:r>
      <w:r>
        <w:rPr>
          <w:rFonts w:eastAsia="IRNazanin" w:cs="IRNazanin"/>
          <w:color w:val="111111"/>
          <w:sz w:val="28"/>
          <w:szCs w:val="28"/>
          <w:rtl w:val="true"/>
          <w:lang w:bidi="fa-IR"/>
        </w:rPr>
        <w:t>»</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الدين أوسع من ذلك</w:t>
      </w:r>
      <w:r>
        <w:rPr>
          <w:rFonts w:eastAsia="IRNazanin" w:cs="IRNazanin"/>
          <w:color w:val="111111"/>
          <w:sz w:val="28"/>
          <w:szCs w:val="28"/>
          <w:rtl w:val="true"/>
          <w:lang w:bidi="fa-IR"/>
        </w:rPr>
        <w:t>»</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ما لم تعلم أ نّه ميتة</w:t>
      </w:r>
      <w:r>
        <w:rPr>
          <w:rFonts w:eastAsia="IRNazanin" w:cs="IRNazanin"/>
          <w:color w:val="111111"/>
          <w:sz w:val="28"/>
          <w:szCs w:val="28"/>
          <w:rtl w:val="true"/>
          <w:lang w:bidi="fa-IR"/>
        </w:rPr>
        <w:t>»</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فيها حتّى تعلم أ نّه ميتة بعينه</w:t>
      </w:r>
      <w:r>
        <w:rPr>
          <w:rFonts w:eastAsia="IRNazanin" w:cs="IRNazanin"/>
          <w:color w:val="111111"/>
          <w:sz w:val="28"/>
          <w:szCs w:val="28"/>
          <w:rtl w:val="true"/>
          <w:lang w:bidi="fa-IR"/>
        </w:rPr>
        <w:t>»</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ظهر لي بعد التأمّل في الأخبار والنظر في حال سوق المسلمين في تلك الأعصار الذي كان منحصراً بالعامّة أمران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منشأ سؤال السائلين احتمال عدم مراعاة القصّابين شرائطَ التذكية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وثانيهما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الحكم على سبيل التوسعة ، لا للأمارية العقلائية ، ولا الجعلية الشرعية لو سلّم إمكانها ، كما تشهد لهما صحيحة الفضلاء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نّهم سألوا أبا جعفر علیه السلام عن شراء اللحوم من الأسواق ، ولا يدرى ما صنع القصّابون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إذا كان ذلك في سوق المسلمين ، ولا تسأل عنه</w:t>
      </w:r>
      <w:r>
        <w:rPr>
          <w:rFonts w:eastAsia="IRNazanin" w:cs="IRNazanin"/>
          <w:color w:val="111111"/>
          <w:sz w:val="28"/>
          <w:szCs w:val="28"/>
          <w:rtl w:val="true"/>
          <w:lang w:bidi="fa-IR"/>
        </w:rPr>
        <w:t>»</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فكان منشأ سؤال فقهاء أصحاب أبي جعفر علیه السلام اطّلاعهم على فتاوى أبي حنيفة ومالك ، واختلافها معنا </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إلى آخره ، لا يدلّ إلاّ على جواز الأكل ممّا كان في سوق المسلمين ، لا لأماريته على التذكية الشرعية بالشرائط المقرّرة عند الفرقة </w:t>
      </w:r>
    </w:p>
    <w:p>
      <w:pPr>
        <w:pStyle w:val="BookText"/>
        <w:rPr/>
      </w:pPr>
      <w:r>
        <w:rPr>
          <w:rFonts w:ascii="Amiri" w:hAnsi="Amiri" w:eastAsia="Amiri" w:cs="Amiri"/>
          <w:color w:val="111111"/>
          <w:sz w:val="28"/>
          <w:sz w:val="28"/>
          <w:szCs w:val="28"/>
          <w:rtl w:val="true"/>
          <w:lang w:bidi="ar-SA"/>
        </w:rPr>
        <w:t xml:space="preserve">المحقّة ؛ ضرورة عدم أماريته لها ، كما 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لأصالة الصحّة ، فإنّها غير جارية في مثل المقام الذي يحتمل الانطباق من باب الاتّفاق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لأمارية اليد الكذائية ؛ لعين ما ذكر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للتوسعة على العباد ، كما تدلّ عليه الروايات المتقدّمة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الرواية لا تدلّ إلاّ على جواز الأكل بلا سؤال ، وسائر الروايات ظاهرة في أنّ الحكم على نحو التوسعة لا الأمارية ، فلا تنافي بينهما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تجويزَ الأكل وتركَ السؤال في موضوع لا يقوم عليه أمارة عند العقلاء ، ظاهر في التوسعة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وتشهد أيضاً لما ذكرناه رواية أبي الجارود ، عن أبي جعفر علیه السلام ، وفيها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 إنّي لأعترض السوق ، فأشتري بها اللحم والسمن والجبن ، واللّه ما أظنّ كلّهم يسمّون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البربر ، وهذه السودان</w:t>
      </w:r>
      <w:r>
        <w:rPr>
          <w:rFonts w:eastAsia="IRNazanin" w:cs="IRNazanin"/>
          <w:color w:val="111111"/>
          <w:sz w:val="28"/>
          <w:szCs w:val="28"/>
          <w:rtl w:val="true"/>
          <w:lang w:bidi="fa-IR"/>
        </w:rPr>
        <w:t>»</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فلو كان السوق أمارة على التذكية لكان المناسب أن يقول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ما يشترى منه مذكّى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يتناسب هذا التعبير مع إلغاء احتمال الخلاف في الأمارات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ويشهد له خبر عبد الرحمان بن الحجّاج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أدخل السوق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أعني هذا الخلق الذي يدّعون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فأشتري منهم الفراء للتجارة ، وأقول لصاحبها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ليس هي ذكيّة ؟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فهل يصلح لي أن أبيعها على أ نّها ذكيّة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 ولكن لا بأس أن تبيعها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شرط </w:t>
      </w:r>
    </w:p>
    <w:p>
      <w:pPr>
        <w:pStyle w:val="BookText"/>
        <w:rPr/>
      </w:pPr>
      <w:r>
        <w:rPr>
          <w:rFonts w:ascii="Amiri" w:hAnsi="Amiri" w:eastAsia="Amiri" w:cs="Amiri"/>
          <w:color w:val="111111"/>
          <w:sz w:val="28"/>
          <w:sz w:val="28"/>
          <w:szCs w:val="28"/>
          <w:rtl w:val="true"/>
          <w:lang w:bidi="ar-SA"/>
        </w:rPr>
        <w:t>لي الذي اشتريتها منه أ نّها ذكيّة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أفسد ذلك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استحلال أهل العراق الميتةَ</w:t>
      </w:r>
      <w:r>
        <w:rPr>
          <w:rFonts w:eastAsia="Amiri" w:cs="Amiri" w:ascii="Amiri" w:hAnsi="Amiri"/>
          <w:color w:val="111111"/>
          <w:sz w:val="28"/>
          <w:szCs w:val="28"/>
          <w:rtl w:val="true"/>
          <w:lang w:bidi="ar-SA"/>
        </w:rPr>
        <w:t>»</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حيث يظهر منها جواز البيع والشراء مطلقاً ، وعدم جواز الإخبار بتذكيتها حتّى مع إخبار صاحبها ؛ لاستحلال أهل العراق الميتة ، فلو كان سوق المسلمين أمارة على التذكية ، جاز الإخبار بها ولو لم يخبر صاحبها بها ، وليس هذا إلاّ لكون جواز ترتيب أثر التذكية عملاً ، إنّما هو للتوسعة على العباد ، لا أنّ السوق أو اليد أمارة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من جميع ذلك جواز معاملة المذكّى لما في سوق المسلمين وما صنع في أرضهم وما في أيدي المستحلّ وغيره ، بل مورد الروايات هو ما في أيدي المستحلّين للميتة ولو لاستحلال ذبيحة أهل الكتاب ، أو استحلال ما لا يكون مذكّى شرعاً عند الفرق الناجية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ومقتضى إطلاق الروايات جواز الشراء من يد مجهول الحال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لعلّ سوق المسلمين وأرضهم أمارة على أنّ مجهول الحال مسلم </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المأخوذ من يد الكافر ، فمع كون الحكم بعدم التذكية مظنّة الإجماع</w:t>
      </w:r>
      <w:r>
        <w:rPr>
          <w:rStyle w:val="FootnoteAnchor"/>
          <w:rtl w:val="true"/>
        </w:rPr>
        <w:footnoteReference w:id="826"/>
      </w:r>
      <w:r>
        <w:rPr>
          <w:rFonts w:ascii="Amiri" w:hAnsi="Amiri" w:eastAsia="Amiri" w:cs="Amiri"/>
          <w:color w:val="111111"/>
          <w:sz w:val="28"/>
          <w:sz w:val="28"/>
          <w:szCs w:val="28"/>
          <w:rtl w:val="true"/>
          <w:lang w:bidi="ar-SA"/>
        </w:rPr>
        <w:t xml:space="preserve">، يمكن دعوى قصور الروايات عن شموله بالتقريب الأخير ؛ 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سؤالاً وجواباً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بصدد بيان حال المأخوذ من سوق العامّة وأيديهم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والمسألة بجميع جوانبها تحتاج إلى مزيد تدبّر </w:t>
      </w:r>
      <w:r>
        <w:rPr>
          <w:rFonts w:eastAsia="Amiri" w:cs="Amiri" w:ascii="Amiri" w:hAnsi="Amiri"/>
          <w:color w:val="111111"/>
          <w:sz w:val="28"/>
          <w:szCs w:val="28"/>
          <w:rtl w:val="true"/>
          <w:lang w:bidi="ar-SA"/>
        </w:rPr>
        <w:t xml:space="preserve">. </w:t>
      </w:r>
      <w:bookmarkStart w:id="325" w:name="pg15030_143235"/>
    </w:p>
    <w:p>
      <w:pPr>
        <w:pStyle w:val="Heading3"/>
        <w:numPr>
          <w:ilvl w:val="2"/>
          <w:numId w:val="1"/>
        </w:numPr>
        <w:rPr/>
      </w:pPr>
      <w:bookmarkStart w:id="326" w:name="__RefHeading___Toc212850_2142443653"/>
      <w:bookmarkStart w:id="327" w:name="_Toc117"/>
      <w:bookmarkEnd w:id="325"/>
      <w:bookmarkEnd w:id="326"/>
      <w:r>
        <w:rPr>
          <w:rtl w:val="true"/>
        </w:rPr>
        <w:t>المطلب السادس</w:t>
      </w:r>
      <w:r>
        <w:rPr>
          <w:rtl w:val="true"/>
        </w:rPr>
        <w:t xml:space="preserve">: </w:t>
      </w:r>
      <w:r>
        <w:rPr>
          <w:rtl w:val="true"/>
        </w:rPr>
        <w:t>في ثبوت الطهارة والنجاسة وسائر الموضوعات الخارجية بالعلم وما قام مقامه</w:t>
      </w:r>
      <w:bookmarkEnd w:id="327"/>
    </w:p>
    <w:p>
      <w:pPr>
        <w:pStyle w:val="Heading4"/>
        <w:numPr>
          <w:ilvl w:val="3"/>
          <w:numId w:val="1"/>
        </w:numPr>
        <w:rPr/>
      </w:pPr>
      <w:bookmarkStart w:id="328" w:name="__RefHeading___Toc212852_2142443653"/>
      <w:bookmarkStart w:id="329" w:name="_Toc118"/>
      <w:bookmarkEnd w:id="328"/>
      <w:r>
        <w:rPr>
          <w:rtl w:val="true"/>
        </w:rPr>
        <w:t>اشارة</w:t>
      </w:r>
      <w:bookmarkEnd w:id="329"/>
    </w:p>
    <w:p>
      <w:pPr>
        <w:pStyle w:val="BookText"/>
        <w:rPr/>
      </w:pPr>
      <w:r>
        <w:rPr>
          <w:rFonts w:ascii="Amiri" w:hAnsi="Amiri" w:eastAsia="Amiri" w:cs="Amiri"/>
          <w:color w:val="111111"/>
          <w:sz w:val="28"/>
          <w:sz w:val="28"/>
          <w:szCs w:val="28"/>
          <w:rtl w:val="true"/>
          <w:lang w:bidi="ar-SA"/>
        </w:rPr>
        <w:t xml:space="preserve">طريق ثبوت النجاسة والطهارة وغيرهما من الموضوعات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 وما قام مقامه من الأمارات الشرعية ، وبعض الاُصول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بثبوتها بمطلق الظنّ ؛ فإنّ الشرعيات كلّها ظنّية ، والعمل بالمرجوح في مقابل الراجح قبيح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منقول عن أبي الصلاح الحلبي</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منع اعتبار الظنّ المطلق في الشرعيات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فرض اعتباره في الأحكام فإلحاق الموضوعات بها 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ومنع كون عدم العمل بالظنّ من باب ترجيح المرجوح عليه ، بل لعدم الدليل على اعتباره ، والعمل بالاُصول المعتبرة في مقابل الظنّ عمل بالراجح </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ابن البرّاج أنّ طريق ثبوتها العلم فقط ،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الطهارة ثابتة بالعلم ، والبيّنة لا تفيد إلاّ الظنّ</w:t>
      </w:r>
      <w:r>
        <w:rPr>
          <w:rFonts w:eastAsia="Amiri" w:cs="Amiri" w:ascii="Amiri" w:hAnsi="Amiri"/>
          <w:color w:val="111111"/>
          <w:sz w:val="28"/>
          <w:szCs w:val="28"/>
          <w:rtl w:val="true"/>
          <w:lang w:bidi="ar-SA"/>
        </w:rPr>
        <w:t>»</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وفيه منع ثبوت الطهارة بالعلم إلاّ في بعض الأحيان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ومنع الملازمة بين ثبوتها بالعلم وثبوت النجاسة به ؛ لعدم الدليل على أنّ الشيء إذا ثبت بالعلم لا</w:t>
      </w:r>
    </w:p>
    <w:p>
      <w:pPr>
        <w:pStyle w:val="BookText"/>
        <w:rPr/>
      </w:pPr>
      <w:r>
        <w:rPr>
          <w:rFonts w:ascii="Amiri" w:hAnsi="Amiri" w:eastAsia="Amiri" w:cs="Amiri"/>
          <w:color w:val="111111"/>
          <w:sz w:val="28"/>
          <w:sz w:val="28"/>
          <w:szCs w:val="28"/>
          <w:rtl w:val="true"/>
          <w:lang w:bidi="ar-SA"/>
        </w:rPr>
        <w:t xml:space="preserve">بدّ وأن يثبت ضدّه به أيضاً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الاستدلال</w:t>
      </w:r>
      <w:r>
        <w:rPr>
          <w:rStyle w:val="FootnoteAnchor"/>
          <w:rtl w:val="true"/>
        </w:rPr>
        <w:footnoteReference w:id="829"/>
      </w:r>
      <w:r>
        <w:rPr>
          <w:rFonts w:ascii="IRNazanin" w:hAnsi="IRNazanin" w:eastAsia="IRNazanin"/>
          <w:color w:val="111111"/>
          <w:sz w:val="28"/>
          <w:sz w:val="28"/>
          <w:szCs w:val="28"/>
          <w:rtl w:val="true"/>
          <w:lang w:bidi="fa-IR"/>
        </w:rPr>
        <w:t xml:space="preserve">له بنحو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شيء نظيف حتّى تعلم أ نّه قذر</w:t>
      </w:r>
      <w:r>
        <w:rPr>
          <w:rFonts w:eastAsia="IRNazanin" w:cs="IRNazanin"/>
          <w:color w:val="111111"/>
          <w:sz w:val="28"/>
          <w:szCs w:val="28"/>
          <w:rtl w:val="true"/>
          <w:lang w:bidi="fa-IR"/>
        </w:rPr>
        <w:t>»</w:t>
      </w:r>
      <w:r>
        <w:rPr>
          <w:rStyle w:val="FootnoteAnchor"/>
          <w:rtl w:val="true"/>
        </w:rPr>
        <w:footnoteReference w:id="830"/>
      </w:r>
      <w:r>
        <w:rPr>
          <w:rFonts w:ascii="Amiri" w:hAnsi="Amiri" w:eastAsia="Amiri" w:cs="Amiri"/>
          <w:color w:val="111111"/>
          <w:sz w:val="28"/>
          <w:sz w:val="28"/>
          <w:szCs w:val="28"/>
          <w:rtl w:val="true"/>
          <w:lang w:bidi="ar-SA"/>
        </w:rPr>
        <w:t>فلا يخفى ما فيه بعد تحكيم أدلّة اعتبارات الأمارات عليه ؛ لو سلّم أنّ المراد بالعلم هو العلم الوجداني ، وإلاّ فهو أيضاً محلّ منع أشرنا إلى وجهه في بعض المقامات</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فالأولى صرف الكلام إلى ما يثبت به النجاسة غير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ثبوت النجاسة وسائر الموضوعات بالبيّنة</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ينبغي الإشكال في ثبوتها بالبيّنة ، كما عن المشهور</w:t>
      </w:r>
      <w:r>
        <w:rPr>
          <w:rStyle w:val="FootnoteAnchor"/>
          <w:rtl w:val="true"/>
        </w:rPr>
        <w:footnoteReference w:id="832"/>
      </w:r>
      <w:r>
        <w:rPr>
          <w:rFonts w:ascii="Amiri" w:hAnsi="Amiri" w:eastAsia="Amiri" w:cs="Amiri"/>
          <w:color w:val="111111"/>
          <w:sz w:val="28"/>
          <w:sz w:val="28"/>
          <w:szCs w:val="28"/>
          <w:rtl w:val="true"/>
          <w:lang w:bidi="ar-SA"/>
        </w:rPr>
        <w:t xml:space="preserve">؛ فإنّ الأدلّة الواردة في ثبوت المعظّمات بها </w:t>
      </w:r>
      <w:r>
        <w:rPr>
          <w:rStyle w:val="FootnoteAnchor"/>
          <w:rtl w:val="true"/>
        </w:rPr>
        <w:footnoteReference w:id="8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يوجب القتل كالزندقة وعبادة الأوثان </w:t>
      </w:r>
    </w:p>
    <w:p>
      <w:pPr>
        <w:pStyle w:val="BookText"/>
        <w:rPr/>
      </w:pPr>
      <w:r>
        <w:rPr>
          <w:rFonts w:ascii="Amiri" w:hAnsi="Amiri" w:eastAsia="Amiri" w:cs="Amiri"/>
          <w:color w:val="111111"/>
          <w:sz w:val="28"/>
          <w:sz w:val="28"/>
          <w:szCs w:val="28"/>
          <w:rtl w:val="true"/>
          <w:lang w:bidi="ar-SA"/>
        </w:rPr>
        <w:t xml:space="preserve">واللواط ، أو القطع كالسرقة ، أو الحدّ كشرب الخمر ونحوها ممّا يعثر عليه المتتبّع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موارد حقوق الناس وغيرها من الموارد الكثيرة المختلفة موجبة لإلغاء الخصوصية عرفاً ؛ لأنّ العرف يرى أنّ ثبوت تلك الأحكام كالقطع والقتل والحدّ ، إنّما هو لثبوت موضوعاتها بالبيّنة من غير دخالة لخصوصية الموضوع أو الحكم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دعوى الجزم باعتبارها في مثل النجاسة والطهارة من غير المعظّمات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ثبوت تلك المعظّمات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جزاف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مضافاً إلى موثّقة مَسْعدة بن صدقة ، عن أبي عبداللّه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شيء هو لك حلال حتّى تعلم أ نّه حرام بعينه ، فتدعه من قِبل نفسك ، وذلك مثل الثوب عليك قد اشتريته وهو سرقة ، والمملوك عندك ولعلّه حرّ قد باع نفسه ، أو خدع فبيع قهراً ، أو امرأة تحتك وهي اُختك أو رضيعتك ، والأشياء كلّها على هذا حتّى يستبين لك غير ذلك ، أو تقوم به البيّنة</w:t>
      </w:r>
      <w:r>
        <w:rPr>
          <w:rFonts w:eastAsia="IRNazanin" w:cs="IRNazanin"/>
          <w:color w:val="111111"/>
          <w:sz w:val="28"/>
          <w:szCs w:val="28"/>
          <w:rtl w:val="true"/>
          <w:lang w:bidi="fa-IR"/>
        </w:rPr>
        <w:t>»</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الرواية احتمالان </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فهموا منها ؛ وهو أنّ كلّ شيء لك حلال حتّى تعرف الحرام بعينه ؛ سواء كان من قبيل الأمثلة ممّا قامت أمارة عقلائية وشرعية على حلّيتها أم لا ، فإنّ الأمارة لا توجب العلم الوجداني بالحلّية ، فيصحّ انسلاك موردها فيما لا يعلم ، وذكر خصوص تلك الأمثلة إنّما هو من باب الاتّفاق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ثمّ عقّبها بقاعدة كلّية شاملة لمواردها وغيرها ؛ هي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والأشياء كلّها على هذا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إلى آخره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والمراد بالاستبانة المقابلة للبيّنة إن كان خصوص العلم الوجداني ، فاختصاصهما بالذكر لكونهما أوضح مصاديق ما يثبت به الموضوع ، فلا ينافي ثبوته بغيرهما ، كإخبار ذي اليد والاستصحاب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المراد بها مطلق الأمارات والاُصول المحرزة ، فاختصاص البيّنة بالذكر لكونها أوضح مصاديق ما جعله الشارع حجّة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قيامها على السرقة والحرّية والاُختية ونحوها من الموضوعات التي تقوم عليها البيّنة عادة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أنّ المراد قيامها على الحكم ، فاسد جدّاً مخالف لظاهر الرواية ، وللمعهود من قيامها على الموضوعات فتترتّب عليها الأحكام ، لا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شبهة في عدم فهم خصوصية للموضوعات التي تترتّب عليها الحرمة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دلالة لها على حجّية البيّنة فيما يترتّب عليه حكم وجوبي ؛ لأنّ المستفاد منها أنّ تمام الملاك لثبوت الموضوع قيام البيّنة ، سيّما مع كونها أمارة عقلائية مضاعفة ، فإنّ خبر الثقة أيضاً أمارة عقلائية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كانت للبيّنة حيثية الأمارية ، فلا يفهم العرف من قاطعيتها للحلّية إلاّ لأماريتها على الواقع وثبوته بها ؛ من غير خصوصية للموضوعات أو الأحكام المترتّبة عليها ، خصوصاً مع جعلها عدلاً للاستبانة </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والاحتمال الثاني الذي يمكن أن يكون ثقيلاً على الأسماع ابتداءً ، وليس بعيداً بعد التنبّه لخصوصيات الرواية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المراد بقوله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 شيء هو لك </w:t>
      </w:r>
    </w:p>
    <w:p>
      <w:pPr>
        <w:pStyle w:val="BookText"/>
        <w:rPr/>
      </w:pP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هو لك بحسب ظاهر الشرع حلال ، فيكون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قيود الشيء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خبره ، وتشهد لهذا اُمور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خلال الكلام ، وهو غير مناسب لبيان حلّية المجهول ، كما هو غير مذكور في الروايات التي سيقت لبيان حلّيته</w:t>
      </w:r>
      <w:r>
        <w:rPr>
          <w:rStyle w:val="FootnoteAnchor"/>
          <w:rtl w:val="true"/>
        </w:rPr>
        <w:footnoteReference w:id="835"/>
      </w:r>
      <w:r>
        <w:rPr>
          <w:rFonts w:ascii="Amiri" w:hAnsi="Amiri" w:eastAsia="Amiri" w:cs="Amiri"/>
          <w:color w:val="111111"/>
          <w:sz w:val="28"/>
          <w:sz w:val="28"/>
          <w:szCs w:val="28"/>
          <w:rtl w:val="true"/>
          <w:lang w:bidi="ar-SA"/>
        </w:rPr>
        <w:t xml:space="preserve">، فنكتة ذكر الضمير لعلّها لإفادة خصوصية زائدة ؛ هي تقييد الشيء بكونه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وذلك مثل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كذا وكذا ، فإنّ الظاهر منه أنّ له عناية خاصّة بالأمثلة التي ذكرها ، ولها نحو اختصاص بالحكم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الأمثلة التي كلّها من قبيل ما تقدّم من كون الموضوع ممّا يختصّ به بحسب أمارة شرعية ، كاليد ، أو أصالة الصحّة ، أو الاستصحاب ، فذكر خصوص تلك الأمثلة التي ليست واحدة منها من مورد كون الشكّ موجباً للحلّية ، يؤكّد ما ذكرناه ، بل يدلّ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لسان الرواية بناءً على الاحتمال الأوّل لسان الأصل ، وهو لا يناسب الأمثلة المذكورة ، وأمّا بناءً على الاحتمال الثاني فليس المنظور جعل الحكم الظاهري حتّى لا يناسبها ، بل أمر آخر يأتي بيانه </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 العلم الوجداني والبيّنة بالذكر ، فإنّ الظاهر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 البيّنة هو العلم الوجداني ، فحملها على الأعمّ خلاف الظاهر المتفاهم منها ، فعليه تكون الرواية بصدد بيان أنّ ما هو لك بحسب الأمارات الشرعية </w:t>
      </w:r>
    </w:p>
    <w:p>
      <w:pPr>
        <w:pStyle w:val="BookText"/>
        <w:rPr/>
      </w:pPr>
      <w:r>
        <w:rPr>
          <w:rFonts w:ascii="Amiri" w:hAnsi="Amiri" w:eastAsia="Amiri" w:cs="Amiri"/>
          <w:color w:val="111111"/>
          <w:sz w:val="28"/>
          <w:sz w:val="28"/>
          <w:szCs w:val="28"/>
          <w:rtl w:val="true"/>
          <w:lang w:bidi="ar-SA"/>
        </w:rPr>
        <w:t xml:space="preserve">ونحوها ، لا تنقطع حلّيته إلاّ بالعلم الوجداني وخصوص البيّنة من بين الأمارات ، وليست بصدد بيان الحكم الظاهري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ففقه الحديث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هو بحسب ظاهر الشرع لك ومختصّ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كالثوب الذي اشتريته واحتمل أن يكون سرقة ، والمملوك الذي تحت يدك ومحكوم بملكيتك واحتمل حرّيته ، والامرأة التي تحتك واحتمل كونها اُختك أو رضيعتك ، مع أنّ اليدَ وأصالةَ الصحّة بل والاستصحابَ الموضوعي في الرضيعة بل في الاُخت على فرض جريانه في الأعدام الأزلية ، كلّ يقتضي كونها زوجتك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حلال لك لا تنقطع حلّيته إلاّ بأمرين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الوجداني ، والبيّنة ، دون</w:t>
      </w:r>
    </w:p>
    <w:p>
      <w:pPr>
        <w:pStyle w:val="BookText"/>
        <w:rPr/>
      </w:pPr>
      <w:r>
        <w:rPr>
          <w:rFonts w:ascii="IRNazanin" w:hAnsi="IRNazanin" w:eastAsia="IRNazanin"/>
          <w:color w:val="111111"/>
          <w:sz w:val="28"/>
          <w:sz w:val="28"/>
          <w:szCs w:val="28"/>
          <w:rtl w:val="true"/>
          <w:lang w:bidi="fa-IR"/>
        </w:rPr>
        <w:t xml:space="preserve">سائر الأمارات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الاحتمال وإن كان بعيداً ابتداءً ؛ لاُنس الأذهان بأنّ مثل العبارة سيقت</w:t>
      </w:r>
    </w:p>
    <w:p>
      <w:pPr>
        <w:pStyle w:val="BookText"/>
        <w:rPr/>
      </w:pPr>
      <w:r>
        <w:rPr>
          <w:rFonts w:ascii="IRNazanin" w:hAnsi="IRNazanin" w:eastAsia="IRNazanin"/>
          <w:color w:val="111111"/>
          <w:sz w:val="28"/>
          <w:sz w:val="28"/>
          <w:szCs w:val="28"/>
          <w:rtl w:val="true"/>
          <w:lang w:bidi="fa-IR"/>
        </w:rPr>
        <w:t xml:space="preserve">في سائر الروايات لبيان الحكم الظاهري ، لكن بعد التأمّل في الجهات المتقدّمة لا يبعد أن يكون أظهر من الأوّل ، ولا أقلّ من مساواته له في رفع الإشكال به عن الرواية ، فيكون حينئذٍ المراد من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والأشياء كلّها على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كلّ شيء من قبيل الأمثلة ، لا جميع الأشياء </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تثبت على هذا الاحتمال أيضاً حجّية البيّنة مطلقاً ؛ ضرورة أنّ جعلها عِدلاً للعلم في قطع الاُصول والأمارات العقلائية والشرعية المخالفة لها ، موجب لاستظهار كونها أقوى الأمارات في إثبات الموضوعات ، واحتمال دخالة خصوصية قيام الأمارة على خلافها في حجّيتها ، مدفوع بالقطع ومخالفته لفهم العقلاء ، فالمستفاد منها أنّ البيّنة عِدل العلم في إثبات الموضوعات حتّى مع قيام الأمارات على خلافها </w:t>
      </w:r>
      <w:r>
        <w:rPr>
          <w:rFonts w:eastAsia="Amiri" w:cs="Amiri" w:ascii="Amiri" w:hAnsi="Amiri"/>
          <w:color w:val="111111"/>
          <w:sz w:val="28"/>
          <w:szCs w:val="28"/>
          <w:rtl w:val="true"/>
          <w:lang w:bidi="ar-SA"/>
        </w:rPr>
        <w:t xml:space="preserve">. </w:t>
      </w:r>
      <w:bookmarkStart w:id="330" w:name="pg15030_143241"/>
    </w:p>
    <w:p>
      <w:pPr>
        <w:pStyle w:val="BookText"/>
        <w:rPr/>
      </w:pPr>
      <w:bookmarkEnd w:id="330"/>
      <w:r>
        <w:rPr>
          <w:rFonts w:ascii="Amiri" w:hAnsi="Amiri" w:eastAsia="Amiri" w:cs="Amiri"/>
          <w:color w:val="111111"/>
          <w:sz w:val="28"/>
          <w:sz w:val="28"/>
          <w:szCs w:val="28"/>
          <w:rtl w:val="true"/>
          <w:lang w:bidi="ar-SA"/>
        </w:rPr>
        <w:t xml:space="preserve">وتدلّ على ثبوتها بها أيضاً رواية عبداللّه بن سليمان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لك حلال حتّى يجيئك شاهدان يشهدان أنّ فيه ميتة</w:t>
      </w:r>
      <w:r>
        <w:rPr>
          <w:rFonts w:eastAsia="Amiri" w:cs="Amiri" w:ascii="Amiri" w:hAnsi="Amiri"/>
          <w:color w:val="111111"/>
          <w:sz w:val="28"/>
          <w:szCs w:val="28"/>
          <w:rtl w:val="true"/>
          <w:lang w:bidi="ar-SA"/>
        </w:rPr>
        <w:t>»</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1" w:name="__RefHeading___Toc212854_2142443653"/>
      <w:bookmarkStart w:id="332" w:name="_Toc119"/>
      <w:bookmarkEnd w:id="331"/>
      <w:r>
        <w:rPr>
          <w:rtl w:val="true"/>
        </w:rPr>
        <w:t>في عدم ثبوت النجاسة وسائر الموضوعات بخبر الثقة</w:t>
      </w:r>
      <w:bookmarkEnd w:id="332"/>
    </w:p>
    <w:p>
      <w:pPr>
        <w:pStyle w:val="BookText"/>
        <w:rPr/>
      </w:pPr>
      <w:r>
        <w:rPr>
          <w:rFonts w:ascii="Amiri" w:hAnsi="Amiri" w:eastAsia="Amiri" w:cs="Amiri"/>
          <w:color w:val="111111"/>
          <w:sz w:val="28"/>
          <w:sz w:val="28"/>
          <w:szCs w:val="28"/>
          <w:rtl w:val="true"/>
          <w:lang w:bidi="ar-SA"/>
        </w:rPr>
        <w:t>وهل يثبت النجاسة بل سائر الموضوعات بخبر الثقة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837"/>
      </w:r>
      <w:r>
        <w:rPr>
          <w:rFonts w:ascii="Amiri" w:hAnsi="Amiri" w:eastAsia="Amiri" w:cs="Amiri"/>
          <w:color w:val="111111"/>
          <w:sz w:val="28"/>
          <w:sz w:val="28"/>
          <w:szCs w:val="28"/>
          <w:rtl w:val="true"/>
          <w:lang w:bidi="ar-SA"/>
        </w:rPr>
        <w:t xml:space="preserve">؛ تمسّكاً باستقرار سيرة العقلاء على العمل به ، ولم يثبت الردع من الشارع ، بل ثبت الإنفاذ في أخذ الأحكام والأخبار من الثقات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من الأخبار الواردة في هذا المضمار أنّ الشارع لم يؤسّس حكماً بل أنفذ ما لدى العقلاء من الأخذ عن الثقات ، ولا فرق في نظر العقل والعقلاء بين الأحكام وموضوعاتها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ورد الردع في بعض الموارد ، كأبواب الخصومات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الاستدلال للمطلوب بموثّقة مَسْعدة المتقدّمة</w:t>
      </w:r>
      <w:r>
        <w:rPr>
          <w:rStyle w:val="FootnoteAnchor"/>
          <w:rtl w:val="true"/>
        </w:rPr>
        <w:footnoteReference w:id="838"/>
      </w:r>
      <w:r>
        <w:rPr>
          <w:rFonts w:ascii="Amiri" w:hAnsi="Amiri" w:eastAsia="Amiri" w:cs="Amiri"/>
          <w:color w:val="111111"/>
          <w:sz w:val="28"/>
          <w:sz w:val="28"/>
          <w:szCs w:val="28"/>
          <w:rtl w:val="true"/>
          <w:lang w:bidi="ar-SA"/>
        </w:rPr>
        <w:t xml:space="preserve">؛ بدعوى أنّ الاستبانة أعمّ من العلم وغيره ، كخبر الثقة ، وإنّما خصّت البيّنة بالذكر لكونها أوضح الطرق الشرعية ، لا لخصوصية فيها </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وتشهد له أيضاً الأخبار الواردة في أبواب مختلفة ، مثل صحيحة هشام بن سالم ، عن أبي عبداللّه علیه السلام ، وفيها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الوكيل أمضى الأمر قبل أن يعلم العزل أو يبلغه أ نّه قد عزل عن الوكالة ، فالأمر على ما أمضاه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بلغه العزل قبل أن يمضي الأمر ، ثمّ ذهب حتّى أمضاه ، لم يكن ذلك بشيء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 إنّ الوكيل إذا وكّل ثمّ قام عن المجلس ، فأمره ماضٍ أبداً ، والوكالة ثابتة ؛ حتّى يبلغه العزل عن الوكالة بثقة يبلغه ، أو يشافه بالعزل عن الوكالة</w:t>
      </w:r>
      <w:r>
        <w:rPr>
          <w:rFonts w:eastAsia="Amiri" w:cs="Amiri" w:ascii="Amiri" w:hAnsi="Amiri"/>
          <w:color w:val="111111"/>
          <w:sz w:val="28"/>
          <w:szCs w:val="28"/>
          <w:rtl w:val="true"/>
          <w:lang w:bidi="ar-SA"/>
        </w:rPr>
        <w:t>»</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وموثّقةِ إسحاق بن عمّار ،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كانت له عندي دنانير ، وكان مريضاً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حدث بي حدث فأعط فلاناً عشرين ديناراً ، وأعط أخي بقيّة الدنانير ، فمات ولم أشهد موته ، فأتاني رجل مسلم صادق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أمرني أن أقول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الدنانير التي أمرتك أن تدفعها إلى أخي ، فتصدّق منها بعشرة دنانير ؛ اقسمها في المسلمين ، ولم يعلم أخوه أنّ عندي شيئاً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أرى أن تصدّق منها بعشرة دنانير</w:t>
      </w:r>
      <w:r>
        <w:rPr>
          <w:rFonts w:eastAsia="IRNazanin" w:cs="IRNazanin"/>
          <w:color w:val="111111"/>
          <w:sz w:val="28"/>
          <w:szCs w:val="28"/>
          <w:rtl w:val="true"/>
          <w:lang w:bidi="fa-IR"/>
        </w:rPr>
        <w:t>»</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سَماعة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تزوّج امرأة أو تمتّع بها ، فحدّثه رجل</w:t>
      </w:r>
    </w:p>
    <w:p>
      <w:pPr>
        <w:pStyle w:val="BookText"/>
        <w:rPr/>
      </w:pPr>
      <w:r>
        <w:rPr>
          <w:rFonts w:ascii="Amiri" w:hAnsi="Amiri" w:eastAsia="Amiri" w:cs="Amiri"/>
          <w:color w:val="111111"/>
          <w:sz w:val="28"/>
          <w:sz w:val="28"/>
          <w:szCs w:val="28"/>
          <w:rtl w:val="true"/>
          <w:lang w:bidi="ar-SA"/>
        </w:rPr>
        <w:t xml:space="preserve">ثقة أو غير ثقة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امرأتي ، وليست لي بيّنة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ثقة فلا يقربها ، وإن كان غير ثقة فلا يقبل</w:t>
      </w:r>
      <w:r>
        <w:rPr>
          <w:rFonts w:eastAsia="Amiri" w:cs="Amiri" w:ascii="Amiri" w:hAnsi="Amiri"/>
          <w:color w:val="111111"/>
          <w:sz w:val="28"/>
          <w:szCs w:val="28"/>
          <w:rtl w:val="true"/>
          <w:lang w:bidi="ar-SA"/>
        </w:rPr>
        <w:t>»</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والأخبارِ الدالّة على جواز الاعتماد على أذان الثقة</w:t>
      </w:r>
      <w:r>
        <w:rPr>
          <w:rStyle w:val="FootnoteAnchor"/>
          <w:rtl w:val="true"/>
        </w:rPr>
        <w:footnoteReference w:id="842"/>
      </w:r>
      <w:r>
        <w:rPr>
          <w:rFonts w:ascii="IRNazanin" w:hAnsi="IRNazanin" w:eastAsia="IRNazanin"/>
          <w:color w:val="111111"/>
          <w:sz w:val="28"/>
          <w:sz w:val="28"/>
          <w:szCs w:val="28"/>
          <w:rtl w:val="true"/>
          <w:lang w:bidi="fa-IR"/>
        </w:rPr>
        <w:t xml:space="preserve">وما دلّت على جواز </w:t>
      </w:r>
    </w:p>
    <w:p>
      <w:pPr>
        <w:pStyle w:val="BookText"/>
        <w:rPr/>
      </w:pPr>
      <w:r>
        <w:rPr>
          <w:rFonts w:ascii="Amiri" w:hAnsi="Amiri" w:eastAsia="Amiri" w:cs="Amiri"/>
          <w:color w:val="111111"/>
          <w:sz w:val="28"/>
          <w:sz w:val="28"/>
          <w:szCs w:val="28"/>
          <w:rtl w:val="true"/>
          <w:lang w:bidi="ar-SA"/>
        </w:rPr>
        <w:t xml:space="preserve">وطي الأمة بغير استبراء إذا كان البائع ثقة أميناً </w:t>
      </w:r>
      <w:r>
        <w:rPr>
          <w:rStyle w:val="FootnoteAnchor"/>
          <w:rtl w:val="true"/>
        </w:rPr>
        <w:footnoteReference w:id="843"/>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وصحيحةِ ابن سِنان ، عن أبي عبداللّه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اغتسل أبي من الجنابة ،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أبقيت لُمعة في ظهرك لم يصبها الماء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عليك لو سكتّ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مسح تلك اللُمعة بيده</w:t>
      </w:r>
      <w:r>
        <w:rPr>
          <w:rFonts w:eastAsia="IRNazanin" w:cs="IRNazanin"/>
          <w:color w:val="111111"/>
          <w:sz w:val="28"/>
          <w:szCs w:val="28"/>
          <w:rtl w:val="true"/>
          <w:lang w:bidi="fa-IR"/>
        </w:rPr>
        <w:t>»</w:t>
      </w:r>
      <w:r>
        <w:rPr>
          <w:rStyle w:val="FootnoteAnchor"/>
          <w:rtl w:val="true"/>
        </w:rPr>
        <w:footnoteReference w:id="844"/>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الجميع نظر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استقرار سيرة العقلاء ، فمسلّم ، لكن مع ما نرى من اعتبار البيّنة في موارد كثيرة لا تحصى ، لا يبقى وثوق بها ؛ فإنّها بنفسها ليست بحجّة ، ومع ورود الردع في تلك الموارد لا يمكن استكشاف عدمه في الموارد المشكوك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للموارد المردوعة خصوصيات ، كباب الخصومات ؛ فإنّ غالب مواردها قامت أمارة شرعية على أمر يراد دفعها ، فلا بدّ وأن تكون الأمارة الدافعة أقوى منها ، ولهذا اعتبرت فيها البيّنة لقطعها ، وفي موارد الحدود ونحوها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يكون للشارع الأقدس مزيد عناية بعدم ثبوتها ، ومحفوظيةِ عِرض المسلم ودمه ، ولهذا تدرأ بالشبهات ، ولا يعتنى في بعض الموارد بإقرار المرتكب مرّة أو مرّتين أو أزيد ، فردع الشارع في تلك الموارد المهمّة ، لا يدلّ على ردعه في سائر الموارد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نَقْل الشهرة على عدم اعتبار خبر الثقة فيما نحن فيه</w:t>
      </w:r>
      <w:r>
        <w:rPr>
          <w:rStyle w:val="FootnoteAnchor"/>
          <w:rtl w:val="true"/>
        </w:rPr>
        <w:footnoteReference w:id="845"/>
      </w:r>
      <w:r>
        <w:rPr>
          <w:rFonts w:ascii="Amiri" w:hAnsi="Amiri" w:eastAsia="Amiri" w:cs="Amiri"/>
          <w:color w:val="111111"/>
          <w:sz w:val="28"/>
          <w:sz w:val="28"/>
          <w:szCs w:val="28"/>
          <w:rtl w:val="true"/>
          <w:lang w:bidi="ar-SA"/>
        </w:rPr>
        <w:t>، وكذا نَقْلها بل نَقْل الإجماع في الموارد التي ورد فيها الخبر بالخصوص باعتبار خبر الثقة ، على عدم الثبوت به ، كمورد عزل الوكيل</w:t>
      </w:r>
      <w:r>
        <w:rPr>
          <w:rStyle w:val="FootnoteAnchor"/>
          <w:rtl w:val="true"/>
        </w:rPr>
        <w:footnoteReference w:id="846"/>
      </w:r>
      <w:r>
        <w:rPr>
          <w:rFonts w:ascii="Amiri" w:hAnsi="Amiri" w:eastAsia="Amiri" w:cs="Amiri"/>
          <w:color w:val="111111"/>
          <w:sz w:val="28"/>
          <w:sz w:val="28"/>
          <w:szCs w:val="28"/>
          <w:rtl w:val="true"/>
          <w:lang w:bidi="ar-SA"/>
        </w:rPr>
        <w:t>، ومورد الوصيّة</w:t>
      </w:r>
      <w:r>
        <w:rPr>
          <w:rStyle w:val="FootnoteAnchor"/>
          <w:rtl w:val="true"/>
        </w:rPr>
        <w:footnoteReference w:id="847"/>
      </w:r>
      <w:r>
        <w:rPr>
          <w:rFonts w:ascii="Amiri" w:hAnsi="Amiri" w:eastAsia="Amiri" w:cs="Amiri"/>
          <w:color w:val="111111"/>
          <w:sz w:val="28"/>
          <w:sz w:val="28"/>
          <w:szCs w:val="28"/>
          <w:rtl w:val="true"/>
          <w:lang w:bidi="ar-SA"/>
        </w:rPr>
        <w:t>، ومورد أذان الثقة</w:t>
      </w:r>
      <w:r>
        <w:rPr>
          <w:rStyle w:val="FootnoteAnchor"/>
          <w:rtl w:val="true"/>
        </w:rPr>
        <w:footnoteReference w:id="848"/>
      </w:r>
      <w:r>
        <w:rPr>
          <w:rFonts w:ascii="Amiri" w:hAnsi="Amiri" w:eastAsia="Amiri" w:cs="Amiri"/>
          <w:color w:val="111111"/>
          <w:sz w:val="28"/>
          <w:sz w:val="28"/>
          <w:szCs w:val="28"/>
          <w:rtl w:val="true"/>
          <w:lang w:bidi="ar-SA"/>
        </w:rPr>
        <w:t>، ممّا تأتي الإشارة إليه</w:t>
      </w:r>
      <w:r>
        <w:rPr>
          <w:rStyle w:val="FootnoteAnchor"/>
          <w:rtl w:val="true"/>
        </w:rPr>
        <w:footnoteReference w:id="849"/>
      </w:r>
      <w:r>
        <w:rPr>
          <w:rFonts w:ascii="Amiri" w:hAnsi="Amiri" w:eastAsia="Amiri" w:cs="Amiri"/>
          <w:color w:val="111111"/>
          <w:sz w:val="28"/>
          <w:sz w:val="28"/>
          <w:szCs w:val="28"/>
          <w:rtl w:val="true"/>
          <w:lang w:bidi="ar-SA"/>
        </w:rPr>
        <w:t xml:space="preserve">، ربّما توجب الوثوق بمعهودية عدم اعتباره في الموضوعات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موثّقة مَسْعدة</w:t>
      </w:r>
      <w:r>
        <w:rPr>
          <w:rStyle w:val="FootnoteAnchor"/>
          <w:rtl w:val="true"/>
        </w:rPr>
        <w:footnoteReference w:id="850"/>
      </w:r>
      <w:r>
        <w:rPr>
          <w:rFonts w:ascii="Amiri" w:hAnsi="Amiri" w:eastAsia="Amiri" w:cs="Amiri"/>
          <w:color w:val="111111"/>
          <w:sz w:val="28"/>
          <w:sz w:val="28"/>
          <w:szCs w:val="28"/>
          <w:rtl w:val="true"/>
          <w:lang w:bidi="ar-SA"/>
        </w:rPr>
        <w:t>ظاهرة في الردع عنه ؛ بناءً على ما هو المعروف في معناها ، أي الاحتمال الأوّل من الاحتمالين المتقدّمين ؛ فإنّ الظاهر أنّ الغاية</w:t>
      </w:r>
    </w:p>
    <w:p>
      <w:pPr>
        <w:pStyle w:val="BookText"/>
        <w:rPr/>
      </w:pPr>
      <w:r>
        <w:rPr>
          <w:rFonts w:ascii="Amiri" w:hAnsi="Amiri" w:eastAsia="Amiri" w:cs="Amiri"/>
          <w:color w:val="111111"/>
          <w:sz w:val="28"/>
          <w:sz w:val="28"/>
          <w:szCs w:val="28"/>
          <w:rtl w:val="true"/>
          <w:lang w:bidi="ar-SA"/>
        </w:rPr>
        <w:t>للحلّ مطلقاً البيّنة ، فلو كان خبر الثقة مثبتاً للموضوع ، كان اعتبار البيّنة بلا وجه ؛ فإنّ معنى اعتبارها أن يكون كلّ واحد من الشاهدين جزء الموضوع للإثبات ، ومقتضى ثبوته بخبر الثقة أ نّه تمام الموضوع ، فلا يمكن الجمع بينهما في الجعل ، فالقول بأنّ الاستبانة أعمّ من العلم وخبر الثقة</w:t>
      </w:r>
      <w:r>
        <w:rPr>
          <w:rStyle w:val="FootnoteAnchor"/>
          <w:rtl w:val="true"/>
        </w:rPr>
        <w:footnoteReference w:id="851"/>
      </w:r>
      <w:r>
        <w:rPr>
          <w:rFonts w:ascii="Amiri" w:hAnsi="Amiri" w:eastAsia="Amiri" w:cs="Amiri"/>
          <w:color w:val="111111"/>
          <w:sz w:val="28"/>
          <w:sz w:val="28"/>
          <w:szCs w:val="28"/>
          <w:rtl w:val="true"/>
          <w:lang w:bidi="ar-SA"/>
        </w:rPr>
        <w:t xml:space="preserve">، ضعيف غايته ؛ ضرورة لغوية جعل البيّنة حينئذٍ غايةً </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بالبيّنة شاهدا عدل ولو لم يكونا ثقتين من غير جهة الكذب ، بل من جهته أيضاً ، فإنّ ظهور الصلاح كاشف تعبّدي عن العدالة ، فحينئذٍ يكون </w:t>
      </w:r>
    </w:p>
    <w:p>
      <w:pPr>
        <w:pStyle w:val="BookText"/>
        <w:rPr/>
      </w:pPr>
      <w:r>
        <w:rPr>
          <w:rFonts w:ascii="Amiri" w:hAnsi="Amiri" w:eastAsia="Amiri" w:cs="Amiri"/>
          <w:color w:val="111111"/>
          <w:sz w:val="28"/>
          <w:sz w:val="28"/>
          <w:szCs w:val="28"/>
          <w:rtl w:val="true"/>
          <w:lang w:bidi="ar-SA"/>
        </w:rPr>
        <w:t xml:space="preserve">خبر الثقة في مقابل البيّنة ، لا جزءها حتّى يرد الإشكال العقلي ، فالبيّنة إحدى طرق الإثبات ، وهي شاهدا عدل ثبت عدالتهما بظهور الصلاح ولو لم نثق بهما من جهة الاحتراز عن الكذب ، أو من جهة الغفلة والخطأ ، وخبر 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يكن عدلاً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آخر له مباين لها ، لا مداخل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قلنا باعتبار خبر واحد عدل ، لتطرّق الإشكال المتقدّم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نمنع عدم اعتبار الوثوق من جهة احتمال الغفلة والخطأ في البيّنة ؛ فإنّ الشاهدين إذا كانا من متعارف الناس ، تجري فيهما أصالة عدم الخطأ والغفلة لدى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يكونا كذلك ، وكان الغالب عليهما الاشتباه والخطأ ، أو كانا بحيث لم يتّكل عليهما العقلاء ، ولم تجرِ في حقّهما الاُصول العقلائية ، لا تعتبر شهادتهما ، وتكون أدلّة اعتبار البيّنة منصرفة عن مثلهما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ملازمة ظهور 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المعتبر في الكاشف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للوثوق النوعي بالاحتراز عن الكذب ، والوثوق الشخصي غير معتبر ؛ لا في البيّنة ، ولا في خبر الثقة ، ومع عدم حصول الوثوق النوعي لجهة من الجهات في الشاهدين ، فلا محالة تكون تلك الجهة منافية لظهور الصلاح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إطلاق الموثّقة ، يقتضي اعتبار التعدّد ولو كان الشاهدان موثّقين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وحملها على خصوص غير الموثّق مع كون العدلين موثوقاً بهما نوعاً ، كما ترى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الموثّقة رادعة عن العمل بخبر الثقة في الموضوعات ، ومن هنا ظهر ضعف التمسّك بها لإثبات اعتبار خبر الثقة ، كما هو واضح </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بناءً على الاحتمال الثاني لا تكون الموثّقة رادعة إلاّ عن الموارد </w:t>
      </w:r>
    </w:p>
    <w:p>
      <w:pPr>
        <w:pStyle w:val="BookText"/>
        <w:rPr/>
      </w:pPr>
      <w:r>
        <w:rPr>
          <w:rFonts w:ascii="Amiri" w:hAnsi="Amiri" w:eastAsia="Amiri" w:cs="Amiri"/>
          <w:color w:val="111111"/>
          <w:sz w:val="28"/>
          <w:sz w:val="28"/>
          <w:szCs w:val="28"/>
          <w:rtl w:val="true"/>
          <w:lang w:bidi="ar-SA"/>
        </w:rPr>
        <w:t>التي قامت أمارة على إحراز موضوع ، ويراد إثبات خلافها ، نظير الأمثلة المتقدّمة</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الروايات المستشهد بها ، فمع كونها في موارد خاصّة لا يمكن إثبات سائر الموارد بها ، سيّما مع البناء على كون الموثّقة رادعة ، وسيّما مع قلّة العامل</w:t>
      </w:r>
    </w:p>
    <w:p>
      <w:pPr>
        <w:pStyle w:val="BookText"/>
        <w:rPr/>
      </w:pPr>
      <w:r>
        <w:rPr>
          <w:rFonts w:ascii="Amiri" w:hAnsi="Amiri" w:eastAsia="Amiri" w:cs="Amiri"/>
          <w:color w:val="111111"/>
          <w:sz w:val="28"/>
          <w:sz w:val="28"/>
          <w:szCs w:val="28"/>
          <w:rtl w:val="true"/>
          <w:lang w:bidi="ar-SA"/>
        </w:rPr>
        <w:t xml:space="preserve">بها على الظاهر ، كما 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عدم ثبوت العزل بخبر العدل</w:t>
      </w:r>
      <w:r>
        <w:rPr>
          <w:rStyle w:val="FootnoteAnchor"/>
          <w:rtl w:val="true"/>
        </w:rPr>
        <w:footnoteReference w:id="853"/>
      </w:r>
      <w:r>
        <w:rPr>
          <w:rFonts w:ascii="Amiri" w:hAnsi="Amiri" w:eastAsia="Amiri" w:cs="Amiri"/>
          <w:color w:val="111111"/>
          <w:sz w:val="28"/>
          <w:sz w:val="28"/>
          <w:szCs w:val="28"/>
          <w:rtl w:val="true"/>
          <w:lang w:bidi="ar-SA"/>
        </w:rPr>
        <w:t>، وظهور الكتاب والسنّة في عدم ثبوت الوصيّة إلاّ</w:t>
      </w:r>
    </w:p>
    <w:p>
      <w:pPr>
        <w:pStyle w:val="BookText"/>
        <w:rPr/>
      </w:pPr>
      <w:r>
        <w:rPr>
          <w:rFonts w:ascii="Amiri" w:hAnsi="Amiri" w:eastAsia="Amiri" w:cs="Amiri"/>
          <w:color w:val="111111"/>
          <w:sz w:val="28"/>
          <w:sz w:val="28"/>
          <w:szCs w:val="28"/>
          <w:rtl w:val="true"/>
          <w:lang w:bidi="ar-SA"/>
        </w:rPr>
        <w:t>بشاهدين عدلين</w:t>
      </w:r>
      <w:r>
        <w:rPr>
          <w:rStyle w:val="FootnoteAnchor"/>
          <w:rtl w:val="true"/>
        </w:rPr>
        <w:footnoteReference w:id="854"/>
      </w:r>
      <w:r>
        <w:rPr>
          <w:rFonts w:ascii="Amiri" w:hAnsi="Amiri" w:eastAsia="Amiri" w:cs="Amiri"/>
          <w:color w:val="111111"/>
          <w:sz w:val="28"/>
          <w:sz w:val="28"/>
          <w:szCs w:val="28"/>
          <w:rtl w:val="true"/>
          <w:lang w:bidi="ar-SA"/>
        </w:rPr>
        <w:t>، بل أرسل الأصحاب إرسال المسلّمات عدم ثبوت شيء من الوصيّة بإخبار رجل عدل</w:t>
      </w:r>
      <w:r>
        <w:rPr>
          <w:rStyle w:val="FootnoteAnchor"/>
          <w:rtl w:val="true"/>
        </w:rPr>
        <w:footnoteReference w:id="855"/>
      </w:r>
      <w:r>
        <w:rPr>
          <w:rFonts w:ascii="Amiri" w:hAnsi="Amiri" w:eastAsia="Amiri" w:cs="Amiri"/>
          <w:color w:val="111111"/>
          <w:sz w:val="28"/>
          <w:sz w:val="28"/>
          <w:szCs w:val="28"/>
          <w:rtl w:val="true"/>
          <w:lang w:bidi="ar-SA"/>
        </w:rPr>
        <w:t>؛ وإن ثبت الربع منها بإخبار مرأة ، والربعين بمرأتين ، وثلاثة أرباع بثلاث للنصّ</w:t>
      </w:r>
      <w:r>
        <w:rPr>
          <w:rStyle w:val="FootnoteAnchor"/>
          <w:rtl w:val="true"/>
        </w:rPr>
        <w:footnoteReference w:id="856"/>
      </w:r>
      <w:r>
        <w:rPr>
          <w:rFonts w:ascii="Amiri" w:hAnsi="Amiri" w:eastAsia="Amiri" w:cs="Amiri"/>
          <w:color w:val="111111"/>
          <w:sz w:val="28"/>
          <w:sz w:val="28"/>
          <w:szCs w:val="28"/>
          <w:rtl w:val="true"/>
          <w:lang w:bidi="ar-SA"/>
        </w:rPr>
        <w:t>فضلاً عن ثبوت التمام به ، وعدم عمل المشهور بالأخبار الواردة في أذان الثقة في حال إمكان العلم</w:t>
      </w:r>
      <w:r>
        <w:rPr>
          <w:rStyle w:val="FootnoteAnchor"/>
          <w:rtl w:val="true"/>
        </w:rPr>
        <w:footnoteReference w:id="857"/>
      </w:r>
      <w:r>
        <w:rPr>
          <w:rFonts w:ascii="Amiri" w:hAnsi="Amiri" w:eastAsia="Amiri" w:cs="Amiri"/>
          <w:color w:val="111111"/>
          <w:sz w:val="28"/>
          <w:sz w:val="28"/>
          <w:szCs w:val="28"/>
          <w:rtl w:val="true"/>
          <w:lang w:bidi="ar-SA"/>
        </w:rPr>
        <w:t xml:space="preserve">، ومع عدمه يكون مطلق الظنّ حجّة يثبت به الوقت </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المحتمل في خبر عزل الوكيل ، أنّ العزل المحقّق واقعاً إذا بلغ بثقة ، ينعزل الوكيل به ، لا لأجل ثبوت العزل به ، بل لبلوغه ، ففرق بين ثبوت العزل به عند الشكّ فيه ، وبين بلوغ العزل المحقّق بثقة ، فالأوّل محطّ البحث هاهنا ، والثاني مورد دلالة الخبر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العزل الواقعي لا يكون موضوع حكم حتّى يكون خبر الثقة مثبتاً له ، بل الموضوع للحكم بلوغ العزل بثقة ؛ على أن يكون كلّ من العزل والبلوغ جزءاً للموضوع ، وهو أجنبيّ عمّا نحن بصدده ، ولا دليل على أنّ أحد الجزءين مثبت للجزء الآخر ؛ وبهذا اللحاظ يكون موضوعاً له ، فتدبّر تعرف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والمحتمل في خبر الوصيّة، أنّ الوصيّ لم تكن شبهته في ثبوت الوصاية بخبر الثقة ، بل الظاهر فرض حصول الاطمئنان بها ، حيث فرض كون المخبر صادقاً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 نّه أخبر عن واقعة شخصية كانت بينه وبين الموصي ، ومعه تطمئنّ النفس بصدقه ، سيّما في أمر لا داعي له أن يكذب فيه ، بل كانت شبهته في أنّ تبديل الوصيّة بوصيّة اُخرى جائز ، ومعه هل يجب على الموصي العمل بالاُولى أو الثانية ؟ 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وموثّقة سَماعة</w:t>
      </w:r>
      <w:r>
        <w:rPr>
          <w:rStyle w:val="FootnoteAnchor"/>
          <w:rtl w:val="true"/>
        </w:rPr>
        <w:footnoteReference w:id="858"/>
      </w:r>
      <w:r>
        <w:rPr>
          <w:rFonts w:ascii="Amiri" w:hAnsi="Amiri" w:eastAsia="Amiri" w:cs="Amiri"/>
          <w:color w:val="111111"/>
          <w:sz w:val="28"/>
          <w:sz w:val="28"/>
          <w:szCs w:val="28"/>
          <w:rtl w:val="true"/>
          <w:lang w:bidi="ar-SA"/>
        </w:rPr>
        <w:t>محمولة على الاستحباب ؛ ضرورة عدم اعتبار قول المدّعي ولو كان ثقة ، وقد ورد في موردها ما يدلّ على عدم سماع دعواه إلاّ بالبيّنة</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وخبر قبول الاستبراء من البائع</w:t>
      </w:r>
      <w:r>
        <w:rPr>
          <w:rStyle w:val="FootnoteAnchor"/>
          <w:rtl w:val="true"/>
        </w:rPr>
        <w:footnoteReference w:id="860"/>
      </w:r>
      <w:r>
        <w:rPr>
          <w:rFonts w:ascii="Amiri" w:hAnsi="Amiri" w:eastAsia="Amiri" w:cs="Amiri"/>
          <w:color w:val="111111"/>
          <w:sz w:val="28"/>
          <w:sz w:val="28"/>
          <w:szCs w:val="28"/>
          <w:rtl w:val="true"/>
          <w:lang w:bidi="ar-SA"/>
        </w:rPr>
        <w:t xml:space="preserve">من إخبار ذي اليد ، وهو أمر آخر غير مربوط بالمقام </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يظهر من خبر اللُمعة</w:t>
      </w:r>
      <w:r>
        <w:rPr>
          <w:rStyle w:val="FootnoteAnchor"/>
          <w:rtl w:val="true"/>
        </w:rPr>
        <w:footnoteReference w:id="861"/>
      </w:r>
      <w:r>
        <w:rPr>
          <w:rFonts w:ascii="Amiri" w:hAnsi="Amiri" w:eastAsia="Amiri" w:cs="Amiri"/>
          <w:color w:val="111111"/>
          <w:sz w:val="28"/>
          <w:sz w:val="28"/>
          <w:szCs w:val="28"/>
          <w:rtl w:val="true"/>
          <w:lang w:bidi="ar-SA"/>
        </w:rPr>
        <w:t xml:space="preserve">العمل بخبر الثقة ، بل لعلّه كان مشتغلاً بالعمل ، </w:t>
      </w:r>
      <w:bookmarkStart w:id="333" w:name="pg15030_143248"/>
    </w:p>
    <w:p>
      <w:pPr>
        <w:pStyle w:val="BookText"/>
        <w:rPr/>
      </w:pPr>
      <w:bookmarkEnd w:id="333"/>
      <w:r>
        <w:rPr>
          <w:rFonts w:ascii="Amiri" w:hAnsi="Amiri" w:eastAsia="Amiri" w:cs="Amiri"/>
          <w:color w:val="111111"/>
          <w:sz w:val="28"/>
          <w:sz w:val="28"/>
          <w:szCs w:val="28"/>
          <w:rtl w:val="true"/>
          <w:lang w:bidi="ar-SA"/>
        </w:rPr>
        <w:t>فصار خبره موجباً للشكّ حال الاشتغال ، أو كانت اللمعة في الطرف الأيسر ؛ بناءً</w:t>
      </w:r>
    </w:p>
    <w:p>
      <w:pPr>
        <w:pStyle w:val="BookText"/>
        <w:rPr/>
      </w:pPr>
      <w:r>
        <w:rPr>
          <w:rFonts w:ascii="Amiri" w:hAnsi="Amiri" w:eastAsia="Amiri" w:cs="Amiri"/>
          <w:color w:val="111111"/>
          <w:sz w:val="28"/>
          <w:sz w:val="28"/>
          <w:szCs w:val="28"/>
          <w:rtl w:val="true"/>
          <w:lang w:bidi="ar-SA"/>
        </w:rPr>
        <w:t xml:space="preserve">على اعتبار الشكّ فيه ولو بعد الفراغ ، أو كان من باب الاحتياط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فالمسألة محلّ إشكال من جهة الإشكال في معنى موثّقة مَسْعدة ، ومن جهة عدم العثور على مورد عمل الأصحاب بخبر الثقة في الموضوعات كما عملوا به في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يشكل الاعتماد على السيرة والوثوق بعدم الردع ، فالأحوط عدم الثبوت بخبر الثقة لو لم يكن الأقوى </w:t>
      </w:r>
      <w:r>
        <w:rPr>
          <w:rFonts w:eastAsia="Amiri" w:cs="Amiri" w:ascii="Amiri" w:hAnsi="Amiri"/>
          <w:color w:val="111111"/>
          <w:sz w:val="28"/>
          <w:szCs w:val="28"/>
          <w:rtl w:val="true"/>
          <w:lang w:bidi="ar-SA"/>
        </w:rPr>
        <w:t>.</w:t>
      </w:r>
    </w:p>
    <w:p>
      <w:pPr>
        <w:pStyle w:val="Heading4"/>
        <w:numPr>
          <w:ilvl w:val="3"/>
          <w:numId w:val="1"/>
        </w:numPr>
        <w:rPr/>
      </w:pPr>
      <w:bookmarkStart w:id="334" w:name="__RefHeading___Toc212856_2142443653"/>
      <w:bookmarkStart w:id="335" w:name="_Toc120"/>
      <w:bookmarkEnd w:id="334"/>
      <w:r>
        <w:rPr>
          <w:rtl w:val="true"/>
        </w:rPr>
        <w:t>في ثبوت النجاسة وسائر الموضوعات بإخبار ذي اليد</w:t>
      </w:r>
      <w:bookmarkEnd w:id="335"/>
    </w:p>
    <w:p>
      <w:pPr>
        <w:pStyle w:val="BookText"/>
        <w:rPr/>
      </w:pPr>
      <w:r>
        <w:rPr>
          <w:rFonts w:ascii="Amiri" w:hAnsi="Amiri" w:eastAsia="Amiri" w:cs="Amiri"/>
          <w:color w:val="111111"/>
          <w:sz w:val="28"/>
          <w:sz w:val="28"/>
          <w:szCs w:val="28"/>
          <w:rtl w:val="true"/>
          <w:lang w:bidi="ar-SA"/>
        </w:rPr>
        <w:t xml:space="preserve">وأمّا إخبار ذي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كان له نحو استيلاء وتصرّف في الشيء ولو كان غاصباً وفاسقاً ، فضلاً عمّن كان مالكاً أو أميناً ، كالمستأجر والمستودع ، بل والخادم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ينبغي الإشكال في اعتبار قوله في ثبوت النجاسة والطهارة ، بل وغيرهما إلاّ ما استثني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عليه السيرة المستمرّة ، وبناء العقلاء ، ونقل الشهرة ، والاتّفاق على</w:t>
      </w:r>
    </w:p>
    <w:p>
      <w:pPr>
        <w:pStyle w:val="BookText"/>
        <w:rPr/>
      </w:pPr>
      <w:r>
        <w:rPr>
          <w:rFonts w:ascii="IRNazanin" w:hAnsi="IRNazanin" w:eastAsia="IRNazanin"/>
          <w:color w:val="111111"/>
          <w:sz w:val="28"/>
          <w:sz w:val="28"/>
          <w:szCs w:val="28"/>
          <w:rtl w:val="true"/>
          <w:lang w:bidi="fa-IR"/>
        </w:rPr>
        <w:t>قبول قوله</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ويدلّ على اعتباره في الجملة الأخبار المختلفة في موارد لا يبعد إلغاء الخصوصية منها عرفاً </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قبول خبر غير العارف وغير معروف الحال في البختج إن لم يكن مستحلاًّ ، كصحيحة عمر بن يزيد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يهدي إليّ البختج من غير أصحابنا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كان ممّن يستحلّ المسكر فلا تشربه ، </w:t>
      </w:r>
    </w:p>
    <w:p>
      <w:pPr>
        <w:pStyle w:val="BookText"/>
        <w:rPr/>
      </w:pPr>
      <w:r>
        <w:rPr>
          <w:rFonts w:ascii="Amiri" w:hAnsi="Amiri" w:eastAsia="Amiri" w:cs="Amiri"/>
          <w:color w:val="111111"/>
          <w:sz w:val="28"/>
          <w:sz w:val="28"/>
          <w:szCs w:val="28"/>
          <w:rtl w:val="true"/>
          <w:lang w:bidi="ar-SA"/>
        </w:rPr>
        <w:t>وإن كان ممّن لا يستحلّ فاشربه</w:t>
      </w:r>
      <w:r>
        <w:rPr>
          <w:rFonts w:eastAsia="Amiri" w:cs="Amiri" w:ascii="Amiri" w:hAnsi="Amiri"/>
          <w:color w:val="111111"/>
          <w:sz w:val="28"/>
          <w:szCs w:val="28"/>
          <w:rtl w:val="true"/>
          <w:lang w:bidi="ar-SA"/>
        </w:rPr>
        <w:t>»</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وصحيحةِ معاوية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 السلام عن الرجل من أهل المعرفة بالحقّ ، يأتيني بالبختج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طبخ على الثلث ، وأنا أعرف أ نّه يشربه على النصف ، فأشربه بقوله وهو يشربه على النصف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تشربه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فرجل من غير أهل المعرفة ممّن لا نعرفه يشربه على الثلث ، ولا يستحلّه على النصف ، يخبرنا أنّ عنده بختجاً على الثلث قد ذهب ثلثاه ، وبقي ثلثه ، يشرب منه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دلّتا على أ نّه مع كون الرجل غير متّهم ولا مكذّب عملُه قولَه ، يقبل منه إخباره ولو كان إخباراً عملياً ؛ سواء كان من أهل المعرفة أو لا ، معلوم الحال أو لا ، وإطلاقهما يقتضي قبول قول الفاسق في مذهبه </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 في بعض الروايات اعتبار كون المخبر مسلماً ورعاً مؤمناً ، أو مسلماً عارفاً ، أو اعتبار كون البختج حلواً يخضّب الإناء مضافاً إلى إخبار صاحبه</w:t>
      </w:r>
      <w:r>
        <w:rPr>
          <w:rStyle w:val="FootnoteAnchor"/>
          <w:rtl w:val="true"/>
        </w:rPr>
        <w:footnoteReference w:id="865"/>
      </w:r>
      <w:r>
        <w:rPr>
          <w:rFonts w:ascii="Amiri" w:hAnsi="Amiri" w:eastAsia="Amiri" w:cs="Amiri"/>
          <w:color w:val="111111"/>
          <w:sz w:val="28"/>
          <w:sz w:val="28"/>
          <w:szCs w:val="28"/>
          <w:rtl w:val="true"/>
          <w:lang w:bidi="ar-SA"/>
        </w:rPr>
        <w:t xml:space="preserve">، والاُوليان محمولتان على الاستحباب حملاً على النصّ ، والثالثة محمولة على ما إذا كانت الأمارة على خلاف قوله ؛ فإنّ عدم الاختضاب دليل على عدم التثليث ، </w:t>
      </w:r>
    </w:p>
    <w:p>
      <w:pPr>
        <w:pStyle w:val="BookText"/>
        <w:rPr/>
      </w:pPr>
      <w:r>
        <w:rPr>
          <w:rFonts w:ascii="Amiri" w:hAnsi="Amiri" w:eastAsia="Amiri" w:cs="Amiri"/>
          <w:color w:val="111111"/>
          <w:sz w:val="28"/>
          <w:sz w:val="28"/>
          <w:szCs w:val="28"/>
          <w:rtl w:val="true"/>
          <w:lang w:bidi="ar-SA"/>
        </w:rPr>
        <w:t xml:space="preserve">بل لعلّه دليل قطعي على عدمه ، وأمّا الاختضاب فأعمّ من حصول التثليث ، فاعتباره لأجل حصول الشكّ فيه ، لا قيام الأمارة عليه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 إطلاق صحيحة عمر بن يزيد ، عن أبي عبداللّه علیه السلام وفيها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يخضّب الإناء فاشربه</w:t>
      </w:r>
      <w:r>
        <w:rPr>
          <w:rFonts w:eastAsia="IRNazanin" w:cs="IRNazanin"/>
          <w:color w:val="111111"/>
          <w:sz w:val="28"/>
          <w:szCs w:val="28"/>
          <w:rtl w:val="true"/>
          <w:lang w:bidi="fa-IR"/>
        </w:rPr>
        <w:t>»</w:t>
      </w:r>
      <w:r>
        <w:rPr>
          <w:rStyle w:val="FootnoteAnchor"/>
          <w:rtl w:val="true"/>
        </w:rPr>
        <w:footnoteReference w:id="866"/>
      </w:r>
      <w:r>
        <w:rPr>
          <w:rFonts w:ascii="Amiri" w:hAnsi="Amiri" w:eastAsia="Amiri" w:cs="Amiri"/>
          <w:color w:val="111111"/>
          <w:sz w:val="28"/>
          <w:sz w:val="28"/>
          <w:szCs w:val="28"/>
          <w:rtl w:val="true"/>
          <w:lang w:bidi="ar-SA"/>
        </w:rPr>
        <w:t>يقتضي أمارية الاختضاب على التثليث ، لكنّها محمولة</w:t>
      </w:r>
    </w:p>
    <w:p>
      <w:pPr>
        <w:pStyle w:val="BookText"/>
        <w:rPr/>
      </w:pPr>
      <w:r>
        <w:rPr>
          <w:rFonts w:ascii="Amiri" w:hAnsi="Amiri" w:eastAsia="Amiri" w:cs="Amiri"/>
          <w:color w:val="111111"/>
          <w:sz w:val="28"/>
          <w:sz w:val="28"/>
          <w:szCs w:val="28"/>
          <w:rtl w:val="true"/>
          <w:lang w:bidi="ar-SA"/>
        </w:rPr>
        <w:t>على صحيحة معاوية بن وهب</w:t>
      </w:r>
      <w:r>
        <w:rPr>
          <w:rStyle w:val="FootnoteAnchor"/>
          <w:rtl w:val="true"/>
        </w:rPr>
        <w:footnoteReference w:id="867"/>
      </w:r>
      <w:r>
        <w:rPr>
          <w:rFonts w:ascii="Amiri" w:hAnsi="Amiri" w:eastAsia="Amiri" w:cs="Amiri"/>
          <w:color w:val="111111"/>
          <w:sz w:val="28"/>
          <w:sz w:val="28"/>
          <w:szCs w:val="28"/>
          <w:rtl w:val="true"/>
          <w:lang w:bidi="ar-SA"/>
        </w:rPr>
        <w:t xml:space="preserve">التي اعتبر فيها مضافاً إلى ذلك إخبار ذي اليد ؛ حملاً للمطلق على المقيّد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الروايات الواردة في الجبن ، كرواية بكر بن حبيب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عبداللّه علیه السلام عن الجبن ؛ وأ نّه توضع فيه الإنفحة من الميتة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أرسل بدرهم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 من رجل مسلم ، ولا تسأله عن شيء</w:t>
      </w:r>
      <w:r>
        <w:rPr>
          <w:rFonts w:eastAsia="IRNazanin" w:cs="IRNazanin"/>
          <w:color w:val="111111"/>
          <w:sz w:val="28"/>
          <w:szCs w:val="28"/>
          <w:rtl w:val="true"/>
          <w:lang w:bidi="fa-IR"/>
        </w:rPr>
        <w:t>»</w:t>
      </w:r>
      <w:r>
        <w:rPr>
          <w:rStyle w:val="FootnoteAnchor"/>
          <w:rtl w:val="true"/>
        </w:rPr>
        <w:footnoteReference w:id="868"/>
      </w:r>
      <w:r>
        <w:rPr>
          <w:rFonts w:ascii="Amiri" w:hAnsi="Amiri" w:eastAsia="Amiri" w:cs="Amiri"/>
          <w:color w:val="111111"/>
          <w:sz w:val="28"/>
          <w:sz w:val="28"/>
          <w:szCs w:val="28"/>
          <w:rtl w:val="true"/>
          <w:lang w:bidi="ar-SA"/>
        </w:rPr>
        <w:t>ونحوها في عدم لزوم السؤال رواية حمّاد بن عيسى</w:t>
      </w:r>
      <w:r>
        <w:rPr>
          <w:rStyle w:val="FootnoteAnchor"/>
          <w:rtl w:val="true"/>
        </w:rPr>
        <w:footnoteReference w:id="869"/>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الروايات وإن صدرت تقيّة ؛ لأنّ الإنفحة من الميتة طاهرة عندنا ، لكن يظهر منها أ نّه لا بأس بالاشتراء والأكل من سوق المسلمين ، ولا يلزم السؤال ، لكن لو سأل ، وأجاب صاحب اليد بكون الميتة فيه ، لا يجوز الأكل ، فيظهر منهما </w:t>
      </w:r>
    </w:p>
    <w:p>
      <w:pPr>
        <w:pStyle w:val="BookText"/>
        <w:rPr/>
      </w:pPr>
      <w:r>
        <w:rPr>
          <w:rFonts w:ascii="Amiri" w:hAnsi="Amiri" w:eastAsia="Amiri" w:cs="Amiri"/>
          <w:color w:val="111111"/>
          <w:sz w:val="28"/>
          <w:sz w:val="28"/>
          <w:szCs w:val="28"/>
          <w:rtl w:val="true"/>
          <w:lang w:bidi="ar-SA"/>
        </w:rPr>
        <w:t xml:space="preserve">أنّ هذا الحكم كان معهوداً في ذلك العصر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وردت في قبول قول البائع الأمين الثقة في استبراء الأمة</w:t>
      </w:r>
      <w:r>
        <w:rPr>
          <w:rStyle w:val="FootnoteAnchor"/>
          <w:rtl w:val="true"/>
        </w:rPr>
        <w:footnoteReference w:id="8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واعتبار الأمانة والثقة لكون أمر الفروج مهمّاً ، كما يظهر من تلك الروايات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عبد الرحمان بن الحجّاج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w:t>
      </w:r>
    </w:p>
    <w:p>
      <w:pPr>
        <w:pStyle w:val="BookText"/>
        <w:rPr/>
      </w:pPr>
      <w:r>
        <w:rPr>
          <w:rFonts w:ascii="Amiri" w:hAnsi="Amiri" w:eastAsia="Amiri" w:cs="Amiri"/>
          <w:color w:val="111111"/>
          <w:sz w:val="28"/>
          <w:sz w:val="28"/>
          <w:szCs w:val="28"/>
          <w:rtl w:val="true"/>
          <w:lang w:bidi="ar-SA"/>
        </w:rPr>
        <w:t xml:space="preserve">أدخل السوق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هذا الخلق الذي يدّعون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فأشتري منهم الفراء للتجارة ، وأقول لصاحبها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ليس هي ذكيّة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فهل يصلح لي أن أبيعها على أ نّها ذكيّة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 ولكن لا بأس أن تبيعها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شرط لي الذي اشتريتها منه أ نّها ذكيّة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أفسد ذلك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استحلال أهل العراق الميتةَ</w:t>
      </w:r>
      <w:r>
        <w:rPr>
          <w:rFonts w:eastAsia="Amiri" w:cs="Amiri" w:ascii="Amiri" w:hAnsi="Amiri"/>
          <w:color w:val="111111"/>
          <w:sz w:val="28"/>
          <w:szCs w:val="28"/>
          <w:rtl w:val="true"/>
          <w:lang w:bidi="ar-SA"/>
        </w:rPr>
        <w:t>»</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مرّ في المسألة السابقة</w:t>
      </w:r>
      <w:r>
        <w:rPr>
          <w:rStyle w:val="FootnoteAnchor"/>
          <w:rtl w:val="true"/>
        </w:rPr>
        <w:footnoteReference w:id="8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منها ومن سائر الروايات أنّ سوق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هذا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أمارة على التذكية وإن جاز لنا ترتيب آثارها توسعةً ، وأمّا جواز الإخبار بها فهو من آثار ثبوتها لدى المخبر ، وإنّما نهي عن الإخبار بها مع إخبار ذي اليد ؛ لاستحلال أهل العراق الميتة ، فيظهر منه أ نّه لولا</w:t>
      </w:r>
    </w:p>
    <w:p>
      <w:pPr>
        <w:pStyle w:val="BookText"/>
        <w:rPr/>
      </w:pPr>
      <w:r>
        <w:rPr>
          <w:rFonts w:ascii="Amiri" w:hAnsi="Amiri" w:eastAsia="Amiri" w:cs="Amiri"/>
          <w:color w:val="111111"/>
          <w:sz w:val="28"/>
          <w:sz w:val="28"/>
          <w:szCs w:val="28"/>
          <w:rtl w:val="true"/>
          <w:lang w:bidi="ar-SA"/>
        </w:rPr>
        <w:t xml:space="preserve">ذلك لجاز الاتّكال على إخباره </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 عبد الرحمان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أفسد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على معروفية الاتّكال على قول صاحب اليد ، فسأل عن وجه عدم الجواز ، فأجابه علیه السلام بذلك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استحلاله تكون يده أمارة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استحلال الميتة بالدباغ ، ولهذا نسبه إلى أهل العراق ، فحينئذٍ مع عدم الاستحلال أيضاً لا يكون سوقهم أمارة ، ولا يدهم ؛ لاختلافهم معنا في معظم شرائط التذكية ، تأمّل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ويمكن أن تعدّ من الشواهد أو الأدلّة الروايات الواردة في سياق الهدي ، كصحيح حفص بن البَخْتَري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ساق الهدي ، فعطب في موضع لا يقدر على من يتصدّق به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يعلم أنّه 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ينحره ، ويكتب كتاباً يضعه عليه ؛ ليعلم من مرّ به أ نّه صدقة</w:t>
      </w:r>
      <w:r>
        <w:rPr>
          <w:rFonts w:eastAsia="IRNazanin" w:cs="IRNazanin"/>
          <w:color w:val="111111"/>
          <w:sz w:val="28"/>
          <w:szCs w:val="28"/>
          <w:rtl w:val="true"/>
          <w:lang w:bidi="fa-IR"/>
        </w:rPr>
        <w:t>»</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بدعوى دلالتها على معروفية قبول قول صاحب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 نّها صدقة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غير ذلك من الموارد التي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بإلغاء الخصوصية عنها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صاحب اليد معتبر عند الشارع ، كما هو معتبر عند العرف ، سيّما مع قبوله في المهمّات </w:t>
      </w:r>
      <w:r>
        <w:rPr>
          <w:rFonts w:eastAsia="Amiri" w:cs="Amiri" w:ascii="Amiri" w:hAnsi="Amiri"/>
          <w:color w:val="111111"/>
          <w:sz w:val="28"/>
          <w:szCs w:val="28"/>
          <w:rtl w:val="true"/>
          <w:lang w:bidi="ar-SA"/>
        </w:rPr>
        <w:t xml:space="preserve">. </w:t>
      </w:r>
      <w:bookmarkStart w:id="336" w:name="pg15030_143253"/>
    </w:p>
    <w:p>
      <w:pPr>
        <w:pStyle w:val="Heading3"/>
        <w:numPr>
          <w:ilvl w:val="2"/>
          <w:numId w:val="1"/>
        </w:numPr>
        <w:rPr/>
      </w:pPr>
      <w:bookmarkStart w:id="337" w:name="__RefHeading___Toc212858_2142443653"/>
      <w:bookmarkStart w:id="338" w:name="_Toc121"/>
      <w:bookmarkEnd w:id="336"/>
      <w:bookmarkEnd w:id="337"/>
      <w:r>
        <w:rPr>
          <w:rtl w:val="true"/>
        </w:rPr>
        <w:t>المطلب السابع</w:t>
      </w:r>
      <w:r>
        <w:rPr>
          <w:rtl w:val="true"/>
        </w:rPr>
        <w:t xml:space="preserve">: </w:t>
      </w:r>
      <w:r>
        <w:rPr>
          <w:rtl w:val="true"/>
        </w:rPr>
        <w:t>في بطلان الصلاة الواقعة في النجس</w:t>
      </w:r>
      <w:bookmarkEnd w:id="338"/>
    </w:p>
    <w:p>
      <w:pPr>
        <w:pStyle w:val="Heading4"/>
        <w:numPr>
          <w:ilvl w:val="3"/>
          <w:numId w:val="1"/>
        </w:numPr>
        <w:rPr/>
      </w:pPr>
      <w:bookmarkStart w:id="339" w:name="__RefHeading___Toc212860_2142443653"/>
      <w:bookmarkStart w:id="340" w:name="_Toc122"/>
      <w:bookmarkEnd w:id="339"/>
      <w:r>
        <w:rPr>
          <w:rtl w:val="true"/>
        </w:rPr>
        <w:t>اشارة</w:t>
      </w:r>
      <w:bookmarkEnd w:id="340"/>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مقتضى إطلاق أدلّة شرطية الطهارة أو مانعية النجاسة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كقوله علیه السلام في صحيحة زرارة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w:t>
      </w:r>
      <w:r>
        <w:rPr>
          <w:rStyle w:val="FootnoteAnchor"/>
          <w:rtl w:val="true"/>
        </w:rPr>
        <w:footnoteReference w:id="874"/>
      </w:r>
      <w:r>
        <w:rPr>
          <w:rFonts w:ascii="IRNazanin" w:hAnsi="IRNazanin" w:eastAsia="IRNazanin"/>
          <w:color w:val="111111"/>
          <w:sz w:val="28"/>
          <w:sz w:val="28"/>
          <w:szCs w:val="28"/>
          <w:rtl w:val="true"/>
          <w:lang w:bidi="fa-IR"/>
        </w:rPr>
        <w:t xml:space="preserve">المتيقّن منها بقرينة ذيلها الطهور من الخبث ، وقوله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تعاد الصلاة </w:t>
      </w:r>
      <w:r>
        <w:rPr>
          <w:rFonts w:eastAsia="IRNazanin" w:cs="IRNazanin"/>
          <w:color w:val="111111"/>
          <w:sz w:val="28"/>
          <w:szCs w:val="28"/>
          <w:rtl w:val="true"/>
          <w:lang w:bidi="fa-IR"/>
        </w:rPr>
        <w:t>. . .»</w:t>
      </w:r>
      <w:r>
        <w:rPr>
          <w:rStyle w:val="FootnoteAnchor"/>
          <w:rtl w:val="true"/>
        </w:rPr>
        <w:footnoteReference w:id="875"/>
      </w:r>
      <w:r>
        <w:rPr>
          <w:rFonts w:ascii="Amiri" w:hAnsi="Amiri" w:eastAsia="Amiri" w:cs="Amiri"/>
          <w:color w:val="111111"/>
          <w:sz w:val="28"/>
          <w:sz w:val="28"/>
          <w:szCs w:val="28"/>
          <w:rtl w:val="true"/>
          <w:lang w:bidi="ar-SA"/>
        </w:rPr>
        <w:t xml:space="preserve">إلى آخره ؛ بناءً على أنّ الطهور في المستثنى أعمّ من الخبث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بطلان الصلاة التي يؤتى بها في النجس مطلقاً ؛ سواء كان عن عمد ، أو جهل بالحكم ، أو الموضوع ، أو النسيان ، أو غيرها من الأعذار ، فلا بدّ من التماس دليل على صحّة الصلاة المأتيّ بها في النجس </w:t>
      </w:r>
      <w:r>
        <w:rPr>
          <w:rFonts w:eastAsia="Amiri" w:cs="Amiri" w:ascii="Amiri" w:hAnsi="Amiri"/>
          <w:color w:val="111111"/>
          <w:sz w:val="28"/>
          <w:szCs w:val="28"/>
          <w:rtl w:val="true"/>
          <w:lang w:bidi="ar-SA"/>
        </w:rPr>
        <w:t xml:space="preserve">. </w:t>
      </w:r>
      <w:bookmarkStart w:id="341" w:name="pg15030_143254"/>
    </w:p>
    <w:p>
      <w:pPr>
        <w:pStyle w:val="Heading4"/>
        <w:numPr>
          <w:ilvl w:val="3"/>
          <w:numId w:val="1"/>
        </w:numPr>
        <w:rPr/>
      </w:pPr>
      <w:bookmarkStart w:id="342" w:name="__RefHeading___Toc212862_2142443653"/>
      <w:bookmarkStart w:id="343" w:name="_Toc123"/>
      <w:bookmarkEnd w:id="341"/>
      <w:bookmarkEnd w:id="342"/>
      <w:r>
        <w:rPr>
          <w:rtl w:val="true"/>
        </w:rPr>
        <w:t>حكم الصلاة في النجس مع الجهل بالحكم</w:t>
      </w:r>
      <w:bookmarkEnd w:id="343"/>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الأدلّة قاصرة عن إثبات الحكم للجاهل ؛ لقبح تعلّق التكليف بالغافل</w:t>
      </w:r>
      <w:r>
        <w:rPr>
          <w:rStyle w:val="FootnoteAnchor"/>
          <w:rtl w:val="true"/>
        </w:rPr>
        <w:footnoteReference w:id="876"/>
      </w:r>
      <w:r>
        <w:rPr>
          <w:rFonts w:ascii="Amiri" w:hAnsi="Amiri" w:eastAsia="Amiri" w:cs="Amiri"/>
          <w:color w:val="111111"/>
          <w:sz w:val="28"/>
          <w:sz w:val="28"/>
          <w:szCs w:val="28"/>
          <w:rtl w:val="true"/>
          <w:lang w:bidi="ar-SA"/>
        </w:rPr>
        <w:t xml:space="preserve">، وعليه يكون المأتيّ به مع النجاسة مجزياً ؛ لأ نّه صلاة تامّة في حقّه بعد عدم الدليل على إثبات المانعية أو الشرطية في حقّه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ما حقّق في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قصور الأدلّة عن إثبات التكليف لمطلق المكلّفين ، ولا مانع من تعلّقه بالعناوين الكلّية الشاملة لعامّة المكلّفين ؛ وإن كان</w:t>
      </w:r>
    </w:p>
    <w:p>
      <w:pPr>
        <w:pStyle w:val="BookText"/>
        <w:rPr/>
      </w:pPr>
      <w:r>
        <w:rPr>
          <w:rFonts w:ascii="Amiri" w:hAnsi="Amiri" w:eastAsia="Amiri" w:cs="Amiri"/>
          <w:color w:val="111111"/>
          <w:sz w:val="28"/>
          <w:sz w:val="28"/>
          <w:szCs w:val="28"/>
          <w:rtl w:val="true"/>
          <w:lang w:bidi="ar-SA"/>
        </w:rPr>
        <w:t>التارك عن عذر معذوراً في أدائه</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والسرّ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انحلال الخطاب المتعلّق بالعناوين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خطابات جزئية بعدد النفوس أو العناوين الطارئة ، ولهذا يكون العصاة مكلّفين ، مع أنّ العاصي الذي يعلم المولى طغيانه ، لا يمكن تكليفه جدّاً لغرض الانبعاث ؛ لامتناع انقداح إرادة التكليف جدّاً ممّن لا يطيع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مع أنّ ما ذكر لا يتأتّى في الوضعيات ، كقوله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شبهة في إطلاقه بالنسبة إلى كلّ صلاة من دون إشكال </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لا فرق في الإشكال بين الأوامر النفسية ، وما هي للإرشاد إلى الشرطية ،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قُمْتُمْ إِلَى الصَّلَوةِ فَاغْسِلُوا وُجُوهَكُمْ </w:t>
      </w:r>
      <w:r>
        <w:rPr>
          <w:rFonts w:eastAsia="Amiri" w:cs="Amiri" w:ascii="Amiri" w:hAnsi="Amiri"/>
          <w:color w:val="111111"/>
          <w:sz w:val="28"/>
          <w:szCs w:val="28"/>
          <w:rtl w:val="true"/>
          <w:lang w:bidi="ar-SA"/>
        </w:rPr>
        <w:t>. . .(</w:t>
      </w:r>
      <w:r>
        <w:rPr>
          <w:rStyle w:val="FootnoteAnchor"/>
          <w:rtl w:val="true"/>
        </w:rPr>
        <w:footnoteReference w:id="878"/>
      </w:r>
      <w:r>
        <w:rPr>
          <w:rFonts w:ascii="Amiri" w:hAnsi="Amiri" w:eastAsia="Amiri" w:cs="Amiri"/>
          <w:color w:val="111111"/>
          <w:sz w:val="28"/>
          <w:sz w:val="28"/>
          <w:szCs w:val="28"/>
          <w:rtl w:val="true"/>
          <w:lang w:bidi="ar-SA"/>
        </w:rPr>
        <w:t xml:space="preserve">إلى آخره فإنّها وإن كانت للإرشاد ، لكنّها لم تنسلخ عن البعث والتكليف ، ولم تستعمل في </w:t>
      </w:r>
      <w:bookmarkStart w:id="344" w:name="pg15030_143255"/>
    </w:p>
    <w:p>
      <w:pPr>
        <w:pStyle w:val="BookText"/>
        <w:rPr/>
      </w:pPr>
      <w:bookmarkEnd w:id="344"/>
      <w:r>
        <w:rPr>
          <w:rFonts w:ascii="Amiri" w:hAnsi="Amiri" w:eastAsia="Amiri" w:cs="Amiri"/>
          <w:color w:val="111111"/>
          <w:sz w:val="28"/>
          <w:sz w:val="28"/>
          <w:szCs w:val="28"/>
          <w:rtl w:val="true"/>
          <w:lang w:bidi="ar-SA"/>
        </w:rPr>
        <w:t>الاشتراط ، بل يفهم العرف من البعث إلى تحصيل الطهور للصلاة اشتراطها بها ،</w:t>
      </w:r>
    </w:p>
    <w:p>
      <w:pPr>
        <w:pStyle w:val="BookText"/>
        <w:rPr/>
      </w:pPr>
      <w:r>
        <w:rPr>
          <w:rFonts w:ascii="Amiri" w:hAnsi="Amiri" w:eastAsia="Amiri" w:cs="Amiri"/>
          <w:color w:val="111111"/>
          <w:sz w:val="28"/>
          <w:sz w:val="28"/>
          <w:szCs w:val="28"/>
          <w:rtl w:val="true"/>
          <w:lang w:bidi="ar-SA"/>
        </w:rPr>
        <w:t xml:space="preserve">فإن قَبح أو امتنع تعلّق التكليف بالغافل ، لا يمكن انتزاع الاشتراط مطلقاً منها بحيث يشمل الغافل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قد يقال في الجواب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الأوامر الإرشادية لا إشكال فيها</w:t>
      </w:r>
      <w:r>
        <w:rPr>
          <w:rFonts w:eastAsia="Amiri" w:cs="Amiri" w:ascii="Amiri" w:hAnsi="Amiri"/>
          <w:color w:val="111111"/>
          <w:sz w:val="28"/>
          <w:szCs w:val="28"/>
          <w:rtl w:val="true"/>
          <w:lang w:bidi="ar-SA"/>
        </w:rPr>
        <w:t>»</w:t>
      </w:r>
      <w:r>
        <w:rPr>
          <w:rStyle w:val="FootnoteAnchor"/>
          <w:rtl w:val="true"/>
        </w:rPr>
        <w:footnoteReference w:id="879"/>
      </w:r>
      <w:r>
        <w:rPr>
          <w:rFonts w:ascii="Amiri" w:hAnsi="Amiri" w:eastAsia="Amiri" w:cs="Amiri"/>
          <w:color w:val="111111"/>
          <w:sz w:val="28"/>
          <w:sz w:val="28"/>
          <w:szCs w:val="28"/>
          <w:rtl w:val="true"/>
          <w:lang w:bidi="ar-SA"/>
        </w:rPr>
        <w:t xml:space="preserve">كأ نّه في غير محلّه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مع اقتضاء بعض الأدلّة الخاصّة في المقام ، بطلان الصلاة في النجاسة ، كصحيحة عبداللّه بن 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 السلام عن رجل أصاب ثوبه جنابة أو دم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علم أ نّه أصاب ثوبه جنابة قبل أن يصلّي ، ثمّ صلّى فيه ولم يغسله ، فعليه أن يعيد ما صلّى</w:t>
      </w:r>
      <w:r>
        <w:rPr>
          <w:rFonts w:eastAsia="IRNazanin" w:cs="IRNazanin"/>
          <w:color w:val="111111"/>
          <w:sz w:val="28"/>
          <w:szCs w:val="28"/>
          <w:rtl w:val="true"/>
          <w:lang w:bidi="fa-IR"/>
        </w:rPr>
        <w:t>»</w:t>
      </w:r>
      <w:r>
        <w:rPr>
          <w:rStyle w:val="FootnoteAnchor"/>
          <w:rtl w:val="true"/>
        </w:rPr>
        <w:footnoteReference w:id="880"/>
      </w:r>
      <w:r>
        <w:rPr>
          <w:rFonts w:ascii="Amiri" w:hAnsi="Amiri" w:eastAsia="Amiri" w:cs="Amiri"/>
          <w:color w:val="111111"/>
          <w:sz w:val="28"/>
          <w:sz w:val="28"/>
          <w:szCs w:val="28"/>
          <w:rtl w:val="true"/>
          <w:lang w:bidi="ar-SA"/>
        </w:rPr>
        <w:t>وغيرها ممّا تشمل بإطلاقها العالم وغيره</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5" w:name="__RefHeading___Toc212864_2142443653"/>
      <w:bookmarkStart w:id="346" w:name="_Toc124"/>
      <w:bookmarkEnd w:id="345"/>
      <w:r>
        <w:rPr>
          <w:rtl w:val="true"/>
        </w:rPr>
        <w:t>حكم الصلاة في النجس مع الجهل بالموضوع</w:t>
      </w:r>
      <w:bookmarkEnd w:id="346"/>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الجاهل بالموضوع ففيه 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الإعادة مطلقاً </w:t>
      </w:r>
      <w:r>
        <w:rPr>
          <w:rStyle w:val="FootnoteAnchor"/>
          <w:rtl w:val="true"/>
        </w:rPr>
        <w:footnoteReference w:id="882"/>
      </w:r>
      <w:r>
        <w:rPr>
          <w:rFonts w:ascii="Amiri" w:hAnsi="Amiri" w:eastAsia="Amiri" w:cs="Amiri"/>
          <w:color w:val="111111"/>
          <w:sz w:val="28"/>
          <w:sz w:val="28"/>
          <w:szCs w:val="28"/>
          <w:rtl w:val="true"/>
          <w:lang w:bidi="ar-SA"/>
        </w:rPr>
        <w:t>، والإعادة كذلك ، كما حكي عن بعض</w:t>
      </w:r>
      <w:r>
        <w:rPr>
          <w:rStyle w:val="FootnoteAnchor"/>
          <w:rtl w:val="true"/>
        </w:rPr>
        <w:footnoteReference w:id="883"/>
      </w:r>
      <w:r>
        <w:rPr>
          <w:rFonts w:ascii="Amiri" w:hAnsi="Amiri" w:eastAsia="Amiri" w:cs="Amiri"/>
          <w:color w:val="111111"/>
          <w:sz w:val="28"/>
          <w:sz w:val="28"/>
          <w:szCs w:val="28"/>
          <w:rtl w:val="true"/>
          <w:lang w:bidi="ar-SA"/>
        </w:rPr>
        <w:t xml:space="preserve">، والتفصيل بين التذكّر في الوقت وخارجه ، فيعيد في </w:t>
      </w:r>
      <w:bookmarkStart w:id="347" w:name="pg15030_143256"/>
    </w:p>
    <w:p>
      <w:pPr>
        <w:pStyle w:val="BookText"/>
        <w:rPr/>
      </w:pPr>
      <w:bookmarkEnd w:id="347"/>
      <w:r>
        <w:rPr>
          <w:rFonts w:ascii="Amiri" w:hAnsi="Amiri" w:eastAsia="Amiri" w:cs="Amiri"/>
          <w:color w:val="111111"/>
          <w:sz w:val="28"/>
          <w:sz w:val="28"/>
          <w:szCs w:val="28"/>
          <w:rtl w:val="true"/>
          <w:lang w:bidi="ar-SA"/>
        </w:rPr>
        <w:t>الأوّل</w:t>
      </w:r>
      <w:r>
        <w:rPr>
          <w:rStyle w:val="FootnoteAnchor"/>
          <w:rtl w:val="true"/>
        </w:rPr>
        <w:footnoteReference w:id="884"/>
      </w:r>
      <w:r>
        <w:rPr>
          <w:rFonts w:ascii="Amiri" w:hAnsi="Amiri" w:eastAsia="Amiri" w:cs="Amiri"/>
          <w:color w:val="111111"/>
          <w:sz w:val="28"/>
          <w:sz w:val="28"/>
          <w:szCs w:val="28"/>
          <w:rtl w:val="true"/>
          <w:lang w:bidi="ar-SA"/>
        </w:rPr>
        <w:t>، والتفصيل بين المتذكّر الذي لم يتفحّص وغيره ، فيعيد الأوّل</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8" w:name="__RefHeading___Toc212866_2142443653"/>
      <w:bookmarkStart w:id="349" w:name="_Toc125"/>
      <w:bookmarkEnd w:id="348"/>
      <w:r>
        <w:rPr>
          <w:rtl w:val="true"/>
        </w:rPr>
        <w:t>في التفصيل بين التذكّر في الوقت وخارجه</w:t>
      </w:r>
      <w:bookmarkEnd w:id="349"/>
    </w:p>
    <w:p>
      <w:pPr>
        <w:pStyle w:val="BookText"/>
        <w:rPr/>
      </w:pPr>
      <w:r>
        <w:rPr>
          <w:rFonts w:ascii="IRNazanin" w:hAnsi="IRNazanin" w:eastAsia="IRNazanin"/>
          <w:color w:val="111111"/>
          <w:sz w:val="28"/>
          <w:sz w:val="28"/>
          <w:szCs w:val="28"/>
          <w:rtl w:val="true"/>
          <w:lang w:bidi="fa-IR"/>
        </w:rPr>
        <w:t xml:space="preserve">وقد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مقتضى الجمع بين الروايات التفصيل الأوّل ؛ لأنّ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تدلّ على عدم الإعادة مطلقاً ، كموثّقة عبد الرحمان بن أبي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 السلام عن الرجل يصلّي وفي ثوبه عَذِرة إنسان أو سِنَّوْر أو كلب ، أيعيد صلاته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لم يعلم فلا يعيد</w:t>
      </w:r>
      <w:r>
        <w:rPr>
          <w:rFonts w:eastAsia="IRNazanin" w:cs="IRNazanin"/>
          <w:color w:val="111111"/>
          <w:sz w:val="28"/>
          <w:szCs w:val="28"/>
          <w:rtl w:val="true"/>
          <w:lang w:bidi="fa-IR"/>
        </w:rPr>
        <w:t>»</w:t>
      </w:r>
      <w:r>
        <w:rPr>
          <w:rStyle w:val="FootnoteAnchor"/>
          <w:rtl w:val="true"/>
        </w:rPr>
        <w:footnoteReference w:id="886"/>
      </w:r>
      <w:r>
        <w:rPr>
          <w:rFonts w:ascii="Amiri" w:hAnsi="Amiri" w:eastAsia="Amiri" w:cs="Amiri"/>
          <w:color w:val="111111"/>
          <w:sz w:val="28"/>
          <w:sz w:val="28"/>
          <w:szCs w:val="28"/>
          <w:rtl w:val="true"/>
          <w:lang w:bidi="ar-SA"/>
        </w:rPr>
        <w:t>ونحوها روايات</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تدلّ على الإعادة مطلقاً ، كصحيحة وهب بن عبد ربّه ، عن 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الجنابة تصيب الثوب ولا يعلم بها صاحبه ، فيصلّي فيه ، ثمّ يعلم بعد ذلك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يعيد إذا لم يكن علم</w:t>
      </w:r>
      <w:r>
        <w:rPr>
          <w:rFonts w:eastAsia="IRNazanin" w:cs="IRNazanin"/>
          <w:color w:val="111111"/>
          <w:sz w:val="28"/>
          <w:szCs w:val="28"/>
          <w:rtl w:val="true"/>
          <w:lang w:bidi="fa-IR"/>
        </w:rPr>
        <w:t>»</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ورواية أبي بصير الصحيحة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على كون وهب بن حفص هو الجُرَيْري الثقة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صلّى وفي ثوبه بول أو جنابة ،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به أو لم يعلم فعليه إعادة الصلاة إذا علم</w:t>
      </w:r>
      <w:r>
        <w:rPr>
          <w:rFonts w:eastAsia="Amiri" w:cs="Amiri" w:ascii="Amiri" w:hAnsi="Amiri"/>
          <w:color w:val="111111"/>
          <w:sz w:val="28"/>
          <w:szCs w:val="28"/>
          <w:rtl w:val="true"/>
          <w:lang w:bidi="ar-SA"/>
        </w:rPr>
        <w:t>»</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تدلّ على عدم وجوب القضاء ، كصحيحة العِيص بن القاسم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 السلام عن رجل صلّى في ثوب رجل أيّاماً ، ثمّ إنّ صاحب الثوب أخبره أ نّه لا يصلّي فيه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يعيد شيئاً من صلاته</w:t>
      </w:r>
      <w:r>
        <w:rPr>
          <w:rFonts w:eastAsia="IRNazanin" w:cs="IRNazanin"/>
          <w:color w:val="111111"/>
          <w:sz w:val="28"/>
          <w:szCs w:val="28"/>
          <w:rtl w:val="true"/>
          <w:lang w:bidi="fa-IR"/>
        </w:rPr>
        <w:t>»</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ورواية علي بن جعفر ، عن أخيه موسى بن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احتجم فأصاب ثوبه دم ، فلم يعلم به حتّى إذا كان من الغد ، كيف يصنع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كان رآه فلم يغسله فليقض جميع ما فاته على قدر ما كان يصلّي ، ولا يَنقص منه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رآه وقد صلّى فليعتدّ بتلك الصلاة ثمّ ليغسله</w:t>
      </w:r>
      <w:r>
        <w:rPr>
          <w:rFonts w:eastAsia="IRNazanin" w:cs="IRNazanin"/>
          <w:color w:val="111111"/>
          <w:sz w:val="28"/>
          <w:szCs w:val="28"/>
          <w:rtl w:val="true"/>
          <w:lang w:bidi="fa-IR"/>
        </w:rPr>
        <w:t>»</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وطريق الجمع بينها بتقييد صحيحة ابن عبد ربّه ورواية أبي بصير بالروايتين الأخيرتين ، فيصير مفادهما بعده الإعادة في الوقت دون خارجه ، فتقيّد بهما الطائفة الاُولى الدالّة على عدم الإعادة مطلقاً ، فتصير النتيجة التفصيل بين الوقت وخارجه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منع كون الأخيرتين مختصّتين بالقضاء </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صحيحة العِيص فظاهر ؛ ضرورة أنّ ترك الاستفصال في وقت إخبار </w:t>
      </w:r>
    </w:p>
    <w:p>
      <w:pPr>
        <w:pStyle w:val="BookText"/>
        <w:rPr/>
      </w:pPr>
      <w:r>
        <w:rPr>
          <w:rFonts w:ascii="Amiri" w:hAnsi="Amiri" w:eastAsia="Amiri" w:cs="Amiri"/>
          <w:color w:val="111111"/>
          <w:sz w:val="28"/>
          <w:sz w:val="28"/>
          <w:szCs w:val="28"/>
          <w:rtl w:val="true"/>
          <w:lang w:bidi="ar-SA"/>
        </w:rPr>
        <w:t xml:space="preserve">صاحب اليد ، دليل على عموم الحكم لما إذا أخبره في الوقت وقد صلّى في ثوبه وبقي وقت الإعادة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والرواية الثانية وإن كان صدرها متعرّضاً للقضاء ، لكنّ ذيلها مطلق يشمل الفرض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ومجرّد تعرّض الصدر للقضاء ، لا يوجب الانصراف أو تقييد الإطلاق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المتفاهم العرفي من نفي القضاء هو الإرشاد إلى صحّة الصلاة المأتيّ بها فيفهم العرف من نفي القضاء نفي الإعادة ، كما أ نّه يفهم من نفي الإعادة نفي القضاء ؛ وذلك لأنّ نفي كلّ منهما دليل عرفاً على صحّة الصلاة ، وإرشاد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واحتمال أن تكون النجاسة المحرزة في جزء من أجزاء الوقت مانعة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تعقّبها بالإحراز في الوقت ولو بعد الصلاة مانعة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عن فهم</w:t>
      </w:r>
    </w:p>
    <w:p>
      <w:pPr>
        <w:pStyle w:val="BookText"/>
        <w:rPr/>
      </w:pPr>
      <w:r>
        <w:rPr>
          <w:rFonts w:ascii="Amiri" w:hAnsi="Amiri" w:eastAsia="Amiri" w:cs="Amiri"/>
          <w:color w:val="111111"/>
          <w:sz w:val="28"/>
          <w:sz w:val="28"/>
          <w:szCs w:val="28"/>
          <w:rtl w:val="true"/>
          <w:lang w:bidi="ar-SA"/>
        </w:rPr>
        <w:t xml:space="preserve">العرف غايته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ورد دليل على التفصيل بين الإعادة في الوقت وعدم القضاء خارجه ، كان هذا التصوير العقلي موجباً لعدم جواز طرحه وعدم العمل به ، وأمّا إن كانت الواقعة مثل المقام في عدم الدليل على التفصيل ، وإنّما أردنا البناء عليه بدليل نفي القضاء والتقييد المشار إليه ، فلا يساعده العرف ؛ فإنّ ما يدلّ على نفي القضاء يدلّ على صحّة الصلاة لدى العرف ، فيعارض ما دلّ على الإعادة </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مع التأمّل في أنّ هذا النحو من التقي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 وانقلاب النسبة ، جمع مقبول عقلائي ، بل كأ نّه أمر صناعي عقلي ، لا جمع عرفي ، والميزان في جمع الأدلّة هو الثاني ، وهو محلّ إشكال ، سيّما في المقام الذي يأبى جلّ الروايات عن الحمل على ما بعد الوقت ، كما لا يخفى على المتأمّل فيها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فبقيت صحيحة ابن عبد ربّه ورواية أبي بصير ، معارضتين لسائر الروايات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يجاب عن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الشرطية المذكورة فيها ظاهرة في دخالتها في الحكم ، فيكون موضوع الإعادة النجاسة غير المعلومة ، وهذا غير البناء على المفهوم ، كما هو المقرّر في محلّه ، فإذا قطعنا بعدم دخالتها في الحكم ، بل كان ذكرها مخلاًّ بالمقصود ، أو لغواً يجب تنزيه ساحة القائل عنهما ، يدور الأمر بين زيادة الشرطية وما بعدها ، ونقصان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كون أداة الاستفهام غير مذكورة ؛ فيكون الاستفهام إنكارياً ، ولا ترجيح لواحد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العمل بالظواهر ليس أمراً تعبّدياً ، بل أمر عقلائي يتوقّف</w:t>
      </w:r>
    </w:p>
    <w:p>
      <w:pPr>
        <w:pStyle w:val="BookText"/>
        <w:rPr/>
      </w:pPr>
      <w:r>
        <w:rPr>
          <w:rFonts w:ascii="Amiri" w:hAnsi="Amiri" w:eastAsia="Amiri" w:cs="Amiri"/>
          <w:color w:val="111111"/>
          <w:sz w:val="28"/>
          <w:sz w:val="28"/>
          <w:szCs w:val="28"/>
          <w:rtl w:val="true"/>
          <w:lang w:bidi="ar-SA"/>
        </w:rPr>
        <w:t xml:space="preserve">على جريان الاُصول العقلائية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كأصالة عدم الخطأ والنسيان والغفلة في صدورها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يجوز الاتّكال عليها ، وفي مثل المورد الذي كان القيد الزائد بلا وجه ، لا يعتدّ العقلاء بالاُصول المتقدّمة ، سيّما مع معارضتها بالروايات المستفيضة المصرّحة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 نّه لا يعيد إذا لم يعلم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دعوى الجزم بوجود خلل فيها غير بعيدة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وأوضح منه الجواب عن الثانية ؛ فإنّه بعد الغضّ عن عدم الدليل على أنّ وهب بن حفص هو الجُرَيْري الثقة ، أنّ صحّة الشرطية فيها أيضاً تحتاج إلى التوجيه والتأويل ، وإلاّ فبعد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في أ نّه علم به حين الصلاة ، لا وجه للتقييد بأ نّه إذا علم ، فلا بدّ من أن يقال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سواء علم به فنسي أو لم يعلم ، فعليه الإعادة إذا علم بالخلل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تأويل فيها بلا دليل </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ترجيح لهذا الاحتمال على الاحتمال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الحمل على أنّ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به أو لم يعلم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استفسار عن الواقعة ؛ وأنّ الشرطية لإفادة أنّ في </w:t>
      </w:r>
    </w:p>
    <w:p>
      <w:pPr>
        <w:pStyle w:val="BookText"/>
        <w:rPr/>
      </w:pPr>
      <w:r>
        <w:rPr>
          <w:rFonts w:ascii="Amiri" w:hAnsi="Amiri" w:eastAsia="Amiri" w:cs="Amiri"/>
          <w:color w:val="111111"/>
          <w:sz w:val="28"/>
          <w:sz w:val="28"/>
          <w:szCs w:val="28"/>
          <w:rtl w:val="true"/>
          <w:lang w:bidi="ar-SA"/>
        </w:rPr>
        <w:t xml:space="preserve">شقّ منهما يعيد دون الآخر ، وعليه تكون الرواية من أدلّة القول المشهور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إمكان التعويل عليهما في مقابل تلك الروايات الظاهرة الدلالة ، الواضحة المراد ، السليمة عن المناقشة في الأسناد والمتون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والحمل على الاستحباب</w:t>
      </w:r>
      <w:r>
        <w:rPr>
          <w:rStyle w:val="FootnoteAnchor"/>
          <w:rtl w:val="true"/>
        </w:rPr>
        <w:footnoteReference w:id="892"/>
      </w:r>
      <w:r>
        <w:rPr>
          <w:rFonts w:ascii="Amiri" w:hAnsi="Amiri" w:eastAsia="Amiri" w:cs="Amiri"/>
          <w:color w:val="111111"/>
          <w:sz w:val="28"/>
          <w:sz w:val="28"/>
          <w:szCs w:val="28"/>
          <w:rtl w:val="true"/>
          <w:lang w:bidi="ar-SA"/>
        </w:rPr>
        <w:t xml:space="preserve">لا يخلو من بُعد وإشكال ، سيّما في المقام الذي يكون الأمر بالإعادة لدى العرف ، إرشاداً إلى الفساد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النهي عنها إرشاد إلى الصحّة ، ولم ينقدح في الأذهان منهما النفسية ؛ وجوباً كان أو استحباباً </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 نّه مع تصديق التعارض بين الأخبار ، يشكل ترجيح الروايات النافية للإعادة عليهما ؛ بعد ما قرّر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كثرة الرواية ليست من المرجّحات</w:t>
      </w:r>
      <w:r>
        <w:rPr>
          <w:rStyle w:val="FootnoteAnchor"/>
          <w:rtl w:val="true"/>
        </w:rPr>
        <w:footnoteReference w:id="8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المقام شهرة فتوائية موهنة لمقابلها ؛ بحيث يكون المقابل شاذّاً نادراً ؛ بعد عملِ عُمَد الفقهاء بها ، كالشيخ وابن زهرة والمحقّق والعلاّمة وثاني المحقّقين والشهيدين وغيرهم على ما حكي عنهم</w:t>
      </w:r>
      <w:r>
        <w:rPr>
          <w:rStyle w:val="FootnoteAnchor"/>
          <w:rtl w:val="true"/>
        </w:rPr>
        <w:footnoteReference w:id="894"/>
      </w:r>
      <w:r>
        <w:rPr>
          <w:rFonts w:ascii="Amiri" w:hAnsi="Amiri" w:eastAsia="Amiri" w:cs="Amiri"/>
          <w:color w:val="111111"/>
          <w:sz w:val="28"/>
          <w:sz w:val="28"/>
          <w:szCs w:val="28"/>
          <w:rtl w:val="true"/>
          <w:lang w:bidi="ar-SA"/>
        </w:rPr>
        <w:t xml:space="preserve">، وموافقتِهما لأدلّة الاشتراط ،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w:t>
      </w:r>
      <w:r>
        <w:rPr>
          <w:rStyle w:val="FootnoteAnchor"/>
          <w:rtl w:val="true"/>
        </w:rPr>
        <w:footnoteReference w:id="895"/>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تعاد </w:t>
      </w:r>
      <w:r>
        <w:rPr>
          <w:rFonts w:eastAsia="IRNazanin" w:cs="IRNazanin"/>
          <w:color w:val="111111"/>
          <w:sz w:val="28"/>
          <w:szCs w:val="28"/>
          <w:rtl w:val="true"/>
          <w:lang w:bidi="fa-IR"/>
        </w:rPr>
        <w:t>. . .»</w:t>
      </w:r>
      <w:r>
        <w:rPr>
          <w:rStyle w:val="FootnoteAnchor"/>
          <w:rtl w:val="true"/>
        </w:rPr>
        <w:footnoteReference w:id="896"/>
      </w:r>
      <w:bookmarkStart w:id="350" w:name="pg15030_143261"/>
    </w:p>
    <w:p>
      <w:pPr>
        <w:pStyle w:val="BookText"/>
        <w:rPr/>
      </w:pPr>
      <w:bookmarkEnd w:id="350"/>
      <w:r>
        <w:rPr>
          <w:rFonts w:ascii="Amiri" w:hAnsi="Amiri" w:eastAsia="Amiri" w:cs="Amiri"/>
          <w:color w:val="111111"/>
          <w:sz w:val="28"/>
          <w:sz w:val="28"/>
          <w:szCs w:val="28"/>
          <w:rtl w:val="true"/>
          <w:lang w:bidi="ar-SA"/>
        </w:rPr>
        <w:t xml:space="preserve">بناءً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 وغيرهما من أدلّة اعتبار الطهارة أو مانعية النجاسة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فالتفصيل المتقدّم ضعيف ، لا لما ذكر آنفاً ، بل لما تقدّم من الوجه</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1" w:name="__RefHeading___Toc212868_2142443653"/>
      <w:bookmarkStart w:id="352" w:name="_Toc126"/>
      <w:bookmarkEnd w:id="351"/>
      <w:r>
        <w:rPr>
          <w:rtl w:val="true"/>
        </w:rPr>
        <w:t>في التفصيل بين المتذكّر الذي لم يتفحّص وغيره</w:t>
      </w:r>
      <w:bookmarkEnd w:id="352"/>
    </w:p>
    <w:p>
      <w:pPr>
        <w:pStyle w:val="BookText"/>
        <w:rPr/>
      </w:pPr>
      <w:r>
        <w:rPr>
          <w:rFonts w:ascii="IRNazanin" w:hAnsi="IRNazanin" w:eastAsia="IRNazanin"/>
          <w:color w:val="111111"/>
          <w:sz w:val="28"/>
          <w:sz w:val="28"/>
          <w:szCs w:val="28"/>
          <w:rtl w:val="true"/>
          <w:lang w:bidi="fa-IR"/>
        </w:rPr>
        <w:t xml:space="preserve">وأضعف منه التفصيل الثاني ؛ لعدم دليل عليه سوى رواية ميمون الصيقل ،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أصابته جنابة بالليل فاغتسل ، فلمّا أصبح نظر فإذا في ثوبه جنابة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الذي لم يدع شيئاً إلاّ وله 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حين قام نظر فلم يرَ شيئاً فلا إعادة عليه ، وإن كان حين قام لم ينظر فعليه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كذا في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العقول</w:t>
      </w:r>
      <w:r>
        <w:rPr>
          <w:rFonts w:eastAsia="IRNazanin" w:cs="IRNazanin"/>
          <w:color w:val="111111"/>
          <w:sz w:val="28"/>
          <w:szCs w:val="28"/>
          <w:rtl w:val="true"/>
          <w:lang w:bidi="fa-IR"/>
        </w:rPr>
        <w:t>»</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فاغتسل</w:t>
      </w:r>
      <w:r>
        <w:rPr>
          <w:rFonts w:eastAsia="Amiri" w:cs="Amiri" w:ascii="Amiri" w:hAnsi="Amiri"/>
          <w:color w:val="111111"/>
          <w:sz w:val="28"/>
          <w:szCs w:val="28"/>
          <w:rtl w:val="true"/>
          <w:lang w:bidi="ar-SA"/>
        </w:rPr>
        <w:t>»</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هامش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هذا الخبر أورده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w:t>
      </w:r>
      <w:r>
        <w:rPr>
          <w:rStyle w:val="FootnoteAnchor"/>
          <w:rtl w:val="true"/>
        </w:rPr>
        <w:footnoteReference w:id="900"/>
      </w:r>
      <w:r>
        <w:rPr>
          <w:rFonts w:ascii="IRNazanin" w:hAnsi="IRNazanin" w:eastAsia="IRNazanin"/>
          <w:color w:val="111111"/>
          <w:sz w:val="28"/>
          <w:sz w:val="28"/>
          <w:szCs w:val="28"/>
          <w:rtl w:val="true"/>
          <w:lang w:bidi="fa-IR"/>
        </w:rPr>
        <w:t xml:space="preserve">، وليس في أحدهما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 رحمه الله علیه </w:t>
      </w:r>
      <w:r>
        <w:rPr>
          <w:rFonts w:eastAsia="IRNazanin" w:cs="IRNazanin"/>
          <w:color w:val="111111"/>
          <w:sz w:val="28"/>
          <w:szCs w:val="28"/>
          <w:rtl w:val="true"/>
          <w:lang w:bidi="fa-IR"/>
        </w:rPr>
        <w:t>] »</w:t>
      </w:r>
      <w:r>
        <w:rPr>
          <w:rStyle w:val="FootnoteAnchor"/>
          <w:rtl w:val="true"/>
        </w:rPr>
        <w:footnoteReference w:id="901"/>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الشيخ بإسناده عن محمّد بن يعقوب ، ورواه أيضاً بإسناده عن الصفّار ، عن الحسن بن علي بن </w:t>
      </w:r>
    </w:p>
    <w:p>
      <w:pPr>
        <w:pStyle w:val="BookText"/>
        <w:rPr/>
      </w:pPr>
      <w:r>
        <w:rPr>
          <w:rFonts w:ascii="IRNazanin" w:hAnsi="IRNazanin" w:eastAsia="IRNazanin"/>
          <w:color w:val="111111"/>
          <w:sz w:val="28"/>
          <w:sz w:val="28"/>
          <w:szCs w:val="28"/>
          <w:rtl w:val="true"/>
          <w:lang w:bidi="fa-IR"/>
        </w:rPr>
        <w:t xml:space="preserve">عبداللّه ، ورواه أيضاً مثله إلى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إعادة عليه</w:t>
      </w:r>
      <w:r>
        <w:rPr>
          <w:rFonts w:eastAsia="IRNazanin" w:cs="IRNazanin"/>
          <w:color w:val="111111"/>
          <w:sz w:val="28"/>
          <w:szCs w:val="28"/>
          <w:rtl w:val="true"/>
          <w:lang w:bidi="fa-IR"/>
        </w:rPr>
        <w:t>»</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نسخة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مقروءة على المحدّث المجلسي كما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بزيادة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حين 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اختلف نقلها في الكتب الاستدلالية أيضاً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فهذه الرواية مع هذا السند الضعيف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المغشوش ، كما يظهر بالرجوع إلى كتب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المتن المشوّش ، لا يمكن الاتّكال عليها ، سيّما مع عدم تحقّق عامل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 نّه على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ليس فيها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يتّضح أنّ الإعادة إعادة الصلاة ، ولعلّها إعادة الغسل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ولزوم فساد المتن على هذا الفرض لا يوجب العلم بكون المقدّر فيها الصلاة ، إلاّ أن يكون ذلك موجباً لترجيح النسخة الاُخرى </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وعلى النسخة التي ليس فيها جملة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 كان حين قام لم ينظر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إلى آخره ، لا تدلّ على المقصود إلاّ بتوهّم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المفهوم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نّه إذا لم ينظر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إلى آخره ، وهو غير معلوم ؛ لأنّ أخذ النظر وغيره من العناوين التي لها طريقية إلى الواقع في موضوع ، لا يكون ظاهراً في الموضوعية ، ولعلّ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فلم 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أمارة على عدم الجنابة فيه واقعاً ، ومقابلها وجودها واقعاً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ومعارضة هذا المفهوم للأدلّة المتقدّمة لا توجب ظهوراً فيها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وأمّا دعوى تقدّم أصالة عدم الزيادة على أصالة عدم النقيصة ، فعلى فرض تسليمها لا تسلّم في المقام ؛ فإنّ المحتمل فيه أن تكون الزيادة عن عمد نقلاً بالمعنى ، وتفصيلاً لما اُجمل في الرواية ، وهو ليس بممنوع حتّى ينافي العدالة ، فيدور الأمر بين النقيصة السهوية أو العمدية بلا وجه ، وبين الزيادة السهوية أو العمدية مع الوجه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في النقيصة أن تكون عن عمد في المقام أيضاً ؛ لاحتمال اكتفاء الراوي بالمنطوق وإيكال فهم المفهوم إلى السامع ، لكنّه بعيد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ما ذكرناه أيضاً كذلك ، فالأوجه في الجواب عنها الطعن في السند والهجر في العمل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وبالأخير يجاب عن سائر الروايات التي استدلّ بها </w:t>
      </w:r>
      <w:r>
        <w:rPr>
          <w:rStyle w:val="FootnoteAnchor"/>
          <w:rtl w:val="true"/>
        </w:rPr>
        <w:footnoteReference w:id="904"/>
      </w:r>
      <w:r>
        <w:rPr>
          <w:rFonts w:ascii="IRNazanin" w:hAnsi="IRNazanin" w:eastAsia="IRNazanin"/>
          <w:color w:val="111111"/>
          <w:sz w:val="28"/>
          <w:sz w:val="28"/>
          <w:szCs w:val="28"/>
          <w:rtl w:val="true"/>
          <w:lang w:bidi="fa-IR"/>
        </w:rPr>
        <w:t xml:space="preserve">للمقصود لو سلّمت دلالتها ، لكنّها غير مسلّمة ؛ لأنّ الظاهر من صحيحة محمّد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المنيّ فشدّده وجعله أشدّ من البول ،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رأيت</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المنيّ قبل أو بعد ما تدخل في الصلاة ، فعليك إعادة الصلاة ، وإن أنت نظرت في ثوبك فلم تصبه ، ثمّ صلّيت فيه ، ثمّ رأيته بعد ، فلا إعادة عليك ، وكذلك البول</w:t>
      </w:r>
      <w:r>
        <w:rPr>
          <w:rFonts w:eastAsia="Amiri" w:cs="Amiri" w:ascii="Amiri" w:hAnsi="Amiri"/>
          <w:color w:val="111111"/>
          <w:sz w:val="28"/>
          <w:szCs w:val="28"/>
          <w:rtl w:val="true"/>
          <w:lang w:bidi="ar-SA"/>
        </w:rPr>
        <w:t>»</w:t>
      </w:r>
      <w:r>
        <w:rPr>
          <w:rStyle w:val="FootnoteAnchor"/>
          <w:rtl w:val="true"/>
        </w:rPr>
        <w:footnoteReference w:id="9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الجملة الثانية مفهوم الشرطية الاُولى ، وليست جملة مستقلّة غير مربوطة بها ، فيكون المراد عدم رؤية المنيّ في الثوب ، وقد مرّ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الجملة المذكورة لبيان المفهوم لا مفهوم لها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 xml:space="preserve">. </w:t>
      </w:r>
      <w:bookmarkStart w:id="353" w:name="pg15030_143264"/>
    </w:p>
    <w:p>
      <w:pPr>
        <w:pStyle w:val="BookText"/>
        <w:rPr/>
      </w:pPr>
      <w:bookmarkEnd w:id="353"/>
      <w:r>
        <w:rPr>
          <w:rFonts w:ascii="Amiri" w:hAnsi="Amiri" w:eastAsia="Amiri" w:cs="Amiri"/>
          <w:color w:val="111111"/>
          <w:sz w:val="28"/>
          <w:sz w:val="28"/>
          <w:szCs w:val="28"/>
          <w:rtl w:val="true"/>
          <w:lang w:bidi="ar-SA"/>
        </w:rPr>
        <w:t>وأمّا مرسلة الصدوق</w:t>
      </w:r>
      <w:r>
        <w:rPr>
          <w:rStyle w:val="FootnoteAnchor"/>
          <w:rtl w:val="true"/>
        </w:rPr>
        <w:footnoteReference w:id="907"/>
      </w:r>
      <w:r>
        <w:rPr>
          <w:rFonts w:ascii="Amiri" w:hAnsi="Amiri" w:eastAsia="Amiri" w:cs="Amiri"/>
          <w:color w:val="111111"/>
          <w:sz w:val="28"/>
          <w:sz w:val="28"/>
          <w:szCs w:val="28"/>
          <w:rtl w:val="true"/>
          <w:lang w:bidi="ar-SA"/>
        </w:rPr>
        <w:t xml:space="preserve">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الرواية المتقدّمة ، ورواية مُيسّر</w:t>
      </w:r>
      <w:r>
        <w:rPr>
          <w:rStyle w:val="FootnoteAnchor"/>
          <w:rtl w:val="true"/>
        </w:rPr>
        <w:footnoteReference w:id="908"/>
      </w:r>
      <w:r>
        <w:rPr>
          <w:rFonts w:ascii="Amiri" w:hAnsi="Amiri" w:eastAsia="Amiri" w:cs="Amiri"/>
          <w:color w:val="111111"/>
          <w:sz w:val="28"/>
          <w:sz w:val="28"/>
          <w:szCs w:val="28"/>
          <w:rtl w:val="true"/>
          <w:lang w:bidi="ar-SA"/>
        </w:rPr>
        <w:t xml:space="preserve">أجنبيّة عن المقام </w:t>
      </w:r>
      <w:r>
        <w:rPr>
          <w:rFonts w:eastAsia="Amiri" w:cs="Amiri" w:ascii="Amiri" w:hAnsi="Amiri"/>
          <w:color w:val="111111"/>
          <w:sz w:val="28"/>
          <w:szCs w:val="28"/>
          <w:rtl w:val="true"/>
          <w:lang w:bidi="ar-SA"/>
        </w:rPr>
        <w:t>.</w:t>
      </w:r>
    </w:p>
    <w:p>
      <w:pPr>
        <w:pStyle w:val="Heading4"/>
        <w:numPr>
          <w:ilvl w:val="3"/>
          <w:numId w:val="1"/>
        </w:numPr>
        <w:rPr/>
      </w:pPr>
      <w:bookmarkStart w:id="354" w:name="__RefHeading___Toc212870_2142443653"/>
      <w:bookmarkStart w:id="355" w:name="_Toc127"/>
      <w:bookmarkEnd w:id="354"/>
      <w:r>
        <w:rPr>
          <w:rtl w:val="true"/>
        </w:rPr>
        <w:t>حكم الصلاة فيما لو رأى النجاسة في أثنائها</w:t>
      </w:r>
      <w:bookmarkEnd w:id="355"/>
    </w:p>
    <w:p>
      <w:pPr>
        <w:pStyle w:val="BookText"/>
        <w:rPr/>
      </w:pPr>
      <w:r>
        <w:rPr>
          <w:rFonts w:ascii="Amiri" w:hAnsi="Amiri" w:eastAsia="Amiri" w:cs="Amiri"/>
          <w:color w:val="111111"/>
          <w:sz w:val="28"/>
          <w:sz w:val="28"/>
          <w:szCs w:val="28"/>
          <w:rtl w:val="true"/>
          <w:lang w:bidi="ar-SA"/>
        </w:rPr>
        <w:t>ولو رأى النجاسة في أثناء الصلاة ، فإن علم بسبقها وأنّ بعض صلاته وقع مع النجاسة ، بطلت صلاته مع سعة الوقت ؛ لبطلان المشروط مع فقد شرطه ، ولجملة من الروايات الآتية عن قريب</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6" w:name="__RefHeading___Toc212872_2142443653"/>
      <w:bookmarkStart w:id="357" w:name="_Toc128"/>
      <w:bookmarkEnd w:id="356"/>
      <w:r>
        <w:rPr>
          <w:rtl w:val="true"/>
        </w:rPr>
        <w:t>القول بتصحيح الصلاة في هذه الصورة وما فيه</w:t>
      </w:r>
      <w:bookmarkEnd w:id="357"/>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مقتضى الرواياتِ الواردة في حدوث الدم في أثناء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كصحيحة معاوية بن وهب ،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الرعاف أينقض الوضوء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أنّ رجلاً رعف في صلاته ، وكان عنده ماء ، أو من </w:t>
      </w:r>
    </w:p>
    <w:p>
      <w:pPr>
        <w:pStyle w:val="BookText"/>
        <w:rPr/>
      </w:pPr>
      <w:r>
        <w:rPr>
          <w:rFonts w:ascii="Amiri" w:hAnsi="Amiri" w:eastAsia="Amiri" w:cs="Amiri"/>
          <w:color w:val="111111"/>
          <w:sz w:val="28"/>
          <w:sz w:val="28"/>
          <w:szCs w:val="28"/>
          <w:rtl w:val="true"/>
          <w:lang w:bidi="ar-SA"/>
        </w:rPr>
        <w:t>يشير إليه بماء ، فتناوله فقال برأسه فغسله ، فليبن على صلاته ولا يقطعها</w:t>
      </w:r>
      <w:r>
        <w:rPr>
          <w:rFonts w:eastAsia="Amiri" w:cs="Amiri" w:ascii="Amiri" w:hAnsi="Amiri"/>
          <w:color w:val="111111"/>
          <w:sz w:val="28"/>
          <w:szCs w:val="28"/>
          <w:rtl w:val="true"/>
          <w:lang w:bidi="ar-SA"/>
        </w:rPr>
        <w:t>»</w:t>
      </w:r>
      <w:r>
        <w:rPr>
          <w:rStyle w:val="FootnoteAnchor"/>
          <w:rtl w:val="true"/>
        </w:rPr>
        <w:footnoteReference w:id="910"/>
      </w:r>
      <w:r>
        <w:rPr>
          <w:rFonts w:ascii="Amiri" w:hAnsi="Amiri" w:eastAsia="Amiri" w:cs="Amiri"/>
          <w:color w:val="111111"/>
          <w:sz w:val="28"/>
          <w:sz w:val="28"/>
          <w:szCs w:val="28"/>
          <w:rtl w:val="true"/>
          <w:lang w:bidi="ar-SA"/>
        </w:rPr>
        <w:t xml:space="preserve">ونحوها جملة من الصحاح وغيرها </w:t>
      </w:r>
      <w:r>
        <w:rPr>
          <w:rStyle w:val="FootnoteAnchor"/>
          <w:rtl w:val="true"/>
        </w:rPr>
        <w:footnoteReference w:id="9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والرواياتِ الواردة في صحّتها لو علم بالنجاسة بعدها </w:t>
      </w:r>
      <w:r>
        <w:rPr>
          <w:rStyle w:val="FootnoteAnchor"/>
          <w:rtl w:val="true"/>
        </w:rPr>
        <w:footnoteReference w:id="912"/>
      </w:r>
      <w:r>
        <w:rPr>
          <w:rFonts w:ascii="Amiri" w:hAnsi="Amiri" w:eastAsia="Amiri" w:cs="Amiri"/>
          <w:color w:val="111111"/>
          <w:sz w:val="28"/>
          <w:sz w:val="28"/>
          <w:szCs w:val="28"/>
          <w:rtl w:val="true"/>
          <w:lang w:bidi="ar-SA"/>
        </w:rPr>
        <w:t xml:space="preserve">، صحّة صلاته في الفرض ؛ فإنّ الجهل إذا كان في جميعها عذراً ، يكون في بعضها بالأولوية وإلغاء الخصوصية عرفاً ، فصحّت صلاته إلى حين الالتفات ، وفي حاله والاشتغال بالتطهير ، يكون معذوراً بمقتضى الروايات المتقدّمة في الرعاف ، والعرف لا يفرّق بين الحدوث والعلم بالوجود ؛ لأنّ المانع للصلاة النجاسة لا حدوثها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 صلاته هذه بعضها بدليل معذورية الجاهل ، وبعضها بما دلّ على معذوريته حال الاشتغال بالتطهير ، وبعضها بوجدانها للشرط</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الأولوية المدّعاة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إن قلنا بالعفو ؛ فلأنّ العفو في الجميع ربّما يكون تخفيفاً على المكلّف ؛ وعدم إرادة إعادة جميع الصلاة ، دون بعضها </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قلنا بعدم المانعية فكذلك ؛ لإمكان أن يكون للجهل في جميع الصلاة دخالة فيه ، فلا قطع بالمناط ، وهو واضح ، سيّما مع وقوع نظائره في الشرع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يمكن دعوى إلغاء الخصوصية ؛ لمنع فهم العرف من الأدلّة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المثال مثلاً ؛ بعد ما يرى أنّ لتمام الصلاة خصوصيةً وأحكاماً في الشرع ليست لبعضها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ومنع القطع بعدم الفارق بين حدوث الدم وحدوث الالتفات إليه ؛ لاحتمال أن يكون للحدوث القهري خصوصية لم تكن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لو كان الدليل في الباب منحصراً بأدلّة الرعاف ، لا يمكن لنا التعدّي منها إلى سائر النجاسات ؛ بعد ثبوت التخفيف في الدم بما لا يكون في غيره ، كالتخفيف في دم القروح والجروح كائناً ما كان ، وكالأقلّ من الدرهم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سيأتي ما يستفاد منه العموم لسائر النجاسات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لتصحيح العبادة في الفرض وسائر الفروض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دليل على مانعية النجاسة في جميع الصلاة أفعالاً وأكواناً ؛ لقصور أدلّة الاشتراط أو المانعية عن شمول الأكوان ، ومع الشكّ مقتضى الأصل البراءة ، فتكون الصلاة صحيحة إلى حين الالتفات بأدلّة الجهل كما تقدّم ، وفي حينه وحين الاشتغال بالتطهير بأصالة البراءة</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مرّ من عدم الدليل على معذورية الجاهل مع الالتفات في أثناء الصلاة ، ومنع فقدان الدليل على اعتبار الطهارة أو عدم النجاسة في الأكوان ؛ لعدم قصور صحيحة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صلاة إلاّ بطهور ، ويجزيك عن الاستنجاء ثلاثة أحجار ، بذلك جرت السنّة عن رسول اللّه صلی الله علیه و آله وسلم </w:t>
      </w:r>
    </w:p>
    <w:p>
      <w:pPr>
        <w:pStyle w:val="BookText"/>
        <w:rPr/>
      </w:pPr>
      <w:r>
        <w:rPr>
          <w:rFonts w:ascii="Amiri" w:hAnsi="Amiri" w:eastAsia="Amiri" w:cs="Amiri"/>
          <w:color w:val="111111"/>
          <w:sz w:val="28"/>
          <w:sz w:val="28"/>
          <w:szCs w:val="28"/>
          <w:rtl w:val="true"/>
          <w:lang w:bidi="ar-SA"/>
        </w:rPr>
        <w:t>وأمّا البول فإنّه لا بدّ من غسله</w:t>
      </w:r>
      <w:r>
        <w:rPr>
          <w:rFonts w:eastAsia="Amiri" w:cs="Amiri" w:ascii="Amiri" w:hAnsi="Amiri"/>
          <w:color w:val="111111"/>
          <w:sz w:val="28"/>
          <w:szCs w:val="28"/>
          <w:rtl w:val="true"/>
          <w:lang w:bidi="ar-SA"/>
        </w:rPr>
        <w:t>»</w:t>
      </w:r>
      <w:r>
        <w:rPr>
          <w:rStyle w:val="FootnoteAnchor"/>
          <w:rtl w:val="true"/>
        </w:rPr>
        <w:footnoteReference w:id="9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إفادة ذلك ؛ لأنّ الظاهر منها أنّ الصلاة</w:t>
      </w:r>
    </w:p>
    <w:p>
      <w:pPr>
        <w:pStyle w:val="BookText"/>
        <w:rPr/>
      </w:pPr>
      <w:r>
        <w:rPr>
          <w:rFonts w:ascii="Amiri" w:hAnsi="Amiri" w:eastAsia="Amiri" w:cs="Amiri"/>
          <w:color w:val="111111"/>
          <w:sz w:val="28"/>
          <w:sz w:val="28"/>
          <w:szCs w:val="28"/>
          <w:rtl w:val="true"/>
          <w:lang w:bidi="ar-SA"/>
        </w:rPr>
        <w:t xml:space="preserve">باطلة مع فقد الطهور ، فإذا فَقدت الطهور في بعضها لم تكن هي بطهور ، وبالجملة الظاهر منها اعتباره في جميعها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لكن الأكوان ليست بصلاة ، بل هي عبارة عن التكبير إلى التسليم ؛ أي الأجزاء الوجودية من الأذكار وغيرها ، والسكوتات المتخلّلات بينها ليست من الصلاة</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إمكان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المصلّي من أوّل صلاته إلى آخرها ،</w:t>
      </w:r>
    </w:p>
    <w:p>
      <w:pPr>
        <w:pStyle w:val="BookText"/>
        <w:rPr/>
      </w:pPr>
      <w:r>
        <w:rPr>
          <w:rFonts w:ascii="Amiri" w:hAnsi="Amiri" w:eastAsia="Amiri" w:cs="Amiri"/>
          <w:color w:val="111111"/>
          <w:sz w:val="28"/>
          <w:sz w:val="28"/>
          <w:szCs w:val="28"/>
          <w:rtl w:val="true"/>
          <w:lang w:bidi="ar-SA"/>
        </w:rPr>
        <w:t xml:space="preserve">لا يخلو من التلبّس بفعل من أفعال الصلاة ، كالقيام والقعود والركوع والسجود ، بل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النهوض للقيام والهويّ للسجود أيضاً من أجزائها ، لا من مقدّماتها ، فأجزاء الصلاة متّصلة إلى آخرها ، 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المرتكز لدى المتشرّعة أنّ المصلّي إذا كبّر ، يكون في الصلاة إلى أن يخرج عنها بالسلام ، فتكون الصلاة عندهم أمراً ممتدّاً يكون المكلّف متلبّساً بها في جميع الحالات ؛ أكواناً أو أفعالاً ، ودعوى أنّ الأكوان خارجة عنها مخالفة لارتكازهم </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التعبير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جملة من الموارد</w:t>
      </w:r>
      <w:r>
        <w:rPr>
          <w:rStyle w:val="FootnoteAnchor"/>
          <w:rtl w:val="true"/>
        </w:rPr>
        <w:footnoteReference w:id="917"/>
      </w:r>
      <w:r>
        <w:rPr>
          <w:rFonts w:ascii="Amiri" w:hAnsi="Amiri" w:eastAsia="Amiri" w:cs="Amiri"/>
          <w:color w:val="111111"/>
          <w:sz w:val="28"/>
          <w:sz w:val="28"/>
          <w:szCs w:val="28"/>
          <w:rtl w:val="true"/>
          <w:lang w:bidi="ar-SA"/>
        </w:rPr>
        <w:t xml:space="preserve">، يدلّ على أ نّها أمر ممتدّ في الاعتبار يقطعها بعض القواطع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بأنّ التعبير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w:t>
      </w:r>
      <w:bookmarkStart w:id="358" w:name="pg15030_143268"/>
    </w:p>
    <w:p>
      <w:pPr>
        <w:pStyle w:val="BookText"/>
        <w:rPr/>
      </w:pPr>
      <w:bookmarkEnd w:id="358"/>
      <w:r>
        <w:rPr>
          <w:rFonts w:ascii="Amiri" w:hAnsi="Amiri" w:eastAsia="Amiri" w:cs="Amiri"/>
          <w:color w:val="111111"/>
          <w:sz w:val="28"/>
          <w:sz w:val="28"/>
          <w:szCs w:val="28"/>
          <w:rtl w:val="true"/>
          <w:lang w:bidi="ar-SA"/>
        </w:rPr>
        <w:t>إبطاله الأجزاء السابقة ، وسلب صلوح اتّصالها بالأجزاء اللاحقة ، خلاف ظاهر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القاطع</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مع أنّ اعتبار الطهور وسائر ما يعتبر في الصلاة في جميع الأجزاء والأكوان ، ممّا لا ينبغي الشكّ والترديد فيه ، ومن هنا لا يجوز الإتيان بالموانع عمداً في الأكوان ورفعها للأفعال ، وهو كالضروري ، وليس إلاّ لبعض ما تقدّم </w:t>
      </w:r>
      <w:r>
        <w:rPr>
          <w:rFonts w:eastAsia="Amiri" w:cs="Amiri" w:ascii="Amiri" w:hAnsi="Amiri"/>
          <w:color w:val="111111"/>
          <w:sz w:val="28"/>
          <w:szCs w:val="28"/>
          <w:rtl w:val="true"/>
          <w:lang w:bidi="ar-SA"/>
        </w:rPr>
        <w:t>.</w:t>
      </w:r>
    </w:p>
    <w:p>
      <w:pPr>
        <w:pStyle w:val="Heading4"/>
        <w:numPr>
          <w:ilvl w:val="3"/>
          <w:numId w:val="1"/>
        </w:numPr>
        <w:rPr/>
      </w:pPr>
      <w:bookmarkStart w:id="359" w:name="__RefHeading___Toc212874_2142443653"/>
      <w:bookmarkStart w:id="360" w:name="_Toc129"/>
      <w:bookmarkEnd w:id="359"/>
      <w:r>
        <w:rPr>
          <w:rtl w:val="true"/>
        </w:rPr>
        <w:t>مقتضى القاعدة والروايات بطلان الصلاة في المقام</w:t>
      </w:r>
      <w:bookmarkEnd w:id="360"/>
    </w:p>
    <w:p>
      <w:pPr>
        <w:pStyle w:val="BookText"/>
        <w:rPr/>
      </w:pPr>
      <w:r>
        <w:rPr>
          <w:rFonts w:ascii="Amiri" w:hAnsi="Amiri" w:eastAsia="Amiri" w:cs="Amiri"/>
          <w:color w:val="111111"/>
          <w:sz w:val="28"/>
          <w:sz w:val="28"/>
          <w:szCs w:val="28"/>
          <w:rtl w:val="true"/>
          <w:lang w:bidi="ar-SA"/>
        </w:rPr>
        <w:t xml:space="preserve">فتحصّل ممّا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القاعدة بطلان الصلاة في صورة العلم بسبق العروض ؛ سواء علم بسبقه على الدخول في الصلاة ، أو سبقه على الرؤية ، مع إتيان بعض الصلاة مع النجس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دلالة صحيحة زرارة الطويلة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 ثوبي دم رعاف أو غيره أو شيء من منيّ ، فعلّمت أثره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رأيته في ثوبي وأنا في الصلاة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تنقض الصلاة وتعيد إذا شككت في موضع منه ثمّ رأيته ، وإن لم تشكّ ثمّ رأيته رطباً قطعت الصلاة وغسلته ، ثمّ بنيت على الصلاة ؛ لأ نّك لا تدري لعلّه شيء اُوقع عليك ، فليس ينبغي أن تنقض اليقين بالشكّ</w:t>
      </w:r>
      <w:r>
        <w:rPr>
          <w:rFonts w:eastAsia="Amiri" w:cs="Amiri" w:ascii="Amiri" w:hAnsi="Amiri"/>
          <w:color w:val="111111"/>
          <w:sz w:val="28"/>
          <w:szCs w:val="28"/>
          <w:rtl w:val="true"/>
          <w:lang w:bidi="ar-SA"/>
        </w:rPr>
        <w:t>»</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ريب في أ نّه يستفاد منها حكم مطلق النجاسات ؛ ضرورة أنّ ذكر الدم والمنيّ من باب المثال ، كما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وضوحه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سائر فقراتها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كما لا شبهة في أنّ المراد بالفرع الأوّل من الفرعين ، مورد العلم بسبق النجاسة على زمان الرؤية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شككت في موضع منه ثمّ رأيته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لتنقيح موضوع الاطمئنان بكون ما رآه هو المشكوك فيه قبلاً ، كما يظهر ذلك من تقييد المرئيّ في الفقرة الثانية بكونه رطباً ؛ فإنّه مع فرض اليبوسة يعلم بسبقه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ويؤيّده بل يشهد عليه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 نّك لا تدري لعلّه شيء اُوقع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لإلقاء الشبهة بحدوث النجاسة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الإشكال في ظهورها في أ نّه مع العلم بوجود النجاسة قبل الرؤية ، تبطل الصلاة ، ومع الشكّ لا تبطل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الفقرة الاُولى على مورد العلم الإجمالي</w:t>
      </w:r>
      <w:r>
        <w:rPr>
          <w:rStyle w:val="FootnoteAnchor"/>
          <w:rtl w:val="true"/>
        </w:rPr>
        <w:footnoteReference w:id="919"/>
      </w:r>
      <w:r>
        <w:rPr>
          <w:rFonts w:ascii="IRNazanin" w:hAnsi="IRNazanin" w:eastAsia="IRNazanin"/>
          <w:color w:val="111111"/>
          <w:sz w:val="28"/>
          <w:sz w:val="28"/>
          <w:szCs w:val="28"/>
          <w:rtl w:val="true"/>
          <w:lang w:bidi="fa-IR"/>
        </w:rPr>
        <w:t xml:space="preserve">، مخالف للظاهر من وجوه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فيبقى سؤال الفارق بين الفرعين ، حيث تمسّك في الثانية بالاستصحاب دون الأوّل ، مع أنّ جريان الأصل إنّما يفيد لحال الجهل ، لا الالتفات بوجود النجاسة ، وفي الفرع الأوّل أيضاً كان المصلّي شاكّاً في عروضها ، وتبيّن الخلاف غير مضرّ به ، كما أجراه في صدر الصحيحة بالنسبة إلى من صلّى في الثوب ، ثمّ علم بالنجاسة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 نّه في الفرع الثاني يجري الاستصحاب ، ويفيد بالنسبة إلى حال قبل الالتفات ، كذا في الأوّل بالنسبة إليه ، ولا بدّ في تصحيح حال الالتفات والعلم من دليل آخر غير 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عنه ما ذكرناه</w:t>
      </w:r>
      <w:r>
        <w:rPr>
          <w:rStyle w:val="FootnoteAnchor"/>
          <w:rtl w:val="true"/>
        </w:rPr>
        <w:footnoteReference w:id="9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احتمال عدم العفو عن النجاسة الموجودة قبل</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حال الرؤية في حالها ؛ لقصور الأدلّة الدالّة على حدوث الرعاف بين الصلاة عن </w:t>
      </w:r>
    </w:p>
    <w:p>
      <w:pPr>
        <w:pStyle w:val="BookText"/>
        <w:rPr/>
      </w:pPr>
      <w:r>
        <w:rPr>
          <w:rFonts w:ascii="Amiri" w:hAnsi="Amiri" w:eastAsia="Amiri" w:cs="Amiri"/>
          <w:color w:val="111111"/>
          <w:sz w:val="28"/>
          <w:sz w:val="28"/>
          <w:szCs w:val="28"/>
          <w:rtl w:val="true"/>
          <w:lang w:bidi="ar-SA"/>
        </w:rPr>
        <w:t>إثباته ، وهذه الصحيحة شاهدة على ما ذكرناه من اقتضاء القواعد ، وإنّما تمسّك</w:t>
      </w:r>
    </w:p>
    <w:p>
      <w:pPr>
        <w:pStyle w:val="BookText"/>
        <w:rPr/>
      </w:pPr>
      <w:r>
        <w:rPr>
          <w:rFonts w:ascii="Amiri" w:hAnsi="Amiri" w:eastAsia="Amiri" w:cs="Amiri"/>
          <w:color w:val="111111"/>
          <w:sz w:val="28"/>
          <w:sz w:val="28"/>
          <w:szCs w:val="28"/>
          <w:rtl w:val="true"/>
          <w:lang w:bidi="ar-SA"/>
        </w:rPr>
        <w:t xml:space="preserve">في الفرع الثاني بالاستصحاب لإصلاح حال الجهل ، لا حال الالتفات ، وأمّا في حال العلم فلمّا شكّ في وقوعها من الأوّل أو حدوثها في الآن ، يشكّ في حدوث المانع ، فأصالة البراءة عقلاً وشرعاً جارية ، ومع التطهير تصحّ صلاته ببركة الاستصحاب وأصالة البراءة والطهارة الواقعية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إذا كان المراد من الاستصحاب في الرواية ، استصحابَ عدم عروض النجاسة ، وإنّما تمسّكنا بأصالة البراءة دون أدلّة الرعاف ، فإنّ استصحاب عدم عروض النجاسة إلى زمان الرؤية ، لا يثبت حدوثها في الحال حتّى ينقّح به موضوع الأدلّة الاجتهادية ، فالأصل لإثبات الحدوث مثبت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إن اُريد استصحاب عدم عروض المانع أو استصحاب بقاء الهيئة الاتّصالية للصلاة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جريانهما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فالأمر واضح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الفرع الأوّل فلا يمكن تصحيحه بالاستصحاب ؛ لأ نّه مع انكشاف أنّ النجس عرض سابقاً ، يحرز عدم اندراج المورد في أدلّة العفو الظاهرة في حدوث النجاسة لدى الرؤية ، فتبقى أدلّة اعتبار الطهور في الصلاة بلا مقيّد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وتدلّ على المطلوب أيضاً صحيحة أبي بصير ، عن 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صلّى في ثوب فيه جنابة ركعتين ، ثمّ علم به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أن يبتدئ الصلاة</w:t>
      </w:r>
      <w:r>
        <w:rPr>
          <w:rFonts w:eastAsia="IRNazanin" w:cs="IRNazanin"/>
          <w:color w:val="111111"/>
          <w:sz w:val="28"/>
          <w:szCs w:val="28"/>
          <w:rtl w:val="true"/>
          <w:lang w:bidi="fa-IR"/>
        </w:rPr>
        <w:t>»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رجل يصلّي وفي ثوبه جنابة أو دم حتّى فرغ من صلاته ، ثمّ علم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مضت صلاته ، ولا شيء عليه</w:t>
      </w:r>
      <w:r>
        <w:rPr>
          <w:rFonts w:eastAsia="Amiri" w:cs="Amiri" w:ascii="Amiri" w:hAnsi="Amiri"/>
          <w:color w:val="111111"/>
          <w:sz w:val="28"/>
          <w:szCs w:val="28"/>
          <w:rtl w:val="true"/>
          <w:lang w:bidi="ar-SA"/>
        </w:rPr>
        <w:t>»</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واحتمال أن يكون المراد فرض نسيان النجاسة</w:t>
      </w:r>
      <w:r>
        <w:rPr>
          <w:rStyle w:val="FootnoteAnchor"/>
          <w:rtl w:val="true"/>
        </w:rPr>
        <w:footnoteReference w:id="922"/>
      </w:r>
      <w:r>
        <w:rPr>
          <w:rFonts w:ascii="Amiri" w:hAnsi="Amiri" w:eastAsia="Amiri" w:cs="Amiri"/>
          <w:color w:val="111111"/>
          <w:sz w:val="28"/>
          <w:sz w:val="28"/>
          <w:szCs w:val="28"/>
          <w:rtl w:val="true"/>
          <w:lang w:bidi="ar-SA"/>
        </w:rPr>
        <w:t xml:space="preserve">، في غاية البعد لو لم 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مقطوع الخلاف ، سيّما بملاحظة ذيلها الذي لا شبهة في أنّ المراد منه الجهل لا النسيان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واحتمال أنّ الفقرة الثانية كانت رواية اُخرى مستقلّة ذكرت في ذيلها تلفيقاً </w:t>
      </w:r>
      <w:r>
        <w:rPr>
          <w:rStyle w:val="FootnoteAnchor"/>
          <w:rtl w:val="true"/>
        </w:rPr>
        <w:footnoteReference w:id="923"/>
      </w:r>
      <w:r>
        <w:rPr>
          <w:rFonts w:ascii="Amiri" w:hAnsi="Amiri" w:eastAsia="Amiri" w:cs="Amiri"/>
          <w:color w:val="111111"/>
          <w:sz w:val="28"/>
          <w:sz w:val="28"/>
          <w:szCs w:val="28"/>
          <w:rtl w:val="true"/>
          <w:lang w:bidi="ar-SA"/>
        </w:rPr>
        <w:t xml:space="preserve">، بعيد لا يصار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الإشكال في دلالتها على المطلوب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وتدلّ عليه أيضاً إطلاق صدر صحيحة محمّد بن مسلم ، عن أبي عبداللّه علیه السلام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المنيّ فشدّده وجعله أشدّ من البول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رأيت المنيّ قبل أو بعد ما تدخل في الصلاة ، فعليك إعادة الصلاة ، وإن أنت نظرت في ثوبك فلم تصبه ، وصلّيت فيه ، ثمّ رأيته بعد ذلك ، فلا إعادة عليك ، وكذلك البول</w:t>
      </w:r>
      <w:r>
        <w:rPr>
          <w:rFonts w:eastAsia="Amiri" w:cs="Amiri" w:ascii="Amiri" w:hAnsi="Amiri"/>
          <w:color w:val="111111"/>
          <w:sz w:val="28"/>
          <w:szCs w:val="28"/>
          <w:rtl w:val="true"/>
          <w:lang w:bidi="ar-SA"/>
        </w:rPr>
        <w:t>»</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نوقش فيها بدعوى ظهورها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بمناسبة الإعادة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صلّى وأتمّها بعد رؤية الدم</w:t>
      </w:r>
      <w:r>
        <w:rPr>
          <w:rStyle w:val="FootnoteAnchor"/>
          <w:rtl w:val="true"/>
        </w:rPr>
        <w:footnoteReference w:id="925"/>
      </w:r>
      <w:r>
        <w:rPr>
          <w:rFonts w:ascii="Amiri" w:hAnsi="Amiri" w:eastAsia="Amiri" w:cs="Amiri"/>
          <w:color w:val="111111"/>
          <w:sz w:val="28"/>
          <w:sz w:val="28"/>
          <w:szCs w:val="28"/>
          <w:rtl w:val="true"/>
          <w:lang w:bidi="ar-SA"/>
        </w:rPr>
        <w:t xml:space="preserve">، ففيما عداها كفاية وإن أمكن إنكار المناقشة </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الإعادة مختصّة بما إذا لم يمكن نزع الثوب أو تطهيره ، ومع إمكان ذلك فعَله وأتمّها ؛ جمعاً بين الروايات</w:t>
      </w:r>
      <w:r>
        <w:rPr>
          <w:rStyle w:val="FootnoteAnchor"/>
          <w:rtl w:val="true"/>
        </w:rPr>
        <w:footnoteReference w:id="926"/>
      </w:r>
      <w:r>
        <w:rPr>
          <w:rFonts w:ascii="Amiri" w:hAnsi="Amiri" w:eastAsia="Amiri" w:cs="Amiri"/>
          <w:color w:val="111111"/>
          <w:sz w:val="28"/>
          <w:sz w:val="28"/>
          <w:szCs w:val="28"/>
          <w:rtl w:val="true"/>
          <w:lang w:bidi="ar-SA"/>
        </w:rPr>
        <w:t xml:space="preserve">بشهادة صحيحة محمّد بن مسلم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 يكون في الثوب عليّ وأنا في الصلاة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رأيته وعليك ثوب غيره فاطرحه وصلّ ، وإن لم يكن عليك ثوب غيره فامض في صلاتك ، ولا إعادة عليك ما لم يزد على مقدار الدرهم ، وما كان أقلّ من ذلك فليس بشيء ؛ رأيته من قبل أو لم تره ، وإذا كنت قد رأيته وهو أكثر من مقدار الدرهم ، فضيّعت غسله وصلّيت فيه صلاة كثيرة ، فأعد ما صلّيت فيه</w:t>
      </w:r>
      <w:r>
        <w:rPr>
          <w:rFonts w:eastAsia="Amiri" w:cs="Amiri" w:ascii="Amiri" w:hAnsi="Amiri"/>
          <w:color w:val="111111"/>
          <w:sz w:val="28"/>
          <w:szCs w:val="28"/>
          <w:rtl w:val="true"/>
          <w:lang w:bidi="ar-SA"/>
        </w:rPr>
        <w:t>»</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الغضّ عن اغتشاش متنها ونقلها ، كما مرّ في باب العفو عن الدم القليل</w:t>
      </w:r>
      <w:r>
        <w:rPr>
          <w:rStyle w:val="FootnoteAnchor"/>
          <w:rtl w:val="true"/>
        </w:rPr>
        <w:footnoteReference w:id="928"/>
      </w:r>
      <w:r>
        <w:rPr>
          <w:rFonts w:ascii="IRNazanin" w:hAnsi="IRNazanin" w:eastAsia="IRNazanin"/>
          <w:color w:val="111111"/>
          <w:sz w:val="28"/>
          <w:sz w:val="28"/>
          <w:szCs w:val="28"/>
          <w:rtl w:val="true"/>
          <w:lang w:bidi="fa-IR"/>
        </w:rPr>
        <w:t xml:space="preserve">، والغضّ عن أنّ ظاهرها بيان أحكام لموضوعات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الدم المساوي للدرهم ، والدم الأقلّ منه ، والأكثر منه ؛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وقع في مقابل الزائد والقليل ، يتعيّن أن يكون بمقداره ، وهو تفصيل لم يقل به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الاستدلال بها لما ذكر موقوف على أنّ المراد بالشرطية الاُولى الدم الكثير ، وبالثانية طبيعة الدم ، وإرجاع القيد إلى الثانية فقط ، وهو خلاف الظاهر ؛ فإنّ الظاهر أنّ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لم يكن عليك ثوب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مفهوم الشرطية الاُولى ، فحينئذٍ يكون القيد راجعاً إليهما ، فيكون الأمر بالطرح محمولاً على الاستحباب إن اُريد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لم 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الدم الأقلّ ، وإلاّ كانت الشرطية الثانية خلاف الإجماع والأخبار </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رفع اليد عن القواعد والتصرّف في الأخبار بهذه الرواية ، غير ممكن </w:t>
      </w:r>
      <w:r>
        <w:rPr>
          <w:rFonts w:eastAsia="Amiri" w:cs="Amiri" w:ascii="Amiri" w:hAnsi="Amiri"/>
          <w:color w:val="111111"/>
          <w:sz w:val="28"/>
          <w:szCs w:val="28"/>
          <w:rtl w:val="true"/>
          <w:lang w:bidi="ar-SA"/>
        </w:rPr>
        <w:t xml:space="preserve">. </w:t>
      </w:r>
      <w:bookmarkStart w:id="361" w:name="pg15030_143273"/>
    </w:p>
    <w:p>
      <w:pPr>
        <w:pStyle w:val="Heading4"/>
        <w:numPr>
          <w:ilvl w:val="3"/>
          <w:numId w:val="1"/>
        </w:numPr>
        <w:rPr/>
      </w:pPr>
      <w:bookmarkStart w:id="362" w:name="__RefHeading___Toc212876_2142443653"/>
      <w:bookmarkStart w:id="363" w:name="_Toc130"/>
      <w:bookmarkEnd w:id="361"/>
      <w:bookmarkEnd w:id="362"/>
      <w:r>
        <w:rPr>
          <w:rtl w:val="true"/>
        </w:rPr>
        <w:t>حكم الصلاة مع نسيان النجاسة</w:t>
      </w:r>
      <w:bookmarkEnd w:id="363"/>
    </w:p>
    <w:p>
      <w:pPr>
        <w:pStyle w:val="BookText"/>
        <w:rPr/>
      </w:pPr>
      <w:r>
        <w:rPr>
          <w:rFonts w:ascii="Amiri" w:hAnsi="Amiri" w:eastAsia="Amiri" w:cs="Amiri"/>
          <w:color w:val="111111"/>
          <w:sz w:val="28"/>
          <w:sz w:val="28"/>
          <w:szCs w:val="28"/>
          <w:rtl w:val="true"/>
          <w:lang w:bidi="ar-SA"/>
        </w:rPr>
        <w:t xml:space="preserve">وأمّا الناسي ، بأن علم بالنجاسة فنسيها وصلّى ، فعليه الإعادة في الوقت وخارجه على المشهور أو مذهب الأكثر ،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الالتباس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w:t>
      </w:r>
      <w:r>
        <w:rPr>
          <w:rStyle w:val="FootnoteAnchor"/>
          <w:rtl w:val="true"/>
        </w:rPr>
        <w:footnoteReference w:id="9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الرموز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الشيخ والمفيد وعلم</w:t>
      </w:r>
    </w:p>
    <w:p>
      <w:pPr>
        <w:pStyle w:val="BookText"/>
        <w:rPr/>
      </w:pPr>
      <w:r>
        <w:rPr>
          <w:rFonts w:ascii="IRNazanin" w:hAnsi="IRNazanin" w:eastAsia="IRNazanin"/>
          <w:color w:val="111111"/>
          <w:sz w:val="28"/>
          <w:sz w:val="28"/>
          <w:szCs w:val="28"/>
          <w:rtl w:val="true"/>
          <w:lang w:bidi="fa-IR"/>
        </w:rPr>
        <w:t>الهدى وأتباعهم</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التنقيح</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 نّه مذهب الثلاثة وأتباعهم ، وعليه الفتوى</w:t>
      </w:r>
      <w:r>
        <w:rPr>
          <w:rFonts w:eastAsia="Amiri" w:cs="Amiri" w:ascii="Amiri" w:hAnsi="Amiri"/>
          <w:color w:val="111111"/>
          <w:sz w:val="28"/>
          <w:szCs w:val="28"/>
          <w:rtl w:val="true"/>
          <w:lang w:bidi="ar-SA"/>
        </w:rPr>
        <w:t>»</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ابن زهرة والحلّي وظاهر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ينسب الخلاف إلى متقدّمي أصحابنا إلاّ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Style w:val="FootnoteAnchor"/>
          <w:rtl w:val="true"/>
        </w:rPr>
        <w:footnoteReference w:id="933"/>
      </w:r>
      <w:r>
        <w:rPr>
          <w:rFonts w:ascii="Amiri" w:hAnsi="Amiri" w:eastAsia="Amiri" w:cs="Amiri"/>
          <w:color w:val="111111"/>
          <w:sz w:val="28"/>
          <w:sz w:val="28"/>
          <w:szCs w:val="28"/>
          <w:rtl w:val="true"/>
          <w:lang w:bidi="ar-SA"/>
        </w:rPr>
        <w:t xml:space="preserve">الذي لم يعدّ للفتوى ، بل لرفع التنافي بين الأخبار ، فلا ينبغي عدّه مخالفاً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عدم وجوب الإعادة مطلقاً إليه في بعض أقواله</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أيّ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الشهرة محقّقة في الطبقة الاُولى من أصحابنا </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وقبل التكلّم في مفاد الأخبار الخاصّة ، لا بأس بالتكلّم في مقتضى القواعد </w:t>
      </w:r>
      <w:r>
        <w:rPr>
          <w:rFonts w:eastAsia="Amiri" w:cs="Amiri" w:ascii="Amiri" w:hAnsi="Amiri"/>
          <w:color w:val="111111"/>
          <w:sz w:val="28"/>
          <w:szCs w:val="28"/>
          <w:rtl w:val="true"/>
          <w:lang w:bidi="ar-SA"/>
        </w:rPr>
        <w:t xml:space="preserve">: </w:t>
      </w:r>
      <w:bookmarkStart w:id="364" w:name="pg15030_143274"/>
    </w:p>
    <w:p>
      <w:pPr>
        <w:pStyle w:val="Heading4"/>
        <w:numPr>
          <w:ilvl w:val="3"/>
          <w:numId w:val="1"/>
        </w:numPr>
        <w:rPr/>
      </w:pPr>
      <w:bookmarkStart w:id="365" w:name="__RefHeading___Toc212878_2142443653"/>
      <w:bookmarkStart w:id="366" w:name="_Toc131"/>
      <w:bookmarkEnd w:id="364"/>
      <w:bookmarkEnd w:id="365"/>
      <w:r>
        <w:rPr>
          <w:rtl w:val="true"/>
        </w:rPr>
        <w:t>بيان مقتضى القواعد</w:t>
      </w:r>
      <w:bookmarkEnd w:id="366"/>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مقتضى أدلّة اشتراط الطهور أو مانعية النجس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سيّما مثل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w:t>
      </w:r>
      <w:r>
        <w:rPr>
          <w:rStyle w:val="FootnoteAnchor"/>
          <w:rtl w:val="true"/>
        </w:rPr>
        <w:footnoteReference w:id="9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بطلانها مع فقده نسياناً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فرغنا عن رفع إشكال الأردبيلي ومن تبعه في المسألة المتقدّمة</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تعاد الصلاة </w:t>
      </w:r>
      <w:r>
        <w:rPr>
          <w:rFonts w:eastAsia="Amiri" w:cs="Amiri" w:ascii="Amiri" w:hAnsi="Amiri"/>
          <w:color w:val="111111"/>
          <w:sz w:val="28"/>
          <w:szCs w:val="28"/>
          <w:rtl w:val="true"/>
          <w:lang w:bidi="ar-SA"/>
        </w:rPr>
        <w:t>. . .»</w:t>
      </w:r>
      <w:r>
        <w:rPr>
          <w:rStyle w:val="FootnoteAnchor"/>
          <w:rtl w:val="true"/>
        </w:rPr>
        <w:footnoteReference w:id="937"/>
      </w:r>
      <w:r>
        <w:rPr>
          <w:rFonts w:ascii="Amiri" w:hAnsi="Amiri" w:eastAsia="Amiri" w:cs="Amiri"/>
          <w:color w:val="111111"/>
          <w:sz w:val="28"/>
          <w:sz w:val="28"/>
          <w:szCs w:val="28"/>
          <w:rtl w:val="true"/>
          <w:lang w:bidi="ar-SA"/>
        </w:rPr>
        <w:t xml:space="preserve">إلى آخره ، فإن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المستثنى أعمّ من الطهور من الخبث كما هو الأظهر ، يكون مقتضاه موافقاً لأدلّة الاشتراط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قلنا باختصاصه بالطهور من الحدث ، فيكون الطهور من الخبث في العقد المستثنى منه ، تكون النسبة بينه 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وجه ؛ سواء كان الحديث مخصوصاً بالنسيان ، كما حكي عن المشهور</w:t>
      </w:r>
      <w:r>
        <w:rPr>
          <w:rStyle w:val="FootnoteAnchor"/>
          <w:rtl w:val="true"/>
        </w:rPr>
        <w:footnoteReference w:id="938"/>
      </w:r>
      <w:r>
        <w:rPr>
          <w:rFonts w:ascii="Amiri" w:hAnsi="Amiri" w:eastAsia="Amiri" w:cs="Amiri"/>
          <w:color w:val="111111"/>
          <w:sz w:val="28"/>
          <w:sz w:val="28"/>
          <w:szCs w:val="28"/>
          <w:rtl w:val="true"/>
          <w:lang w:bidi="ar-SA"/>
        </w:rPr>
        <w:t>، أو كان الأعمّ منه ومن الجهل بالحكم والموضوع ومن نسيان الحكم ، ويكون الخارج منه العالم العامد ؛ للانصراف عنه ، لا للإشكال العقلي كما قيل</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حاكماً عليه ؛ لأنّ الصحيحة تنفي موضوع الحديث بلسانها ، وهو الصلاة المأخوذة في موضوعه ، فوزان الصحيحة </w:t>
      </w:r>
    </w:p>
    <w:p>
      <w:pPr>
        <w:pStyle w:val="BookText"/>
        <w:rPr/>
      </w:pPr>
      <w:r>
        <w:rPr>
          <w:rFonts w:ascii="IRNazanin" w:hAnsi="IRNazanin" w:eastAsia="IRNazanin"/>
          <w:color w:val="111111"/>
          <w:sz w:val="28"/>
          <w:sz w:val="28"/>
          <w:szCs w:val="28"/>
          <w:rtl w:val="true"/>
          <w:lang w:bidi="fa-IR"/>
        </w:rPr>
        <w:t xml:space="preserve">معه وزان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سهو لمن أقرّ على نفسه بالسهو</w:t>
      </w:r>
      <w:r>
        <w:rPr>
          <w:rFonts w:eastAsia="IRNazanin" w:cs="IRNazanin"/>
          <w:color w:val="111111"/>
          <w:sz w:val="28"/>
          <w:szCs w:val="28"/>
          <w:rtl w:val="true"/>
          <w:lang w:bidi="fa-IR"/>
        </w:rPr>
        <w:t>»</w:t>
      </w:r>
      <w:r>
        <w:rPr>
          <w:rStyle w:val="FootnoteAnchor"/>
          <w:rtl w:val="true"/>
        </w:rPr>
        <w:footnoteReference w:id="940"/>
      </w:r>
      <w:r>
        <w:rPr>
          <w:rFonts w:ascii="Amiri" w:hAnsi="Amiri" w:eastAsia="Amiri" w:cs="Amiri"/>
          <w:color w:val="111111"/>
          <w:sz w:val="28"/>
          <w:sz w:val="28"/>
          <w:szCs w:val="28"/>
          <w:rtl w:val="true"/>
          <w:lang w:bidi="ar-SA"/>
        </w:rPr>
        <w:t xml:space="preserve">مع أدلّة السهو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قد يقال من حكومة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على أدلّة اعتبار الأجزاء والشرائط</w:t>
      </w:r>
      <w:r>
        <w:rPr>
          <w:rStyle w:val="FootnoteAnchor"/>
          <w:rtl w:val="true"/>
        </w:rPr>
        <w:footnoteReference w:id="941"/>
      </w:r>
      <w:r>
        <w:rPr>
          <w:rFonts w:ascii="Amiri" w:hAnsi="Amiri" w:eastAsia="Amiri" w:cs="Amiri"/>
          <w:color w:val="111111"/>
          <w:sz w:val="28"/>
          <w:sz w:val="28"/>
          <w:szCs w:val="28"/>
          <w:rtl w:val="true"/>
          <w:lang w:bidi="ar-SA"/>
        </w:rPr>
        <w:t xml:space="preserve">، ممنوع على إطلاقه ، نعم هو حاكم على نحوِ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في 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مثلِ الصحيحة التي تتصرّف في عقد وضع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ولا على ما دلّت على الإعادة بعنوانها ؛ فإنّها معارضة معه ، أو مخصّصة إيّاه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إمّا معاضد للصحيحة ، أو محكوم لها ، فتصير النتيجة بطلان الصلاة مع نسيان الطهور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حال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مع حديث الرفع</w:t>
      </w:r>
      <w:r>
        <w:rPr>
          <w:rStyle w:val="FootnoteAnchor"/>
          <w:rtl w:val="true"/>
        </w:rPr>
        <w:footnoteReference w:id="942"/>
      </w:r>
      <w:r>
        <w:rPr>
          <w:rFonts w:ascii="Amiri" w:hAnsi="Amiri" w:eastAsia="Amiri" w:cs="Amiri"/>
          <w:color w:val="111111"/>
          <w:sz w:val="28"/>
          <w:sz w:val="28"/>
          <w:szCs w:val="28"/>
          <w:rtl w:val="true"/>
          <w:lang w:bidi="ar-SA"/>
        </w:rPr>
        <w:t xml:space="preserve">، فإن قلنا باختصاص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بالنسيان ، وشمولِ المستثنى للطهور من الخبث ، فيكون مخصّصاً لحديث الرفع ؛ لأخصّيته منه ، ويقدّم عليه ولو فرض تحكيم لسان حديث الرفع ؛ فإنّ التحكيم إنّما يفيد في الجمع العرفي فيما كانت نتيجته التخصيص ، لا فيما كانت النتيجة سقوط الدليل في جميع مفاده ، فالخاصّ والمقيّد مقدّمان على العامّ والمطلق ولو كان لسانهما الحكومة </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أعمّ من النسيان ، وشاملاً لغير العامد العالم ، تكون </w:t>
      </w:r>
      <w:bookmarkStart w:id="367" w:name="pg15030_143276"/>
    </w:p>
    <w:p>
      <w:pPr>
        <w:pStyle w:val="BookText"/>
        <w:rPr/>
      </w:pPr>
      <w:bookmarkEnd w:id="367"/>
      <w:r>
        <w:rPr>
          <w:rFonts w:ascii="Amiri" w:hAnsi="Amiri" w:eastAsia="Amiri" w:cs="Amiri"/>
          <w:color w:val="111111"/>
          <w:sz w:val="28"/>
          <w:sz w:val="28"/>
          <w:szCs w:val="28"/>
          <w:rtl w:val="true"/>
          <w:lang w:bidi="ar-SA"/>
        </w:rPr>
        <w:t xml:space="preserve">النسبة بينه وبين حديث الرفع العموم من وجه ، ويمكن أن يقال بتقدّم حديث الرفع عليه ؛ فإنّ المستثنى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كان إرشاداً إلى اشتراط الصلاة بالخمسة في جميع الأحوال ، فحديث الرفع حاكم عليه ؛ لأ نّه ناظر إلى أدلّة الاشتراط بالرفع حال النسيان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متعرّضاً لعدم التقبّل في المستثنى ، والتقبّل في المستثنى منه ، فالمفروض فيه الاشتراط حال العمل ، ولسان الرفع مقدّم عليه ، على تأمّل ، لكن لا يمكن تحكيم حديث الرفع عليه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وإن كان شاملاً لغير العامد ، لكن حديث الرفع أيضاً بفقراته مستغرق لجميع 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العقد المستثنى ، فيقع التعارض بينهما ، كما قرّر في محلّه</w:t>
      </w:r>
      <w:r>
        <w:rPr>
          <w:rStyle w:val="FootnoteAnchor"/>
          <w:rtl w:val="true"/>
        </w:rPr>
        <w:footnoteReference w:id="943"/>
      </w:r>
      <w:r>
        <w:rPr>
          <w:rFonts w:ascii="Amiri" w:hAnsi="Amiri" w:eastAsia="Amiri" w:cs="Amiri"/>
          <w:color w:val="111111"/>
          <w:sz w:val="28"/>
          <w:sz w:val="28"/>
          <w:szCs w:val="28"/>
          <w:rtl w:val="true"/>
          <w:lang w:bidi="ar-SA"/>
        </w:rPr>
        <w:t xml:space="preserve">، فيكون المرجع أو المرجّح أدلّة الاشتراط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حال حديث الرفع ، وقوله علیه السلام في صحيحة زرارة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 الغضّ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تعاد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فلا يبعد أن يقال بتحكيمه على حديث الرفع ؛ فإنّ الحديث يرفع الشرط والجزء بعد مفروغية كون المأتيّ به صلاة ، والصحيحة ترفع الموضوع ، ومع عدمه لا معنى لرفع الجزء والشرط ، تأمّل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فتحصّل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القواعد بطلانها مع فقد الطهور نسياناً </w:t>
      </w:r>
      <w:r>
        <w:rPr>
          <w:rFonts w:eastAsia="Amiri" w:cs="Amiri" w:ascii="Amiri" w:hAnsi="Amiri"/>
          <w:color w:val="111111"/>
          <w:sz w:val="28"/>
          <w:szCs w:val="28"/>
          <w:rtl w:val="true"/>
          <w:lang w:bidi="ar-SA"/>
        </w:rPr>
        <w:t>.</w:t>
      </w:r>
    </w:p>
    <w:p>
      <w:pPr>
        <w:pStyle w:val="Heading4"/>
        <w:numPr>
          <w:ilvl w:val="3"/>
          <w:numId w:val="1"/>
        </w:numPr>
        <w:rPr/>
      </w:pPr>
      <w:bookmarkStart w:id="368" w:name="__RefHeading___Toc212880_2142443653"/>
      <w:bookmarkStart w:id="369" w:name="_Toc132"/>
      <w:bookmarkEnd w:id="368"/>
      <w:r>
        <w:rPr>
          <w:rtl w:val="true"/>
        </w:rPr>
        <w:t>بيان مقتضى الروايات وتعارضها</w:t>
      </w:r>
      <w:bookmarkEnd w:id="369"/>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مستفيضة ، كصحيحةِ زرارة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 ثوبي دم رعاف أو غيره أو شيء من منيّ ، فعلّمت أثره إلى أن اُصيب </w:t>
      </w:r>
    </w:p>
    <w:p>
      <w:pPr>
        <w:pStyle w:val="BookText"/>
        <w:rPr/>
      </w:pPr>
      <w:r>
        <w:rPr>
          <w:rFonts w:ascii="Amiri" w:hAnsi="Amiri" w:eastAsia="Amiri" w:cs="Amiri"/>
          <w:color w:val="111111"/>
          <w:sz w:val="28"/>
          <w:sz w:val="28"/>
          <w:szCs w:val="28"/>
          <w:rtl w:val="true"/>
          <w:lang w:bidi="ar-SA"/>
        </w:rPr>
        <w:t>له الماء ، وحضرت الصلاة ، ونسيت أنّ بثوبي شيئاً وصلّيت ، ثمّ إنّي ذكرت بعد</w:t>
      </w:r>
    </w:p>
    <w:p>
      <w:pPr>
        <w:pStyle w:val="BookText"/>
        <w:rPr/>
      </w:pPr>
      <w:r>
        <w:rPr>
          <w:rFonts w:ascii="Amiri" w:hAnsi="Amiri" w:eastAsia="Amiri" w:cs="Amiri"/>
          <w:color w:val="111111"/>
          <w:sz w:val="28"/>
          <w:sz w:val="28"/>
          <w:szCs w:val="28"/>
          <w:rtl w:val="true"/>
          <w:lang w:bidi="ar-SA"/>
        </w:rPr>
        <w:t xml:space="preserve">ذلك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تعيد الصلاة وتغسله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لم أكن رأيت موضعه ، وعلمت أ نّه أصابه ، فطلبته فلم أقدر عليه ، فلمّا صلّيت وجدته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تغسله وتعيد </w:t>
      </w:r>
      <w:r>
        <w:rPr>
          <w:rFonts w:eastAsia="Amiri" w:cs="Amiri" w:ascii="Amiri" w:hAnsi="Amiri"/>
          <w:color w:val="111111"/>
          <w:sz w:val="28"/>
          <w:szCs w:val="28"/>
          <w:rtl w:val="true"/>
          <w:lang w:bidi="ar-SA"/>
        </w:rPr>
        <w:t>. . .»</w:t>
      </w:r>
      <w:r>
        <w:rPr>
          <w:rStyle w:val="FootnoteAnchor"/>
          <w:rtl w:val="true"/>
        </w:rPr>
        <w:footnoteReference w:id="944"/>
      </w:r>
      <w:r>
        <w:rPr>
          <w:rFonts w:ascii="IRNazanin" w:hAnsi="IRNazanin" w:eastAsia="IRNazanin"/>
          <w:color w:val="111111"/>
          <w:sz w:val="28"/>
          <w:sz w:val="28"/>
          <w:szCs w:val="28"/>
          <w:rtl w:val="true"/>
          <w:lang w:bidi="fa-IR"/>
        </w:rPr>
        <w:t xml:space="preserve">إلى آخره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وصحيحةِ أبي بصير ، عن أبي عبداللّه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أصاب ثوب الرجل الدم ، فصلّى فيه وهو لا يعلم ، فلا إعادة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هو علم قبل أن يصلّي ، فنسي وصلّى فيه ، فعليه الإعادة</w:t>
      </w:r>
      <w:r>
        <w:rPr>
          <w:rFonts w:eastAsia="IRNazanin" w:cs="IRNazanin"/>
          <w:color w:val="111111"/>
          <w:sz w:val="28"/>
          <w:szCs w:val="28"/>
          <w:rtl w:val="true"/>
          <w:lang w:bidi="fa-IR"/>
        </w:rPr>
        <w:t>»</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وموثّقةِ سَماعة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 السلام عن الرجل يرى في ثوبه الدم ، فينسى أن يغسله حتّى يصلّي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يعيد صلاته كي يهتمّ بالشيء إذا كان في ثوبه ؛ عقوبة لنسيانه</w:t>
      </w:r>
      <w:r>
        <w:rPr>
          <w:rFonts w:eastAsia="IRNazanin" w:cs="IRNazanin"/>
          <w:color w:val="111111"/>
          <w:sz w:val="28"/>
          <w:szCs w:val="28"/>
          <w:rtl w:val="true"/>
          <w:lang w:bidi="fa-IR"/>
        </w:rPr>
        <w:t>»</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إلى غير ذلك ممّا وردت في البول والدم والاستنجاء ، كموثّقة سَماعة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دخلت الغائط ، فقضيت الحاجة فلم تهرق الماء ، ثمّ توضّأت ونسيت أن تستنجي ، فذكرت بعد ما صلّيت ، فعليك الإعادة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كنت أهرقت الماء ، فنسيت أن تغسل ذكرك حتّى صلّيت ، فعليك إعادة الوضوء </w:t>
      </w:r>
      <w:bookmarkStart w:id="370" w:name="pg15030_143278"/>
    </w:p>
    <w:p>
      <w:pPr>
        <w:pStyle w:val="BookText"/>
        <w:rPr/>
      </w:pPr>
      <w:bookmarkEnd w:id="370"/>
      <w:r>
        <w:rPr>
          <w:rFonts w:ascii="Amiri" w:hAnsi="Amiri" w:eastAsia="Amiri" w:cs="Amiri"/>
          <w:color w:val="111111"/>
          <w:sz w:val="28"/>
          <w:sz w:val="28"/>
          <w:szCs w:val="28"/>
          <w:rtl w:val="true"/>
          <w:lang w:bidi="ar-SA"/>
        </w:rPr>
        <w:t>والصلاة وغسل ذكرك ؛ لأنّ البول مثل البراز</w:t>
      </w:r>
      <w:r>
        <w:rPr>
          <w:rFonts w:eastAsia="Amiri" w:cs="Amiri" w:ascii="Amiri" w:hAnsi="Amiri"/>
          <w:color w:val="111111"/>
          <w:sz w:val="28"/>
          <w:szCs w:val="28"/>
          <w:rtl w:val="true"/>
          <w:lang w:bidi="ar-SA"/>
        </w:rPr>
        <w:t>»</w:t>
      </w:r>
      <w:r>
        <w:rPr>
          <w:rStyle w:val="FootnoteAnchor"/>
          <w:rtl w:val="true"/>
        </w:rPr>
        <w:footnoteReference w:id="9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وقريب منها غيرها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وبإزائها روايات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العلاء ،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يصيب ثوبه الشيء ينجّسه ، فينسى أن يغسله فيصلّي فيه ، ثمّ يذكر أ نّه لم يكن غسله ، أيعيد الصلاة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يعيد ، قد مضت الصلاة وكتبت له</w:t>
      </w:r>
      <w:r>
        <w:rPr>
          <w:rFonts w:eastAsia="IRNazanin" w:cs="IRNazanin"/>
          <w:color w:val="111111"/>
          <w:sz w:val="28"/>
          <w:szCs w:val="28"/>
          <w:rtl w:val="true"/>
          <w:lang w:bidi="fa-IR"/>
        </w:rPr>
        <w:t>»</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عمّار بن موسى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رجلاً نسي أن يستنجي من الغائط حتّى يصلّي ، لم يعد الصلاة</w:t>
      </w:r>
      <w:r>
        <w:rPr>
          <w:rFonts w:eastAsia="IRNazanin" w:cs="IRNazanin"/>
          <w:color w:val="111111"/>
          <w:sz w:val="28"/>
          <w:szCs w:val="28"/>
          <w:rtl w:val="true"/>
          <w:lang w:bidi="fa-IR"/>
        </w:rPr>
        <w:t>»</w:t>
      </w:r>
      <w:r>
        <w:rPr>
          <w:rStyle w:val="FootnoteAnchor"/>
          <w:rtl w:val="true"/>
        </w:rPr>
        <w:footnoteReference w:id="950"/>
      </w:r>
      <w:r>
        <w:rPr>
          <w:rFonts w:ascii="Amiri" w:hAnsi="Amiri" w:eastAsia="Amiri" w:cs="Amiri"/>
          <w:color w:val="111111"/>
          <w:sz w:val="28"/>
          <w:sz w:val="28"/>
          <w:szCs w:val="28"/>
          <w:rtl w:val="true"/>
          <w:lang w:bidi="ar-SA"/>
        </w:rPr>
        <w:t xml:space="preserve">ونحوها غيرها </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1" w:name="__RefHeading___Toc212882_2142443653"/>
      <w:bookmarkStart w:id="372" w:name="_Toc133"/>
      <w:bookmarkEnd w:id="371"/>
      <w:r>
        <w:rPr>
          <w:rtl w:val="true"/>
        </w:rPr>
        <w:t>وجوه الجمع بين الروايات السابقة وإبطالها</w:t>
      </w:r>
      <w:bookmarkEnd w:id="372"/>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ولولا روايات الاستنجاء ، أو أمكن الالتزام باختلاف حكمه مع غيره كما قيل</w:t>
      </w:r>
      <w:r>
        <w:rPr>
          <w:rStyle w:val="FootnoteAnchor"/>
          <w:rtl w:val="true"/>
        </w:rPr>
        <w:footnoteReference w:id="952"/>
      </w:r>
      <w:r>
        <w:rPr>
          <w:rFonts w:ascii="Amiri" w:hAnsi="Amiri" w:eastAsia="Amiri" w:cs="Amiri"/>
          <w:color w:val="111111"/>
          <w:sz w:val="28"/>
          <w:sz w:val="28"/>
          <w:szCs w:val="28"/>
          <w:rtl w:val="true"/>
          <w:lang w:bidi="ar-SA"/>
        </w:rPr>
        <w:t xml:space="preserve">، لأمكن الجمع بين روايات الباب بالتفصيل بين نسيان الغسل من أعيان </w:t>
      </w:r>
    </w:p>
    <w:p>
      <w:pPr>
        <w:pStyle w:val="BookText"/>
        <w:rPr/>
      </w:pPr>
      <w:r>
        <w:rPr>
          <w:rFonts w:ascii="Amiri" w:hAnsi="Amiri" w:eastAsia="Amiri" w:cs="Amiri"/>
          <w:color w:val="111111"/>
          <w:sz w:val="28"/>
          <w:sz w:val="28"/>
          <w:szCs w:val="28"/>
          <w:rtl w:val="true"/>
          <w:lang w:bidi="ar-SA"/>
        </w:rPr>
        <w:t xml:space="preserve">النجاسات ، كالدم والمنيّ وغيرهما ، فيقال فيه بالإعادة ، وبين نسيان غسل المتنجّس بها ، فيقال بعدمها ؛ فإنّ موردَ روايات إيجاب الإعادة نسيان الأعيان ، وموردَ صحيحة العلاء تنجّس الثوب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مضافاً إلى بُعْد ذلك جدّاً ، أنّ هذا التفصيل لم ينقل من أحد ولو احتمالاً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الجمع بين الروايات بحمل ما دلّت على عدم الإعادة على الحكم الحيثي ؛ بقرينة موثّقة سَماعة الاُولى ، فإنّ ظاهرها أنّ إيجاب الإعادة إنّما هو لعقوبة الناسي وعدم اهتمامه ، فتحمل رواياتُ إيجابها على كونه للعقوبة ، لا جبراً لبطلانها ، وأخبارُ نفيها على أ نّها لا تعاد لأجل فسادها ، وقد مضت صلاته وكتبت له ، لكن تجب الإعادة لكي يهتمّ بالشيء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الجمع وإن كان أقرب من حمل روايات الإعادة على الاستحباب</w:t>
      </w:r>
      <w:r>
        <w:rPr>
          <w:rStyle w:val="FootnoteAnchor"/>
          <w:rtl w:val="true"/>
        </w:rPr>
        <w:footnoteReference w:id="9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لإباء بعضها عنه ، سيّما مع ما أشرنا إليه</w:t>
      </w:r>
      <w:r>
        <w:rPr>
          <w:rStyle w:val="FootnoteAnchor"/>
          <w:rtl w:val="true"/>
        </w:rPr>
        <w:footnoteReference w:id="9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الأمرَ بالإعادة إرشاد إلى فساد الصلاة ، كما أنّ النهي عنها إرشاد إلى صحّتها ، والحملَ على الاستحباب النفسي بعيد في الغاية وغير مقبول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أيضاً بعيد عن مذاق العرف ، وليس جمعاً عقلائياً مقبولاً </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وأبعد منه التفصيل بين الوقت وخارجه</w:t>
      </w:r>
      <w:r>
        <w:rPr>
          <w:rStyle w:val="FootnoteAnchor"/>
          <w:rtl w:val="true"/>
        </w:rPr>
        <w:footnoteReference w:id="955"/>
      </w:r>
      <w:r>
        <w:rPr>
          <w:rFonts w:ascii="Amiri" w:hAnsi="Amiri" w:eastAsia="Amiri" w:cs="Amiri"/>
          <w:color w:val="111111"/>
          <w:sz w:val="28"/>
          <w:sz w:val="28"/>
          <w:szCs w:val="28"/>
          <w:rtl w:val="true"/>
          <w:lang w:bidi="ar-SA"/>
        </w:rPr>
        <w:t xml:space="preserve">؛ بشهادة صحيحة علي بن مَهْزِيار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إليه سليمان بن رشيد يخبره أ نّه بال في ظلمة الليل ، وأ نّه أصاب كفَّه بردُ نقطة من البول لم يشكّ أ نّه أصابه ، ولم يره ، وأ نّه مسحه بخرقة ، ثمّ </w:t>
      </w:r>
    </w:p>
    <w:p>
      <w:pPr>
        <w:pStyle w:val="BookText"/>
        <w:rPr/>
      </w:pPr>
      <w:r>
        <w:rPr>
          <w:rFonts w:ascii="Amiri" w:hAnsi="Amiri" w:eastAsia="Amiri" w:cs="Amiri"/>
          <w:color w:val="111111"/>
          <w:sz w:val="28"/>
          <w:sz w:val="28"/>
          <w:szCs w:val="28"/>
          <w:rtl w:val="true"/>
          <w:lang w:bidi="ar-SA"/>
        </w:rPr>
        <w:t>نسي أن يغسله ، وتمسّح بدهن ، فمسح به كفّيه ووجهه ورأسه ، ثمّ توضّأ وضوء</w:t>
      </w:r>
    </w:p>
    <w:p>
      <w:pPr>
        <w:pStyle w:val="BookText"/>
        <w:rPr/>
      </w:pPr>
      <w:r>
        <w:rPr>
          <w:rFonts w:ascii="Amiri" w:hAnsi="Amiri" w:eastAsia="Amiri" w:cs="Amiri"/>
          <w:color w:val="111111"/>
          <w:sz w:val="28"/>
          <w:sz w:val="28"/>
          <w:szCs w:val="28"/>
          <w:rtl w:val="true"/>
          <w:lang w:bidi="ar-SA"/>
        </w:rPr>
        <w:t xml:space="preserve">الصلاة فصلّى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بجواب قرأته بخطّه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ما توهّمت ممّا أصاب يدك ، فليس بشيء إلاّ ما تحقّق ، فإن حقّقت ذلك كنت حقيقاً أن تعيد الصلوات اللواتي كنت صلّيتهنّ بذلك الوضوء بعينه ما كان منهنّ في وقتها ، وما فات وقتها فلا إعادة عليك لها ؛ من قِبل أنّ الرجل إذا كان ثوبه نجساً ، لم يعد الصلاة إلاّ ما كان في وقت ، وإن كان جنباً ، أو صلّى على غير وضوء ، فعليه إعادة الصلوات المكتوبات اللواتي فاتته ؛ لأنّ الثوب خلاف الجسد ، فاعمل على ذلك إن شاء اللّه</w:t>
      </w:r>
      <w:r>
        <w:rPr>
          <w:rFonts w:eastAsia="Amiri" w:cs="Amiri" w:ascii="Amiri" w:hAnsi="Amiri"/>
          <w:color w:val="111111"/>
          <w:sz w:val="28"/>
          <w:szCs w:val="28"/>
          <w:rtl w:val="true"/>
          <w:lang w:bidi="ar-SA"/>
        </w:rPr>
        <w:t>»</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وأنت 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الروايات آبية عن هذا التفصيل ، ولو سلمت هذه الصحيحة عن الخدشة ، فكيف يمكن حمل موثّقة الساباطي المتقدّمة على نفي القضاء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وكذا الحال في صحيحة علي بن جعفر ، عن أخيه موسى بن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ذكر وهو في صلاته أ نّه لم يستنجِ من الخلاء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ينصرف ويستنجي من الخلاء ، ويعيد الصلاة ، وإن ذكر وقد فرغ من صلاته فقد أجزأه ذلك ، ولا إعادة</w:t>
      </w:r>
      <w:r>
        <w:rPr>
          <w:rFonts w:eastAsia="IRNazanin" w:cs="IRNazanin"/>
          <w:color w:val="111111"/>
          <w:sz w:val="28"/>
          <w:szCs w:val="28"/>
          <w:rtl w:val="true"/>
          <w:lang w:bidi="fa-IR"/>
        </w:rPr>
        <w:t>»</w:t>
      </w:r>
      <w:r>
        <w:rPr>
          <w:rStyle w:val="FootnoteAnchor"/>
          <w:rtl w:val="true"/>
        </w:rPr>
        <w:footnoteReference w:id="957"/>
      </w:r>
    </w:p>
    <w:p>
      <w:pPr>
        <w:pStyle w:val="BookText"/>
        <w:rPr/>
      </w:pPr>
      <w:r>
        <w:rPr>
          <w:rFonts w:ascii="Amiri" w:hAnsi="Amiri" w:eastAsia="Amiri" w:cs="Amiri"/>
          <w:color w:val="111111"/>
          <w:sz w:val="28"/>
          <w:sz w:val="28"/>
          <w:szCs w:val="28"/>
          <w:rtl w:val="true"/>
          <w:lang w:bidi="ar-SA"/>
        </w:rPr>
        <w:t xml:space="preserve">الخلوة ، الباب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فضلاً عن أ نّه لم تسلم عنها سنداً ؛ لإضمارها وإن كان المظنون كون </w:t>
      </w:r>
      <w:bookmarkStart w:id="373" w:name="pg15030_143281"/>
    </w:p>
    <w:p>
      <w:pPr>
        <w:pStyle w:val="BookText"/>
        <w:rPr/>
      </w:pPr>
      <w:bookmarkEnd w:id="373"/>
      <w:r>
        <w:rPr>
          <w:rFonts w:ascii="IRNazanin" w:hAnsi="IRNazanin" w:eastAsia="IRNazanin"/>
          <w:color w:val="111111"/>
          <w:sz w:val="28"/>
          <w:sz w:val="28"/>
          <w:szCs w:val="28"/>
          <w:rtl w:val="true"/>
          <w:lang w:bidi="fa-IR"/>
        </w:rPr>
        <w:t xml:space="preserve">المسؤول عنه أبو الحسن الرضا ، أو أحد الإمامين بعده علیهم السلام ، ومتناً ، وهو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والمظنون أنّ فيها سقطاً بعد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فات وقتها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يبعد أن يكون السقط نحو هذه العبارة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كان ثوبك نجساً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ويكون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فات وقتها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عطفاً على سابقه ، لا استئنافاً ، ويكون المراد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الثوب خلاف الجسد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النجاسة خلاف الحدث الذي محلّه الجسد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الاتّكال على مثل هذه الرواية ؛ والتصرّف بها في سائر الروايات ، وتخصيص القواعد بها </w:t>
      </w:r>
      <w:r>
        <w:rPr>
          <w:rFonts w:eastAsia="Amiri" w:cs="Amiri" w:ascii="Amiri" w:hAnsi="Amiri"/>
          <w:color w:val="111111"/>
          <w:sz w:val="28"/>
          <w:szCs w:val="28"/>
          <w:rtl w:val="true"/>
          <w:lang w:bidi="ar-SA"/>
        </w:rPr>
        <w:t>.</w:t>
      </w:r>
    </w:p>
    <w:p>
      <w:pPr>
        <w:pStyle w:val="Heading4"/>
        <w:numPr>
          <w:ilvl w:val="3"/>
          <w:numId w:val="1"/>
        </w:numPr>
        <w:rPr/>
      </w:pPr>
      <w:bookmarkStart w:id="374" w:name="__RefHeading___Toc212884_2142443653"/>
      <w:bookmarkStart w:id="375" w:name="_Toc134"/>
      <w:bookmarkEnd w:id="374"/>
      <w:r>
        <w:rPr>
          <w:rtl w:val="true"/>
        </w:rPr>
        <w:t>ترجيح الروايات الدالّة على وجوب الإعادة</w:t>
      </w:r>
      <w:bookmarkEnd w:id="375"/>
    </w:p>
    <w:p>
      <w:p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الروايات متعارضة ، والترجيح لروايات إيجاب الإعادة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عدم عمل متقدّمي أصحابنا بروايات نفي الإعادة ، وأعرضوا عنها ، فلا تصلح للحجّية ؛ لما ذكرنا أنّ العمل بالأخبار لبناء العقلاء وإمضاء الشارع</w:t>
      </w:r>
      <w:r>
        <w:rPr>
          <w:rStyle w:val="FootnoteAnchor"/>
          <w:rtl w:val="true"/>
        </w:rPr>
        <w:footnoteReference w:id="958"/>
      </w:r>
      <w:r>
        <w:rPr>
          <w:rFonts w:ascii="Amiri" w:hAnsi="Amiri" w:eastAsia="Amiri" w:cs="Amiri"/>
          <w:color w:val="111111"/>
          <w:sz w:val="28"/>
          <w:sz w:val="28"/>
          <w:szCs w:val="28"/>
          <w:rtl w:val="true"/>
          <w:lang w:bidi="ar-SA"/>
        </w:rPr>
        <w:t xml:space="preserve">، وفي مثل تلك الروايات التي لم يعمل بها رواتها ، لا يتّكل العقلاء عليها ، فهي ساقطة عن الحجّية ، لا مرجوحة بعد الفراغ عن حجّيتها </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الغضّ عنه فالترجيح مع أخبار الإعادة ؛ لموافقة مقابلاتها للعامّة ، كأبي حنيفة والشافعي في القديم والأوزاعي ، حيث ذهبوا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عدم وجوب الإعادة في الناسي وغيره</w:t>
      </w:r>
      <w:r>
        <w:rPr>
          <w:rStyle w:val="FootnoteAnchor"/>
          <w:rtl w:val="true"/>
        </w:rPr>
        <w:footnoteReference w:id="959"/>
      </w:r>
      <w:r>
        <w:rPr>
          <w:rFonts w:ascii="Amiri" w:hAnsi="Amiri" w:eastAsia="Amiri" w:cs="Amiri"/>
          <w:color w:val="111111"/>
          <w:sz w:val="28"/>
          <w:sz w:val="28"/>
          <w:szCs w:val="28"/>
          <w:rtl w:val="true"/>
          <w:lang w:bidi="ar-SA"/>
        </w:rPr>
        <w:t xml:space="preserve">، بل ذهب أبو حنيفة إلى </w:t>
      </w:r>
      <w:bookmarkStart w:id="376" w:name="pg15030_143282"/>
    </w:p>
    <w:p>
      <w:pPr>
        <w:pStyle w:val="BookText"/>
        <w:rPr/>
      </w:pPr>
      <w:bookmarkEnd w:id="376"/>
      <w:r>
        <w:rPr>
          <w:rFonts w:ascii="IRNazanin" w:hAnsi="IRNazanin" w:eastAsia="IRNazanin"/>
          <w:color w:val="111111"/>
          <w:sz w:val="28"/>
          <w:sz w:val="28"/>
          <w:szCs w:val="28"/>
          <w:rtl w:val="true"/>
          <w:lang w:bidi="fa-IR"/>
        </w:rPr>
        <w:t>استحباب الاستنجاء من الغائط</w:t>
      </w:r>
      <w:r>
        <w:rPr>
          <w:rStyle w:val="FootnoteAnchor"/>
          <w:rtl w:val="true"/>
        </w:rPr>
        <w:footnoteReference w:id="960"/>
      </w:r>
      <w:r>
        <w:rPr>
          <w:rFonts w:ascii="Amiri" w:hAnsi="Amiri" w:eastAsia="Amiri" w:cs="Amiri"/>
          <w:color w:val="111111"/>
          <w:sz w:val="28"/>
          <w:sz w:val="28"/>
          <w:szCs w:val="28"/>
          <w:rtl w:val="true"/>
          <w:lang w:bidi="ar-SA"/>
        </w:rPr>
        <w:t>، فتحمل موثّقة عمّار</w:t>
      </w:r>
      <w:r>
        <w:rPr>
          <w:rStyle w:val="FootnoteAnchor"/>
          <w:rtl w:val="true"/>
        </w:rPr>
        <w:footnoteReference w:id="961"/>
      </w:r>
      <w:r>
        <w:rPr>
          <w:rFonts w:ascii="Amiri" w:hAnsi="Amiri" w:eastAsia="Amiri" w:cs="Amiri"/>
          <w:color w:val="111111"/>
          <w:sz w:val="28"/>
          <w:sz w:val="28"/>
          <w:szCs w:val="28"/>
          <w:rtl w:val="true"/>
          <w:lang w:bidi="ar-SA"/>
        </w:rPr>
        <w:t xml:space="preserve">على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ورواية هشام بن سالم</w:t>
      </w:r>
      <w:r>
        <w:rPr>
          <w:rStyle w:val="FootnoteAnchor"/>
          <w:rtl w:val="true"/>
        </w:rPr>
        <w:footnoteReference w:id="962"/>
      </w:r>
      <w:r>
        <w:rPr>
          <w:rFonts w:ascii="Amiri" w:hAnsi="Amiri" w:eastAsia="Amiri" w:cs="Amiri"/>
          <w:color w:val="111111"/>
          <w:sz w:val="28"/>
          <w:sz w:val="28"/>
          <w:szCs w:val="28"/>
          <w:rtl w:val="true"/>
          <w:lang w:bidi="ar-SA"/>
        </w:rPr>
        <w:t>ضعيفة</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أنّ أخبار وجوب الإعادة موافقة لقواعد السنّة القطعية ، ولعلّها تكون مرجّحة كموافقة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فالأقوى وجوب الإعادة وقتاً وخارجاً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حال الناسي </w:t>
      </w:r>
      <w:r>
        <w:rPr>
          <w:rFonts w:eastAsia="Amiri" w:cs="Amiri" w:ascii="Amiri" w:hAnsi="Amiri"/>
          <w:color w:val="111111"/>
          <w:sz w:val="28"/>
          <w:szCs w:val="28"/>
          <w:rtl w:val="true"/>
          <w:lang w:bidi="ar-SA"/>
        </w:rPr>
        <w:t>.</w:t>
      </w:r>
    </w:p>
    <w:p>
      <w:pPr>
        <w:pStyle w:val="Heading4"/>
        <w:numPr>
          <w:ilvl w:val="3"/>
          <w:numId w:val="1"/>
        </w:numPr>
        <w:rPr/>
      </w:pPr>
      <w:bookmarkStart w:id="377" w:name="__RefHeading___Toc212886_2142443653"/>
      <w:bookmarkStart w:id="378" w:name="_Toc135"/>
      <w:bookmarkEnd w:id="377"/>
      <w:r>
        <w:rPr>
          <w:rtl w:val="true"/>
        </w:rPr>
        <w:t>بطلان الصلاة مع العلم بالنجاسة وما يستثنى منه</w:t>
      </w:r>
      <w:bookmarkEnd w:id="378"/>
    </w:p>
    <w:p>
      <w:pPr>
        <w:pStyle w:val="BookText"/>
        <w:rPr/>
      </w:pPr>
      <w:r>
        <w:rPr>
          <w:rFonts w:ascii="Amiri" w:hAnsi="Amiri" w:eastAsia="Amiri" w:cs="Amiri"/>
          <w:color w:val="111111"/>
          <w:sz w:val="28"/>
          <w:sz w:val="28"/>
          <w:szCs w:val="28"/>
          <w:rtl w:val="true"/>
          <w:lang w:bidi="ar-SA"/>
        </w:rPr>
        <w:t xml:space="preserve">وأمّا إذا صلّى فيه عالماً عامداً ، فعليه الإعادة بلا إشكال نصّاً وفتوى </w:t>
      </w:r>
      <w:r>
        <w:rPr>
          <w:rFonts w:eastAsia="Amiri" w:cs="Amiri" w:ascii="Amiri" w:hAnsi="Amiri"/>
          <w:color w:val="111111"/>
          <w:sz w:val="28"/>
          <w:szCs w:val="28"/>
          <w:rtl w:val="true"/>
          <w:lang w:bidi="ar-SA"/>
        </w:rPr>
        <w:t>.</w:t>
      </w:r>
    </w:p>
    <w:p>
      <w:pPr>
        <w:pStyle w:val="Heading4"/>
        <w:numPr>
          <w:ilvl w:val="3"/>
          <w:numId w:val="1"/>
        </w:numPr>
        <w:rPr/>
      </w:pPr>
      <w:bookmarkStart w:id="379" w:name="__RefHeading___Toc212888_2142443653"/>
      <w:bookmarkStart w:id="380" w:name="_Toc136"/>
      <w:bookmarkEnd w:id="379"/>
      <w:r>
        <w:rPr>
          <w:rtl w:val="true"/>
        </w:rPr>
        <w:t>ثوب المربّية المتنجّس ببول المولود</w:t>
      </w:r>
      <w:bookmarkEnd w:id="380"/>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يستثنى منه موارد قد تقدّم بعضها </w:t>
      </w:r>
      <w:r>
        <w:rPr>
          <w:rStyle w:val="FootnoteAnchor"/>
          <w:rtl w:val="true"/>
        </w:rPr>
        <w:footnoteReference w:id="964"/>
      </w:r>
      <w:r>
        <w:rPr>
          <w:rFonts w:ascii="Amiri" w:hAnsi="Amiri" w:eastAsia="Amiri" w:cs="Amiri"/>
          <w:color w:val="111111"/>
          <w:sz w:val="28"/>
          <w:sz w:val="28"/>
          <w:szCs w:val="28"/>
          <w:rtl w:val="true"/>
          <w:lang w:bidi="ar-SA"/>
        </w:rPr>
        <w:t xml:space="preserve">، ومنها المرأة المربّية لمولود إذا تنجّس ببوله قميصها مع وحدته ، فإنّها تغسل ثوبها في اليوم مرّة واحدة ، </w:t>
      </w:r>
    </w:p>
    <w:p>
      <w:pPr>
        <w:pStyle w:val="BookText"/>
        <w:rPr/>
      </w:pPr>
      <w:r>
        <w:rPr>
          <w:rFonts w:ascii="IRNazanin" w:hAnsi="IRNazanin" w:eastAsia="IRNazanin"/>
          <w:color w:val="111111"/>
          <w:sz w:val="28"/>
          <w:sz w:val="28"/>
          <w:szCs w:val="28"/>
          <w:rtl w:val="true"/>
          <w:lang w:bidi="fa-IR"/>
        </w:rPr>
        <w:t xml:space="preserve">وتجزيها عن الغسل في بقيّته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والأصل فيه رواية أبي حفص ،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عن امرأة ليس لها إلاّ قميص واحد ، ولها مولود فيبول عليها ، كيف تصنع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تغسل القميص في اليوم مرّة</w:t>
      </w:r>
      <w:r>
        <w:rPr>
          <w:rFonts w:eastAsia="IRNazanin" w:cs="IRNazanin"/>
          <w:color w:val="111111"/>
          <w:sz w:val="28"/>
          <w:szCs w:val="28"/>
          <w:rtl w:val="true"/>
          <w:lang w:bidi="fa-IR"/>
        </w:rPr>
        <w:t>»</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ينبغي الإشكال في سندها </w:t>
      </w:r>
      <w:r>
        <w:rPr>
          <w:rStyle w:val="FootnoteAnchor"/>
          <w:rtl w:val="true"/>
        </w:rPr>
        <w:footnoteReference w:id="966"/>
      </w:r>
      <w:r>
        <w:rPr>
          <w:rFonts w:ascii="Amiri" w:hAnsi="Amiri" w:eastAsia="Amiri" w:cs="Amiri"/>
          <w:color w:val="111111"/>
          <w:sz w:val="28"/>
          <w:sz w:val="28"/>
          <w:szCs w:val="28"/>
          <w:rtl w:val="true"/>
          <w:lang w:bidi="ar-SA"/>
        </w:rPr>
        <w:t xml:space="preserve">بعد عمل الأصحاب بها قديماً وحديثاً ، فأصل الحكم لا إشكال فيه ، وإنّما الكلام في بعض الفروع ، ولا بدّ من الخروج عن القواعد بمقدار دلالتها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إلحاق الرجل المربّي بالمرأة محلّ إشكال ؛ لأنّ النصّ مخصوص بها ، ولها خصوصية ؛ وهي كونها ضعيفة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جسماً وروحاً ، فيمكن أن يكون التخفيف عنها دون الرجال ، فإنّ غسل الثوب في كلّ يوم مراراً ربّما يكون موجباً لمعرضية فساده ، وهو مشقّة على النساء نوعاً دون الرجال ، فإلغاء الخصوصية منها أو القطع بالملاك ممنوعان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عدم الفرق بين القميص وغيره كالسربال ، لا نحو المقنعة التي لا يبول عليها عادة ؛ وذلك لإلغاء الخصوصية عرفاً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لا يجوز التعدّي إلى البدن ؛ لعسر الغسل في الثوب دون البدن ، لاحتياج الأوّل في تجفيفه إلى زمان معتدّ به دون الثاني ، فلا يمكن التعدّي </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الحكم مختصّ بقميص واحد كما هو مورد النصّ ، أو يتعدّى إلى المتعدّد مع الاحتياج إليه في اللبس ؛ بحيث لا يمكنها الاكتفاء بغيره ؟ </w:t>
      </w:r>
    </w:p>
    <w:p>
      <w:pPr>
        <w:pStyle w:val="BookText"/>
        <w:rPr/>
      </w:pPr>
      <w:r>
        <w:rPr>
          <w:rFonts w:ascii="Amiri" w:hAnsi="Amiri" w:eastAsia="Amiri" w:cs="Amiri"/>
          <w:color w:val="111111"/>
          <w:sz w:val="28"/>
          <w:sz w:val="28"/>
          <w:szCs w:val="28"/>
          <w:rtl w:val="true"/>
          <w:lang w:bidi="ar-SA"/>
        </w:rPr>
        <w:t xml:space="preserve">الظاهر ذلك ؛ لمساعدة العرف في الفهم من النصّ بإلغاء الخصوصية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الحكم لا يختصّ بما ولد منها ، فيتعدّى إلى المؤجرة والمتبرّعة والمربّية بغير رضاع ؛ لأنّ العرف يرى أنّ الحكم جعل تخفيفاً عن المرأة المتصدّية للطفل ؛ من غير دخالة للولادة في ذلك ، وإنّما ذكر المولود مثالاً ومن باب الغلبة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 نّه شامل للذكر والاُنثى، والواحد والمتعدّد، ولو قيل باختصاصه بالأوّلين منهما لا يختصّ الحكم بهما ؛ لأنّ المفهوم من النصّ أنّ ذلك تخفيف بالنسبة إلى المرأة ؛ من غير دخالة لخصوصية الولد ، ولا لكونه واحداً ، فتوهّم أنّ بول الصبيّ والواحد أخفّ من الصبيّة والمتعدّد ، فيمكن الاختصاص بهما </w:t>
      </w:r>
      <w:r>
        <w:rPr>
          <w:rStyle w:val="FootnoteAnchor"/>
          <w:rtl w:val="true"/>
        </w:rPr>
        <w:footnoteReference w:id="967"/>
      </w:r>
      <w:r>
        <w:rPr>
          <w:rFonts w:ascii="Amiri" w:hAnsi="Amiri" w:eastAsia="Amiri" w:cs="Amiri"/>
          <w:color w:val="111111"/>
          <w:sz w:val="28"/>
          <w:sz w:val="28"/>
          <w:szCs w:val="28"/>
          <w:rtl w:val="true"/>
          <w:lang w:bidi="ar-SA"/>
        </w:rPr>
        <w:t xml:space="preserve">، في غير محلّه بعد ما يتفاهم منه أنّ الحكم جعل للتخفيف عن المرأة ، لا لتخفيف البول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الحكم مختصّ بالبول لخصوصية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الغائط ، فضلاً عن سائر نجاساته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كثرة الابتلاء به دون غيره ، فلا يمكن التعدّي من ظاهر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الظاهر أنّ ملاقي بوله في حكمه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المراد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النصّ ، ليس إلاّ ما كان تكليفها في تطهير بول المولود ، فإن كان ذكراً فبالصبّ ، وإن كان اُنثى فبالغسل ، فتوهّم أنّ الغسل في خصوص المورد واجب حتّى في مورد جواز الصبّ</w:t>
      </w:r>
      <w:r>
        <w:rPr>
          <w:rStyle w:val="FootnoteAnchor"/>
          <w:rtl w:val="true"/>
        </w:rPr>
        <w:footnoteReference w:id="968"/>
      </w:r>
      <w:r>
        <w:rPr>
          <w:rFonts w:ascii="Amiri" w:hAnsi="Amiri" w:eastAsia="Amiri" w:cs="Amiri"/>
          <w:color w:val="111111"/>
          <w:sz w:val="28"/>
          <w:sz w:val="28"/>
          <w:szCs w:val="28"/>
          <w:rtl w:val="true"/>
          <w:lang w:bidi="ar-SA"/>
        </w:rPr>
        <w:t xml:space="preserve">، ضعيف </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الرواية ليست بصدد بيان حال الغسل وكيفيته ، حتّى </w:t>
      </w:r>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عنوانه مطلقاً ، بل بصدد بيان الاجتزاء بتطهير واحد عن الكثير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إشكال في أ نّها بصدد تخفيف ما كان عليها ، لا تبديل الحكم بحكم آخر ، فضلاً عن التضييق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بليلته ؛ بمعنى كفاية غسل واحد للصلوات النهارية والليلية ، ولا دخالة لبياض اليوم في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وتخصيص التخفيف باليوم والتضييق في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 نّها أولى بالتخفيف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 لفهم العرف من الرواية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يجب وقوع الغسل في النهار ، ولا يكفي الغسل في الليل عنه ؟</w:t>
      </w:r>
    </w:p>
    <w:p>
      <w:pPr>
        <w:pStyle w:val="BookText"/>
        <w:rPr/>
      </w:pPr>
      <w:r>
        <w:rPr>
          <w:rFonts w:ascii="Amiri" w:hAnsi="Amiri" w:eastAsia="Amiri" w:cs="Amiri"/>
          <w:color w:val="111111"/>
          <w:sz w:val="28"/>
          <w:sz w:val="28"/>
          <w:szCs w:val="28"/>
          <w:rtl w:val="true"/>
          <w:lang w:bidi="ar-SA"/>
        </w:rPr>
        <w:t xml:space="preserve">مقتضى الجمود على اللفظ ذلك ، لكن الظاهر المتفاهم من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في مقابل اليومين والثلاثة ، وكذا في مقام ردع لزومه لكلّ صلاة ، فلا عناية فيه بحيثية وقوع الغسل فيه ، سيّما أنّ السائل إنّما سأل عن تكليفها في صلواتها الخمس ؛ وأ نّه مع الابتلاء بالبول كيف تصنع ؟ فترك ذكر الليل وأ نّه لو ابتليت فيها لا بدّ من غسله لكلّ صلاة ، يدلّ على أنّ الغسل مرّة واحدة عند الابتلاء به وإرادة الصلاة ، كافٍ ولو وقع في الليل ، وتكون تلك النجاسة معفوّة في سائر الصلوات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والبناء على الشرط المتأخّر</w:t>
      </w:r>
      <w:r>
        <w:rPr>
          <w:rStyle w:val="FootnoteAnchor"/>
          <w:rtl w:val="true"/>
        </w:rPr>
        <w:footnoteReference w:id="969"/>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يفهم العرف لليوم خصوصية وإن كان الغسل فيه أسهل ، بل الظاهر المتفاهم أنّ الغسل الواحد المحتاج إليه ، كافٍ لجميع الصلوات </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 المقصود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الغسل في اليوم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وقوع صلاة منها مع الطهارة ، والعفو عن البقيّ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 ، فالغسل في غير موقع الصلاة وإتيان جميع </w:t>
      </w:r>
    </w:p>
    <w:p>
      <w:pPr>
        <w:pStyle w:val="BookText"/>
        <w:rPr/>
      </w:pPr>
      <w:r>
        <w:rPr>
          <w:rFonts w:ascii="Amiri" w:hAnsi="Amiri" w:eastAsia="Amiri" w:cs="Amiri"/>
          <w:color w:val="111111"/>
          <w:sz w:val="28"/>
          <w:sz w:val="28"/>
          <w:szCs w:val="28"/>
          <w:rtl w:val="true"/>
          <w:lang w:bidi="ar-SA"/>
        </w:rPr>
        <w:t xml:space="preserve">الصلوات مع النجس ، غير مراد جزماً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الغسل لمّا كان لأجل الصلاة ولا نفسية له ، لا ينقدح في الذهن إطلاق في الرواية لوقوعه في أيّ قطعة من اليوم ، بل لا بدّ من إيقاعه قبل صلاة من الصلوات اليومية ؛ لتقع بعضها مع الطهور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لا يجب عليها الجمع بين الصلوات ، بل ولا الصلاتين ؛ لإطلاق الرواية ، فلو كان عليها الجمع لكان عليه التنبيه عليه ، سيّما أنّ بناءهم في الصدر الأوّل على تفريق الصلوات ، وكانوا يصلّون صلاة الظهر أوّل الزوال ، والعصر في موقعه ، وهكذا في المغرب والعشاء ، كما ورد في أخبار المستحاضة من الأمر بتأخير الظهر وتقديم العصر ، وكذا في العشاءين</w:t>
      </w:r>
      <w:r>
        <w:rPr>
          <w:rStyle w:val="FootnoteAnchor"/>
          <w:rtl w:val="true"/>
        </w:rPr>
        <w:footnoteReference w:id="970"/>
      </w:r>
      <w:r>
        <w:rPr>
          <w:rFonts w:ascii="Amiri" w:hAnsi="Amiri" w:eastAsia="Amiri" w:cs="Amiri"/>
          <w:color w:val="111111"/>
          <w:sz w:val="28"/>
          <w:sz w:val="28"/>
          <w:szCs w:val="28"/>
          <w:rtl w:val="true"/>
          <w:lang w:bidi="ar-SA"/>
        </w:rPr>
        <w:t xml:space="preserve">فيظهر منها أنّ بناء النساء أيضاً كان على التفريق بينها ، ومع هذا البناء والعادة ، لو كان الواجب عليها الجمع بين الصلاتين ، لوجب عليه التنبيه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عدم الإطلاق لها ؛ فإنّها بصدد بيان الاجتزاء بغسل واحد مقابل الغسل لكلّ صلاة ، في غاية الفساد ؛ لأ نّه سأل عن تكليفها ؛ وأ نّها كيف تصنع مع هذا الابتلاء ؟ فلو كان أمر آخر غير الغسل دخيلاً فيه لنبّه عليه </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الظاهر من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الغسل إنّما هو لتحصيل شرط الصلاة على وِزان سائر المكلّفين ؛ وإن عفي عن الشرط في بعضها ، لا أنّ الشرط المجعول لسائر المكلّفين سقط عنها ، وجعل لها شرط آخر متأخّر إذا أوقعت الطهارة آخر النهار بعد الصلوات اليومية والليلية السابقة ، أو بعد العشاء على احتمال ، ومتقدّم إذا </w:t>
      </w:r>
    </w:p>
    <w:p>
      <w:pPr>
        <w:pStyle w:val="BookText"/>
        <w:rPr/>
      </w:pPr>
      <w:r>
        <w:rPr>
          <w:rFonts w:ascii="Amiri" w:hAnsi="Amiri" w:eastAsia="Amiri" w:cs="Amiri"/>
          <w:color w:val="111111"/>
          <w:sz w:val="28"/>
          <w:sz w:val="28"/>
          <w:szCs w:val="28"/>
          <w:rtl w:val="true"/>
          <w:lang w:bidi="ar-SA"/>
        </w:rPr>
        <w:t>أوقعت قبلها ، ومتقدّم ومتأخّر إن أوقعت في خلالها ، فإنّ كلّ ذلك خلاف الواقع</w:t>
      </w:r>
    </w:p>
    <w:p>
      <w:pPr>
        <w:pStyle w:val="BookText"/>
        <w:rPr/>
      </w:pPr>
      <w:r>
        <w:rPr>
          <w:rFonts w:ascii="Amiri" w:hAnsi="Amiri" w:eastAsia="Amiri" w:cs="Amiri"/>
          <w:color w:val="111111"/>
          <w:sz w:val="28"/>
          <w:sz w:val="28"/>
          <w:szCs w:val="28"/>
          <w:rtl w:val="true"/>
          <w:lang w:bidi="ar-SA"/>
        </w:rPr>
        <w:t xml:space="preserve">والمتفاهم من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القول بالعفو أيضاً لا ينقدح في الأذهان هذا النحو من العفو ؛ بأن يكون موقوفاً على أمر متأخّر تارة ، ومتقدّم اُخرى ، وهما معاً ثالثة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فدعوى الإطلاق بالنسبة إلى ساعات النهار</w:t>
      </w:r>
      <w:r>
        <w:rPr>
          <w:rStyle w:val="FootnoteAnchor"/>
          <w:rtl w:val="true"/>
        </w:rPr>
        <w:footnoteReference w:id="971"/>
      </w:r>
      <w:r>
        <w:rPr>
          <w:rFonts w:ascii="Amiri" w:hAnsi="Amiri" w:eastAsia="Amiri" w:cs="Amiri"/>
          <w:color w:val="111111"/>
          <w:sz w:val="28"/>
          <w:sz w:val="28"/>
          <w:szCs w:val="28"/>
          <w:rtl w:val="true"/>
          <w:lang w:bidi="ar-SA"/>
        </w:rPr>
        <w:t xml:space="preserve">ممنوعة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بالنسبة إلى الصلوات أيضاً ؛ بأن تكون مخيّرة في إيقاعه قبل صلاة من صلواتها الخمس ؛ بحيث تصحّ المتقدّمة والمتأخّرة بغسلها المتخلّل</w:t>
      </w:r>
      <w:r>
        <w:rPr>
          <w:rStyle w:val="FootnoteAnchor"/>
          <w:rtl w:val="true"/>
        </w:rPr>
        <w:footnoteReference w:id="972"/>
      </w:r>
      <w:r>
        <w:rPr>
          <w:rFonts w:ascii="Amiri" w:hAnsi="Amiri" w:eastAsia="Amiri" w:cs="Amiri"/>
          <w:color w:val="111111"/>
          <w:sz w:val="28"/>
          <w:sz w:val="28"/>
          <w:szCs w:val="28"/>
          <w:rtl w:val="true"/>
          <w:lang w:bidi="ar-SA"/>
        </w:rPr>
        <w:t xml:space="preserve">، فإنّه أيضاً مستلزم لتغيّر شرط الصلاة بالنسبة إليها من بين سائر المكلّفين ، وهو مقطوع الفساد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 نّه لا إطلاق لها يشمل ما إذا غسلت ثوبها للصلاة ، فبال عليه قبل إتيان الصلاة ؛ فإنّ الأمر بالغسل في المقام ، ليس إلاّ كالأمر به في سائر المقامات ، والفرق بينه وبينها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الشارع الأقدس خفّف عليها إذا غسلت ثوبها وصلّت فيه مع الطهارة في أوّل الدورة ؛ بالنسبة إلى سائر الصلوات في هذه الدورة </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منها أ نّه إذا تنجّس ثوبها ببول الصبيّ ، غسلته وصلّت فيه ، فإذا ابتلت به بعدها يكون معفوّاً عنه ، وتصحّ صلاتها في ذلك اليوم وليلته ، ولا يجوز عليها إتيان الصلاة في النجس في أوّل الابتلاء والغسل لسائرها ، فإذا ابتلت في الصبح غسلته وصلّت بطهور ، وعفي عن سائر صلواتها إلى العشاء ، ويجب عليها الغسل ليوم آخر ، وإذا ابتلت في الظهر صلّت الظهر بطهور ، وعفي عمّا بعدها إلى العشاء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والتلفيق وإن كان محتملاً، لكن خلاف ظاهر الدليل</w:t>
      </w:r>
      <w:r>
        <w:rPr>
          <w:rFonts w:eastAsia="Amiri" w:cs="Amiri" w:ascii="Amiri" w:hAnsi="Amiri"/>
          <w:color w:val="111111"/>
          <w:sz w:val="28"/>
          <w:szCs w:val="28"/>
          <w:rtl w:val="true"/>
          <w:lang w:bidi="ar-SA"/>
        </w:rPr>
        <w:t xml:space="preserve">. </w:t>
      </w:r>
      <w:bookmarkStart w:id="381" w:name="pg15030_143288"/>
    </w:p>
    <w:p>
      <w:pPr>
        <w:pStyle w:val="Heading4"/>
        <w:numPr>
          <w:ilvl w:val="3"/>
          <w:numId w:val="1"/>
        </w:numPr>
        <w:rPr/>
      </w:pPr>
      <w:bookmarkStart w:id="382" w:name="__RefHeading___Toc212890_2142443653"/>
      <w:bookmarkStart w:id="383" w:name="_Toc137"/>
      <w:bookmarkEnd w:id="381"/>
      <w:bookmarkEnd w:id="382"/>
      <w:r>
        <w:rPr>
          <w:rtl w:val="true"/>
        </w:rPr>
        <w:t>فرع حكم من علم إجمالاً بنجاسة أحد الثوبين</w:t>
      </w:r>
      <w:bookmarkEnd w:id="383"/>
    </w:p>
    <w:p>
      <w:pPr>
        <w:pStyle w:val="BookText"/>
        <w:rPr/>
      </w:pPr>
      <w:r>
        <w:rPr>
          <w:rFonts w:ascii="Amiri" w:hAnsi="Amiri" w:eastAsia="Amiri" w:cs="Amiri"/>
          <w:color w:val="111111"/>
          <w:sz w:val="28"/>
          <w:sz w:val="28"/>
          <w:szCs w:val="28"/>
          <w:rtl w:val="true"/>
          <w:lang w:bidi="ar-SA"/>
        </w:rPr>
        <w:t xml:space="preserve">لو كان مع المصلّي ثوبان أحدهما نجس ، ولا يعلمه بعينه ، وتعذّر غسل أحدهما ليصلّي فيه بطهارة ، صلّى في كلّ منهما تحصيلاً للقطع بفراغ الذمّة ، على المشهور نقلاً وتحصيلاً ، بل لا نعرف فيه خلافاً إلاّ من ابني إدريس وسعيد ،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حكاية الخلاف عن قوم من أصحابنا ، فأوجبوا الصلاة عارياً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ضعيف مخالف للنصّ والفتوى ، ففي صحيحة صفوان بن يحيى ، عن أبي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 كتب إليه يسأله عن الرجل كان معه ثوبان ، فأصاب أحدَهما بول ، ولم يدرِ أيّهما هو ، وقد حضرت الصلاة وخاف فوتها ، وليس عنده ماء ، كيف يصنع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يصلّي فيهما جميعاً</w:t>
      </w:r>
      <w:r>
        <w:rPr>
          <w:rFonts w:eastAsia="IRNazanin" w:cs="IRNazanin"/>
          <w:color w:val="111111"/>
          <w:sz w:val="28"/>
          <w:szCs w:val="28"/>
          <w:rtl w:val="true"/>
          <w:lang w:bidi="fa-IR"/>
        </w:rPr>
        <w:t>»</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الحلّي الاستدلال على ما ذهب إليه بأمرين </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يجب عليه عند افتتاح كلّ فريضة القطع بطهارة ثوبه ؛ فإنّ المؤثّرات في وجوه الأفعال تجب أن تكون مقارنة لها ، لا متأخّرةً عنها ، </w:t>
      </w:r>
    </w:p>
    <w:p>
      <w:pPr>
        <w:pStyle w:val="BookText"/>
        <w:rPr/>
      </w:pPr>
      <w:r>
        <w:rPr>
          <w:rFonts w:ascii="Amiri" w:hAnsi="Amiri" w:eastAsia="Amiri" w:cs="Amiri"/>
          <w:color w:val="111111"/>
          <w:sz w:val="28"/>
          <w:sz w:val="28"/>
          <w:szCs w:val="28"/>
          <w:rtl w:val="true"/>
          <w:lang w:bidi="ar-SA"/>
        </w:rPr>
        <w:t xml:space="preserve">والمسألة خلافية ، ودليل الإجماع فيها مفقود ، والاحتياط يوجب ما قلناه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كون الصلاة واجبة وجهٌ تقع عليه الصلاة ، وكيف يؤثّر في هذا الوجه ما يأتي بعدها ، ومن شأن المؤثّر في وجوه الأفعال أن يكون مقارناً لها لا يتأخّر عنها ؟ </w:t>
      </w:r>
      <w:r>
        <w:rPr>
          <w:rFonts w:eastAsia="Amiri" w:cs="Amiri" w:ascii="Amiri" w:hAnsi="Amiri"/>
          <w:color w:val="111111"/>
          <w:sz w:val="28"/>
          <w:szCs w:val="28"/>
          <w:rtl w:val="true"/>
          <w:lang w:bidi="ar-SA"/>
        </w:rPr>
        <w:t>!</w:t>
      </w:r>
      <w:r>
        <w:rPr>
          <w:rStyle w:val="FootnoteAnchor"/>
          <w:rtl w:val="true"/>
        </w:rPr>
        <w:footnoteReference w:id="976"/>
      </w:r>
    </w:p>
    <w:p>
      <w:pPr>
        <w:pStyle w:val="BookText"/>
        <w:rPr/>
      </w:pPr>
      <w:r>
        <w:rPr>
          <w:rFonts w:ascii="Amiri" w:hAnsi="Amiri" w:eastAsia="Amiri" w:cs="Amiri"/>
          <w:color w:val="111111"/>
          <w:sz w:val="28"/>
          <w:sz w:val="28"/>
          <w:szCs w:val="28"/>
          <w:rtl w:val="true"/>
          <w:lang w:bidi="ar-SA"/>
        </w:rPr>
        <w:t xml:space="preserve">والظاهر أ نّهما يرجعان إلى عدم إمكان الجزم بالنيّة المعتبر في العبادات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على فرض تسليم اعتبار الجزم لا يتمّ مطلوبه ؛ لعدم القطع بكون الصلاة عارياً مأموراً بها ، ولا يدلّ عليه دليل شرعي ، ولهذا تمسّك هو بفقد الإجماع وتشبّث بدليل الاحتياط ، ومعه كيف يمكن الجزم بأنّ المأتيّ به هو الواجب الشرعي ، والفرض أنّ الوجوب وجه للواجب يجب العلم به مقارناً للإتيان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الإتيان عارياً أسوأ حالاً من الإتيان فيهما ؛ فإنّه مع الإتيان فيهما يعلم بإتيان المأمور به الواقعي وإن ترك نيّة الوجه ، ومع الإتيان عارياً لا يعلم بإتيانه</w:t>
      </w:r>
    </w:p>
    <w:p>
      <w:pPr>
        <w:pStyle w:val="BookText"/>
        <w:rPr/>
      </w:pPr>
      <w:r>
        <w:rPr>
          <w:rFonts w:ascii="Amiri" w:hAnsi="Amiri" w:eastAsia="Amiri" w:cs="Amiri"/>
          <w:color w:val="111111"/>
          <w:sz w:val="28"/>
          <w:sz w:val="28"/>
          <w:szCs w:val="28"/>
          <w:rtl w:val="true"/>
          <w:lang w:bidi="ar-SA"/>
        </w:rPr>
        <w:t xml:space="preserve">بعد الصلاة ، ولا مقارناً لها ، تأمّل </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وليت شعري ، أ نّه كيف بنى على تحقّق الجزم في الصلاة عارياً مع تمسّكه في الواقعة بالاحتياط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ما في مبناه من الضعف ؛ لعدم الدليل على اعتباره ، ولا يمكن كشف الحكم الشرعي من الإجماع المنقول فيه ؛ لأنّ المسألة عقلية كلامية ، ولهذا نقل عليها الإجماع في الكتب الكلامية</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وأمّا ما أجاب عنه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إمكان الجزم في النيّة في المقام ؛ لأنّ كلّ واحد منهما واجب وإن كان أحدهما أصلياً ، والآخر مقدّمياً</w:t>
      </w:r>
      <w:r>
        <w:rPr>
          <w:rFonts w:eastAsia="Amiri" w:cs="Amiri" w:ascii="Amiri" w:hAnsi="Amiri"/>
          <w:color w:val="111111"/>
          <w:sz w:val="28"/>
          <w:szCs w:val="28"/>
          <w:rtl w:val="true"/>
          <w:lang w:bidi="ar-SA"/>
        </w:rPr>
        <w:t>»</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ففيه ما لا يخفى ؛ لأنّ التحقيق عدم وجوب المقدّمات الوجودية ، فضلاً عن المقدّمة العلمية ، ولا يستفاد من الصحيحة المتقدّمة وجوبهما شرعاً ؛ بعد كون الحكم موافقاً للعقل ، ووضوح عدم تغيير التكليف الشرعي في المورد ، فلا يفهم منها إلاّ الإرشاد إلى حكم العقل ، فدعوى كونهما صلاة شرعية تمسّكاً بها في غير محلّها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على فرض تسليم اعتبار الجزم في النيّة وحصوله بالصلاة عارياً ، لا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مع الدوران بين سقوط هذا وغيره من الاُمور المعتبرة في الماهية ، يتعيّن سقوط هذا الشرط المتأخّر عن غيره في الرتبة</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ضرورة أنّ القائل باعتباره في العبادات إنّما يدّعي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نّها بلا نيّة جازمة لا تقع عبادة ، فالجزم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مقوّم لعبادية العبادة ؛ إذ وقوعها على صفة الطاعة للمولى متوقّف على انبعاثه ببعثه ، ومع عدم الجزم لا يمكن ذلك ، فلا تقع ما فعل عبادة ، فدار الأمر بين ترك أصلها ، أو ترك شرطها ، أو جزئها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مجرّد التأخّر الرتبي لا يوجب أولوية السقوط ، بل هي تابعة للأهمّية ، والقائل يمكنه أن يقول بأهمّية النيّة وما بحكمها ؛ لتقوّم العبادة بها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دون سائر الشروط </w:t>
      </w:r>
      <w:r>
        <w:rPr>
          <w:rFonts w:eastAsia="IRNazanin" w:cs="IRNazanin"/>
          <w:color w:val="111111"/>
          <w:sz w:val="28"/>
          <w:szCs w:val="28"/>
          <w:rtl w:val="true"/>
          <w:lang w:bidi="fa-IR"/>
        </w:rPr>
        <w:t xml:space="preserve">. </w:t>
      </w:r>
      <w:bookmarkStart w:id="384" w:name="pg15030_143291"/>
    </w:p>
    <w:p>
      <w:pPr>
        <w:pStyle w:val="BookText"/>
        <w:rPr/>
      </w:pPr>
      <w:bookmarkEnd w:id="384"/>
      <w:r>
        <w:rPr>
          <w:rFonts w:ascii="Amiri" w:hAnsi="Amiri" w:eastAsia="Amiri" w:cs="Amiri"/>
          <w:color w:val="111111"/>
          <w:sz w:val="28"/>
          <w:sz w:val="28"/>
          <w:szCs w:val="28"/>
          <w:rtl w:val="true"/>
          <w:lang w:bidi="ar-SA"/>
        </w:rPr>
        <w:t xml:space="preserve">فالتحقيق في الجواب تضعيف المبنى وفساد ما بني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ما تقدّم من النصّ الصحيح الصريح المعمول به</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5" w:name="__RefHeading___Toc212892_2142443653"/>
      <w:bookmarkStart w:id="386" w:name="_Toc138"/>
      <w:bookmarkEnd w:id="385"/>
      <w:r>
        <w:rPr>
          <w:rtl w:val="true"/>
        </w:rPr>
        <w:t>حكم صورة كثرة الثياب</w:t>
      </w:r>
      <w:bookmarkEnd w:id="386"/>
    </w:p>
    <w:p>
      <w:pPr>
        <w:pStyle w:val="BookText"/>
        <w:rPr/>
      </w:pPr>
      <w:r>
        <w:rPr>
          <w:rFonts w:ascii="Amiri" w:hAnsi="Amiri" w:eastAsia="Amiri" w:cs="Amiri"/>
          <w:color w:val="111111"/>
          <w:sz w:val="28"/>
          <w:sz w:val="28"/>
          <w:szCs w:val="28"/>
          <w:rtl w:val="true"/>
          <w:lang w:bidi="ar-SA"/>
        </w:rPr>
        <w:t xml:space="preserve">ولو كانت الثياب كثيرة ، وأمكن الإتيان بصلاة في ثوب طاهر بتكرارها ، يجب عليه ذلك حتّى يعلم الإتيان بصلاة صحيحة ؛ على قاعدة العلم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يستفاد حكمها من الصحيحة المتقدّمة بإلغاء الخصوصية عرفاً </w:t>
      </w:r>
      <w:r>
        <w:rPr>
          <w:rFonts w:eastAsia="Amiri" w:cs="Amiri" w:ascii="Amiri" w:hAnsi="Amiri"/>
          <w:color w:val="111111"/>
          <w:sz w:val="28"/>
          <w:szCs w:val="28"/>
          <w:rtl w:val="true"/>
          <w:lang w:bidi="ar-SA"/>
        </w:rPr>
        <w:t>.</w:t>
      </w:r>
    </w:p>
    <w:p>
      <w:pPr>
        <w:pStyle w:val="Heading4"/>
        <w:numPr>
          <w:ilvl w:val="3"/>
          <w:numId w:val="1"/>
        </w:numPr>
        <w:rPr/>
      </w:pPr>
      <w:bookmarkStart w:id="387" w:name="__RefHeading___Toc212894_2142443653"/>
      <w:bookmarkStart w:id="388" w:name="_Toc139"/>
      <w:bookmarkEnd w:id="387"/>
      <w:r>
        <w:rPr>
          <w:rtl w:val="true"/>
        </w:rPr>
        <w:t>حكم عدم التمكّن إلاّ من الإتيان بصلاة واحدة</w:t>
      </w:r>
      <w:bookmarkEnd w:id="388"/>
    </w:p>
    <w:p>
      <w:pPr>
        <w:pStyle w:val="BookText"/>
        <w:rPr/>
      </w:pPr>
      <w:r>
        <w:rPr>
          <w:rFonts w:ascii="Amiri" w:hAnsi="Amiri" w:eastAsia="Amiri" w:cs="Amiri"/>
          <w:color w:val="111111"/>
          <w:sz w:val="28"/>
          <w:sz w:val="28"/>
          <w:szCs w:val="28"/>
          <w:rtl w:val="true"/>
          <w:lang w:bidi="ar-SA"/>
        </w:rPr>
        <w:t xml:space="preserve">ولو لم يمكنه إلاّ صلاة واحدة ؛ لضيق أو غيره ، هل يجب عليه نزع الثوب والصلاة عارياً ، أو يصلّي في أحدهما ، أو يتخيّر بينهما ؟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ويقع الكلام هاهنا بعد الفراغ عن وجوبها عارياً مع انحصار الثوب النجس ، كما يأتي في المسألة الآتية</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إن قلنا في تلك المسألة بوجوبها في النجس ، فلا إشكال في وجوبها في محتمل النجاسة في المقام ؛ ضرورة أ نّه على أيّ تقدير يجب الصلاة فيه </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إن قلنا فيها بالتخيير بين الصلاة فيه أو عارياً ؛ فإنّ الإتيان فيه حينئذٍ مسقط يقيني ، لأنّ الثوب إمّا طاهر يتعيّن الصلاة فيه ، أو نجس يتخيّر بين الصلاة فيه أو عارياً ، وأمّا إن صلّى عارياً فلا يحصل له اليقين بالبراءة ؛ لاحتمال كونه </w:t>
      </w:r>
    </w:p>
    <w:p>
      <w:pPr>
        <w:pStyle w:val="BookText"/>
        <w:rPr/>
      </w:pPr>
      <w:r>
        <w:rPr>
          <w:rFonts w:ascii="Amiri" w:hAnsi="Amiri" w:eastAsia="Amiri" w:cs="Amiri"/>
          <w:color w:val="111111"/>
          <w:sz w:val="28"/>
          <w:sz w:val="28"/>
          <w:szCs w:val="28"/>
          <w:rtl w:val="true"/>
          <w:lang w:bidi="ar-SA"/>
        </w:rPr>
        <w:t xml:space="preserve">طاهراً يجب الصلاة فيه ، ففي مورد دوران الأمر بين التعيين والتخيير يحكم العقل بالتعيين ، سيّما في مقام إبراء الذمّة والفراغ عن الاشتغال اليقيني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فمع وجوبها عارياً في تلك المسألة ،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بوجوبها فيه في هذه المسألة ؛</w:t>
      </w:r>
    </w:p>
    <w:p>
      <w:pPr>
        <w:pStyle w:val="BookText"/>
        <w:rPr/>
      </w:pPr>
      <w:r>
        <w:rPr>
          <w:rFonts w:ascii="Amiri" w:hAnsi="Amiri" w:eastAsia="Amiri" w:cs="Amiri"/>
          <w:color w:val="111111"/>
          <w:sz w:val="28"/>
          <w:sz w:val="28"/>
          <w:szCs w:val="28"/>
          <w:rtl w:val="true"/>
          <w:lang w:bidi="ar-SA"/>
        </w:rPr>
        <w:t>لدوران الأمر بين المخالفة القطعية لدليل الستر ، والمخالفة الاحتمالية لدليل مانعية النجس</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يجاب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باحتمال أن يكون أهمّية المانع بحدّ يقدّم مخالفته الاحتمالية</w:t>
      </w:r>
    </w:p>
    <w:p>
      <w:pPr>
        <w:pStyle w:val="BookText"/>
        <w:rPr/>
      </w:pPr>
      <w:r>
        <w:rPr>
          <w:rFonts w:ascii="Amiri" w:hAnsi="Amiri" w:eastAsia="Amiri" w:cs="Amiri"/>
          <w:color w:val="111111"/>
          <w:sz w:val="28"/>
          <w:sz w:val="28"/>
          <w:szCs w:val="28"/>
          <w:rtl w:val="true"/>
          <w:lang w:bidi="ar-SA"/>
        </w:rPr>
        <w:t xml:space="preserve">على المخالفة القطعية لشرطية الستر ، ولازمه التخيير بينهما </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والتحقيق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كون المورد من قبيل الدوران بين المخالفة القطعية والاحتمالية ، يتوقّف على استفادة شرطية الستر للصلاة مطلقاً ؛ بحيث يكون مطلوباً ولو مع النجاسة ، وتكون النجاسة أيضاً مانعة مطلقاً ، فيكون المورد من قبيل المتزاحمين وإن قدّم الشارع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الآخر ، وذلك يتوقّف على إطلاق أدلّة الستر ، وهو مفقود ؛ فإنّ دليله الإجماع</w:t>
      </w:r>
      <w:r>
        <w:rPr>
          <w:rStyle w:val="FootnoteAnchor"/>
          <w:rtl w:val="true"/>
        </w:rPr>
        <w:footnoteReference w:id="984"/>
      </w:r>
      <w:r>
        <w:rPr>
          <w:rFonts w:ascii="Amiri" w:hAnsi="Amiri" w:eastAsia="Amiri" w:cs="Amiri"/>
          <w:color w:val="111111"/>
          <w:sz w:val="28"/>
          <w:sz w:val="28"/>
          <w:szCs w:val="28"/>
          <w:rtl w:val="true"/>
          <w:lang w:bidi="ar-SA"/>
        </w:rPr>
        <w:t>الذي لا إطلاق فيه وبعض الأخبار</w:t>
      </w:r>
      <w:r>
        <w:rPr>
          <w:rStyle w:val="FootnoteAnchor"/>
          <w:rtl w:val="true"/>
        </w:rPr>
        <w:footnoteReference w:id="985"/>
      </w:r>
      <w:r>
        <w:rPr>
          <w:rFonts w:ascii="Amiri" w:hAnsi="Amiri" w:eastAsia="Amiri" w:cs="Amiri"/>
          <w:color w:val="111111"/>
          <w:sz w:val="28"/>
          <w:sz w:val="28"/>
          <w:szCs w:val="28"/>
          <w:rtl w:val="true"/>
          <w:lang w:bidi="ar-SA"/>
        </w:rPr>
        <w:t xml:space="preserve">التي في مقام بيان حكم آخر ، ولا إطلاق فيها </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فحينئذٍ يحتمل أن يكون الستر الطاهر مطلوباً واحداً ، فيكون المورد من الدوران بين الموافقتين الاحتماليتين ؛ فإنّ إتيان الصلاة في الثوب لا يكون موافقة قطعية للشرط ، كما أنّ ترك الصلاة في أحد الثوبين ، ليس مخالفة قطعية </w:t>
      </w:r>
      <w:bookmarkStart w:id="389" w:name="pg15030_143293"/>
    </w:p>
    <w:p>
      <w:pPr>
        <w:pStyle w:val="BookText"/>
        <w:rPr/>
      </w:pPr>
      <w:bookmarkEnd w:id="389"/>
      <w:r>
        <w:rPr>
          <w:rFonts w:ascii="Amiri" w:hAnsi="Amiri" w:eastAsia="Amiri" w:cs="Amiri"/>
          <w:color w:val="111111"/>
          <w:sz w:val="28"/>
          <w:sz w:val="28"/>
          <w:szCs w:val="28"/>
          <w:rtl w:val="true"/>
          <w:lang w:bidi="ar-SA"/>
        </w:rPr>
        <w:t xml:space="preserve">في خصوص المقام الذي لا يمكنه إلاّ صلاة واحدة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فحينئذٍ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الأوجه وجوب الصلاة عارياً ؛ لأنّ أهمّية مراعاة المانع كما أوجبت الصلاة عارياً مع النجس المحرز ، توجب تقديم الموافقة الاحتمالية فيه على الموافقة الاحتمالية في الستر عقلاً في مقام الامتثال ، فيجب الصلاة عارياً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مع احتمال تعدّد المطلوب يأتي احتمال أهمّية الستر من المانع ، كما يحتمل العكس ، فالقاعدة التخيير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مع الشكّ في اعتبار الستر مع نجاسته ، يكون إطلاق دليل مانعية النجس محكّماً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جريان البراءة الشرعية عن الستر في حال نجاسته ، وهو كافٍ في وجه التقديم في المقام ، فتدبّر جيّداً وتأمّل ؛ فإنّه لا يخلو منه </w:t>
      </w:r>
      <w:r>
        <w:rPr>
          <w:rFonts w:eastAsia="Amiri" w:cs="Amiri" w:ascii="Amiri" w:hAnsi="Amiri"/>
          <w:color w:val="111111"/>
          <w:sz w:val="28"/>
          <w:szCs w:val="28"/>
          <w:rtl w:val="true"/>
          <w:lang w:bidi="ar-SA"/>
        </w:rPr>
        <w:t>.</w:t>
      </w:r>
    </w:p>
    <w:p>
      <w:pPr>
        <w:pStyle w:val="Heading4"/>
        <w:numPr>
          <w:ilvl w:val="3"/>
          <w:numId w:val="1"/>
        </w:numPr>
        <w:rPr/>
      </w:pPr>
      <w:bookmarkStart w:id="390" w:name="__RefHeading___Toc212896_2142443653"/>
      <w:bookmarkStart w:id="391" w:name="_Toc140"/>
      <w:bookmarkEnd w:id="390"/>
      <w:r>
        <w:rPr>
          <w:rtl w:val="true"/>
        </w:rPr>
        <w:t>عدم سقوط القضاء عند العمل على وفق حكم العقل</w:t>
      </w:r>
      <w:bookmarkEnd w:id="391"/>
    </w:p>
    <w:p>
      <w:pPr>
        <w:pStyle w:val="BookText"/>
        <w:rPr/>
      </w:pPr>
      <w:r>
        <w:rPr>
          <w:rFonts w:ascii="Amiri" w:hAnsi="Amiri" w:eastAsia="Amiri" w:cs="Amiri"/>
          <w:color w:val="111111"/>
          <w:sz w:val="28"/>
          <w:sz w:val="28"/>
          <w:szCs w:val="28"/>
          <w:rtl w:val="true"/>
          <w:lang w:bidi="ar-SA"/>
        </w:rPr>
        <w:t>وهل العمل على طبق حكم العقل يوجب سقوط القضاء ؟</w:t>
      </w:r>
    </w:p>
    <w:p>
      <w:pPr>
        <w:pStyle w:val="BookText"/>
        <w:rPr/>
      </w:pPr>
      <w:r>
        <w:rPr>
          <w:rFonts w:ascii="Amiri" w:hAnsi="Amiri" w:eastAsia="Amiri" w:cs="Amiri"/>
          <w:color w:val="111111"/>
          <w:sz w:val="28"/>
          <w:sz w:val="28"/>
          <w:szCs w:val="28"/>
          <w:rtl w:val="true"/>
          <w:lang w:bidi="ar-SA"/>
        </w:rPr>
        <w:t xml:space="preserve">بدعوى كشف التكليف الشرعي من حكم العقل بتقديم محتمل الأهمّية ، ومع إحرازه يحكم بسقوط الأمر ، فلا إعادة عليه ولا قضاء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إثبات القضاء يتوقّف على إحراز الفوت، وهو لا يحرز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لا يوجبه ؟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كشف الحكم الشرعي ، يتوقّف على إحراز وحدة المطلوب في الستر الطاهر ، وأمّا مع احتمال التعدّد فلا يمكن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لا ينافي ما تقدّم من تقدّم محتمل الأهمّية ، تأمّل </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أنّ تقديم محتمل الأهمّية على غيره بحكم العقل ، لا يكشف </w:t>
      </w:r>
    </w:p>
    <w:p>
      <w:pPr>
        <w:pStyle w:val="BookText"/>
        <w:rPr/>
      </w:pPr>
      <w:r>
        <w:rPr>
          <w:rFonts w:ascii="Amiri" w:hAnsi="Amiri" w:eastAsia="Amiri" w:cs="Amiri"/>
          <w:color w:val="111111"/>
          <w:sz w:val="28"/>
          <w:sz w:val="28"/>
          <w:szCs w:val="28"/>
          <w:rtl w:val="true"/>
          <w:lang w:bidi="ar-SA"/>
        </w:rPr>
        <w:t xml:space="preserve">عن حكم الشرع ، فلا دليل على سقوط القضاء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القضاء مترتّب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عنوان لا يمكن إحرازه بالأصل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فممنوعة ؛ لأنّ الأمر بالقضاء وإن علّق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غالب الأخبار</w:t>
      </w:r>
      <w:r>
        <w:rPr>
          <w:rStyle w:val="FootnoteAnchor"/>
          <w:rtl w:val="true"/>
        </w:rPr>
        <w:footnoteReference w:id="986"/>
      </w:r>
      <w:r>
        <w:rPr>
          <w:rFonts w:ascii="Amiri" w:hAnsi="Amiri" w:eastAsia="Amiri" w:cs="Amiri"/>
          <w:color w:val="111111"/>
          <w:sz w:val="28"/>
          <w:sz w:val="28"/>
          <w:szCs w:val="28"/>
          <w:rtl w:val="true"/>
          <w:lang w:bidi="ar-SA"/>
        </w:rPr>
        <w:t xml:space="preserve">، لكن علّق على عدم الإتيان والترك في بعضها </w:t>
      </w:r>
      <w:r>
        <w:rPr>
          <w:rStyle w:val="FootnoteAnchor"/>
          <w:rtl w:val="true"/>
        </w:rPr>
        <w:footnoteReference w:id="987"/>
      </w:r>
      <w:r>
        <w:rPr>
          <w:rFonts w:ascii="Amiri" w:hAnsi="Amiri" w:eastAsia="Amiri" w:cs="Amiri"/>
          <w:color w:val="111111"/>
          <w:sz w:val="28"/>
          <w:sz w:val="28"/>
          <w:szCs w:val="28"/>
          <w:rtl w:val="true"/>
          <w:lang w:bidi="ar-SA"/>
        </w:rPr>
        <w:t xml:space="preserve">، فلا يبعد دعوى عدم دخالة هذا العنوان الوجودي فيه ، وموضوعه صِرْف عدم الإتيان بها في الوقت ؛ أي عدم إتيانها إلى خارج الوقت ، ومعه لا مانع من إحرازه بالأصل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 نّه لا شكّ في الخارج في المورد ؛ لأنّ ما أتى بها هي الصلاة عارياً ، وما لم يأتِ بها هي مع الثوب ، فالمقام نظير الشكّ في كون الغروب سقوط الشمس أو ذهاب الحمرة ؛ ممّا لا يجري فيه 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ما لا يخفى ولو سلّم عدم الجريان في مورد النقض ؛ لأ نّا لا نريد إثبات حكم للصلاة المتحقّقة في الخارج ، بل الموضوع لوجوب القضاء عدم إتيان المكلّف بالصلاة المأمور بها إلى بعد الوقت ، والآتي بها عارياً يشكّ في إتيانه للمأمور به شرعاً ؛ لاحتمال أن يكون الثوب طاهراً ، وكان تكليفه إتيانها فيه ، فيجري استصحاب عدم الإتيان بالمأمور به ، فيجب عليه القضاء </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إتيانها عارياً ، وقضاؤها خارج الوقت </w:t>
      </w:r>
      <w:r>
        <w:rPr>
          <w:rFonts w:eastAsia="Amiri" w:cs="Amiri" w:ascii="Amiri" w:hAnsi="Amiri"/>
          <w:color w:val="111111"/>
          <w:sz w:val="28"/>
          <w:szCs w:val="28"/>
          <w:rtl w:val="true"/>
          <w:lang w:bidi="ar-SA"/>
        </w:rPr>
        <w:t xml:space="preserve">. </w:t>
      </w:r>
      <w:bookmarkStart w:id="392" w:name="pg15030_143295"/>
    </w:p>
    <w:p>
      <w:pPr>
        <w:pStyle w:val="Heading4"/>
        <w:numPr>
          <w:ilvl w:val="3"/>
          <w:numId w:val="1"/>
        </w:numPr>
        <w:rPr/>
      </w:pPr>
      <w:bookmarkStart w:id="393" w:name="__RefHeading___Toc212898_2142443653"/>
      <w:bookmarkStart w:id="394" w:name="_Toc141"/>
      <w:bookmarkEnd w:id="392"/>
      <w:bookmarkEnd w:id="393"/>
      <w:r>
        <w:rPr>
          <w:rtl w:val="true"/>
        </w:rPr>
        <w:t>فرع حكم من لم يجد إلاّ ثوباً نجساً</w:t>
      </w:r>
      <w:bookmarkEnd w:id="394"/>
    </w:p>
    <w:p>
      <w:pPr>
        <w:pStyle w:val="BookText"/>
        <w:rPr/>
      </w:pPr>
      <w:r>
        <w:rPr>
          <w:rFonts w:ascii="Amiri" w:hAnsi="Amiri" w:eastAsia="Amiri" w:cs="Amiri"/>
          <w:color w:val="111111"/>
          <w:sz w:val="28"/>
          <w:sz w:val="28"/>
          <w:szCs w:val="28"/>
          <w:rtl w:val="true"/>
          <w:lang w:bidi="ar-SA"/>
        </w:rPr>
        <w:t>لو لم يجد إلاّ ثوباً نجساً يجب أن يلقيه ويصلّي عرياناً ؛ إذا لم يتمكّن من</w:t>
      </w:r>
    </w:p>
    <w:p>
      <w:pPr>
        <w:pStyle w:val="BookText"/>
        <w:rPr/>
      </w:pPr>
      <w:r>
        <w:rPr>
          <w:rFonts w:ascii="Amiri" w:hAnsi="Amiri" w:eastAsia="Amiri" w:cs="Amiri"/>
          <w:color w:val="111111"/>
          <w:sz w:val="28"/>
          <w:sz w:val="28"/>
          <w:szCs w:val="28"/>
          <w:rtl w:val="true"/>
          <w:lang w:bidi="ar-SA"/>
        </w:rPr>
        <w:t xml:space="preserve">غسله ، ولم يضطرّ إلى لبسه لضرورة عرفية أو شرعية ، كما عن جلّ المتقدّمين ، بل كلّهم عدا ابن الجنيد ، فإنّ المحكيّ عنه التخيير بين الصلاة فيه والصلاة عرياناً </w:t>
      </w:r>
      <w:r>
        <w:rPr>
          <w:rStyle w:val="FootnoteAnchor"/>
          <w:rtl w:val="true"/>
        </w:rPr>
        <w:footnoteReference w:id="988"/>
      </w:r>
      <w:r>
        <w:rPr>
          <w:rFonts w:ascii="Amiri" w:hAnsi="Amiri" w:eastAsia="Amiri" w:cs="Amiri"/>
          <w:color w:val="111111"/>
          <w:sz w:val="28"/>
          <w:sz w:val="28"/>
          <w:szCs w:val="28"/>
          <w:rtl w:val="true"/>
          <w:lang w:bidi="ar-SA"/>
        </w:rPr>
        <w:t xml:space="preserve">، ولم ينقل ذلك عن غيره إلى عصر المحقّق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حكي عن الشيخ احتماله</w:t>
      </w:r>
      <w:r>
        <w:rPr>
          <w:rStyle w:val="FootnoteAnchor"/>
          <w:rtl w:val="true"/>
        </w:rPr>
        <w:footnoteReference w:id="989"/>
      </w:r>
      <w:r>
        <w:rPr>
          <w:rFonts w:ascii="Amiri" w:hAnsi="Amiri" w:eastAsia="Amiri" w:cs="Amiri"/>
          <w:color w:val="111111"/>
          <w:sz w:val="28"/>
          <w:sz w:val="28"/>
          <w:szCs w:val="28"/>
          <w:rtl w:val="true"/>
          <w:lang w:bidi="ar-SA"/>
        </w:rPr>
        <w:t xml:space="preserve">، لكن ادّعى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الأوّل</w:t>
      </w:r>
      <w:r>
        <w:rPr>
          <w:rStyle w:val="FootnoteAnchor"/>
          <w:rtl w:val="true"/>
        </w:rPr>
        <w:footnoteReference w:id="990"/>
      </w: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الشهرة فيه</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992"/>
      </w:r>
      <w:r>
        <w:rPr>
          <w:rFonts w:ascii="Amiri" w:hAnsi="Amiri" w:eastAsia="Amiri" w:cs="Amiri"/>
          <w:color w:val="111111"/>
          <w:sz w:val="28"/>
          <w:sz w:val="28"/>
          <w:szCs w:val="28"/>
          <w:rtl w:val="true"/>
          <w:lang w:bidi="ar-SA"/>
        </w:rPr>
        <w:t>والعلاّمة في بعض كتبه</w:t>
      </w:r>
      <w:r>
        <w:rPr>
          <w:rStyle w:val="FootnoteAnchor"/>
          <w:rtl w:val="true"/>
        </w:rPr>
        <w:footnoteReference w:id="993"/>
      </w:r>
      <w:r>
        <w:rPr>
          <w:rFonts w:ascii="IRNazanin" w:hAnsi="IRNazanin" w:eastAsia="IRNazanin"/>
          <w:color w:val="111111"/>
          <w:sz w:val="28"/>
          <w:sz w:val="28"/>
          <w:szCs w:val="28"/>
          <w:rtl w:val="true"/>
          <w:lang w:bidi="fa-IR"/>
        </w:rPr>
        <w:t xml:space="preserve">وبعض من تأخّر عنهما </w:t>
      </w:r>
      <w:r>
        <w:rPr>
          <w:rStyle w:val="FootnoteAnchor"/>
          <w:rtl w:val="true"/>
        </w:rPr>
        <w:footnoteReference w:id="994"/>
      </w:r>
      <w:r>
        <w:rPr>
          <w:rFonts w:ascii="Amiri" w:hAnsi="Amiri" w:eastAsia="Amiri" w:cs="Amiri"/>
          <w:color w:val="111111"/>
          <w:sz w:val="28"/>
          <w:sz w:val="28"/>
          <w:szCs w:val="28"/>
          <w:rtl w:val="true"/>
          <w:lang w:bidi="ar-SA"/>
        </w:rPr>
        <w:t xml:space="preserve">القول بالتخيير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ولم يحك عن أحدٍ القول بتعيّن الصلاة فيه ، وإنّما هو أمر حادث بين بعض متأخّري المتأخّرين ممّن قارب عصرنا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فالمسألة لدى القدماء ذات قول واحد حقيقة ، ولدى المتأخّرين ذات قولين إلى الأعصار القريبة منّا ، فحدث قول ثالث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 نّه لو صلّى عارياً فلا إعادة قولاً واحداً</w:t>
      </w:r>
      <w:r>
        <w:rPr>
          <w:rFonts w:eastAsia="Amiri" w:cs="Amiri" w:ascii="Amiri" w:hAnsi="Amiri"/>
          <w:color w:val="111111"/>
          <w:sz w:val="28"/>
          <w:szCs w:val="28"/>
          <w:rtl w:val="true"/>
          <w:lang w:bidi="ar-SA"/>
        </w:rPr>
        <w:t>»</w:t>
      </w:r>
      <w:r>
        <w:rPr>
          <w:rStyle w:val="FootnoteAnchor"/>
          <w:rtl w:val="true"/>
        </w:rPr>
        <w:footnoteReference w:id="996"/>
      </w: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حكاية الشهرة على أ نّه لو صلّى بالثوب لم يعد</w:t>
      </w:r>
      <w:r>
        <w:rPr>
          <w:rStyle w:val="FootnoteAnchor"/>
          <w:rtl w:val="true"/>
        </w:rPr>
        <w:footnoteReference w:id="997"/>
      </w:r>
      <w:r>
        <w:rPr>
          <w:rFonts w:ascii="Amiri" w:hAnsi="Amiri" w:eastAsia="Amiri" w:cs="Amiri"/>
          <w:color w:val="111111"/>
          <w:sz w:val="28"/>
          <w:sz w:val="28"/>
          <w:szCs w:val="28"/>
          <w:rtl w:val="true"/>
          <w:lang w:bidi="ar-SA"/>
        </w:rPr>
        <w:t xml:space="preserve">، ولعلّ مرادهما فيما لا يمكن نزعه ، أو حكاية الشهرة بين المتأخّرين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واختلفت آراء العامّة فيها ؛ فعن الشافعي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يصلّي عرياناً ، ولا إعادة</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Style w:val="FootnoteAnchor"/>
          <w:rtl w:val="true"/>
        </w:rPr>
        <w:footnoteReference w:id="998"/>
      </w:r>
      <w:r>
        <w:rPr>
          <w:rFonts w:ascii="Amiri" w:hAnsi="Amiri" w:eastAsia="Amiri" w:cs="Amiri"/>
          <w:color w:val="111111"/>
          <w:sz w:val="28"/>
          <w:sz w:val="28"/>
          <w:szCs w:val="28"/>
          <w:rtl w:val="true"/>
          <w:lang w:bidi="ar-SA"/>
        </w:rPr>
        <w:t xml:space="preserve">وعن مالك ومحمّد بن الحسن والمُزني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يصلّي فيه ، ولا إعادة عليه</w:t>
      </w:r>
      <w:r>
        <w:rPr>
          <w:rFonts w:eastAsia="Amiri" w:cs="Amiri" w:ascii="Amiri" w:hAnsi="Amiri"/>
          <w:color w:val="111111"/>
          <w:sz w:val="28"/>
          <w:szCs w:val="28"/>
          <w:rtl w:val="true"/>
          <w:lang w:bidi="ar-SA"/>
        </w:rPr>
        <w:t>»</w:t>
      </w:r>
      <w:r>
        <w:rPr>
          <w:rStyle w:val="FootnoteAnchor"/>
          <w:rtl w:val="true"/>
        </w:rPr>
        <w:footnoteReference w:id="999"/>
      </w:r>
      <w:r>
        <w:rPr>
          <w:rFonts w:ascii="Amiri" w:hAnsi="Amiri" w:eastAsia="Amiri" w:cs="Amiri"/>
          <w:color w:val="111111"/>
          <w:sz w:val="28"/>
          <w:sz w:val="28"/>
          <w:szCs w:val="28"/>
          <w:rtl w:val="true"/>
          <w:lang w:bidi="ar-SA"/>
        </w:rPr>
        <w:t xml:space="preserve">وعن أبي حنيفة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أكثره طاهراً لزمه أن يصلّي فيه ، ولا إعادة عليه ، وإن كان أكثره نجساً فهو بالخيار بين أن يصلّي فيه ، وبين أن يصلّي عرياناً ، وكيف كان ما صلّى فلا إعادة عليه</w:t>
      </w:r>
      <w:r>
        <w:rPr>
          <w:rFonts w:eastAsia="Amiri" w:cs="Amiri" w:ascii="Amiri" w:hAnsi="Amiri"/>
          <w:color w:val="111111"/>
          <w:sz w:val="28"/>
          <w:szCs w:val="28"/>
          <w:rtl w:val="true"/>
          <w:lang w:bidi="ar-SA"/>
        </w:rPr>
        <w:t>»</w:t>
      </w:r>
      <w:r>
        <w:rPr>
          <w:rStyle w:val="FootnoteAnchor"/>
          <w:rtl w:val="true"/>
        </w:rPr>
        <w:footnoteReference w:id="1000"/>
      </w:r>
      <w:r>
        <w:rPr>
          <w:rFonts w:ascii="Amiri" w:hAnsi="Amiri" w:eastAsia="Amiri" w:cs="Amiri"/>
          <w:color w:val="111111"/>
          <w:sz w:val="28"/>
          <w:sz w:val="28"/>
          <w:szCs w:val="28"/>
          <w:rtl w:val="true"/>
          <w:lang w:bidi="ar-SA"/>
        </w:rPr>
        <w:t xml:space="preserve">ومنشأ الاختلاف بيننا اختلاف الأخبار </w:t>
      </w:r>
      <w:r>
        <w:rPr>
          <w:rFonts w:eastAsia="Amiri" w:cs="Amiri" w:ascii="Amiri" w:hAnsi="Amiri"/>
          <w:color w:val="111111"/>
          <w:sz w:val="28"/>
          <w:szCs w:val="28"/>
          <w:rtl w:val="true"/>
          <w:lang w:bidi="ar-SA"/>
        </w:rPr>
        <w:t xml:space="preserve">. </w:t>
      </w:r>
      <w:bookmarkStart w:id="395" w:name="pg15030_143297"/>
    </w:p>
    <w:p>
      <w:pPr>
        <w:pStyle w:val="Heading4"/>
        <w:numPr>
          <w:ilvl w:val="3"/>
          <w:numId w:val="1"/>
        </w:numPr>
        <w:rPr/>
      </w:pPr>
      <w:bookmarkStart w:id="396" w:name="__RefHeading___Toc212900_2142443653"/>
      <w:bookmarkStart w:id="397" w:name="_Toc142"/>
      <w:bookmarkEnd w:id="395"/>
      <w:bookmarkEnd w:id="396"/>
      <w:r>
        <w:rPr>
          <w:rtl w:val="true"/>
        </w:rPr>
        <w:t>تعيّن الصلاة عارياً وردّ القول بجواز الصلاة في النجس</w:t>
      </w:r>
      <w:bookmarkEnd w:id="397"/>
    </w:p>
    <w:p>
      <w:pPr>
        <w:pStyle w:val="BookText"/>
        <w:rPr/>
      </w:pPr>
      <w:r>
        <w:rPr>
          <w:rFonts w:ascii="IRNazanin" w:hAnsi="IRNazanin" w:eastAsia="IRNazanin"/>
          <w:color w:val="111111"/>
          <w:sz w:val="28"/>
          <w:sz w:val="28"/>
          <w:szCs w:val="28"/>
          <w:rtl w:val="true"/>
          <w:lang w:bidi="fa-IR"/>
        </w:rPr>
        <w:t xml:space="preserve">فممّا تدلّ على الصلاة فيه صحيحة الحلبي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w:t>
      </w:r>
    </w:p>
    <w:p>
      <w:pPr>
        <w:pStyle w:val="BookText"/>
        <w:rPr/>
      </w:pPr>
      <w:r>
        <w:rPr>
          <w:rFonts w:ascii="Amiri" w:hAnsi="Amiri" w:eastAsia="Amiri" w:cs="Amiri"/>
          <w:color w:val="111111"/>
          <w:sz w:val="28"/>
          <w:sz w:val="28"/>
          <w:szCs w:val="28"/>
          <w:rtl w:val="true"/>
          <w:lang w:bidi="ar-SA"/>
        </w:rPr>
        <w:t xml:space="preserve">عن رجل أجنب في ثوبه ، وليس معه ثوب غيره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يصلّي فيه ، فإذا وجد الماء غسله</w:t>
      </w:r>
      <w:r>
        <w:rPr>
          <w:rFonts w:eastAsia="Amiri" w:cs="Amiri" w:ascii="Amiri" w:hAnsi="Amiri"/>
          <w:color w:val="111111"/>
          <w:sz w:val="28"/>
          <w:szCs w:val="28"/>
          <w:rtl w:val="true"/>
          <w:lang w:bidi="ar-SA"/>
        </w:rPr>
        <w:t>»</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وقريب منها صحيحة عبد الرحمان بن أبي عبداللّه عنه علیه السلام </w:t>
      </w:r>
      <w:r>
        <w:rPr>
          <w:rStyle w:val="FootnoteAnchor"/>
          <w:rtl w:val="true"/>
        </w:rPr>
        <w:footnoteReference w:id="1002"/>
      </w:r>
      <w:r>
        <w:rPr>
          <w:rFonts w:ascii="Amiri" w:hAnsi="Amiri" w:eastAsia="Amiri" w:cs="Amiri"/>
          <w:color w:val="111111"/>
          <w:sz w:val="28"/>
          <w:sz w:val="28"/>
          <w:szCs w:val="28"/>
          <w:rtl w:val="true"/>
          <w:lang w:bidi="ar-SA"/>
        </w:rPr>
        <w:t>وموثّقته</w:t>
      </w:r>
      <w:r>
        <w:rPr>
          <w:rStyle w:val="FootnoteAnchor"/>
          <w:rtl w:val="true"/>
        </w:rPr>
        <w:footnoteReference w:id="1003"/>
      </w:r>
      <w:r>
        <w:rPr>
          <w:rFonts w:ascii="Amiri" w:hAnsi="Amiri" w:eastAsia="Amiri" w:cs="Amiri"/>
          <w:color w:val="111111"/>
          <w:sz w:val="28"/>
          <w:sz w:val="28"/>
          <w:szCs w:val="28"/>
          <w:rtl w:val="true"/>
          <w:lang w:bidi="ar-SA"/>
        </w:rPr>
        <w:t xml:space="preserve">وهما رواية واحدة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في هذه الروايات أن يكون السؤال عن عرق المجنب ، كما سئل عنه في روايات عديدة</w:t>
      </w:r>
      <w:r>
        <w:rPr>
          <w:rStyle w:val="FootnoteAnchor"/>
          <w:rtl w:val="true"/>
        </w:rPr>
        <w:footnoteReference w:id="10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شيخ الطائفة رواية الحلبي على عرق المجنب من الحرام</w:t>
      </w:r>
      <w:r>
        <w:rPr>
          <w:rStyle w:val="FootnoteAnchor"/>
          <w:rtl w:val="true"/>
        </w:rPr>
        <w:footnoteReference w:id="10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ذكرناه وإن كان خلاف المظنون ، لكنّه ظنّ خارجي لا دليل على حجّيته ، تأمّل </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موثّقة الساباطي ، عن 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 سئل عن رجل ليس معه إلاّ ثوب ، ولا تحلّ الصلاة فيه ، وليس يجد ماءً يغسله ، كيف يصنع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يتيمّم ويصلّي ، فإذا أصاب ماءً غسله وأعاد الصلاة</w:t>
      </w:r>
      <w:r>
        <w:rPr>
          <w:rFonts w:eastAsia="Amiri" w:cs="Amiri" w:ascii="Amiri" w:hAnsi="Amiri"/>
          <w:color w:val="111111"/>
          <w:sz w:val="28"/>
          <w:szCs w:val="28"/>
          <w:rtl w:val="true"/>
          <w:lang w:bidi="ar-SA"/>
        </w:rPr>
        <w:t>»</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يظهر منها بأ نّه يصلّي فيه ، سيّما مع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تحلّ الصلاة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w:t>
      </w:r>
    </w:p>
    <w:p>
      <w:pPr>
        <w:pStyle w:val="BookText"/>
        <w:rPr/>
      </w:pPr>
      <w:r>
        <w:rPr>
          <w:rFonts w:ascii="Amiri" w:hAnsi="Amiri" w:eastAsia="Amiri" w:cs="Amiri"/>
          <w:color w:val="111111"/>
          <w:sz w:val="28"/>
          <w:sz w:val="28"/>
          <w:szCs w:val="28"/>
          <w:rtl w:val="true"/>
          <w:lang w:bidi="ar-SA"/>
        </w:rPr>
        <w:t>أن أقرّه على عدم الصحّة ، وأراد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عرياناً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والظنّ الخارجي بأنّ المراد الصلاة فيه قد مرّ حاله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صحيحة الحلبي الاُخرى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 سأل أبا عبداللّه علیه السلام عن الرجل يكون له الثوب الواحد ، فيه بول لا يقدر على غسله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يصلّي فيه</w:t>
      </w:r>
      <w:r>
        <w:rPr>
          <w:rFonts w:eastAsia="IRNazanin" w:cs="IRNazanin"/>
          <w:color w:val="111111"/>
          <w:sz w:val="28"/>
          <w:szCs w:val="28"/>
          <w:rtl w:val="true"/>
          <w:lang w:bidi="fa-IR"/>
        </w:rPr>
        <w:t>»</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فمن المحتمل قريباً وقوع التقطيع فيها ؛ فإنّ الحلبي روى ثلاث روايات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تقدّمت ، وهي متعرّضة لحكم الثوب الذي أجنب فيه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متعرّضة لحكم البول ؛ وهي أ نّه سأل أبا عبداللّه علیه السلام عن الرجل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إلى آخره التي تقدّمت آنفاً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 السلام عن الرجل يجنب في الثوب ، أو يصيبه بول ، وليس معه ثوب غيره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يصلّي فيه إذا اضطرّ إليه</w:t>
      </w:r>
      <w:r>
        <w:rPr>
          <w:rFonts w:eastAsia="IRNazanin" w:cs="IRNazanin"/>
          <w:color w:val="111111"/>
          <w:sz w:val="28"/>
          <w:szCs w:val="28"/>
          <w:rtl w:val="true"/>
          <w:lang w:bidi="fa-IR"/>
        </w:rPr>
        <w:t>»</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فيحتمل أن تكون الثالثة هي الأصل ، والاُوليان تقطيعاً منها ؛ إذ من البعيد أن يسأل الحلبي أبا عبداللّه علیه السلام 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الثوب الذي أجنب فيه ، واُخرى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p>
    <w:p>
      <w:pPr>
        <w:pStyle w:val="BookText"/>
        <w:rPr/>
      </w:pPr>
      <w:r>
        <w:rPr>
          <w:rFonts w:ascii="Amiri" w:hAnsi="Amiri" w:eastAsia="Amiri" w:cs="Amiri"/>
          <w:color w:val="111111"/>
          <w:sz w:val="28"/>
          <w:sz w:val="28"/>
          <w:szCs w:val="28"/>
          <w:rtl w:val="true"/>
          <w:lang w:bidi="ar-SA"/>
        </w:rPr>
        <w:t xml:space="preserve">الثوب الذي أصابه البول ، 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كليهما ، فقيد الاضطرار غير مذكور للتقطيع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وإن كان غير مرضيّ في غير الباب ، لكن يوجب فيه نحو وهن فيها لخصوصية فيه ، والرواية الثالثة إمّا ظاهرة في الاضطرار في اللبس ؛ لبرد أو ناظر محترم ، أو محتملة له ، فلا يمكن معه استفادة الإطلاق منها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فبقيت صحيحة علي بن جعفر ، عن أخيه موسى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عريان وحضرت الصلاة ، فأصاب ثوباً نصفه دم أو كلّه دم ، يصلّي فيه ، أو يصلّي عرياناً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وجد ماءً غسله ، وإن لم يجد ماءً صلّى فيه ، ولم يصلّ عرياناً</w:t>
      </w:r>
      <w:r>
        <w:rPr>
          <w:rFonts w:eastAsia="IRNazanin" w:cs="IRNazanin"/>
          <w:color w:val="111111"/>
          <w:sz w:val="28"/>
          <w:szCs w:val="28"/>
          <w:rtl w:val="true"/>
          <w:lang w:bidi="fa-IR"/>
        </w:rPr>
        <w:t>»</w:t>
      </w:r>
      <w:r>
        <w:rPr>
          <w:rStyle w:val="FootnoteAnchor"/>
          <w:rtl w:val="true"/>
        </w:rPr>
        <w:footnoteReference w:id="1009"/>
      </w:r>
      <w:r>
        <w:rPr>
          <w:rFonts w:ascii="Amiri" w:hAnsi="Amiri" w:eastAsia="Amiri" w:cs="Amiri"/>
          <w:color w:val="111111"/>
          <w:sz w:val="28"/>
          <w:sz w:val="28"/>
          <w:szCs w:val="28"/>
          <w:rtl w:val="true"/>
          <w:lang w:bidi="ar-SA"/>
        </w:rPr>
        <w:t xml:space="preserve">فهي صريحة الدلالة وصحيحة السند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ربّما يمكن الخدشة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الظاهر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إصابة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وجده مطروحاً كاللقطة ، فكيف أجاز التصرّف والصلاة فيه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نحو وهن فيها </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نوقش في الخدشات بضعف الاحتمالات المتطرّقة ، وظهورها في صحّة الصلاة في الثوب النجس ، كما هو الصواب ،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وجه الجمع بينها وبين موثّقة سَماعة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يكون في فلاة من الأرض ، وليس معه إلاّ ثوب فأجنب فيه ، وليس يجد الماء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يتيمّم ويصلّي عرياناً قائماً يومئ إيماء</w:t>
      </w:r>
      <w:r>
        <w:rPr>
          <w:rFonts w:eastAsia="Amiri" w:cs="Amiri" w:ascii="Amiri" w:hAnsi="Amiri"/>
          <w:color w:val="111111"/>
          <w:sz w:val="28"/>
          <w:szCs w:val="28"/>
          <w:rtl w:val="true"/>
          <w:lang w:bidi="ar-SA"/>
        </w:rPr>
        <w:t>»</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ونحوها روايته الاُخرى ، إلاّ أنّ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ويصلّي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قاعداً</w:t>
      </w:r>
      <w:r>
        <w:rPr>
          <w:rFonts w:eastAsia="Amiri" w:cs="Amiri" w:ascii="Amiri" w:hAnsi="Amiri"/>
          <w:color w:val="111111"/>
          <w:sz w:val="28"/>
          <w:szCs w:val="28"/>
          <w:rtl w:val="true"/>
          <w:lang w:bidi="ar-SA"/>
        </w:rPr>
        <w:t>»</w:t>
      </w:r>
      <w:r>
        <w:rPr>
          <w:rStyle w:val="FootnoteAnchor"/>
          <w:rtl w:val="true"/>
        </w:rPr>
        <w:footnoteReference w:id="1011"/>
      </w:r>
      <w:r>
        <w:rPr>
          <w:rFonts w:ascii="Amiri" w:hAnsi="Amiri" w:eastAsia="Amiri" w:cs="Amiri"/>
          <w:color w:val="111111"/>
          <w:sz w:val="28"/>
          <w:sz w:val="28"/>
          <w:szCs w:val="28"/>
          <w:rtl w:val="true"/>
          <w:lang w:bidi="ar-SA"/>
        </w:rPr>
        <w:t>وعن الكليني والشيخ رواية الموثّقة أيضاً كذلك</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ومصحّحة الحلبي ، عن 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أصابته جنابة وهو بالفلاة ، وليس عليه إلاّ ثوب واحد ، وأصاب ثوبه منيّ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يتيمّم ويطرح ثوبه فيجلس مجتمعاً ، فيصلّي فيومئ إيماء</w:t>
      </w:r>
      <w:r>
        <w:rPr>
          <w:rFonts w:eastAsia="IRNazanin" w:cs="IRNazanin"/>
          <w:color w:val="111111"/>
          <w:sz w:val="28"/>
          <w:szCs w:val="28"/>
          <w:rtl w:val="true"/>
          <w:lang w:bidi="fa-IR"/>
        </w:rPr>
        <w:t>»</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بحمل الأخبار المتقدّمة على حال وجود الناظر المحترم ؛ بدعوى 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في الفلاة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لإفادة فقدان الناظر المحترم ، فتكون أخصّ مطلقاً منها ، فتقيّد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وتشهد له رواية الحلبي المتقدّمة</w:t>
      </w:r>
      <w:r>
        <w:rPr>
          <w:rStyle w:val="FootnoteAnchor"/>
          <w:rtl w:val="true"/>
        </w:rPr>
        <w:footnoteReference w:id="1014"/>
      </w:r>
      <w:r>
        <w:rPr>
          <w:rFonts w:ascii="Amiri" w:hAnsi="Amiri" w:eastAsia="Amiri" w:cs="Amiri"/>
          <w:color w:val="111111"/>
          <w:sz w:val="28"/>
          <w:sz w:val="28"/>
          <w:szCs w:val="28"/>
          <w:rtl w:val="true"/>
          <w:lang w:bidi="ar-SA"/>
        </w:rPr>
        <w:t>، وحملها على اضطرار اللبس للصلاة</w:t>
      </w:r>
      <w:r>
        <w:rPr>
          <w:rStyle w:val="FootnoteAnchor"/>
          <w:rtl w:val="true"/>
        </w:rPr>
        <w:footnoteReference w:id="1015"/>
      </w:r>
      <w:r>
        <w:rPr>
          <w:rFonts w:ascii="Amiri" w:hAnsi="Amiri" w:eastAsia="Amiri" w:cs="Amiri"/>
          <w:color w:val="111111"/>
          <w:sz w:val="28"/>
          <w:sz w:val="28"/>
          <w:szCs w:val="28"/>
          <w:rtl w:val="true"/>
          <w:lang w:bidi="ar-SA"/>
        </w:rPr>
        <w:t xml:space="preserve">تأكيد ، والتأسيس خير منه وأظهر </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نوقش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توطئة لبيان عدم إصابة ثوب آخر وعدم إصابة الماء ، وبمنع ظهور رواية الحلبي في الاضطرار التكويني ؛ بعد كون الصلاة عند المسلمين من الضرورات التي يصدق معها الاضطرار ، فصارت الروايات متعارضة ، فلا ينبغي الإشكال في ترجيح الروايات الحاكمة بالصلاة عارياً على معارضاتها ، بل لا تصلح هي للحجّية ؛ لإعراض الطبقة الاُولى من </w:t>
      </w:r>
    </w:p>
    <w:p>
      <w:pPr>
        <w:pStyle w:val="BookText"/>
        <w:rPr/>
      </w:pPr>
      <w:r>
        <w:rPr>
          <w:rFonts w:ascii="Amiri" w:hAnsi="Amiri" w:eastAsia="Amiri" w:cs="Amiri"/>
          <w:color w:val="111111"/>
          <w:sz w:val="28"/>
          <w:sz w:val="28"/>
          <w:szCs w:val="28"/>
          <w:rtl w:val="true"/>
          <w:lang w:bidi="ar-SA"/>
        </w:rPr>
        <w:t xml:space="preserve">أصحابنا عنها ، والميزان في وهن الرواية هو إعراض تلك الطبقة المتقدّمة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المحامل التي تراها من شيخ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هي مقطوع الخلاف ، ولا يليق بجنابه ، كحمل صحيحة علي بن جعفر على الدم المعفوّ عنه</w:t>
      </w:r>
      <w:r>
        <w:rPr>
          <w:rStyle w:val="FootnoteAnchor"/>
          <w:rtl w:val="true"/>
        </w:rPr>
        <w:footnoteReference w:id="1016"/>
      </w:r>
      <w:r>
        <w:rPr>
          <w:rFonts w:ascii="Amiri" w:hAnsi="Amiri" w:eastAsia="Amiri" w:cs="Amiri"/>
          <w:color w:val="111111"/>
          <w:sz w:val="28"/>
          <w:sz w:val="28"/>
          <w:szCs w:val="28"/>
          <w:rtl w:val="true"/>
          <w:lang w:bidi="ar-SA"/>
        </w:rPr>
        <w:t>، وحمل الأخبار الاُخر على صلاة الجنازة</w:t>
      </w:r>
      <w:r>
        <w:rPr>
          <w:rStyle w:val="FootnoteAnchor"/>
          <w:rtl w:val="true"/>
        </w:rPr>
        <w:footnoteReference w:id="10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هي بعد مفروغية عدم صلوحها للعمل ، لا أنّ اتّكاله على هذا الجمع في الفتوى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فتركُ الروايات المتكثّرة الصحيحة الظاهرة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روايتين ربّما يخدش في سندهما بالقطع ، وبأحمد بن محمّد بن يحيى ومحمّد بن عبد الحميد وسيف بن عميرة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عصر المحقّق ، وعدمُ طرح أحد من أصحابنا هاتين الروايتين حتّى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دأبه الإشكال والخدشة في الروايات ، فإنّه لم يردّهما ، بل جعل الأخذ بالروايات الاُولى أولى</w:t>
      </w:r>
      <w:r>
        <w:rPr>
          <w:rStyle w:val="FootnoteAnchor"/>
          <w:rtl w:val="true"/>
        </w:rPr>
        <w:footnoteReference w:id="1018"/>
      </w:r>
      <w:r>
        <w:rPr>
          <w:rFonts w:ascii="Amiri" w:hAnsi="Amiri" w:eastAsia="Amiri" w:cs="Amiri"/>
          <w:color w:val="111111"/>
          <w:sz w:val="28"/>
          <w:sz w:val="28"/>
          <w:szCs w:val="28"/>
          <w:rtl w:val="true"/>
          <w:lang w:bidi="ar-SA"/>
        </w:rPr>
        <w:t xml:space="preserve">، يدفعنا عن الاستبداد بالرأي اغتراراً بصحّة تلك الروايات وكثرتها ، ففي مثل المقام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ازدادت الروايات صحّة وكثرة ، ازدادت ضعفاً ووهناً</w:t>
      </w:r>
      <w:r>
        <w:rPr>
          <w:rFonts w:eastAsia="Amiri" w:cs="Amiri" w:ascii="Amiri" w:hAnsi="Amiri"/>
          <w:color w:val="111111"/>
          <w:sz w:val="28"/>
          <w:szCs w:val="28"/>
          <w:rtl w:val="true"/>
          <w:lang w:bidi="ar-SA"/>
        </w:rPr>
        <w:t>»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مع موافقتها لمالك وغيره ممّن تقدّم ذكره</w:t>
      </w:r>
      <w:r>
        <w:rPr>
          <w:rStyle w:val="FootnoteAnchor"/>
          <w:rtl w:val="true"/>
        </w:rPr>
        <w:footnoteReference w:id="1019"/>
      </w:r>
      <w:r>
        <w:rPr>
          <w:rFonts w:ascii="Amiri" w:hAnsi="Amiri" w:eastAsia="Amiri" w:cs="Amiri"/>
          <w:color w:val="111111"/>
          <w:sz w:val="28"/>
          <w:sz w:val="28"/>
          <w:szCs w:val="28"/>
          <w:rtl w:val="true"/>
          <w:lang w:bidi="ar-SA"/>
        </w:rPr>
        <w:t xml:space="preserve">، ولأبي حنيفة غالباً ، والروايتان الآمرتان بالصلاة عارياً مخالفتان لأبي حنيفة ومالك ، وهما من عُمَد الفقهاء من أهل الخلاف في عصر صدور الروايات ، ولم يكن الشافعي موجوداً </w:t>
      </w:r>
    </w:p>
    <w:p>
      <w:pPr>
        <w:pStyle w:val="BookText"/>
        <w:rPr/>
      </w:pPr>
      <w:r>
        <w:rPr>
          <w:rFonts w:ascii="IRNazanin" w:hAnsi="IRNazanin" w:eastAsia="IRNazanin"/>
          <w:color w:val="111111"/>
          <w:sz w:val="28"/>
          <w:sz w:val="28"/>
          <w:szCs w:val="28"/>
          <w:rtl w:val="true"/>
          <w:lang w:bidi="fa-IR"/>
        </w:rPr>
        <w:t xml:space="preserve">فيه ، بل لعلّه لم يكن معتمداً في زمن أبي الحسن علیه السلام فإنّه كان شابّاً في عصره ، فلا ينبغي الإشكال في تعيّن الصلاة عارياً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أصل الستر أولى بالرعاية من وصفه أو أ نّه مع إلقائه يلزم</w:t>
      </w:r>
    </w:p>
    <w:p>
      <w:pPr>
        <w:pStyle w:val="BookText"/>
        <w:rPr/>
      </w:pPr>
      <w:r>
        <w:rPr>
          <w:rFonts w:ascii="Amiri" w:hAnsi="Amiri" w:eastAsia="Amiri" w:cs="Amiri"/>
          <w:color w:val="111111"/>
          <w:sz w:val="28"/>
          <w:sz w:val="28"/>
          <w:szCs w:val="28"/>
          <w:rtl w:val="true"/>
          <w:lang w:bidi="ar-SA"/>
        </w:rPr>
        <w:t>ترك السجود والركوع الاختياري</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اجتهاد في مقابل النصّ المعمول به </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مع عدم تمكّنه من النزع لعذر عقلي أو شرعي ، صلّى فيه بلا إشكال ؛ لعدم سقوط الصلاة بحال ، وتكون صحيحة مجزية لا تجب إعادتها ، كما عن المشهور</w:t>
      </w:r>
      <w:r>
        <w:rPr>
          <w:rStyle w:val="FootnoteAnchor"/>
          <w:rtl w:val="true"/>
        </w:rPr>
        <w:footnoteReference w:id="1021"/>
      </w:r>
      <w:r>
        <w:rPr>
          <w:rFonts w:ascii="Amiri" w:hAnsi="Amiri" w:eastAsia="Amiri" w:cs="Amiri"/>
          <w:color w:val="111111"/>
          <w:sz w:val="28"/>
          <w:sz w:val="28"/>
          <w:szCs w:val="28"/>
          <w:rtl w:val="true"/>
          <w:lang w:bidi="ar-SA"/>
        </w:rPr>
        <w:t xml:space="preserve">، وهو الموافق للقواعد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موثّقة الساباطي من الأمر بالإعادة</w:t>
      </w:r>
      <w:r>
        <w:rPr>
          <w:rStyle w:val="FootnoteAnchor"/>
          <w:rtl w:val="true"/>
        </w:rPr>
        <w:footnoteReference w:id="10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اشتمالها على التيمّم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محمول على الاستحباب </w:t>
      </w:r>
      <w:r>
        <w:rPr>
          <w:rFonts w:eastAsia="Amiri" w:cs="Amiri" w:ascii="Amiri" w:hAnsi="Amiri"/>
          <w:color w:val="111111"/>
          <w:sz w:val="28"/>
          <w:szCs w:val="28"/>
          <w:rtl w:val="true"/>
          <w:lang w:bidi="ar-SA"/>
        </w:rPr>
        <w:t xml:space="preserve">.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8" w:name="pg15030_143304"/>
      <w:bookmarkStart w:id="399" w:name="pg15030_143304"/>
      <w:bookmarkEnd w:id="399"/>
    </w:p>
    <w:p>
      <w:pPr>
        <w:pStyle w:val="Heading3"/>
        <w:numPr>
          <w:ilvl w:val="2"/>
          <w:numId w:val="1"/>
        </w:numPr>
        <w:rPr/>
      </w:pPr>
      <w:bookmarkStart w:id="400" w:name="pg15030_143304"/>
      <w:bookmarkStart w:id="401" w:name="__RefHeading___Toc212902_2142443653"/>
      <w:bookmarkStart w:id="402" w:name="_Toc143"/>
      <w:bookmarkEnd w:id="400"/>
      <w:bookmarkEnd w:id="401"/>
      <w:r>
        <w:rPr>
          <w:rtl w:val="true"/>
        </w:rPr>
        <w:t>خاتمة في باقي المطهّرات</w:t>
      </w:r>
      <w:bookmarkEnd w:id="402"/>
    </w:p>
    <w:p>
      <w:pPr>
        <w:pStyle w:val="Heading4"/>
        <w:numPr>
          <w:ilvl w:val="3"/>
          <w:numId w:val="1"/>
        </w:numPr>
        <w:rPr/>
      </w:pPr>
      <w:bookmarkStart w:id="403" w:name="__RefHeading___Toc212904_2142443653"/>
      <w:bookmarkStart w:id="404" w:name="_Toc144"/>
      <w:bookmarkEnd w:id="403"/>
      <w:r>
        <w:rPr>
          <w:rtl w:val="true"/>
        </w:rPr>
        <w:t>اشارة</w:t>
      </w:r>
      <w:bookmarkEnd w:id="404"/>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اُمور </w:t>
      </w:r>
      <w:r>
        <w:rPr>
          <w:rFonts w:eastAsia="Amiri" w:cs="Amiri" w:ascii="Amiri" w:hAnsi="Amiri"/>
          <w:color w:val="111111"/>
          <w:sz w:val="28"/>
          <w:szCs w:val="28"/>
          <w:rtl w:val="true"/>
          <w:lang w:bidi="ar-SA"/>
        </w:rPr>
        <w:t xml:space="preserve">: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5" w:name="pg15030_143306"/>
      <w:bookmarkStart w:id="406" w:name="pg15030_143306"/>
      <w:bookmarkEnd w:id="406"/>
    </w:p>
    <w:p>
      <w:pPr>
        <w:pStyle w:val="Heading4"/>
        <w:numPr>
          <w:ilvl w:val="3"/>
          <w:numId w:val="1"/>
        </w:numPr>
        <w:rPr/>
      </w:pPr>
      <w:bookmarkStart w:id="407" w:name="pg15030_143306"/>
      <w:bookmarkStart w:id="408" w:name="__RefHeading___Toc212906_2142443653"/>
      <w:bookmarkStart w:id="409" w:name="_Toc145"/>
      <w:bookmarkEnd w:id="407"/>
      <w:bookmarkEnd w:id="408"/>
      <w:r>
        <w:rPr>
          <w:rtl w:val="true"/>
        </w:rPr>
        <w:t>الأمر الأوّل</w:t>
      </w:r>
      <w:r>
        <w:rPr>
          <w:rtl w:val="true"/>
        </w:rPr>
        <w:t xml:space="preserve">: </w:t>
      </w:r>
      <w:r>
        <w:rPr>
          <w:rtl w:val="true"/>
        </w:rPr>
        <w:t>في مطهّرية المطر</w:t>
      </w:r>
      <w:bookmarkEnd w:id="409"/>
    </w:p>
    <w:p>
      <w:pPr>
        <w:pStyle w:val="Heading5"/>
        <w:numPr>
          <w:ilvl w:val="4"/>
          <w:numId w:val="1"/>
        </w:numPr>
        <w:rPr/>
      </w:pPr>
      <w:bookmarkStart w:id="410" w:name="__RefHeading___Toc212908_2142443653"/>
      <w:bookmarkStart w:id="411" w:name="_Toc146"/>
      <w:bookmarkEnd w:id="410"/>
      <w:r>
        <w:rPr>
          <w:rtl w:val="true"/>
        </w:rPr>
        <w:t>اشارة</w:t>
      </w:r>
      <w:bookmarkEnd w:id="411"/>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المطر ، ومطهّريته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كطهارته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الواضحات التي لا ينبغي التكلّم</w:t>
      </w:r>
    </w:p>
    <w:p>
      <w:pPr>
        <w:pStyle w:val="BookText"/>
        <w:rPr/>
      </w:pPr>
      <w:r>
        <w:rPr>
          <w:rFonts w:ascii="Amiri" w:hAnsi="Amiri" w:eastAsia="Amiri" w:cs="Amiri"/>
          <w:color w:val="111111"/>
          <w:sz w:val="28"/>
          <w:sz w:val="28"/>
          <w:szCs w:val="28"/>
          <w:rtl w:val="true"/>
          <w:lang w:bidi="ar-SA"/>
        </w:rPr>
        <w:t xml:space="preserve">فيها ، كيف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أقسام الماء المطلق الذي خلقه اللّه طهوراً ، ونزل فيه</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وَأَنْزَلْنَا مِنَ السَّمَاءِ مَاءً طَهُوراً</w:t>
      </w:r>
      <w:r>
        <w:rPr>
          <w:rFonts w:eastAsia="Amiri" w:cs="Amiri" w:ascii="Amiri" w:hAnsi="Amiri"/>
          <w:color w:val="111111"/>
          <w:sz w:val="28"/>
          <w:szCs w:val="28"/>
          <w:rtl w:val="true"/>
          <w:lang w:bidi="ar-SA"/>
        </w:rPr>
        <w:t>(</w:t>
      </w:r>
      <w:r>
        <w:rPr>
          <w:rStyle w:val="FootnoteAnchor"/>
          <w:rtl w:val="true"/>
        </w:rPr>
        <w:footnoteReference w:id="1023"/>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وَيُنَزِّلُ عَلَيْكُمْ مِنَ السَّمَاءِ مَاءً لِيُطَهِّرَكُمْ بِهِ </w:t>
      </w:r>
      <w:r>
        <w:rPr>
          <w:rFonts w:eastAsia="Amiri" w:cs="Amiri" w:ascii="Amiri" w:hAnsi="Amiri"/>
          <w:color w:val="111111"/>
          <w:sz w:val="28"/>
          <w:szCs w:val="28"/>
          <w:rtl w:val="true"/>
          <w:lang w:bidi="ar-SA"/>
        </w:rPr>
        <w:t>. . .(</w:t>
      </w:r>
      <w:r>
        <w:rPr>
          <w:rStyle w:val="FootnoteAnchor"/>
          <w:rtl w:val="true"/>
        </w:rPr>
        <w:footnoteReference w:id="1024"/>
      </w:r>
      <w:r>
        <w:rPr>
          <w:rFonts w:ascii="IRNazanin" w:hAnsi="IRNazanin" w:eastAsia="IRNazanin"/>
          <w:color w:val="111111"/>
          <w:sz w:val="28"/>
          <w:sz w:val="28"/>
          <w:szCs w:val="28"/>
          <w:rtl w:val="true"/>
          <w:lang w:bidi="fa-IR"/>
        </w:rPr>
        <w:t xml:space="preserve">إلى آخره </w:t>
      </w:r>
      <w:r>
        <w:rPr>
          <w:rFonts w:eastAsia="IRNazanin" w:cs="IRNazanin"/>
          <w:color w:val="111111"/>
          <w:sz w:val="28"/>
          <w:szCs w:val="28"/>
          <w:rtl w:val="true"/>
          <w:lang w:bidi="fa-IR"/>
        </w:rPr>
        <w:t>.</w:t>
      </w:r>
    </w:p>
    <w:p>
      <w:pPr>
        <w:pStyle w:val="Heading5"/>
        <w:numPr>
          <w:ilvl w:val="4"/>
          <w:numId w:val="1"/>
        </w:numPr>
        <w:rPr/>
      </w:pPr>
      <w:bookmarkStart w:id="412" w:name="__RefHeading___Toc212910_2142443653"/>
      <w:bookmarkStart w:id="413" w:name="_Toc147"/>
      <w:bookmarkEnd w:id="412"/>
      <w:r>
        <w:rPr>
          <w:rtl w:val="true"/>
        </w:rPr>
        <w:t>اعتصام المطر وكيفية التطهير به</w:t>
      </w:r>
      <w:bookmarkEnd w:id="413"/>
    </w:p>
    <w:p>
      <w:pPr>
        <w:pStyle w:val="BookText"/>
        <w:rPr/>
      </w:pPr>
      <w:r>
        <w:rPr>
          <w:rFonts w:ascii="Amiri" w:hAnsi="Amiri" w:eastAsia="Amiri" w:cs="Amiri"/>
          <w:color w:val="111111"/>
          <w:sz w:val="28"/>
          <w:sz w:val="28"/>
          <w:szCs w:val="28"/>
          <w:rtl w:val="true"/>
          <w:lang w:bidi="ar-SA"/>
        </w:rPr>
        <w:t xml:space="preserve">ولهذا لم يعنون في كلمات القوم أصل طهوريته أو طهارته ، وإنّما أفردوه بالذكر لبيان حكمين آخرين </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انفعاله بملاقاة النجس حال تقاطره ، مع أ نّه من أقسام الماء القليل ، فكان معتصماً حين نزوله ؛ سواء فيه القطرات النازلة المعتصمة بعضها </w:t>
      </w:r>
      <w:bookmarkStart w:id="414" w:name="pg15030_143307"/>
    </w:p>
    <w:p>
      <w:pPr>
        <w:pStyle w:val="BookText"/>
        <w:rPr/>
      </w:pPr>
      <w:bookmarkEnd w:id="414"/>
      <w:r>
        <w:rPr>
          <w:rFonts w:ascii="Amiri" w:hAnsi="Amiri" w:eastAsia="Amiri" w:cs="Amiri"/>
          <w:color w:val="111111"/>
          <w:sz w:val="28"/>
          <w:sz w:val="28"/>
          <w:szCs w:val="28"/>
          <w:rtl w:val="true"/>
          <w:lang w:bidi="ar-SA"/>
        </w:rPr>
        <w:t xml:space="preserve">بالبعض ، كالماء الجاري والكرّ المعتصم بالمادّة والكثرة ، أو ما اجتمع منه بعد النزول وكان قليلاً ؛ بشرط تمطير السماء فعلاً ، وعدم الانقطاع وارتباط بينهما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التطهير به ؛ وأنّ مجرّد إصابته للمحلّ المتنجّس موجب لطهارته ؛ بشرط قابليته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نّا لو التزمنا باعتبار الكرّية في الماء الجاري ، أو قلنا باعتبار العصر</w:t>
      </w:r>
    </w:p>
    <w:p>
      <w:pPr>
        <w:pStyle w:val="BookText"/>
        <w:rPr/>
      </w:pPr>
      <w:r>
        <w:rPr>
          <w:rFonts w:ascii="Amiri" w:hAnsi="Amiri" w:eastAsia="Amiri" w:cs="Amiri"/>
          <w:color w:val="111111"/>
          <w:sz w:val="28"/>
          <w:sz w:val="28"/>
          <w:szCs w:val="28"/>
          <w:rtl w:val="true"/>
          <w:lang w:bidi="ar-SA"/>
        </w:rPr>
        <w:t>فيه في مثل الثياب ، أو التعدّد في الأواني ، لا يوجب ذلك التزامنا باعتبارها في المطر ؛ لعدم دليل على مشاركته للجاري في الأحكام والشروط ، وإنّما حكي الشهرة على أنّ ماء المطر كالجاري في عدم الانفعال وتطهير ما أصابه</w:t>
      </w:r>
      <w:r>
        <w:rPr>
          <w:rStyle w:val="FootnoteAnchor"/>
          <w:rtl w:val="true"/>
        </w:rPr>
        <w:footnoteReference w:id="1025"/>
      </w:r>
      <w:r>
        <w:rPr>
          <w:rFonts w:ascii="Amiri" w:hAnsi="Amiri" w:eastAsia="Amiri" w:cs="Amiri"/>
          <w:color w:val="111111"/>
          <w:sz w:val="28"/>
          <w:sz w:val="28"/>
          <w:szCs w:val="28"/>
          <w:rtl w:val="true"/>
          <w:lang w:bidi="ar-SA"/>
        </w:rPr>
        <w:t>، بعد الفراغ عن عدم اعتبار ما تقدّم ؛ أي الكرّية والعصر والتعدّد في الجاري ، فمع سقوط تلك القيود نزّلوا المطر منزلته ، لا لقيام دليل على التنزيل ، فالمتّبع في ماء</w:t>
      </w:r>
    </w:p>
    <w:p>
      <w:pPr>
        <w:pStyle w:val="BookText"/>
        <w:rPr/>
      </w:pPr>
      <w:r>
        <w:rPr>
          <w:rFonts w:ascii="Amiri" w:hAnsi="Amiri" w:eastAsia="Amiri" w:cs="Amiri"/>
          <w:color w:val="111111"/>
          <w:sz w:val="28"/>
          <w:sz w:val="28"/>
          <w:szCs w:val="28"/>
          <w:rtl w:val="true"/>
          <w:lang w:bidi="ar-SA"/>
        </w:rPr>
        <w:t xml:space="preserve">المطر الأدلّة الخاصّة </w:t>
      </w:r>
      <w:r>
        <w:rPr>
          <w:rFonts w:eastAsia="Amiri" w:cs="Amiri" w:ascii="Amiri" w:hAnsi="Amiri"/>
          <w:color w:val="111111"/>
          <w:sz w:val="28"/>
          <w:szCs w:val="28"/>
          <w:rtl w:val="true"/>
          <w:lang w:bidi="ar-SA"/>
        </w:rPr>
        <w:t>.</w:t>
      </w:r>
    </w:p>
    <w:p>
      <w:pPr>
        <w:pStyle w:val="Heading5"/>
        <w:numPr>
          <w:ilvl w:val="4"/>
          <w:numId w:val="1"/>
        </w:numPr>
        <w:rPr/>
      </w:pPr>
      <w:bookmarkStart w:id="415" w:name="__RefHeading___Toc212912_2142443653"/>
      <w:bookmarkStart w:id="416" w:name="_Toc148"/>
      <w:bookmarkEnd w:id="415"/>
      <w:r>
        <w:rPr>
          <w:rtl w:val="true"/>
        </w:rPr>
        <w:t>أدلّة الحكمين السابقين</w:t>
      </w:r>
      <w:bookmarkEnd w:id="416"/>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الحكمين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الشهرة المنقولة ، واعتراف بعض الأعيان بعدم معرفة الخلاف بين الأصحاب ،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الظاهر عدم الخلاف في أ نّه لو أصاب حال تقاطره متنجّساً غير الماء طهر مطلقاً</w:t>
      </w:r>
      <w:r>
        <w:rPr>
          <w:rFonts w:eastAsia="Amiri" w:cs="Amiri" w:ascii="Amiri" w:hAnsi="Amiri"/>
          <w:color w:val="111111"/>
          <w:sz w:val="28"/>
          <w:szCs w:val="28"/>
          <w:rtl w:val="true"/>
          <w:lang w:bidi="ar-SA"/>
        </w:rPr>
        <w:t>»</w:t>
      </w:r>
      <w:r>
        <w:rPr>
          <w:rStyle w:val="FootnoteAnchor"/>
          <w:rtl w:val="true"/>
        </w:rPr>
        <w:footnoteReference w:id="1026"/>
      </w:r>
      <w:r>
        <w:rPr>
          <w:rFonts w:ascii="IRNazanin" w:hAnsi="IRNazanin" w:eastAsia="IRNazanin"/>
          <w:color w:val="111111"/>
          <w:sz w:val="28"/>
          <w:sz w:val="28"/>
          <w:szCs w:val="28"/>
          <w:rtl w:val="true"/>
          <w:lang w:bidi="fa-IR"/>
        </w:rPr>
        <w:t xml:space="preserve">اللازم منه عدم انفعاله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مرسلة عبداللّه بن يحي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الكاهلي ، عن أبي عبداللّه علیه السلام قال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في الطريق ، فيسيل عليّ الميزاب في أوقات أعلم أنّ الناس يتوضّؤون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به بأس ، لا تسأل عنه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يسيل عليّ من ماء المطر ، أرى فيه التغيّر ، وأرى فيه آثار القذر ، فتقطر</w:t>
      </w:r>
    </w:p>
    <w:p>
      <w:pPr>
        <w:pStyle w:val="BookText"/>
        <w:rPr/>
      </w:pPr>
      <w:r>
        <w:rPr>
          <w:rFonts w:ascii="Amiri" w:hAnsi="Amiri" w:eastAsia="Amiri" w:cs="Amiri"/>
          <w:color w:val="111111"/>
          <w:sz w:val="28"/>
          <w:sz w:val="28"/>
          <w:szCs w:val="28"/>
          <w:rtl w:val="true"/>
          <w:lang w:bidi="ar-SA"/>
        </w:rPr>
        <w:t xml:space="preserve">القطرات عليّ ، وينتضح عليّ منه ، والبيت يتوضّأ على سطحه ، فيكِفُ على ثيابنا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بذا بأس لا تغسله ؛ كلّ شيء يراه ماء المطر فقد طهر</w:t>
      </w:r>
      <w:r>
        <w:rPr>
          <w:rFonts w:eastAsia="Amiri" w:cs="Amiri" w:ascii="Amiri" w:hAnsi="Amiri"/>
          <w:color w:val="111111"/>
          <w:sz w:val="28"/>
          <w:szCs w:val="28"/>
          <w:rtl w:val="true"/>
          <w:lang w:bidi="ar-SA"/>
        </w:rPr>
        <w:t>»</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جبر سندها بالشهرة ؛ لنقل جمع من الأعيان الشهرة على الحكم الثاني من الحكمين المتقدّمين</w:t>
      </w:r>
      <w:r>
        <w:rPr>
          <w:rStyle w:val="FootnoteAnchor"/>
          <w:rtl w:val="true"/>
        </w:rPr>
        <w:footnoteReference w:id="1028"/>
      </w:r>
      <w:r>
        <w:rPr>
          <w:rFonts w:ascii="Amiri" w:hAnsi="Amiri" w:eastAsia="Amiri" w:cs="Amiri"/>
          <w:color w:val="111111"/>
          <w:sz w:val="28"/>
          <w:sz w:val="28"/>
          <w:szCs w:val="28"/>
          <w:rtl w:val="true"/>
          <w:lang w:bidi="ar-SA"/>
        </w:rPr>
        <w:t xml:space="preserve">، وليس في المسألة دليل صالح للاتّكال عليه إلاّ المرسلة ، ولهذا لم يرمها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بالضعف</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الأردبيلي بعد الإشكال في طريقها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ينجبر بالشهرة ، وفيه تأمّل</w:t>
      </w:r>
      <w:r>
        <w:rPr>
          <w:rFonts w:eastAsia="Amiri" w:cs="Amiri" w:ascii="Amiri" w:hAnsi="Amiri"/>
          <w:color w:val="111111"/>
          <w:sz w:val="28"/>
          <w:szCs w:val="28"/>
          <w:rtl w:val="true"/>
          <w:lang w:bidi="ar-SA"/>
        </w:rPr>
        <w:t>»</w:t>
      </w:r>
      <w:r>
        <w:rPr>
          <w:rStyle w:val="FootnoteAnchor"/>
          <w:rtl w:val="true"/>
        </w:rPr>
        <w:footnoteReference w:id="1030"/>
      </w:r>
      <w:r>
        <w:rPr>
          <w:rFonts w:ascii="Amiri" w:hAnsi="Amiri" w:eastAsia="Amiri" w:cs="Amiri"/>
          <w:color w:val="111111"/>
          <w:sz w:val="28"/>
          <w:sz w:val="28"/>
          <w:szCs w:val="28"/>
          <w:rtl w:val="true"/>
          <w:lang w:bidi="ar-SA"/>
        </w:rPr>
        <w:t xml:space="preserve">والظاهر تأمّله في الانجبار بالشهرة ، لا في تحقّقها ، ولعلّه استشكل في أصل الانجبار بها ، أو ثبوت اتّكالهم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هذا الحكم المخالف للقواعد المفقود فيه الدليل إلاّ المرسلة والمرسلة الآتية</w:t>
      </w:r>
      <w:r>
        <w:rPr>
          <w:rStyle w:val="FootnoteAnchor"/>
          <w:rtl w:val="true"/>
        </w:rPr>
        <w:footnoteReference w:id="10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إشكال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يطمئنّ النفس بأنّ اتّكالهم كان عليها ، وهذا يكفي في الجبر </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إشكال في دلالتها على مطهّريته بمجرّد الإصابة ؛ من غير لزوم خروج </w:t>
      </w:r>
    </w:p>
    <w:p>
      <w:pPr>
        <w:pStyle w:val="BookText"/>
        <w:rPr/>
      </w:pPr>
      <w:r>
        <w:rPr>
          <w:rFonts w:ascii="Amiri" w:hAnsi="Amiri" w:eastAsia="Amiri" w:cs="Amiri"/>
          <w:color w:val="111111"/>
          <w:sz w:val="28"/>
          <w:sz w:val="28"/>
          <w:szCs w:val="28"/>
          <w:rtl w:val="true"/>
          <w:lang w:bidi="ar-SA"/>
        </w:rPr>
        <w:t xml:space="preserve">الغسالة أو شرط آخر فيما يعتبر في الغسل بالماء القليل ، ولازمه عدم انفعاله ؛ إذ لو انفعل لما يمكن التطهير به مع بقاء الغسالة ، فتدلّ على الحكمين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أمرّ في الطريق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إلى آخره في صدرها ، سؤال عن مورد يظنّ بكون ما سال من الميزاب نجساً ؛ فإنّ المراد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توضّي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استنجاؤهم ، أو الوضوء ، لكنّهم كانوا يتوضّؤون في محلّ يبولون فيه ويستنجون ، فأجابه بما أجاب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سأل عن سيلان المطر مع فرض العلم بملاقاته للنجاسة برؤية آثارها فيه ، ورؤية تغيير فيه ، وهذا التعبير لا يدلّ على كون ماء المطر متغيّراً ولو فرض أنّ المراد التغيير بالنجاسة ، فإنّ الظاهر من رؤية التغيير فيه أنّ فيه آثار القذارة ؛ بأن يكون بعض الماء الذي يسيل متغيّراً ، 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وأرى فيه آثار القذر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يكون بياناً للجملة المتقدّمة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منه عدم تغيّر جميع الماء ، بل رأى تغيّراً وآثاراً من القذارة فيه ، فأجاب بأ نّه لا بأس به ، وعلّله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يراه ماء المطر فقد طهر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التعليل لا يناسب هذا الحكم ؛ لأنّ المناسب 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ماء المطر لا ينفعل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نّه مطهّر لما يراه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التنافي بين مطهّريته وتنجّسه به ، كغسالة</w:t>
      </w:r>
    </w:p>
    <w:p>
      <w:pPr>
        <w:pStyle w:val="BookText"/>
        <w:rPr/>
      </w:pPr>
      <w:r>
        <w:rPr>
          <w:rFonts w:ascii="Amiri" w:hAnsi="Amiri" w:eastAsia="Amiri" w:cs="Amiri"/>
          <w:color w:val="111111"/>
          <w:sz w:val="28"/>
          <w:sz w:val="28"/>
          <w:szCs w:val="28"/>
          <w:rtl w:val="true"/>
          <w:lang w:bidi="ar-SA"/>
        </w:rPr>
        <w:t xml:space="preserve">الماء القليل </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المراد تطبيق الكبرى على الماء الذي يسيل ويرى فيه آثار القذر ، فأفاد أنّ هذا الماء الذي يسيل حال تقاطر المطر يطهّر ما أصابه ، فكيف يتنجّس به ، بل كيف يمكن انفعاله ، فإنّ الماء المتنجّس لا يكون </w:t>
      </w:r>
    </w:p>
    <w:p>
      <w:pPr>
        <w:pStyle w:val="BookText"/>
        <w:rPr/>
      </w:pPr>
      <w:r>
        <w:rPr>
          <w:rFonts w:ascii="Amiri" w:hAnsi="Amiri" w:eastAsia="Amiri" w:cs="Amiri"/>
          <w:color w:val="111111"/>
          <w:sz w:val="28"/>
          <w:sz w:val="28"/>
          <w:szCs w:val="28"/>
          <w:rtl w:val="true"/>
          <w:lang w:bidi="ar-SA"/>
        </w:rPr>
        <w:t xml:space="preserve">مطهّراً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فأفاد المراد بلازمه بنحو بليغ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يكون المراد تطبيقها على الماء حال وصوله إلى المحلّ القذر قبل جريانه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ماء المطر ليس كسائر المياه القليلة ؛ لأ نّه بمجرّد الإصابة مطهّر ، وما من شأنه ذلك لا بدّ وأن لا ينفعل بملاقاة النجس ولو بمثل الأعيان النجسة ؛ لعدم الفرق في التنجّس بينها وبين ما تنجّس بها ، 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إفادتها الحكمين المتقدّمين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وتدلّ عليهما أيضاً مرسلة محمّد بن إسماعيل ، عن بعض أصحابنا ، عن أبي الحسن علیه السلام في طين المطر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نّه لا بأس به أن يصيب الثوب ثلاثة أيّام ، إلاّ أن يعلم أ نّه قد نجّسه شيء بعد المطر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أصابه بعد ثلاثة أيّام فاغسله ، وإن كان الطريق نظيفاً فلا تغسله</w:t>
      </w:r>
      <w:r>
        <w:rPr>
          <w:rFonts w:eastAsia="IRNazanin" w:cs="IRNazanin"/>
          <w:color w:val="111111"/>
          <w:sz w:val="28"/>
          <w:szCs w:val="28"/>
          <w:rtl w:val="true"/>
          <w:lang w:bidi="fa-IR"/>
        </w:rPr>
        <w:t>»</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ومقتضى إطلاقها أنّ طينه طاهر ولو نجّسه شيء قبل المطر ، سيّما مع تعقّبه بقوله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إلاّ أن يعلم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إلى آخره ، المتفاهم منه أنّ العلم بنجاسته قبل المطر لا يوجب التحرّز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الأمر بالغسل بعد ثلاثة أيّام للاستحباب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أيّ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منها طهارة المتنجّس ، ولازمها عدم انفعال ماء المطر ؛ لعدم خروج الغسالة واختلاط المطر بالطين </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وتدلّ على الحكم الأوّل من الحكمين المتقدّمين جملة من الروايات ، كصحيحةِ هشام بن 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 سأل أبا عبداللّه علیه السلام عن السطح يبال عليه ، </w:t>
      </w:r>
    </w:p>
    <w:p>
      <w:pPr>
        <w:pStyle w:val="BookText"/>
        <w:rPr/>
      </w:pPr>
      <w:r>
        <w:rPr>
          <w:rFonts w:ascii="Amiri" w:hAnsi="Amiri" w:eastAsia="Amiri" w:cs="Amiri"/>
          <w:color w:val="111111"/>
          <w:sz w:val="28"/>
          <w:sz w:val="28"/>
          <w:szCs w:val="28"/>
          <w:rtl w:val="true"/>
          <w:lang w:bidi="ar-SA"/>
        </w:rPr>
        <w:t>فتصيبه السماء، فيكف فيصيب الثوب،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 ما أصابه من الماء أكثر منه</w:t>
      </w:r>
      <w:r>
        <w:rPr>
          <w:rFonts w:eastAsia="Amiri" w:cs="Amiri" w:ascii="Amiri" w:hAnsi="Amiri"/>
          <w:color w:val="111111"/>
          <w:sz w:val="28"/>
          <w:szCs w:val="28"/>
          <w:rtl w:val="true"/>
          <w:lang w:bidi="ar-SA"/>
        </w:rPr>
        <w:t>»</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وصحيحةِ هشام بن الحكم ، عنه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ميزابين سالا ، أحدهما بول ، والآخر ماء المطر ، فاختلطا فأصاب ثوب رجل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يضرّه ذلك</w:t>
      </w:r>
      <w:r>
        <w:rPr>
          <w:rFonts w:eastAsia="IRNazanin" w:cs="IRNazanin"/>
          <w:color w:val="111111"/>
          <w:sz w:val="28"/>
          <w:szCs w:val="28"/>
          <w:rtl w:val="true"/>
          <w:lang w:bidi="fa-IR"/>
        </w:rPr>
        <w:t>»</w:t>
      </w:r>
      <w:r>
        <w:rPr>
          <w:rStyle w:val="FootnoteAnchor"/>
          <w:rtl w:val="true"/>
        </w:rPr>
        <w:footnoteReference w:id="1034"/>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يستدلّ بها للحكم الثاني في الجملة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عدم انفعال ماء المطر بملاقاة النجس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أصاب المتنجّس وغلب عليه يصير طاهراً ؛ لصدق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لزوم إخراج غسالته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اعتبر إخراجها في الغسل بالماء القليل ؛ لانفعاله بالملاقاة ، فلا بدّ في الغسل به من صبّ الماء عليه وإخراج غسالته لإزالة النجاسة بعد انتقال القذارة من المتنجّس إلى الماء ، كما مرّ تقريبه في بابه</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ماء المطر ، فلمّا لم ينفعل بحكم تلك الروايات ، فلا يحتاج في التطهير به إلى إخراجه من المحلّ المتنجّس ، ولازمه تطهيره بإصابته وغلبته عليه </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بناءً على عدم لزوم العصر في الكثير والجاري ؛ بدعوى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بمجرّد نفوذ الماء في المحلّ </w:t>
      </w:r>
      <w:r>
        <w:rPr>
          <w:rFonts w:eastAsia="Amiri" w:cs="Amiri" w:ascii="Amiri" w:hAnsi="Amiri"/>
          <w:color w:val="111111"/>
          <w:sz w:val="28"/>
          <w:szCs w:val="28"/>
          <w:rtl w:val="true"/>
          <w:lang w:bidi="ar-SA"/>
        </w:rPr>
        <w:t xml:space="preserve">. </w:t>
      </w:r>
      <w:bookmarkStart w:id="417" w:name="pg15030_143312"/>
    </w:p>
    <w:p>
      <w:pPr>
        <w:pStyle w:val="BookText"/>
        <w:rPr/>
      </w:pPr>
      <w:bookmarkEnd w:id="417"/>
      <w:r>
        <w:rPr>
          <w:rFonts w:ascii="Amiri" w:hAnsi="Amiri" w:eastAsia="Amiri" w:cs="Amiri"/>
          <w:color w:val="111111"/>
          <w:sz w:val="28"/>
          <w:sz w:val="28"/>
          <w:szCs w:val="28"/>
          <w:rtl w:val="true"/>
          <w:lang w:bidi="ar-SA"/>
        </w:rPr>
        <w:t xml:space="preserve">وأمّا لو بني على عدم صدقه أو شكّ فيه إلاّ بعد العصر ، أو التحريك في الماء ؛ حتّى ينتقل الماء الداخل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احتماله أو اختياره</w:t>
      </w:r>
      <w:r>
        <w:rPr>
          <w:rStyle w:val="FootnoteAnchor"/>
          <w:rtl w:val="true"/>
        </w:rPr>
        <w:footnoteReference w:id="10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تدلّ تلك الروايات على الحكم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الفرض الأوّل أيضاً لا تدلّ على تمام المطلوب ؛ أي الكفاية عمّا يحتاج إلى التعدّد ، كالبول والأواني ، بخلاف مرسلة الكاهلي المتقدّمة</w:t>
      </w:r>
      <w:r>
        <w:rPr>
          <w:rStyle w:val="FootnoteAnchor"/>
          <w:rtl w:val="true"/>
        </w:rPr>
        <w:footnoteReference w:id="1037"/>
      </w:r>
      <w:r>
        <w:rPr>
          <w:rFonts w:ascii="Amiri" w:hAnsi="Amiri" w:eastAsia="Amiri" w:cs="Amiri"/>
          <w:color w:val="111111"/>
          <w:sz w:val="28"/>
          <w:sz w:val="28"/>
          <w:szCs w:val="28"/>
          <w:rtl w:val="true"/>
          <w:lang w:bidi="ar-SA"/>
        </w:rPr>
        <w:t xml:space="preserve">، فهي الأصل في إثبات الحكم على نحو الإطلاق </w:t>
      </w:r>
      <w:r>
        <w:rPr>
          <w:rFonts w:eastAsia="Amiri" w:cs="Amiri" w:ascii="Amiri" w:hAnsi="Amiri"/>
          <w:color w:val="111111"/>
          <w:sz w:val="28"/>
          <w:szCs w:val="28"/>
          <w:rtl w:val="true"/>
          <w:lang w:bidi="ar-SA"/>
        </w:rPr>
        <w:t>.</w:t>
      </w:r>
    </w:p>
    <w:p>
      <w:pPr>
        <w:pStyle w:val="Heading5"/>
        <w:numPr>
          <w:ilvl w:val="4"/>
          <w:numId w:val="1"/>
        </w:numPr>
        <w:rPr/>
      </w:pPr>
      <w:bookmarkStart w:id="418" w:name="__RefHeading___Toc212914_2142443653"/>
      <w:bookmarkStart w:id="419" w:name="_Toc149"/>
      <w:bookmarkEnd w:id="418"/>
      <w:r>
        <w:rPr>
          <w:rtl w:val="true"/>
        </w:rPr>
        <w:t>عدم اعتبار الجريان في التطهير بالمطر</w:t>
      </w:r>
      <w:bookmarkEnd w:id="419"/>
    </w:p>
    <w:p>
      <w:pPr>
        <w:pStyle w:val="BookText"/>
        <w:rPr/>
      </w:pPr>
      <w:r>
        <w:rPr>
          <w:rFonts w:ascii="Amiri" w:hAnsi="Amiri" w:eastAsia="Amiri" w:cs="Amiri"/>
          <w:color w:val="111111"/>
          <w:sz w:val="28"/>
          <w:sz w:val="28"/>
          <w:szCs w:val="28"/>
          <w:rtl w:val="true"/>
          <w:lang w:bidi="ar-SA"/>
        </w:rPr>
        <w:t>ثمّ إنّ مقتضى إطلاق المرسلتين وصحيحة هشام بن سالم وذيل صحيحة</w:t>
      </w:r>
    </w:p>
    <w:p>
      <w:pPr>
        <w:pStyle w:val="BookText"/>
        <w:rPr/>
      </w:pPr>
      <w:r>
        <w:rPr>
          <w:rFonts w:ascii="IRNazanin" w:hAnsi="IRNazanin" w:eastAsia="IRNazanin"/>
          <w:color w:val="111111"/>
          <w:sz w:val="28"/>
          <w:sz w:val="28"/>
          <w:szCs w:val="28"/>
          <w:rtl w:val="true"/>
          <w:lang w:bidi="fa-IR"/>
        </w:rPr>
        <w:t xml:space="preserve">علي بن جعفر الآتية ورواية أبي بصير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الكنيف</w:t>
      </w:r>
    </w:p>
    <w:p>
      <w:pPr>
        <w:pStyle w:val="BookText"/>
        <w:rPr/>
      </w:pPr>
      <w:r>
        <w:rPr>
          <w:rFonts w:ascii="Amiri" w:hAnsi="Amiri" w:eastAsia="Amiri" w:cs="Amiri"/>
          <w:color w:val="111111"/>
          <w:sz w:val="28"/>
          <w:sz w:val="28"/>
          <w:szCs w:val="28"/>
          <w:rtl w:val="true"/>
          <w:lang w:bidi="ar-SA"/>
        </w:rPr>
        <w:t xml:space="preserve">يكون خارجاً ، فتمطر السماء ، فتقطر عليّ القطرة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ثبوت الحكم بمجرّد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اعتبار الجريان على الأرض ، فضلاً عن كونه بحدّ يجري من الميزاب ، كما لعلّه مراد الشيخ وابن سعيد</w:t>
      </w:r>
      <w:r>
        <w:rPr>
          <w:rStyle w:val="FootnoteAnchor"/>
          <w:rtl w:val="true"/>
        </w:rPr>
        <w:footnoteReference w:id="1039"/>
      </w:r>
      <w:r>
        <w:rPr>
          <w:rFonts w:ascii="Amiri" w:hAnsi="Amiri" w:eastAsia="Amiri" w:cs="Amiri"/>
          <w:color w:val="111111"/>
          <w:sz w:val="28"/>
          <w:sz w:val="28"/>
          <w:szCs w:val="28"/>
          <w:rtl w:val="true"/>
          <w:lang w:bidi="ar-SA"/>
        </w:rPr>
        <w:t xml:space="preserve">؛ ضرورة فساد 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مرادهما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الجريان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دخالة الجريان منه في الحكم ؛ بحيث لو لم يجرِ منه بالفعل لفقدانه ، أو كون محلّ التمطير </w:t>
      </w:r>
    </w:p>
    <w:p>
      <w:pPr>
        <w:pStyle w:val="BookText"/>
        <w:rPr/>
      </w:pPr>
      <w:r>
        <w:rPr>
          <w:rFonts w:ascii="Amiri" w:hAnsi="Amiri" w:eastAsia="Amiri" w:cs="Amiri"/>
          <w:color w:val="111111"/>
          <w:sz w:val="28"/>
          <w:sz w:val="28"/>
          <w:szCs w:val="28"/>
          <w:rtl w:val="true"/>
          <w:lang w:bidi="ar-SA"/>
        </w:rPr>
        <w:t>كالصحاري والبراري ، لم يحكم بمطهّريته ، فالنقض عليهما بمثل ذلك</w:t>
      </w:r>
      <w:r>
        <w:rPr>
          <w:rStyle w:val="FootnoteAnchor"/>
          <w:rtl w:val="true"/>
        </w:rPr>
        <w:footnoteReference w:id="1040"/>
      </w:r>
      <w:r>
        <w:rPr>
          <w:rFonts w:ascii="Amiri" w:hAnsi="Amiri" w:eastAsia="Amiri" w:cs="Amiri"/>
          <w:color w:val="111111"/>
          <w:sz w:val="28"/>
          <w:sz w:val="28"/>
          <w:szCs w:val="28"/>
          <w:rtl w:val="true"/>
          <w:lang w:bidi="ar-SA"/>
        </w:rPr>
        <w:t xml:space="preserve">غير صحيح ؛ فإنّ ذكر الميزاب لبيان تعيين حدّ الجريان ، لا اعتبار ذاك الخشب والجريان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إنّ الظاهر من ابن حمزة أنّ الحدّ جريانه من الشِعْب ، قال في بيان ما</w:t>
      </w:r>
    </w:p>
    <w:p>
      <w:pPr>
        <w:pStyle w:val="BookText"/>
        <w:rPr/>
      </w:pPr>
      <w:r>
        <w:rPr>
          <w:rFonts w:ascii="Amiri" w:hAnsi="Amiri" w:eastAsia="Amiri" w:cs="Amiri"/>
          <w:color w:val="111111"/>
          <w:sz w:val="28"/>
          <w:sz w:val="28"/>
          <w:szCs w:val="28"/>
          <w:rtl w:val="true"/>
          <w:lang w:bidi="ar-SA"/>
        </w:rPr>
        <w:t xml:space="preserve">هو بحكم الماء الجاري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وحكم الماء الجاري من الشِعْب</w:t>
      </w:r>
      <w:r>
        <w:rPr>
          <w:rStyle w:val="FootnoteAnchor"/>
          <w:rtl w:val="true"/>
        </w:rPr>
        <w:footnoteReference w:id="1041"/>
      </w:r>
      <w:r>
        <w:rPr>
          <w:rFonts w:ascii="Amiri" w:hAnsi="Amiri" w:eastAsia="Amiri" w:cs="Amiri"/>
          <w:color w:val="111111"/>
          <w:sz w:val="28"/>
          <w:sz w:val="28"/>
          <w:szCs w:val="28"/>
          <w:rtl w:val="true"/>
          <w:lang w:bidi="ar-SA"/>
        </w:rPr>
        <w:t>من ماء المطر كذلك</w:t>
      </w:r>
      <w:r>
        <w:rPr>
          <w:rFonts w:eastAsia="Amiri" w:cs="Amiri" w:ascii="Amiri" w:hAnsi="Amiri"/>
          <w:color w:val="111111"/>
          <w:sz w:val="28"/>
          <w:szCs w:val="28"/>
          <w:rtl w:val="true"/>
          <w:lang w:bidi="ar-SA"/>
        </w:rPr>
        <w:t>»</w:t>
      </w:r>
      <w:r>
        <w:rPr>
          <w:rStyle w:val="FootnoteAnchor"/>
          <w:rtl w:val="true"/>
        </w:rPr>
        <w:footnoteReference w:id="1042"/>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بكسر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الطريق في الجبل ، ومسيل الماء في بطن الأرض</w:t>
      </w:r>
      <w:r>
        <w:rPr>
          <w:rStyle w:val="FootnoteAnchor"/>
          <w:rtl w:val="true"/>
        </w:rPr>
        <w:footnoteReference w:id="1043"/>
      </w:r>
      <w:r>
        <w:rPr>
          <w:rFonts w:ascii="Amiri" w:hAnsi="Amiri" w:eastAsia="Amiri" w:cs="Amiri"/>
          <w:color w:val="111111"/>
          <w:sz w:val="28"/>
          <w:sz w:val="28"/>
          <w:szCs w:val="28"/>
          <w:rtl w:val="true"/>
          <w:lang w:bidi="ar-SA"/>
        </w:rPr>
        <w:t xml:space="preserve">، فيرجع كلامه إلى اعتبار الجريان بمقدار يسيل من مسيل الجبل المنحدر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يوافق الجريان من الميزاب الذي ظاهر الشيخ ،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قال 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في هذين الخبرين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خبر هشام بن الحكم وخبر محمّد بن مروان الواردين في ميزابين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ماء المطر إذا جرى من الميزاب ، فحكمه حكم الماء الجاري ؛ لا ينجّسه شيء إلاّ ما غيّر لونه أو طعمه أو رائحته </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ويدلّ على ذلك ما رواه علي بن جعفر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موسى علیه السلام عن البيت يبال على ظهره ، ويغتسل فيه من الجنابة ، ثمّ يصيبه المطر ، أيؤخذ من مائه </w:t>
      </w:r>
    </w:p>
    <w:p>
      <w:pPr>
        <w:pStyle w:val="BookText"/>
        <w:rPr/>
      </w:pPr>
      <w:r>
        <w:rPr>
          <w:rFonts w:ascii="Amiri" w:hAnsi="Amiri" w:eastAsia="Amiri" w:cs="Amiri"/>
          <w:color w:val="111111"/>
          <w:sz w:val="28"/>
          <w:sz w:val="28"/>
          <w:szCs w:val="28"/>
          <w:rtl w:val="true"/>
          <w:lang w:bidi="ar-SA"/>
        </w:rPr>
        <w:t xml:space="preserve">فيتوضّأ به للصلاة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جرى فلا بأس</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45"/>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يبعد أن يكون مراده مطلق الجريان ، وإنّما ذَكر في ذيل الخبرين الواردين في ميزابين ، وجهَ عدم الانفعال في موردهما ، لا 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 أصل الحكم ؛ بقرينة تمسّكه برواية علي بن جعفر ، فالقول باشتراطه الجريان من خصوص الميزاب ، فاسد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لا يبعد اعتباره ذلك بحدٍّ جرى من الميزاب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الأقرب أ نّه اشترط أصل الجريان ، على تأمّل فيه أيضاً ناشئ من أنّ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يعمل للفتيا ، بل عمل لتأويل الروايات المختلفة وتوجيهها ؛ لحفظ القلوب الضعيفة التي ثقل عليها الاختلاف فيها ، كما يظهر من أوّله</w:t>
      </w:r>
      <w:r>
        <w:rPr>
          <w:rStyle w:val="FootnoteAnchor"/>
          <w:rtl w:val="true"/>
        </w:rPr>
        <w:footnoteReference w:id="10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يحضرني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اعتبار الجريان شهرةً عظيمةً</w:t>
      </w:r>
      <w:r>
        <w:rPr>
          <w:rStyle w:val="FootnoteAnchor"/>
          <w:rtl w:val="true"/>
        </w:rPr>
        <w:footnoteReference w:id="1048"/>
      </w:r>
      <w:r>
        <w:rPr>
          <w:rFonts w:ascii="Amiri" w:hAnsi="Amiri" w:eastAsia="Amiri" w:cs="Amiri"/>
          <w:color w:val="111111"/>
          <w:sz w:val="28"/>
          <w:sz w:val="28"/>
          <w:szCs w:val="28"/>
          <w:rtl w:val="true"/>
          <w:lang w:bidi="ar-SA"/>
        </w:rPr>
        <w:t xml:space="preserve">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جعل المخالف الشيخ</w:t>
      </w:r>
      <w:r>
        <w:rPr>
          <w:rStyle w:val="FootnoteAnchor"/>
          <w:rtl w:val="true"/>
        </w:rPr>
        <w:footnoteReference w:id="1049"/>
      </w: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نسبته إلى فتوى الأصحاب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نّه لم يثبت مخالف ناصّ</w:t>
      </w:r>
      <w:r>
        <w:rPr>
          <w:rFonts w:eastAsia="Amiri" w:cs="Amiri" w:ascii="Amiri" w:hAnsi="Amiri"/>
          <w:color w:val="111111"/>
          <w:sz w:val="28"/>
          <w:szCs w:val="28"/>
          <w:rtl w:val="true"/>
          <w:lang w:bidi="ar-SA"/>
        </w:rPr>
        <w:t>»</w:t>
      </w:r>
      <w:r>
        <w:rPr>
          <w:rStyle w:val="FootnoteAnchor"/>
          <w:rtl w:val="true"/>
        </w:rPr>
        <w:footnoteReference w:id="1050"/>
      </w:r>
      <w:r>
        <w:rPr>
          <w:rFonts w:ascii="Amiri" w:hAnsi="Amiri" w:eastAsia="Amiri" w:cs="Amiri"/>
          <w:color w:val="111111"/>
          <w:sz w:val="28"/>
          <w:sz w:val="28"/>
          <w:szCs w:val="28"/>
          <w:rtl w:val="true"/>
          <w:lang w:bidi="ar-SA"/>
        </w:rPr>
        <w:t xml:space="preserve">وهو كذلك بالنسبة إلى الشيخ </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ظاهر ابن حمزة اعتباره بنحو ما 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ومستند أصل الجريان صحيحة علي بن جعفر المتقدّمة ، فتقيّد بها المطلقات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ما فيه ؛ فإنّ الظاهر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البيت يبال على 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ظهره معدّ لذلك ، والظاهر أ نّه كان متعارفاً في تلك الأمكنة والأزمنة ، كما يظهر من سائر الروايات</w:t>
      </w:r>
      <w:r>
        <w:rPr>
          <w:rStyle w:val="FootnoteAnchor"/>
          <w:rtl w:val="true"/>
        </w:rPr>
        <w:footnoteReference w:id="1051"/>
      </w:r>
      <w:r>
        <w:rPr>
          <w:rFonts w:ascii="Amiri" w:hAnsi="Amiri" w:eastAsia="Amiri" w:cs="Amiri"/>
          <w:color w:val="111111"/>
          <w:sz w:val="28"/>
          <w:sz w:val="28"/>
          <w:szCs w:val="28"/>
          <w:rtl w:val="true"/>
          <w:lang w:bidi="ar-SA"/>
        </w:rPr>
        <w:t xml:space="preserve">، فحينئذٍ يكون اشتراط الجريان لخصوصية المورد ؛ لعدم غلبة المطر على النجاسة بلا جريان في مثله ممّا يكون مُبالاً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السؤال عن الاغتسال من الجنابة يؤيّده ، فيكون اعتبار الجريان للغلبة على النجاسة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الأخذ من 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ما جرى خارج المحلّ ؛ فإنّه إذا كان الماء فيه وكان معدّاً للبول ، لم يذهب بالمطر عينُ النجاسة ، ومع بقائها فيه والأخذ منه لا محالة يبتلي المكلّف بها إذا أخذ منه ، فيكون القيد للإرشاد إلى الأخذ من المحلّ الخارج ؛ لئلاّ يبتلي بها ، ولهذا لم يذكر الجريان في ذيلها ، وهو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الرجل يمرّ في ماء المطر ، وقد صبّ فيه خمر فأصاب ثوبه ، هل يصلّي فيه قبل أن يغسله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يغسل ثوبه ولا رجله ، ويصلّي فيه ، ولا بأس به</w:t>
      </w:r>
      <w:r>
        <w:rPr>
          <w:rFonts w:eastAsia="Amiri" w:cs="Amiri" w:ascii="Amiri" w:hAnsi="Amiri"/>
          <w:color w:val="111111"/>
          <w:sz w:val="28"/>
          <w:szCs w:val="28"/>
          <w:rtl w:val="true"/>
          <w:lang w:bidi="ar-SA"/>
        </w:rPr>
        <w:t>»</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مضافاً إلى احتمال أن يكون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فعلية تمطير السماء ، فالشرط لأجل أنّ المحلّ المعدّ للبول ، لا يرتفع جرم البول المتراكم فيه بالمطر ، فمع قطع الجريان ينفعل ماؤه ، كسائر المياه القليلة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والإنصاف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 لا يجوز رفع اليد عن الإطلاقات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سيّما مثل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أصابه من الماء أكثر</w:t>
      </w:r>
      <w:r>
        <w:rPr>
          <w:rFonts w:eastAsia="IRNazanin" w:cs="IRNazanin"/>
          <w:color w:val="111111"/>
          <w:sz w:val="28"/>
          <w:szCs w:val="28"/>
          <w:rtl w:val="true"/>
          <w:lang w:bidi="fa-IR"/>
        </w:rPr>
        <w:t>»</w:t>
      </w:r>
      <w:r>
        <w:rPr>
          <w:rStyle w:val="FootnoteAnchor"/>
          <w:rtl w:val="true"/>
        </w:rPr>
        <w:footnoteReference w:id="10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بمثل هذه الرواية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رواية الحِمْيَري بإسناده عن علي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الكنيف يكون فوق البيت ، فيصيبه المطر ، فيكف فيصيب الثياب ، أيصلّى فيه قبل أن تغسل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جرى من ماء المطر فلا بأس</w:t>
      </w:r>
      <w:r>
        <w:rPr>
          <w:rFonts w:eastAsia="Amiri" w:cs="Amiri" w:ascii="Amiri" w:hAnsi="Amiri"/>
          <w:color w:val="111111"/>
          <w:sz w:val="28"/>
          <w:szCs w:val="28"/>
          <w:rtl w:val="true"/>
          <w:lang w:bidi="ar-SA"/>
        </w:rPr>
        <w:t>»</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فظاهرها أنّ ما يكف إن كان من ماء المطر فلا بأس ، في مقابل ما كان من البول أو ماء الكنيف ، فهي في الحقيقة من أدلّة عدم اعتبار الجريان فيه ، أو لا أقلّ</w:t>
      </w:r>
    </w:p>
    <w:p>
      <w:pPr>
        <w:pStyle w:val="BookText"/>
        <w:rPr/>
      </w:pPr>
      <w:r>
        <w:rPr>
          <w:rFonts w:ascii="IRNazanin" w:hAnsi="IRNazanin" w:eastAsia="IRNazanin"/>
          <w:color w:val="111111"/>
          <w:sz w:val="28"/>
          <w:sz w:val="28"/>
          <w:szCs w:val="28"/>
          <w:rtl w:val="true"/>
          <w:lang w:bidi="fa-IR"/>
        </w:rPr>
        <w:t xml:space="preserve">من عدم دلالتها على اعتباره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إنّ 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علي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أخيه موسى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المطر يجري في المكان فيه العَذِرة ، فيصيب الثوب ، أيصلّى فيه قبل أن يغسل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جرى فيه المطر فلا بأس</w:t>
      </w:r>
      <w:r>
        <w:rPr>
          <w:rFonts w:eastAsia="IRNazanin" w:cs="IRNazanin"/>
          <w:color w:val="111111"/>
          <w:sz w:val="28"/>
          <w:szCs w:val="28"/>
          <w:rtl w:val="true"/>
          <w:lang w:bidi="fa-IR"/>
        </w:rPr>
        <w:t>»</w:t>
      </w:r>
      <w:r>
        <w:rPr>
          <w:rStyle w:val="FootnoteAnchor"/>
          <w:rtl w:val="true"/>
        </w:rPr>
        <w:footnoteReference w:id="1055"/>
      </w:r>
      <w:r>
        <w:rPr>
          <w:rFonts w:ascii="Amiri" w:hAnsi="Amiri" w:eastAsia="Amiri" w:cs="Amiri"/>
          <w:color w:val="111111"/>
          <w:sz w:val="28"/>
          <w:sz w:val="28"/>
          <w:szCs w:val="28"/>
          <w:rtl w:val="true"/>
          <w:lang w:bidi="ar-SA"/>
        </w:rPr>
        <w:t xml:space="preserve">لا ظهور فيه في القيدية بعد مسبوقيته بفرض جريانه في المكان ، فكأ 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هذا الفرض لا بأس به</w:t>
      </w:r>
      <w:r>
        <w:rPr>
          <w:rFonts w:eastAsia="Amiri" w:cs="Amiri" w:ascii="Amiri" w:hAnsi="Amiri"/>
          <w:color w:val="111111"/>
          <w:sz w:val="28"/>
          <w:szCs w:val="28"/>
          <w:rtl w:val="true"/>
          <w:lang w:bidi="ar-SA"/>
        </w:rPr>
        <w:t>» .</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أنّ الظاهر أنّ المفروض جريان ماء المطر إلى محلّ فيه العَذِرة ، ولم يكن ذلك المكان مورد إصابة المطر ، فالسؤال عن تمطير السماء في مكان ، وإجراء مائه في مكان آخر فيه العَذِرة ، فلا يدلّ على القيدية في مورد البحث </w:t>
      </w:r>
      <w:r>
        <w:rPr>
          <w:rFonts w:eastAsia="Amiri" w:cs="Amiri" w:ascii="Amiri" w:hAnsi="Amiri"/>
          <w:color w:val="111111"/>
          <w:sz w:val="28"/>
          <w:szCs w:val="28"/>
          <w:rtl w:val="true"/>
          <w:lang w:bidi="ar-SA"/>
        </w:rPr>
        <w:t xml:space="preserve">. </w:t>
      </w:r>
      <w:bookmarkStart w:id="420" w:name="pg15030_143317"/>
    </w:p>
    <w:p>
      <w:pPr>
        <w:pStyle w:val="BookText"/>
        <w:rPr/>
      </w:pPr>
      <w:bookmarkEnd w:id="420"/>
      <w:r>
        <w:rPr>
          <w:rFonts w:ascii="Amiri" w:hAnsi="Amiri" w:eastAsia="Amiri" w:cs="Amiri"/>
          <w:color w:val="111111"/>
          <w:sz w:val="28"/>
          <w:sz w:val="28"/>
          <w:szCs w:val="28"/>
          <w:rtl w:val="true"/>
          <w:lang w:bidi="ar-SA"/>
        </w:rPr>
        <w:t xml:space="preserve">مع أنّ الشرطية لبيان تحقّق الموضوع ؛ فإنّ مفهومها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يجر فيه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تحقّق المطر ولم يكن جارياً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فالأقوى ما عليه القوم من عدم اعتبار الجريان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لا عبرة بالقطرات اليسيرة ؛ لانصراف الأدلّة عنها ، بل لا يبعد عدم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عرفاً ، بل ولغة </w:t>
      </w:r>
      <w:r>
        <w:rPr>
          <w:rFonts w:eastAsia="Amiri" w:cs="Amiri" w:ascii="Amiri" w:hAnsi="Amiri"/>
          <w:color w:val="111111"/>
          <w:sz w:val="28"/>
          <w:szCs w:val="28"/>
          <w:rtl w:val="true"/>
          <w:lang w:bidi="ar-SA"/>
        </w:rPr>
        <w:t>.</w:t>
      </w:r>
    </w:p>
    <w:p>
      <w:pPr>
        <w:pStyle w:val="Heading5"/>
        <w:numPr>
          <w:ilvl w:val="4"/>
          <w:numId w:val="1"/>
        </w:numPr>
        <w:rPr/>
      </w:pPr>
      <w:bookmarkStart w:id="421" w:name="__RefHeading___Toc212916_2142443653"/>
      <w:bookmarkStart w:id="422" w:name="_Toc150"/>
      <w:bookmarkEnd w:id="421"/>
      <w:r>
        <w:rPr>
          <w:rtl w:val="true"/>
        </w:rPr>
        <w:t>توقّف التطهير بالمطر على صدق رؤية مائه للمتنجّس</w:t>
      </w:r>
      <w:bookmarkEnd w:id="422"/>
    </w:p>
    <w:p>
      <w:pPr>
        <w:pStyle w:val="BookText"/>
        <w:rPr/>
      </w:pPr>
      <w:r>
        <w:rPr>
          <w:rFonts w:ascii="Amiri" w:hAnsi="Amiri" w:eastAsia="Amiri" w:cs="Amiri"/>
          <w:color w:val="111111"/>
          <w:sz w:val="28"/>
          <w:sz w:val="28"/>
          <w:szCs w:val="28"/>
          <w:rtl w:val="true"/>
          <w:lang w:bidi="ar-SA"/>
        </w:rPr>
        <w:t xml:space="preserve">ثمّ إنّ التطهير بالمطر متوقّف على صدق رؤية مائه للشيء النجس؛ أي المحلّ الذي تنجّس ، فإذا تقاطر على بعض الجسم النجس ، طهر موضع التقاطر لا غير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في غير المائعات ، وأمّا فيها فلا إشكال في عدم طهارة غير الماء منها به ؛ لعدم إمكان رؤيته جميع أجزائها ، وما وصل إليه أيضاً لا يطهر ؛ للسراية ، ففي مثله لا يمكن حصول الطهارة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 شئت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شيء يراه ماء المطر فقد طهر</w:t>
      </w:r>
      <w:r>
        <w:rPr>
          <w:rFonts w:eastAsia="IRNazanin" w:cs="IRNazanin"/>
          <w:color w:val="111111"/>
          <w:sz w:val="28"/>
          <w:szCs w:val="28"/>
          <w:rtl w:val="true"/>
          <w:lang w:bidi="fa-IR"/>
        </w:rPr>
        <w:t>»</w:t>
      </w:r>
      <w:r>
        <w:rPr>
          <w:rStyle w:val="FootnoteAnchor"/>
          <w:rtl w:val="true"/>
        </w:rPr>
        <w:footnoteReference w:id="1056"/>
      </w:r>
      <w:r>
        <w:rPr>
          <w:rFonts w:ascii="Amiri" w:hAnsi="Amiri" w:eastAsia="Amiri" w:cs="Amiri"/>
          <w:color w:val="111111"/>
          <w:sz w:val="28"/>
          <w:sz w:val="28"/>
          <w:szCs w:val="28"/>
          <w:rtl w:val="true"/>
          <w:lang w:bidi="ar-SA"/>
        </w:rPr>
        <w:t xml:space="preserve">لا يشمل مثل المائعات ؛ فإنّها غير قابلة للتطهير كالأعيان النجسة ؛ فإنّ رؤية المطر جميعَ أجزائها غير ممكن ، وبعضَها المتّصل بالنجس غير قابل له فلا يشمله الدليل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يعلم الحال في الماء أيضاً </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 صدق رؤيته إيّاه بتقطير قطرات بل قطرة عليه</w:t>
      </w:r>
      <w:r>
        <w:rPr>
          <w:rStyle w:val="FootnoteAnchor"/>
          <w:rtl w:val="true"/>
        </w:rPr>
        <w:footnoteReference w:id="1057"/>
      </w:r>
      <w:r>
        <w:rPr>
          <w:rFonts w:ascii="Amiri" w:hAnsi="Amiri" w:eastAsia="Amiri" w:cs="Amiri"/>
          <w:color w:val="111111"/>
          <w:sz w:val="28"/>
          <w:sz w:val="28"/>
          <w:szCs w:val="28"/>
          <w:rtl w:val="true"/>
          <w:lang w:bidi="ar-SA"/>
        </w:rPr>
        <w:t xml:space="preserve">، غير وجيهة ؛ لأنّ </w:t>
      </w:r>
    </w:p>
    <w:p>
      <w:pPr>
        <w:pStyle w:val="BookText"/>
        <w:rPr/>
      </w:pPr>
      <w:r>
        <w:rPr>
          <w:rFonts w:ascii="Amiri" w:hAnsi="Amiri" w:eastAsia="Amiri" w:cs="Amiri"/>
          <w:color w:val="111111"/>
          <w:sz w:val="28"/>
          <w:sz w:val="28"/>
          <w:szCs w:val="28"/>
          <w:rtl w:val="true"/>
          <w:lang w:bidi="ar-SA"/>
        </w:rPr>
        <w:t xml:space="preserve">المراد من صدقها إن كان صدق الرؤية لهذا الجسم بملاحظة كونه موجوداً واحداً ، فإذا صدق رؤيته لجزء منه صدق رؤيته له ، فلازمه طهارة جميع الأرض إذا تقاطر على نقطة منها المطر ؛ لصدق رؤيته إيّاها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الظاهر من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 شيء يراه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إلى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بمناسبة الحكم والموضوع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الطهارة مخصوصة بموضع الملاقاة دون غيره ، وهو واضح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إطلاق الرؤية طهارة الجزء الذي رآه المطر ، ولازمه طهارة جميع الماء ؛ للإجماع على عدم محكومية الماء الواحد بحكمين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تسليم ثبوت الإجماع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نمنع إطلاقها لمثل المورد ؛ لعدم إمكان قبوله للتطهير كسائر المائعات ؛ فإنّ الجزء المائع المتّصل بالنجس اللازم الانفعال منه ، لا يصير طاهراً بورود المطهّر عليه </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لولا الإجماع على قبول المياه للطهارة</w:t>
      </w:r>
      <w:r>
        <w:rPr>
          <w:rStyle w:val="FootnoteAnchor"/>
          <w:rtl w:val="true"/>
        </w:rPr>
        <w:footnoteReference w:id="1058"/>
      </w:r>
      <w:r>
        <w:rPr>
          <w:rFonts w:ascii="Amiri" w:hAnsi="Amiri" w:eastAsia="Amiri" w:cs="Amiri"/>
          <w:color w:val="111111"/>
          <w:sz w:val="28"/>
          <w:sz w:val="28"/>
          <w:szCs w:val="28"/>
          <w:rtl w:val="true"/>
          <w:lang w:bidi="ar-SA"/>
        </w:rPr>
        <w:t xml:space="preserve">ودلالة بعض الأخبار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كصحيحة محمّد بن إسماعيل بن بَزيع الواردة في ماء البئر</w:t>
      </w:r>
      <w:r>
        <w:rPr>
          <w:rStyle w:val="FootnoteAnchor"/>
          <w:rtl w:val="true"/>
        </w:rPr>
        <w:footnoteReference w:id="1059"/>
      </w:r>
      <w:r>
        <w:rPr>
          <w:rFonts w:ascii="Amiri" w:hAnsi="Amiri" w:eastAsia="Amiri" w:cs="Amiri"/>
          <w:color w:val="111111"/>
          <w:sz w:val="28"/>
          <w:sz w:val="28"/>
          <w:szCs w:val="28"/>
          <w:rtl w:val="true"/>
          <w:lang w:bidi="ar-SA"/>
        </w:rPr>
        <w:t>وما وردت في ماء الحمّام</w:t>
      </w:r>
      <w:r>
        <w:rPr>
          <w:rStyle w:val="FootnoteAnchor"/>
          <w:rtl w:val="true"/>
        </w:rPr>
        <w:footnoteReference w:id="10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الحكم بقبوله لها مشكلاً ، والمتيقّن من الإجماع طهارته بعد </w:t>
      </w:r>
    </w:p>
    <w:p>
      <w:pPr>
        <w:pStyle w:val="BookText"/>
        <w:rPr/>
      </w:pPr>
      <w:r>
        <w:rPr>
          <w:rFonts w:ascii="Amiri" w:hAnsi="Amiri" w:eastAsia="Amiri" w:cs="Amiri"/>
          <w:color w:val="111111"/>
          <w:sz w:val="28"/>
          <w:sz w:val="28"/>
          <w:szCs w:val="28"/>
          <w:rtl w:val="true"/>
          <w:lang w:bidi="ar-SA"/>
        </w:rPr>
        <w:t>الامتزاج ، كما إنّ مورد الروايات المتقدّمة</w:t>
      </w:r>
      <w:r>
        <w:rPr>
          <w:rStyle w:val="FootnoteAnchor"/>
          <w:rtl w:val="true"/>
        </w:rPr>
        <w:footnoteReference w:id="1061"/>
      </w:r>
      <w:r>
        <w:rPr>
          <w:rFonts w:ascii="Amiri" w:hAnsi="Amiri" w:eastAsia="Amiri" w:cs="Amiri"/>
          <w:color w:val="111111"/>
          <w:sz w:val="28"/>
          <w:sz w:val="28"/>
          <w:szCs w:val="28"/>
          <w:rtl w:val="true"/>
          <w:lang w:bidi="ar-SA"/>
        </w:rPr>
        <w:t xml:space="preserve">ذلك ، فالأقوى عدم طهارة الماء المتنجّس إلاّ بالامتزاج بالمعتصم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بدلالة مرسلة الكاهلي على طهارته بالتقاطر عليه على بعض 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ويسيل على الماء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والغرض من السؤال الثاني أنّ المطر يسيل على الماء المتغيّر بالقذر ، فيثب من الماء القطرات ، وينتضح عليّ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البيت يتوضّأ على سطحه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سؤال آخر</w:t>
      </w:r>
      <w:r>
        <w:rPr>
          <w:rFonts w:eastAsia="Amiri" w:cs="Amiri" w:ascii="Amiri" w:hAnsi="Amiri"/>
          <w:color w:val="111111"/>
          <w:sz w:val="28"/>
          <w:szCs w:val="28"/>
          <w:rtl w:val="true"/>
          <w:lang w:bidi="ar-SA"/>
        </w:rPr>
        <w:t>»</w:t>
      </w:r>
      <w:r>
        <w:rPr>
          <w:rStyle w:val="FootnoteAnchor"/>
          <w:rtl w:val="true"/>
        </w:rPr>
        <w:footnoteReference w:id="1062"/>
      </w:r>
      <w:r>
        <w:rPr>
          <w:rFonts w:ascii="Amiri" w:hAnsi="Amiri" w:eastAsia="Amiri" w:cs="Amiri"/>
          <w:color w:val="111111"/>
          <w:sz w:val="28"/>
          <w:sz w:val="28"/>
          <w:szCs w:val="28"/>
          <w:rtl w:val="true"/>
          <w:lang w:bidi="ar-SA"/>
        </w:rPr>
        <w:t xml:space="preserve">انتهى ،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شيء يراه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إلى آخره بعد تعقّبه بذلك ، يدلّ على المطلوب</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عدم ثبوت صحّة هذه النسخة ، ولهذا لم يشر إليها المحدّث المجلسي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مرآته</w:t>
      </w:r>
      <w:r>
        <w:rPr>
          <w:rFonts w:eastAsia="Amiri" w:cs="Amiri" w:ascii="Amiri" w:hAnsi="Amiri"/>
          <w:color w:val="111111"/>
          <w:sz w:val="28"/>
          <w:szCs w:val="28"/>
          <w:rtl w:val="true"/>
          <w:lang w:bidi="ar-SA"/>
        </w:rPr>
        <w:t>»</w:t>
      </w:r>
      <w:r>
        <w:rPr>
          <w:rStyle w:val="FootnoteAnchor"/>
          <w:rtl w:val="true"/>
        </w:rPr>
        <w:footnoteReference w:id="1064"/>
      </w:r>
      <w:r>
        <w:rPr>
          <w:rFonts w:ascii="Amiri" w:hAnsi="Amiri" w:eastAsia="Amiri" w:cs="Amiri"/>
          <w:color w:val="111111"/>
          <w:sz w:val="28"/>
          <w:sz w:val="28"/>
          <w:szCs w:val="28"/>
          <w:rtl w:val="true"/>
          <w:lang w:bidi="ar-SA"/>
        </w:rPr>
        <w:t>ولا الحرّ في جامعه</w:t>
      </w:r>
      <w:r>
        <w:rPr>
          <w:rStyle w:val="FootnoteAnchor"/>
          <w:rtl w:val="true"/>
        </w:rPr>
        <w:footnoteReference w:id="1065"/>
      </w:r>
      <w:r>
        <w:rPr>
          <w:rFonts w:ascii="Amiri" w:hAnsi="Amiri" w:eastAsia="Amiri" w:cs="Amiri"/>
          <w:color w:val="111111"/>
          <w:sz w:val="28"/>
          <w:sz w:val="28"/>
          <w:szCs w:val="28"/>
          <w:rtl w:val="true"/>
          <w:lang w:bidi="ar-SA"/>
        </w:rPr>
        <w:t>، والاستشهاد على صحّتها بمنافاة فرض السيلان عليه على النسخة المعروفة مع فرض ورود القطرات عليه</w:t>
      </w:r>
      <w:r>
        <w:rPr>
          <w:rStyle w:val="FootnoteAnchor"/>
          <w:rtl w:val="true"/>
        </w:rPr>
        <w:footnoteReference w:id="1066"/>
      </w:r>
      <w:r>
        <w:rPr>
          <w:rFonts w:ascii="Amiri" w:hAnsi="Amiri" w:eastAsia="Amiri" w:cs="Amiri"/>
          <w:color w:val="111111"/>
          <w:sz w:val="28"/>
          <w:sz w:val="28"/>
          <w:szCs w:val="28"/>
          <w:rtl w:val="true"/>
          <w:lang w:bidi="ar-SA"/>
        </w:rPr>
        <w:t xml:space="preserve">، غير تامّ ؛ لإمكان رفع التنافي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فرض ورود القطرات ، قرينة على أنّ المراد من سيلانه عليه سيلانه من فوق رأسه ، فكأ نّه قال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يسيل عليّ الميزاب ، فيقطر عليّ منه القطرات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سيلان المطر على الماء بناءً على هذه النسخة ، ملازم لامتزاجه به ، ولعلّه مع الامتزاج صدق الرؤية عرفاً بنحو من التسامح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لنا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تطبيق الكبرى على المورد دليل على صحّة النسخة المشهورة ؛ لو منع الصدق العرفي مع الامتزاج </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إثبات هذا الحكم المخالف للقواعد والارتكاز العرفي بهذه النسخة غير الثابتة </w:t>
      </w:r>
      <w:r>
        <w:rPr>
          <w:rFonts w:eastAsia="Amiri" w:cs="Amiri" w:ascii="Amiri" w:hAnsi="Amiri"/>
          <w:color w:val="111111"/>
          <w:sz w:val="28"/>
          <w:szCs w:val="28"/>
          <w:rtl w:val="true"/>
          <w:lang w:bidi="ar-SA"/>
        </w:rPr>
        <w:t xml:space="preserve">. </w:t>
      </w:r>
      <w:bookmarkStart w:id="423" w:name="pg15030_143321"/>
    </w:p>
    <w:p>
      <w:pPr>
        <w:pStyle w:val="Heading4"/>
        <w:numPr>
          <w:ilvl w:val="3"/>
          <w:numId w:val="1"/>
        </w:numPr>
        <w:rPr/>
      </w:pPr>
      <w:bookmarkStart w:id="424" w:name="__RefHeading___Toc212918_2142443653"/>
      <w:bookmarkStart w:id="425" w:name="_Toc151"/>
      <w:bookmarkEnd w:id="423"/>
      <w:bookmarkEnd w:id="424"/>
      <w:r>
        <w:rPr>
          <w:rtl w:val="true"/>
        </w:rPr>
        <w:t>الأمر الثاني</w:t>
      </w:r>
      <w:r>
        <w:rPr>
          <w:rtl w:val="true"/>
        </w:rPr>
        <w:t xml:space="preserve">: </w:t>
      </w:r>
      <w:r>
        <w:rPr>
          <w:rtl w:val="true"/>
        </w:rPr>
        <w:t>في مطهّرية الشمس</w:t>
      </w:r>
      <w:bookmarkEnd w:id="425"/>
    </w:p>
    <w:p>
      <w:pPr>
        <w:pStyle w:val="Heading5"/>
        <w:numPr>
          <w:ilvl w:val="4"/>
          <w:numId w:val="1"/>
        </w:numPr>
        <w:rPr/>
      </w:pPr>
      <w:bookmarkStart w:id="426" w:name="__RefHeading___Toc212920_2142443653"/>
      <w:bookmarkStart w:id="427" w:name="_Toc152"/>
      <w:bookmarkEnd w:id="426"/>
      <w:r>
        <w:rPr>
          <w:rtl w:val="true"/>
        </w:rPr>
        <w:t>اشارة</w:t>
      </w:r>
      <w:bookmarkEnd w:id="427"/>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إذا جفّفت بإشراقها البول وغيره من النجاسات والمتنجّسات التي لا يبقى جِرمها بعد الجفاف بالتبخير عن الأرض وغيرها ممّا لا ينقل ، كالنباتات والأشجار ، وأثمارها الموصولة بها ، والأبنية وما يتعلّق بها من الأبواب والأخشاب والمسامير وغيرها ، بل عن البواري والحصر من المنقولات ، على الأظهر الأقوى في جميع المذكورات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خالف في أصل الحكم المحدّث الكاشاني ، فاختار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مطهّريتها ، بل عدم العفو حتّى عن السجدة عليها ، قال في ذيل رواية ابن أبي عمير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اُصلّي على الشاذكونة وقد أصابتها الجنابة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10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العبارة </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والوجه في ذلك عدم اشتراط الطهارة في مواضع الصلاة إلاّ بقدر ما يسجد </w:t>
      </w:r>
    </w:p>
    <w:p>
      <w:pPr>
        <w:pStyle w:val="BookText"/>
        <w:rPr/>
      </w:pP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يشترط أن لا يكون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نجسة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رطوبة يتعدّى بها النجاسة إلى ثوب المصلّي أو بدنه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الأخبار الآتية على هذا الأصل ، إلاّ أنّ</w:t>
      </w:r>
    </w:p>
    <w:p>
      <w:pPr>
        <w:pStyle w:val="BookText"/>
        <w:rPr/>
      </w:pPr>
      <w:r>
        <w:rPr>
          <w:rFonts w:ascii="Amiri" w:hAnsi="Amiri" w:eastAsia="Amiri" w:cs="Amiri"/>
          <w:color w:val="111111"/>
          <w:sz w:val="28"/>
          <w:sz w:val="28"/>
          <w:szCs w:val="28"/>
          <w:rtl w:val="true"/>
          <w:lang w:bidi="ar-SA"/>
        </w:rPr>
        <w:t>جماعة من أصحابنا اشتبه ذلك عليهم ، فزعموا أنّ الشمس تطهّر الأرض والبواري</w:t>
      </w:r>
      <w:r>
        <w:rPr>
          <w:rFonts w:eastAsia="Amiri" w:cs="Amiri" w:ascii="Amiri" w:hAnsi="Amiri"/>
          <w:color w:val="111111"/>
          <w:sz w:val="28"/>
          <w:szCs w:val="28"/>
          <w:rtl w:val="true"/>
          <w:lang w:bidi="ar-SA"/>
        </w:rPr>
        <w:t>»</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ذكر في ذيل بعض الأحاديث مؤيّداتٍ لما اختاره ، وحمل صحيحة زرارة الآتية ورواية أبي بكر الحضرمي على المعنى اللغوي ؛ أي عدم سراية القذر ، كقوله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شيء يابس زكيّ</w:t>
      </w:r>
      <w:r>
        <w:rPr>
          <w:rFonts w:eastAsia="IRNazanin" w:cs="IRNazanin"/>
          <w:color w:val="111111"/>
          <w:sz w:val="28"/>
          <w:szCs w:val="28"/>
          <w:rtl w:val="true"/>
          <w:lang w:bidi="fa-IR"/>
        </w:rPr>
        <w:t>»</w:t>
      </w:r>
      <w:r>
        <w:rPr>
          <w:rStyle w:val="FootnoteAnchor"/>
          <w:rtl w:val="true"/>
        </w:rPr>
        <w:footnoteReference w:id="1069"/>
      </w:r>
      <w:r>
        <w:rPr>
          <w:rFonts w:ascii="Amiri" w:hAnsi="Amiri" w:eastAsia="Amiri" w:cs="Amiri"/>
          <w:color w:val="111111"/>
          <w:sz w:val="28"/>
          <w:sz w:val="28"/>
          <w:szCs w:val="28"/>
          <w:rtl w:val="true"/>
          <w:lang w:bidi="ar-SA"/>
        </w:rPr>
        <w:t>ليوافقا سائر الأخبار</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جملة من الأصحاب القول بصحّة السجود عليها وبقائها على النجاسة</w:t>
      </w:r>
      <w:r>
        <w:rPr>
          <w:rStyle w:val="FootnoteAnchor"/>
          <w:rtl w:val="true"/>
        </w:rPr>
        <w:footnoteReference w:id="1071"/>
      </w:r>
      <w:r>
        <w:rPr>
          <w:rFonts w:ascii="Amiri" w:hAnsi="Amiri" w:eastAsia="Amiri" w:cs="Amiri"/>
          <w:color w:val="111111"/>
          <w:sz w:val="28"/>
          <w:sz w:val="28"/>
          <w:szCs w:val="28"/>
          <w:rtl w:val="true"/>
          <w:lang w:bidi="ar-SA"/>
        </w:rPr>
        <w:t xml:space="preserve">، فيكون البناء على العفو في خصوص هذا الحكم </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والمشهور البناء على الطهارة ، بل عن جملة منهم دعوى الإجماع عليها ،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طهارة الأرض والحصر والبواري من البول</w:t>
      </w:r>
      <w:r>
        <w:rPr>
          <w:rStyle w:val="FootnoteAnchor"/>
          <w:rtl w:val="true"/>
        </w:rPr>
        <w:footnoteReference w:id="1072"/>
      </w:r>
      <w:r>
        <w:rPr>
          <w:rFonts w:ascii="Amiri" w:hAnsi="Amiri" w:eastAsia="Amiri" w:cs="Amiri"/>
          <w:color w:val="111111"/>
          <w:sz w:val="28"/>
          <w:sz w:val="28"/>
          <w:szCs w:val="28"/>
          <w:rtl w:val="true"/>
          <w:lang w:bidi="ar-SA"/>
        </w:rPr>
        <w:t xml:space="preserve">،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التطهير بالشمس</w:t>
      </w:r>
      <w:r>
        <w:rPr>
          <w:rStyle w:val="FootnoteAnchor"/>
          <w:rtl w:val="true"/>
        </w:rPr>
        <w:footnoteReference w:id="1073"/>
      </w:r>
      <w:r>
        <w:rPr>
          <w:rFonts w:ascii="Amiri" w:hAnsi="Amiri" w:eastAsia="Amiri" w:cs="Amiri"/>
          <w:color w:val="111111"/>
          <w:sz w:val="28"/>
          <w:sz w:val="28"/>
          <w:szCs w:val="28"/>
          <w:rtl w:val="true"/>
          <w:lang w:bidi="ar-SA"/>
        </w:rPr>
        <w:t xml:space="preserve">،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 الإمامية إلى أنّ الأرض لو أصابها البول وجفّت بالشمس طهرت ، وجاز التيمّم منها</w:t>
      </w:r>
      <w:r>
        <w:rPr>
          <w:rFonts w:eastAsia="Amiri" w:cs="Amiri" w:ascii="Amiri" w:hAnsi="Amiri"/>
          <w:color w:val="111111"/>
          <w:sz w:val="28"/>
          <w:szCs w:val="28"/>
          <w:rtl w:val="true"/>
          <w:lang w:bidi="ar-SA"/>
        </w:rPr>
        <w:t>»</w:t>
      </w:r>
      <w:r>
        <w:rPr>
          <w:rStyle w:val="FootnoteAnchor"/>
          <w:rtl w:val="true"/>
        </w:rPr>
        <w:footnoteReference w:id="1074"/>
      </w:r>
      <w:bookmarkStart w:id="428" w:name="pg15030_143323"/>
    </w:p>
    <w:p>
      <w:pPr>
        <w:pStyle w:val="BookText"/>
        <w:rPr/>
      </w:pPr>
      <w:bookmarkEnd w:id="428"/>
      <w:r>
        <w:rPr>
          <w:rFonts w:ascii="Amiri" w:hAnsi="Amiri" w:eastAsia="Amiri" w:cs="Amiri"/>
          <w:color w:val="111111"/>
          <w:sz w:val="28"/>
          <w:sz w:val="28"/>
          <w:szCs w:val="28"/>
          <w:rtl w:val="true"/>
          <w:lang w:bidi="ar-SA"/>
        </w:rPr>
        <w:t xml:space="preserve">وعن جملة منهم دعوى الشهرة عليها </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 يظهر من بعضهم اختصاص الحكم بالبول</w:t>
      </w:r>
      <w:r>
        <w:rPr>
          <w:rStyle w:val="FootnoteAnchor"/>
          <w:rtl w:val="true"/>
        </w:rPr>
        <w:footnoteReference w:id="10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جملة منهم دعوى الشهرة على التطهير من سائر النجاسات المائعة</w:t>
      </w:r>
      <w:r>
        <w:rPr>
          <w:rStyle w:val="FootnoteAnchor"/>
          <w:rtl w:val="true"/>
        </w:rPr>
        <w:footnoteReference w:id="10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بعضهم اختصاص الحكم بالأرض والحصر والبواري</w:t>
      </w:r>
      <w:r>
        <w:rPr>
          <w:rStyle w:val="FootnoteAnchor"/>
          <w:rtl w:val="true"/>
        </w:rPr>
        <w:footnoteReference w:id="10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جملة منهم نقل الشهرة عليها وعلى كلّ ما لا ينقل ، كالنباتات والأبنية وغيرهما </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والأقوى في المقامات الثلاثة ما حكي عن المشهور أي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حصول الطهارة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وعموم الحكم لكلّ مائع متنجّس أو نجس ، نظير البول ممّا يتبخّر بإشراق الشمس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وعمومه لكلّ ما لا ينقل ، وللحصر والبواري </w:t>
      </w:r>
      <w:r>
        <w:rPr>
          <w:rFonts w:eastAsia="Amiri" w:cs="Amiri" w:ascii="Amiri" w:hAnsi="Amiri"/>
          <w:color w:val="111111"/>
          <w:sz w:val="28"/>
          <w:szCs w:val="28"/>
          <w:rtl w:val="true"/>
          <w:lang w:bidi="ar-SA"/>
        </w:rPr>
        <w:t>.</w:t>
      </w:r>
    </w:p>
    <w:p>
      <w:pPr>
        <w:pStyle w:val="Heading5"/>
        <w:numPr>
          <w:ilvl w:val="4"/>
          <w:numId w:val="1"/>
        </w:numPr>
        <w:rPr/>
      </w:pPr>
      <w:bookmarkStart w:id="429" w:name="__RefHeading___Toc212922_2142443653"/>
      <w:bookmarkStart w:id="430" w:name="_Toc153"/>
      <w:bookmarkEnd w:id="429"/>
      <w:r>
        <w:rPr>
          <w:rtl w:val="true"/>
        </w:rPr>
        <w:t>فيما يدلّ على مطهّرية الشمس</w:t>
      </w:r>
      <w:bookmarkEnd w:id="430"/>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وتدلّ على المطلوب في المقامات الثلاثة صحيحة زرارة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علیه السلام عن البول يكون على السطح ، أو في المكان الذي يصلّى فيه ،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جفّفته الشمس فصلّ عليه ؛ فهو طاهر</w:t>
      </w:r>
      <w:r>
        <w:rPr>
          <w:rFonts w:eastAsia="Amiri" w:cs="Amiri" w:ascii="Amiri" w:hAnsi="Amiri"/>
          <w:color w:val="111111"/>
          <w:sz w:val="28"/>
          <w:szCs w:val="28"/>
          <w:rtl w:val="true"/>
          <w:lang w:bidi="ar-SA"/>
        </w:rPr>
        <w:t>»</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دلالتها على الطهارة فلا ينبغي الإشكال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وتوهّم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w:t>
      </w:r>
    </w:p>
    <w:p>
      <w:pPr>
        <w:pStyle w:val="BookText"/>
        <w:rPr/>
      </w:pPr>
      <w:r>
        <w:rPr>
          <w:rFonts w:ascii="Amiri" w:hAnsi="Amiri" w:eastAsia="Amiri" w:cs="Amiri"/>
          <w:color w:val="111111"/>
          <w:sz w:val="28"/>
          <w:sz w:val="28"/>
          <w:szCs w:val="28"/>
          <w:rtl w:val="true"/>
          <w:lang w:bidi="ar-SA"/>
        </w:rPr>
        <w:t>بمعنى عدم السراية</w:t>
      </w:r>
      <w:r>
        <w:rPr>
          <w:rStyle w:val="FootnoteAnchor"/>
          <w:rtl w:val="true"/>
        </w:rPr>
        <w:footnoteReference w:id="10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شيء يابس زكيّ</w:t>
      </w:r>
      <w:r>
        <w:rPr>
          <w:rFonts w:eastAsia="IRNazanin" w:cs="IRNazanin"/>
          <w:color w:val="111111"/>
          <w:sz w:val="28"/>
          <w:szCs w:val="28"/>
          <w:rtl w:val="true"/>
          <w:lang w:bidi="fa-IR"/>
        </w:rPr>
        <w:t>»</w:t>
      </w:r>
      <w:r>
        <w:rPr>
          <w:rStyle w:val="FootnoteAnchor"/>
          <w:rtl w:val="true"/>
        </w:rPr>
        <w:footnoteReference w:id="10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الظاهر بل الصريح ؛ لا يذهب إليه إلاّ مع قيام قرينة ، وسيأتي حال بعض ما يتوهّم قرينيته</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الظاهر من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شرط الصلاة عليه حاصل ، ومعلوم أنّ المتعارف في تلك الأعصار السجود على المكان الذي كانوا يصلّون فيه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 من كان على مذهب الحقّ ، كان لا محالة يراعي كون المكان ممّا تصحّ السجدة عليه ، وأمّا وضع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كتراب قبر مولانا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p>
    <w:p>
      <w:pPr>
        <w:pStyle w:val="BookText"/>
        <w:rPr/>
      </w:pPr>
      <w:r>
        <w:rPr>
          <w:rFonts w:ascii="Amiri" w:hAnsi="Amiri" w:eastAsia="Amiri" w:cs="Amiri"/>
          <w:color w:val="111111"/>
          <w:sz w:val="28"/>
          <w:sz w:val="28"/>
          <w:szCs w:val="28"/>
          <w:rtl w:val="true"/>
          <w:lang w:bidi="ar-SA"/>
        </w:rPr>
        <w:t xml:space="preserve">حجر ، أو خشب ، فلم يكن معهوداً ومتعارفاً ، سيّما مع شدّة التقيّة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فسؤال زرارة عن البول في المكان الذي يصلّى فيه ، إنّما هو عن صحّة الصلاة والسجود عليه مع جفاف البول ؛ ضرورة عدم تعقّل السؤال عن البول الرطب الساري ، فقوله علیه السلام في مقام الجواب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جفّفته الشمس فصلّ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يدلّ على حصول شرط السجود </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والحمل على العفو مع بقاء النجاسة ، خلاف الظاهر المتفاهم ، فهل ترى من </w:t>
      </w:r>
    </w:p>
    <w:p>
      <w:pPr>
        <w:pStyle w:val="BookText"/>
        <w:rPr/>
      </w:pPr>
      <w:r>
        <w:rPr>
          <w:rFonts w:ascii="Amiri" w:hAnsi="Amiri" w:eastAsia="Amiri" w:cs="Amiri"/>
          <w:color w:val="111111"/>
          <w:sz w:val="28"/>
          <w:sz w:val="28"/>
          <w:szCs w:val="28"/>
          <w:rtl w:val="true"/>
          <w:lang w:bidi="ar-SA"/>
        </w:rPr>
        <w:t xml:space="preserve">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معهودية اشتراط الطهارة في ثوب المصلّي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انقداحَ احتمال العفو</w:t>
      </w:r>
    </w:p>
    <w:p>
      <w:pPr>
        <w:pStyle w:val="BookText"/>
        <w:rPr/>
      </w:pPr>
      <w:r>
        <w:rPr>
          <w:rFonts w:ascii="IRNazanin" w:hAnsi="IRNazanin" w:eastAsia="IRNazanin"/>
          <w:color w:val="111111"/>
          <w:sz w:val="28"/>
          <w:sz w:val="28"/>
          <w:szCs w:val="28"/>
          <w:rtl w:val="true"/>
          <w:lang w:bidi="fa-IR"/>
        </w:rPr>
        <w:t xml:space="preserve">وبقاء النجاسة من قوله مثلاً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أصابه المطر صلّ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ذلك إلاّ لأنّ تجويز الصلاة فيه دليل على حصول شرطه ، فيستفاد من الصحيحة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الغضّ عن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طاهر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حصول شرط السجدة مع الجفاف بالشمس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فاحتمال التجفيف مخالف للظاهر ، فضلاً عن احتمال ارتكبه الكاشاني ؛ فإنّه بناءً على ما ذكره يكون ذكر الشمس والتعليق عليها ، في غير محلّه ؛ إذ لو كان الموضوع هو التجفيف فلا معنى للتقييد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 الشمس أسرع في التجفيف ، لا يوجب تعليقه عليها من غير دخالة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وشرعاً ، وليس للشارع اصطلاح خاصّ فيهما ، كما مرّ مراراً </w:t>
      </w:r>
      <w:r>
        <w:rPr>
          <w:rStyle w:val="FootnoteAnchor"/>
          <w:rtl w:val="true"/>
        </w:rPr>
        <w:footnoteReference w:id="10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وحملها على عدم السراية مع الجفاف ، من قبيل توضيح الواضحات بعد وضوحه لدى العرف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شبهة في دلالتها وصراحتها على المطلوب </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وتدلّ عليه أيضاً رواية الحضرمي ، عن أبي جعفر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ما أشرقت عليه الشمس فهو طاهر</w:t>
      </w:r>
      <w:r>
        <w:rPr>
          <w:rFonts w:eastAsia="IRNazanin" w:cs="IRNazanin"/>
          <w:color w:val="111111"/>
          <w:sz w:val="28"/>
          <w:szCs w:val="28"/>
          <w:rtl w:val="true"/>
          <w:lang w:bidi="fa-IR"/>
        </w:rPr>
        <w:t>»</w:t>
      </w:r>
      <w:r>
        <w:rPr>
          <w:rStyle w:val="FootnoteAnchor"/>
          <w:rtl w:val="true"/>
        </w:rPr>
        <w:footnoteReference w:id="10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اُخرى عنه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أشرقت عليه الشمس فقد طهر</w:t>
      </w:r>
      <w:r>
        <w:rPr>
          <w:rFonts w:eastAsia="IRNazanin" w:cs="IRNazanin"/>
          <w:color w:val="111111"/>
          <w:sz w:val="28"/>
          <w:szCs w:val="28"/>
          <w:rtl w:val="true"/>
          <w:lang w:bidi="fa-IR"/>
        </w:rPr>
        <w:t>»</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والظاهر أ نّهما رواية واحدة ، والسند وإن كان ضعيفاً بعثمان بن عبد الملك ، بل في الحضرمي تأمّل ، لكن رواية أحمد بن محمّد بن عيسى إيّاها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هو المعروف من طريقته</w:t>
      </w:r>
      <w:r>
        <w:rPr>
          <w:rStyle w:val="FootnoteAnchor"/>
          <w:rtl w:val="true"/>
        </w:rPr>
        <w:footnoteReference w:id="10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أن تكون نحو توثيق لهما ، أو دالّةً على قرينة على صدورها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صحيحة محمّد بن إسماعيل بن بَزيع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الأرض والسطح يصيبه البول وما أشبهه ، هل تطهّره الشمس من غير ماء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كيف يطهّر من غير ماء ؟ </w:t>
      </w:r>
      <w:r>
        <w:rPr>
          <w:rFonts w:eastAsia="Amiri" w:cs="Amiri" w:ascii="Amiri" w:hAnsi="Amiri"/>
          <w:color w:val="111111"/>
          <w:sz w:val="28"/>
          <w:szCs w:val="28"/>
          <w:rtl w:val="true"/>
          <w:lang w:bidi="ar-SA"/>
        </w:rPr>
        <w:t>!»</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فالظاهر منها أنّ الشمس تطهِّر مع الماء ، سيّما 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الذيل من التفعيل ، وضميره راجعاً إلى الشمس ، كما هو المناسب للسؤال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بالتاء</w:t>
      </w:r>
      <w:r>
        <w:rPr>
          <w:rStyle w:val="FootnoteAnchor"/>
          <w:rtl w:val="true"/>
        </w:rPr>
        <w:footnoteReference w:id="1089"/>
      </w:r>
      <w:r>
        <w:rPr>
          <w:rFonts w:ascii="Amiri" w:hAnsi="Amiri" w:eastAsia="Amiri" w:cs="Amiri"/>
          <w:color w:val="111111"/>
          <w:sz w:val="28"/>
          <w:sz w:val="28"/>
          <w:szCs w:val="28"/>
          <w:rtl w:val="true"/>
          <w:lang w:bidi="ar-SA"/>
        </w:rPr>
        <w:t>، والظاهر منها كونه من التفعيل ، لا من باب المجرّد ، فتكون الرواية دالّة على المطلوب ، فدعوى الكاشاني بأ نّها صريحة في عدم التطهّر بالشمس</w:t>
      </w:r>
      <w:r>
        <w:rPr>
          <w:rStyle w:val="FootnoteAnchor"/>
          <w:rtl w:val="true"/>
        </w:rPr>
        <w:footnoteReference w:id="1090"/>
      </w:r>
      <w:r>
        <w:rPr>
          <w:rFonts w:ascii="Amiri" w:hAnsi="Amiri" w:eastAsia="Amiri" w:cs="Amiri"/>
          <w:color w:val="111111"/>
          <w:sz w:val="28"/>
          <w:sz w:val="28"/>
          <w:szCs w:val="28"/>
          <w:rtl w:val="true"/>
          <w:lang w:bidi="ar-SA"/>
        </w:rPr>
        <w:t xml:space="preserve">، غير وجيهة </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بعض ما ذكرناه يظهر إمكان الاستدلال للمطلوب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حصول الطهارة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بصحيحة زرارة وحديد الأزدي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لأبي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السطح يصيبه البول أو يبال عليه ، يصلّى في ذلك المكان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تصيبه الشمس والريح </w:t>
      </w:r>
    </w:p>
    <w:p>
      <w:pPr>
        <w:pStyle w:val="BookText"/>
        <w:rPr/>
      </w:pPr>
      <w:r>
        <w:rPr>
          <w:rFonts w:ascii="Amiri" w:hAnsi="Amiri" w:eastAsia="Amiri" w:cs="Amiri"/>
          <w:color w:val="111111"/>
          <w:sz w:val="28"/>
          <w:sz w:val="28"/>
          <w:szCs w:val="28"/>
          <w:rtl w:val="true"/>
          <w:lang w:bidi="ar-SA"/>
        </w:rPr>
        <w:t>وكان جافّاً فلا بأس به ، إلاّ أن يكون يتّخذ مبالاً</w:t>
      </w:r>
      <w:r>
        <w:rPr>
          <w:rFonts w:eastAsia="Amiri" w:cs="Amiri" w:ascii="Amiri" w:hAnsi="Amiri"/>
          <w:color w:val="111111"/>
          <w:sz w:val="28"/>
          <w:szCs w:val="28"/>
          <w:rtl w:val="true"/>
          <w:lang w:bidi="ar-SA"/>
        </w:rPr>
        <w:t>»</w:t>
      </w:r>
      <w:r>
        <w:rPr>
          <w:rStyle w:val="FootnoteAnchor"/>
          <w:rtl w:val="true"/>
        </w:rPr>
        <w:footnoteReference w:id="10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التفصيل بين ما يتّخذ مبالاً ، فلا يجوز فيه الصلاة مع جفافه ، وبين غيره فيجوز ، كالصريح في مخالفة مختار الكاشاني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معهودية اشتراط الطهور في محلّ سجدة المصلّي ، وكون المتعارف عدم وضع شيء للسجود ، تدلّ الرواية على حصول الشرط ؛ أي الطهور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تجويز الصلاة فيه ونفي البأس ، لا يدلاّن على حصول الطهارة ؛ لإمكان كونهما مبنيّين على العفو</w:t>
      </w:r>
      <w:r>
        <w:rPr>
          <w:rStyle w:val="FootnoteAnchor"/>
          <w:rtl w:val="true"/>
        </w:rPr>
        <w:footnoteReference w:id="1092"/>
      </w:r>
      <w:r>
        <w:rPr>
          <w:rFonts w:ascii="Amiri" w:hAnsi="Amiri" w:eastAsia="Amiri" w:cs="Amiri"/>
          <w:color w:val="111111"/>
          <w:sz w:val="28"/>
          <w:sz w:val="28"/>
          <w:szCs w:val="28"/>
          <w:rtl w:val="true"/>
          <w:lang w:bidi="ar-SA"/>
        </w:rPr>
        <w:t xml:space="preserve">، خلاف فهم العرف وظهور الرواية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فيها مناقشة ناشئة من ضمّ الريح إلى الشمس</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ومناقشة اُخرى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دعوى كون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 جافّاً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في أنّ الجفاف موضوع الحكم ولو لم يحصل بالشمس</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وهما ضعيفتان ؛ فإنّ ذكر الريح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قيام الإجماع</w:t>
      </w:r>
      <w:r>
        <w:rPr>
          <w:rStyle w:val="FootnoteAnchor"/>
          <w:rtl w:val="true"/>
        </w:rPr>
        <w:footnoteReference w:id="1095"/>
      </w:r>
      <w:r>
        <w:rPr>
          <w:rFonts w:ascii="Amiri" w:hAnsi="Amiri" w:eastAsia="Amiri" w:cs="Amiri"/>
          <w:color w:val="111111"/>
          <w:sz w:val="28"/>
          <w:sz w:val="28"/>
          <w:szCs w:val="28"/>
          <w:rtl w:val="true"/>
          <w:lang w:bidi="ar-SA"/>
        </w:rPr>
        <w:t xml:space="preserve">وظهور الأدلّة في عدم دخالتها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لدفع 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دخالتها الجزئية مضرّة بتطهير الشمس ، ومن المعلوم أنّ الشمس إذا أشرقت على موضع ، وهبّ الريح عليه ، يكون التأثير في التجفيف مستنداً إلى إشراقها ؛ وإن كان للريح أيضاً تأثير </w:t>
      </w:r>
    </w:p>
    <w:p>
      <w:pPr>
        <w:pStyle w:val="BookText"/>
        <w:rPr/>
      </w:pPr>
      <w:r>
        <w:rPr>
          <w:rFonts w:ascii="Amiri" w:hAnsi="Amiri" w:eastAsia="Amiri" w:cs="Amiri"/>
          <w:color w:val="111111"/>
          <w:sz w:val="28"/>
          <w:sz w:val="28"/>
          <w:szCs w:val="28"/>
          <w:rtl w:val="true"/>
          <w:lang w:bidi="ar-SA"/>
        </w:rPr>
        <w:t>ضعيف ، فلا يكون هذا التأثير مضرّاً ، لا أ نّه جزء الموضوع بحيث ينتفي</w:t>
      </w:r>
    </w:p>
    <w:p>
      <w:pPr>
        <w:pStyle w:val="BookText"/>
        <w:rPr/>
      </w:pPr>
      <w:r>
        <w:rPr>
          <w:rFonts w:ascii="Amiri" w:hAnsi="Amiri" w:eastAsia="Amiri" w:cs="Amiri"/>
          <w:color w:val="111111"/>
          <w:sz w:val="28"/>
          <w:sz w:val="28"/>
          <w:szCs w:val="28"/>
          <w:rtl w:val="true"/>
          <w:lang w:bidi="ar-SA"/>
        </w:rPr>
        <w:t xml:space="preserve">الحكم بانتفائه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 جافّاً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ظهور فيه فيما ادّعي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لا ظهور فيه بأنّ الجفاف حصل بالشمس فقط ؛ وإن لا يبعد ظهوره العرفي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كان فيه إجمال يرفع بسائر الروايات ، فلا إشكال فيها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موثّقة عمّار الساباطي ،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عن الموضع القذر يكون في البيت أو غيره ، فلا تصيبه الشمس ، ولكنّه قد يبس الموضع القذر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يصلّى ، وأعلم موضعه حتّى تغسله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وعن الشمس هل تطهّر الأرض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الموضع قذراً من البول أو غير ذلك ، فأصابته الشمس ثمّ يبس الموضع ، فالصلاة على الموضع جائزة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أصابته الشمس ولم ييبس الموضع القذر وكان رطباً ، فلا يجوز الصلاة حتّى ييبس ، وإن كانت رجلك رطبة أو جبهتك رطبة أو غير ذلك منك ما يصيب ذلك الموضع القذر ، فلا تصلّ على ذلك الموضع حتّى ييبس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غير الشمس أصابه حتّى ييبس فإنّه لا يجوز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Style w:val="FootnoteAnchor"/>
          <w:rtl w:val="true"/>
        </w:rPr>
        <w:footnoteReference w:id="1096"/>
      </w:r>
      <w:r>
        <w:rPr>
          <w:rFonts w:ascii="IRNazanin" w:hAnsi="IRNazanin" w:eastAsia="IRNazanin"/>
          <w:color w:val="111111"/>
          <w:sz w:val="28"/>
          <w:sz w:val="28"/>
          <w:szCs w:val="28"/>
          <w:rtl w:val="true"/>
          <w:lang w:bidi="fa-IR"/>
        </w:rPr>
        <w:t xml:space="preserve">وليس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الوافي</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حتّى ييبس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الموضع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ويكون 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الشمس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عين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أصابته</w:t>
      </w:r>
      <w:r>
        <w:rPr>
          <w:rFonts w:eastAsia="IRNazanin" w:cs="IRNazanin"/>
          <w:color w:val="111111"/>
          <w:sz w:val="28"/>
          <w:szCs w:val="28"/>
          <w:rtl w:val="true"/>
          <w:lang w:bidi="fa-IR"/>
        </w:rPr>
        <w:t>»</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نسخة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مقروءة على المولى المجلسي رواها نحو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 نّه جعل فيها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علامة نسخة ، ونقل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مذكّراً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حبل المتين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ربّما يوجد في بعض 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بالعين المهملة والنون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بالغين المعجمة والراء ، والصحيح الموجود في النسخ الموثوق بها هو الأوّل</w:t>
      </w:r>
      <w:r>
        <w:rPr>
          <w:rFonts w:eastAsia="Amiri" w:cs="Amiri" w:ascii="Amiri" w:hAnsi="Amiri"/>
          <w:color w:val="111111"/>
          <w:sz w:val="28"/>
          <w:szCs w:val="28"/>
          <w:rtl w:val="true"/>
          <w:lang w:bidi="ar-SA"/>
        </w:rPr>
        <w:t>»</w:t>
      </w:r>
      <w:r>
        <w:rPr>
          <w:rStyle w:val="FootnoteAnchor"/>
          <w:rtl w:val="true"/>
        </w:rPr>
        <w:footnoteReference w:id="1098"/>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نحو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وصرّح في ذيلها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رواية عمّار فرّقت بين اليبوسة بالشمس وغيرها</w:t>
      </w:r>
      <w:r>
        <w:rPr>
          <w:rFonts w:eastAsia="Amiri" w:cs="Amiri" w:ascii="Amiri" w:hAnsi="Amiri"/>
          <w:color w:val="111111"/>
          <w:sz w:val="28"/>
          <w:szCs w:val="28"/>
          <w:rtl w:val="true"/>
          <w:lang w:bidi="ar-SA"/>
        </w:rPr>
        <w:t>»</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هامش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حبل المتين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وقد ظفرنا في النسخ الصحيحة المعتمد عليها جدّاً على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نسخة</w:t>
      </w:r>
      <w:r>
        <w:rPr>
          <w:rFonts w:eastAsia="Amiri" w:cs="Amiri" w:ascii="Amiri" w:hAnsi="Amiri"/>
          <w:color w:val="111111"/>
          <w:sz w:val="28"/>
          <w:szCs w:val="28"/>
          <w:rtl w:val="true"/>
          <w:lang w:bidi="ar-SA"/>
        </w:rPr>
        <w:t>»</w:t>
      </w:r>
      <w:r>
        <w:rPr>
          <w:rStyle w:val="FootnoteAnchor"/>
          <w:rtl w:val="true"/>
        </w:rPr>
        <w:footnoteReference w:id="1100"/>
      </w:r>
      <w:r>
        <w:rPr>
          <w:rFonts w:ascii="Amiri" w:hAnsi="Amiri" w:eastAsia="Amiri" w:cs="Amiri"/>
          <w:color w:val="111111"/>
          <w:sz w:val="28"/>
          <w:sz w:val="28"/>
          <w:szCs w:val="28"/>
          <w:rtl w:val="true"/>
          <w:lang w:bidi="ar-SA"/>
        </w:rPr>
        <w:t xml:space="preserve">، والظاهر أنّ الهامش لمصحّح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فالموثّقة متعرّضة لأحكام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إن يبس الموضع بغير الشمس ، لا يجوز الصلاة عليه حتّى يغسل ، ووجهه لزوم كون محلّ السجدة طاهراً ، فالمراد من النهي عنها إمّا عن خصوص السجود ، أو عن الصلاة بجميع أجزائها التي منها السجود ؛ لما ذكرناه من عدم تعارف وضع شيء للسجدة عليه</w:t>
      </w:r>
      <w:r>
        <w:rPr>
          <w:rStyle w:val="FootnoteAnchor"/>
          <w:rtl w:val="true"/>
        </w:rPr>
        <w:footnoteReference w:id="1101"/>
      </w:r>
      <w:r>
        <w:rPr>
          <w:rFonts w:ascii="Amiri" w:hAnsi="Amiri" w:eastAsia="Amiri" w:cs="Amiri"/>
          <w:color w:val="111111"/>
          <w:sz w:val="28"/>
          <w:sz w:val="28"/>
          <w:szCs w:val="28"/>
          <w:rtl w:val="true"/>
          <w:lang w:bidi="ar-SA"/>
        </w:rPr>
        <w:t xml:space="preserve">، فلا محالة يكون السؤال عن الصلاة على موضع قذر ، شاملاً للسجود عليه </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إذا كان الموضع قذراً ببول أو غيره فيبس بالشمس ، يجوز الصلاة </w:t>
      </w:r>
    </w:p>
    <w:p>
      <w:pPr>
        <w:pStyle w:val="BookText"/>
        <w:rPr/>
      </w:pPr>
      <w:r>
        <w:rPr>
          <w:rFonts w:ascii="IRNazanin" w:hAnsi="IRNazanin" w:eastAsia="IRNazanin"/>
          <w:color w:val="111111"/>
          <w:sz w:val="28"/>
          <w:sz w:val="28"/>
          <w:szCs w:val="28"/>
          <w:rtl w:val="true"/>
          <w:lang w:bidi="fa-IR"/>
        </w:rPr>
        <w:t xml:space="preserve">عليه ، والتفصيل بين الجفاف بالشمس وغيرها كالنصّ على ردّ الكاشاني ، وليس المراد من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يبس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اليبوسة ولو بغير الشمس ، بل المراد الجفاف بها ، وتخلّل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لكون الجفاف يحصل بتدريج ، فيكون متأخّراً عن حدوث إصابتها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كان فيه نوع إجمال يرفع بصحيحة زرارة المتقدّمة</w:t>
      </w:r>
      <w:r>
        <w:rPr>
          <w:rStyle w:val="FootnoteAnchor"/>
          <w:rtl w:val="true"/>
        </w:rPr>
        <w:footnoteReference w:id="1102"/>
      </w:r>
      <w:r>
        <w:rPr>
          <w:rFonts w:ascii="Amiri" w:hAnsi="Amiri" w:eastAsia="Amiri" w:cs="Amiri"/>
          <w:color w:val="111111"/>
          <w:sz w:val="28"/>
          <w:sz w:val="28"/>
          <w:szCs w:val="28"/>
          <w:rtl w:val="true"/>
          <w:lang w:bidi="ar-SA"/>
        </w:rPr>
        <w:t xml:space="preserve">، وبالإجماع على أنّ الجفاف بغير الشمس غير مفيد ، كما أ نّه لو كان له إطلاق يقيّد بهما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والتقريب فيها لحصول الطهارة بنحو ما تقدّم من أنّ العرف بعد ما رأى أنّ الطهارة في محلّ السجدة معتبرة ، لا ينقدح في ذهنه من تجويز الصلاة إلاّ حصول الشرط ، والعفو لا ينقدح في الأذهان غير المشوّشة بالعلميات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إن أصابته الشمس فلم ييبس وكان رطباً ، لا يجوز الصلاة عليه حتّى ييبس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والظاهر أنّ هذه الفقرة مفهوم الفقرة المتقدّمة ، وقولَه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ييبس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تأكيد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فرض الإجمال أو الإطلاق فيها يرفع أو يقيّد ، كما تقدّم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مع رطوبة الأعضاء لا يجوز الصلاة عليه حتّى ييبس ، والمراد اليبوسة بالشمس بقرينة الفقرة الآتية ؛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كان غير الشمس أصابه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من الفقرتين التفصيل في الصلاة عليه مع رطوبة الأعضاء بين الجفاف بالشمس وغيرها ، فتدلّ على حصول الطهارة بالأوّل دون الثاني </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على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الموافقة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منتهى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وللنصوص والفتاوى ، </w:t>
      </w:r>
    </w:p>
    <w:p>
      <w:pPr>
        <w:pStyle w:val="BookText"/>
        <w:rPr/>
      </w:pPr>
      <w:r>
        <w:rPr>
          <w:rFonts w:ascii="Amiri" w:hAnsi="Amiri" w:eastAsia="Amiri" w:cs="Amiri"/>
          <w:color w:val="111111"/>
          <w:sz w:val="28"/>
          <w:sz w:val="28"/>
          <w:szCs w:val="28"/>
          <w:rtl w:val="true"/>
          <w:lang w:bidi="ar-SA"/>
        </w:rPr>
        <w:t xml:space="preserve">والمناسب لتذكير الضمير ،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ولعلّ البهائي والكاشاني تصرّفا في النسخة بعد ترجيح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فجعلا الضمير مؤنّثاً ، كما يظهر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حبل المتين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بالتأنيث في المتن ، والتذكير فوق السطر مع 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Style w:val="FootnoteAnchor"/>
          <w:rtl w:val="true"/>
        </w:rPr>
        <w:footnoteReference w:id="1103"/>
      </w:r>
      <w:r>
        <w:rPr>
          <w:rFonts w:ascii="Amiri" w:hAnsi="Amiri" w:eastAsia="Amiri" w:cs="Amiri"/>
          <w:color w:val="111111"/>
          <w:sz w:val="28"/>
          <w:sz w:val="28"/>
          <w:szCs w:val="28"/>
          <w:rtl w:val="true"/>
          <w:lang w:bidi="ar-SA"/>
        </w:rPr>
        <w:t xml:space="preserve">مع أنّ الرواية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 نسخته كذلك ، وتصرّف فيها تصحيحاً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النسخة الاُخرى وهي هكذا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كانت رجلك رطبة أو جبهتك رطبة أو غير ذلك منك ما يصيب ذلك الموضع القذر ، فلا تصلّ على ذلك الموضع وإن كان عين الشمس أصابه حتّى ييبس ؛ فإنّه لا يجوز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ففيه احتمالان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الموضع القذر الرطب ؛ أي لا تصلّ مع رطوبة الأعضاء على ذلك الموضع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عين الشمس أصابته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ييبس بالشمس ، فيجوز حينئذٍ الصلاة عليه مع رطوبتها ، فكأنّ المقصود بهذه الفقرة إثبات طهارة ما أصابته الشمس ، فتكون مخالفة للقول بالعفو دون الطهارة </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هذا الاحتمال تكون الفقرة السابقة على هذه الفقرة ، متعرّضةً لعدم جواز الصلاة على الموضع حتّى ييبس ، وهذه الفقرة لجواز الصلاة مع رطوبة الأعضاء فيما إذا يبس الموضع بالشمس ، فيكون التعرّض لعدم الجواز حتّى ييبس ، توطئةً لهذا الحكم ، فتدلّ على طهارة الموضع بالتجفيف بالشمس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وعلى هذا الاحتمال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ييبس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لعدم جواز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يحتمل أن يكون متعلّقاً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فتدلّ على عدم الطهارة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الموضع القذر بعد اليبوسة ؛ أي لا تصلّ مع رطوبة الأعضاء على الموضع الذي يبس وإن كان أصابه عين الشمس ويبس بها ، فتدلّ على نجاسة ما يبس بالشمس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ترجيح لهذا الاحتمال على الاحتمال الأوّل ، بل الترجيح معه ، سيّما مع كونه موافقاً لسائر الروايات الدالّة على الطهارة صريحاً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فدعوى الكاشاني بأنّ الرواية على هذه النسخة صريحة في عدم الطهارة</w:t>
      </w:r>
      <w:r>
        <w:rPr>
          <w:rStyle w:val="FootnoteAnchor"/>
          <w:rtl w:val="true"/>
        </w:rPr>
        <w:footnoteReference w:id="1104"/>
      </w:r>
      <w:r>
        <w:rPr>
          <w:rFonts w:ascii="Amiri" w:hAnsi="Amiri" w:eastAsia="Amiri" w:cs="Amiri"/>
          <w:color w:val="111111"/>
          <w:sz w:val="28"/>
          <w:sz w:val="28"/>
          <w:szCs w:val="28"/>
          <w:rtl w:val="true"/>
          <w:lang w:bidi="ar-SA"/>
        </w:rPr>
        <w:t xml:space="preserve">غير وجيهة ، بل لا ظهور لها فيه ، بل الأرجح دلالتها على الطهارة على هذه النسخة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w:t>
      </w:r>
      <w:r>
        <w:rPr>
          <w:rStyle w:val="FootnoteAnchor"/>
          <w:rtl w:val="true"/>
        </w:rPr>
        <w:footnoteReference w:id="1105"/>
      </w:r>
      <w:r>
        <w:rPr>
          <w:rFonts w:ascii="Amiri" w:hAnsi="Amiri" w:eastAsia="Amiri" w:cs="Amiri"/>
          <w:color w:val="111111"/>
          <w:sz w:val="28"/>
          <w:sz w:val="28"/>
          <w:szCs w:val="28"/>
          <w:rtl w:val="true"/>
          <w:lang w:bidi="ar-SA"/>
        </w:rPr>
        <w:t xml:space="preserve">على عدم الطهارة بها بصحيحة ابن بَزيع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الأرض والسطح يصيبه البول وما أشبهه ، هل تطهّره الشمس من غير ماء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كيف يطهر من غير ماءٍ ؟ </w:t>
      </w:r>
      <w:r>
        <w:rPr>
          <w:rFonts w:eastAsia="Amiri" w:cs="Amiri" w:ascii="Amiri" w:hAnsi="Amiri"/>
          <w:color w:val="111111"/>
          <w:sz w:val="28"/>
          <w:szCs w:val="28"/>
          <w:rtl w:val="true"/>
          <w:lang w:bidi="ar-SA"/>
        </w:rPr>
        <w:t>!»</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السؤال أنّ الشمس مطهّرة في قبال الماء ، ومن الجواب أ نّه كيف يطهر بالشمس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بدّ من الغسل بالماء </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هاهنا احتمالاً آخر أقرب منه بلفظ الرواية ؛ وهو أنّ الشمس في </w:t>
      </w:r>
    </w:p>
    <w:p>
      <w:pPr>
        <w:pStyle w:val="BookText"/>
        <w:rPr/>
      </w:pPr>
      <w:r>
        <w:rPr>
          <w:rFonts w:ascii="Amiri" w:hAnsi="Amiri" w:eastAsia="Amiri" w:cs="Amiri"/>
          <w:color w:val="111111"/>
          <w:sz w:val="28"/>
          <w:sz w:val="28"/>
          <w:szCs w:val="28"/>
          <w:rtl w:val="true"/>
          <w:lang w:bidi="ar-SA"/>
        </w:rPr>
        <w:t>تطهيرها تحتاج إلى ماء ، أو يطهر المحلّ بصِرف إشراقها عليه ؟ فتعجّب من ذلك</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كيف تطهر من غير ماءٍ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تحتاج في التطهير إلى التبخير والتجفيف ، وهما لا يتمّان إلاّ بماء ، ولعلّ المراد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المائع القابل للتبخير ، ولهذا</w:t>
      </w:r>
    </w:p>
    <w:p>
      <w:pPr>
        <w:pStyle w:val="BookText"/>
        <w:rPr/>
      </w:pPr>
      <w:r>
        <w:rPr>
          <w:rFonts w:ascii="Amiri" w:hAnsi="Amiri" w:eastAsia="Amiri" w:cs="Amiri"/>
          <w:color w:val="111111"/>
          <w:sz w:val="28"/>
          <w:sz w:val="28"/>
          <w:szCs w:val="28"/>
          <w:rtl w:val="true"/>
          <w:lang w:bidi="ar-SA"/>
        </w:rPr>
        <w:t xml:space="preserve">نكّره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نوقش في ذلك يجب تقييد إطلاقها بصحيحة زرارة</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الاحتمال أقرب ؛ لأنّ الرواية مشعرة بأنّ مطهّرية الشمس كانت مفروضة ، وإنّما سئل عن كيفيتها ؛ وأنّ الإشراق بلا ماء كافٍ أو لا ؟</w:t>
      </w:r>
    </w:p>
    <w:p>
      <w:pPr>
        <w:pStyle w:val="BookText"/>
        <w:rPr/>
      </w:pP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كيف يطهر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يطهر المحلّ بالشمس فقط من دون ماء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سيّما على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بالتاء المثنّاة</w:t>
      </w:r>
      <w:r>
        <w:rPr>
          <w:rStyle w:val="FootnoteAnchor"/>
          <w:rtl w:val="true"/>
        </w:rPr>
        <w:footnoteReference w:id="1108"/>
      </w:r>
      <w:r>
        <w:rPr>
          <w:rFonts w:ascii="Amiri" w:hAnsi="Amiri" w:eastAsia="Amiri" w:cs="Amiri"/>
          <w:color w:val="111111"/>
          <w:sz w:val="28"/>
          <w:sz w:val="28"/>
          <w:szCs w:val="28"/>
          <w:rtl w:val="true"/>
          <w:lang w:bidi="ar-SA"/>
        </w:rPr>
        <w:t xml:space="preserve">، والظاهر أ نّه من التفعيل بمناسبة السؤال ، وسيّما مع تنكير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مشعر بأنّ المراد ليس التطهير بالماء على النحو المعهود ، بل لا بدّ فيه من ماء يتبخّر بالشمس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تساوي الاحتمالين ، لا يجوز رفع اليد عن صحيحة زرارة وغيرها الناصّة على الطهارة بمثلها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مع فرض أرجحية الاحتمال الأوّل صارت معارضة لها ، والترجيح معها ؛ لموافقتها مع الشهرة والإجماعات المنقولة</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طرح الصحيحة الصريحة بمثل هذه المضمرة المجملة غير جائز </w:t>
      </w:r>
      <w:r>
        <w:rPr>
          <w:rFonts w:eastAsia="Amiri" w:cs="Amiri" w:ascii="Amiri" w:hAnsi="Amiri"/>
          <w:color w:val="111111"/>
          <w:sz w:val="28"/>
          <w:szCs w:val="28"/>
          <w:rtl w:val="true"/>
          <w:lang w:bidi="ar-SA"/>
        </w:rPr>
        <w:t xml:space="preserve">. </w:t>
      </w:r>
      <w:bookmarkStart w:id="431" w:name="pg15030_143334"/>
    </w:p>
    <w:p>
      <w:pPr>
        <w:pStyle w:val="BookText"/>
        <w:rPr/>
      </w:pPr>
      <w:bookmarkEnd w:id="431"/>
      <w:r>
        <w:rPr>
          <w:rFonts w:ascii="Amiri" w:hAnsi="Amiri" w:eastAsia="Amiri" w:cs="Amiri"/>
          <w:color w:val="111111"/>
          <w:sz w:val="28"/>
          <w:sz w:val="28"/>
          <w:szCs w:val="28"/>
          <w:rtl w:val="true"/>
          <w:lang w:bidi="ar-SA"/>
        </w:rPr>
        <w:t xml:space="preserve">وأمّا الروايات الواردة في الشاذكونة وغيرها </w:t>
      </w:r>
      <w:r>
        <w:rPr>
          <w:rStyle w:val="FootnoteAnchor"/>
          <w:rtl w:val="true"/>
        </w:rPr>
        <w:footnoteReference w:id="1110"/>
      </w:r>
      <w:r>
        <w:rPr>
          <w:rFonts w:ascii="Amiri" w:hAnsi="Amiri" w:eastAsia="Amiri" w:cs="Amiri"/>
          <w:color w:val="111111"/>
          <w:sz w:val="28"/>
          <w:sz w:val="28"/>
          <w:szCs w:val="28"/>
          <w:rtl w:val="true"/>
          <w:lang w:bidi="ar-SA"/>
        </w:rPr>
        <w:t xml:space="preserve">؛ ممّا تدلّ على جواز الصلاة عليها مع الجفاف بلا تقييد بالشمس ، وهي التي صارت موجبة لاغترار الكاشاني ؛ وارتكابه للتأويل البعيد في صحيحة زرارة وغيرها ، فهي مطلقات يمكن تقييدها بتلك الروايات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المناقشة فيه فالتصرّف فيها بحملها على جواز الصلاة فيها ، أو عليها إذا</w:t>
      </w:r>
    </w:p>
    <w:p>
      <w:pPr>
        <w:pStyle w:val="BookText"/>
        <w:rPr/>
      </w:pPr>
      <w:r>
        <w:rPr>
          <w:rFonts w:ascii="Amiri" w:hAnsi="Amiri" w:eastAsia="Amiri" w:cs="Amiri"/>
          <w:color w:val="111111"/>
          <w:sz w:val="28"/>
          <w:sz w:val="28"/>
          <w:szCs w:val="28"/>
          <w:rtl w:val="true"/>
          <w:lang w:bidi="ar-SA"/>
        </w:rPr>
        <w:t xml:space="preserve">كان موضع السجدة طاهراً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بتقييدها بالإجماع على لزوم طهارته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من التصرّف في صحيحة زرارة ونحوها الموافقة للشهرة والإجماعات المنقولة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حال إحدى المقامات الثلاثة </w:t>
      </w:r>
      <w:r>
        <w:rPr>
          <w:rFonts w:eastAsia="Amiri" w:cs="Amiri" w:ascii="Amiri" w:hAnsi="Amiri"/>
          <w:color w:val="111111"/>
          <w:sz w:val="28"/>
          <w:szCs w:val="28"/>
          <w:rtl w:val="true"/>
          <w:lang w:bidi="ar-SA"/>
        </w:rPr>
        <w:t>.</w:t>
      </w:r>
    </w:p>
    <w:p>
      <w:pPr>
        <w:pStyle w:val="Heading5"/>
        <w:numPr>
          <w:ilvl w:val="4"/>
          <w:numId w:val="1"/>
        </w:numPr>
        <w:rPr/>
      </w:pPr>
      <w:bookmarkStart w:id="432" w:name="__RefHeading___Toc212924_2142443653"/>
      <w:bookmarkStart w:id="433" w:name="_Toc154"/>
      <w:bookmarkEnd w:id="432"/>
      <w:r>
        <w:rPr>
          <w:rtl w:val="true"/>
        </w:rPr>
        <w:t>فيما يدلّ على تعميم موضوع الحكم لغير السطح والمصلّى</w:t>
      </w:r>
      <w:bookmarkEnd w:id="433"/>
    </w:p>
    <w:p>
      <w:pPr>
        <w:pStyle w:val="BookText"/>
        <w:rPr/>
      </w:pPr>
      <w:r>
        <w:rPr>
          <w:rFonts w:ascii="Amiri" w:hAnsi="Amiri" w:eastAsia="Amiri" w:cs="Amiri"/>
          <w:color w:val="111111"/>
          <w:sz w:val="28"/>
          <w:sz w:val="28"/>
          <w:szCs w:val="28"/>
          <w:rtl w:val="true"/>
          <w:lang w:bidi="ar-SA"/>
        </w:rPr>
        <w:t xml:space="preserve">وأمّا دلالة صحيحة زرارة على تعميم الموضوع وعدم الاختصاص بالسطح والمكان الذي يصلّى فيه ، فبإلغاء الخصوصية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لدلالة الشرطية على أنّ تمام العلّة للتطهير هو تجفيف الشمس ، من غير دخالة القابل فيه ، والمقام لا يقصر عن سائر المقامات التي يدّعى فيها إلغاء الخصوصية عرفاً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ينقدح في ذهن العرف من هذا الكلام ؛ أنّ السطح بما هو مكان خاصّ أو مكان المصلّي بما هو كذلك ، دخيل في تطهيره بالشمس ، بل يرى أنّ التأثير للشمس وإشراقها والتجفيف بها ، من غير دخالة الأرض والسطح ومكان المصلّي فيه </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لو كان الحكم من قبيل العفو لكان لدعوى الخصوصية وجه ، لكن بعد </w:t>
      </w:r>
    </w:p>
    <w:p>
      <w:pPr>
        <w:pStyle w:val="BookText"/>
        <w:rPr/>
      </w:pPr>
      <w:r>
        <w:rPr>
          <w:rFonts w:ascii="Amiri" w:hAnsi="Amiri" w:eastAsia="Amiri" w:cs="Amiri"/>
          <w:color w:val="111111"/>
          <w:sz w:val="28"/>
          <w:sz w:val="28"/>
          <w:szCs w:val="28"/>
          <w:rtl w:val="true"/>
          <w:lang w:bidi="ar-SA"/>
        </w:rPr>
        <w:t xml:space="preserve">البناء على حصول الطهارة ، لا ينقدح في الأذهان الخصوصية ، سيّما مع وقوع المكان الخاصّ في كلام السائل ، فلو كان بدل هذه الشرطية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أصابه المطر صلّ عليه ، وهو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يختلج في الذهن أنّ المطر مطهّر السطح أو مكان المصلّي ؛ بحيث يكون للجدار تحت السطح أو لصلاة المصلّي دخالة فيه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والمقام من قبيله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وعدم معهودية كون الشمس مطهّرة ، لا يوجب فهم الخصوصية بعد دلالة الدليل على أصل الحكم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المتفاهم من الشرطية أنّ السبب الوحيد للتطهير تجفيف الشمس ، كما هو المتفاهم في غير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يستثنى المنقولات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عدا الحصر والبواري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بالإجماع</w:t>
      </w:r>
      <w:r>
        <w:rPr>
          <w:rStyle w:val="FootnoteAnchor"/>
          <w:rtl w:val="true"/>
        </w:rPr>
        <w:footnoteReference w:id="1111"/>
      </w:r>
      <w:r>
        <w:rPr>
          <w:rFonts w:ascii="Amiri" w:hAnsi="Amiri" w:eastAsia="Amiri" w:cs="Amiri"/>
          <w:color w:val="111111"/>
          <w:sz w:val="28"/>
          <w:sz w:val="28"/>
          <w:szCs w:val="28"/>
          <w:rtl w:val="true"/>
          <w:lang w:bidi="ar-SA"/>
        </w:rPr>
        <w:t>ودلالة بعض الأدلّة</w:t>
      </w:r>
      <w:r>
        <w:rPr>
          <w:rStyle w:val="FootnoteAnchor"/>
          <w:rtl w:val="true"/>
        </w:rPr>
        <w:footnoteReference w:id="1112"/>
      </w:r>
      <w:r>
        <w:rPr>
          <w:rFonts w:ascii="Amiri" w:hAnsi="Amiri" w:eastAsia="Amiri" w:cs="Amiri"/>
          <w:color w:val="111111"/>
          <w:sz w:val="28"/>
          <w:sz w:val="28"/>
          <w:szCs w:val="28"/>
          <w:rtl w:val="true"/>
          <w:lang w:bidi="ar-SA"/>
        </w:rPr>
        <w:t xml:space="preserve">، أو بدعوى عدم إلغاء الخصوصية بالنسبة إليها ؛ بملاحظة الأخبار الواردة في كيفية تطهير الأواني والثياب وأمثالهما </w:t>
      </w:r>
      <w:r>
        <w:rPr>
          <w:rStyle w:val="FootnoteAnchor"/>
          <w:rtl w:val="true"/>
        </w:rPr>
        <w:footnoteReference w:id="1113"/>
      </w:r>
      <w:r>
        <w:rPr>
          <w:rFonts w:ascii="Amiri" w:hAnsi="Amiri" w:eastAsia="Amiri" w:cs="Amiri"/>
          <w:color w:val="111111"/>
          <w:sz w:val="28"/>
          <w:sz w:val="28"/>
          <w:szCs w:val="28"/>
          <w:rtl w:val="true"/>
          <w:lang w:bidi="ar-SA"/>
        </w:rPr>
        <w:t xml:space="preserve">، تأمّل </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 على التعميم رواية أبي بكر الحضرمي المتقدّمة</w:t>
      </w:r>
      <w:r>
        <w:rPr>
          <w:rStyle w:val="FootnoteAnchor"/>
          <w:rtl w:val="true"/>
        </w:rPr>
        <w:footnoteReference w:id="1114"/>
      </w:r>
      <w:r>
        <w:rPr>
          <w:rFonts w:ascii="Amiri" w:hAnsi="Amiri" w:eastAsia="Amiri" w:cs="Amiri"/>
          <w:color w:val="111111"/>
          <w:sz w:val="28"/>
          <w:sz w:val="28"/>
          <w:szCs w:val="28"/>
          <w:rtl w:val="true"/>
          <w:lang w:bidi="ar-SA"/>
        </w:rPr>
        <w:t xml:space="preserve">بعد تقييدها بحصول </w:t>
      </w:r>
      <w:bookmarkStart w:id="434" w:name="pg15030_143336"/>
    </w:p>
    <w:p>
      <w:pPr>
        <w:pStyle w:val="BookText"/>
        <w:rPr/>
      </w:pPr>
      <w:bookmarkEnd w:id="434"/>
      <w:r>
        <w:rPr>
          <w:rFonts w:ascii="IRNazanin" w:hAnsi="IRNazanin" w:eastAsia="IRNazanin"/>
          <w:color w:val="111111"/>
          <w:sz w:val="28"/>
          <w:sz w:val="28"/>
          <w:szCs w:val="28"/>
          <w:rtl w:val="true"/>
          <w:lang w:bidi="fa-IR"/>
        </w:rPr>
        <w:t xml:space="preserve">الجفاف ، لو لم نقل بانصرافها عمّا قبله ؛ بعد عدم إمكان كون إشراقها مطهّراً مع بقاء عين النجس أو الرطوبة المتنجّسة ، فلا ينقدح في الأذهان من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ما أشرقت عليه الشمس فهو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إذهاب الإشراق عين النجس أو الرطوبة المتنجّسة بالتبخير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يجب تقييدها بالمنقولات بالإجماع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وتوهّم انصرافها إلى غير المنقول الذي من شأنه الثبات وإشراق الشمس عليه</w:t>
      </w:r>
      <w:r>
        <w:rPr>
          <w:rStyle w:val="FootnoteAnchor"/>
          <w:rtl w:val="true"/>
        </w:rPr>
        <w:footnoteReference w:id="1115"/>
      </w:r>
      <w:r>
        <w:rPr>
          <w:rFonts w:ascii="Amiri" w:hAnsi="Amiri" w:eastAsia="Amiri" w:cs="Amiri"/>
          <w:color w:val="111111"/>
          <w:sz w:val="28"/>
          <w:sz w:val="28"/>
          <w:szCs w:val="28"/>
          <w:rtl w:val="true"/>
          <w:lang w:bidi="ar-SA"/>
        </w:rPr>
        <w:t xml:space="preserve">، كما ترى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يدّعى الانصراف بملاحظة ما وردت في كيفية تطهير الأواني والثياب ، وهو أيضاً لا يخلو من 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على التعميم حكاية جمع من الأعاظم الشهرة عليه</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تقدّم يظهر الحال في الاُمور التي يشكّ في كونها منقولاً أو لا ؛ لعدم دليل على هذا العنوان ، بل ما دلّ على الاستثناء هو الإجماع ، والواجب الأخذ بالمتيقّن منه ؛ وهو غير المذكورات </w:t>
      </w:r>
      <w:r>
        <w:rPr>
          <w:rFonts w:eastAsia="Amiri" w:cs="Amiri" w:ascii="Amiri" w:hAnsi="Amiri"/>
          <w:color w:val="111111"/>
          <w:sz w:val="28"/>
          <w:szCs w:val="28"/>
          <w:rtl w:val="true"/>
          <w:lang w:bidi="ar-SA"/>
        </w:rPr>
        <w:t>.</w:t>
      </w:r>
    </w:p>
    <w:p>
      <w:pPr>
        <w:pStyle w:val="Heading5"/>
        <w:numPr>
          <w:ilvl w:val="4"/>
          <w:numId w:val="1"/>
        </w:numPr>
        <w:rPr/>
      </w:pPr>
      <w:bookmarkStart w:id="435" w:name="__RefHeading___Toc212926_2142443653"/>
      <w:bookmarkStart w:id="436" w:name="_Toc155"/>
      <w:bookmarkEnd w:id="435"/>
      <w:r>
        <w:rPr>
          <w:rtl w:val="true"/>
        </w:rPr>
        <w:t>فيما يدلّ على تعميم الحكم بالنسبة إلى غير البول</w:t>
      </w:r>
      <w:bookmarkEnd w:id="436"/>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وتدلّ على تعميم الحكم بالنسبة إلى غير البول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هو نظيره في رقّته وتبخيره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زرارة بعد إلغاء الخصوصية منه عرفاً ، سيّما مع كون البول أشدّ نجاسة من المائعات المتنجّسة بسائر النجاسات، بل من كثير من النجاسات</w:t>
      </w:r>
      <w:r>
        <w:rPr>
          <w:rFonts w:eastAsia="Amiri" w:cs="Amiri" w:ascii="Amiri" w:hAnsi="Amiri"/>
          <w:color w:val="111111"/>
          <w:sz w:val="28"/>
          <w:szCs w:val="28"/>
          <w:rtl w:val="true"/>
          <w:lang w:bidi="ar-SA"/>
        </w:rPr>
        <w:t xml:space="preserve">. </w:t>
      </w:r>
      <w:bookmarkStart w:id="437" w:name="pg15030_143337"/>
    </w:p>
    <w:p>
      <w:pPr>
        <w:pStyle w:val="BookText"/>
        <w:rPr/>
      </w:pPr>
      <w:bookmarkEnd w:id="437"/>
      <w:r>
        <w:rPr>
          <w:rFonts w:ascii="Amiri" w:hAnsi="Amiri" w:eastAsia="Amiri" w:cs="Amiri"/>
          <w:color w:val="111111"/>
          <w:sz w:val="28"/>
          <w:sz w:val="28"/>
          <w:szCs w:val="28"/>
          <w:rtl w:val="true"/>
          <w:lang w:bidi="ar-SA"/>
        </w:rPr>
        <w:t xml:space="preserve">ويدلّ عليه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الشهرة المنقولة بتوسّط كثير من الأعيان</w:t>
      </w:r>
      <w:r>
        <w:rPr>
          <w:rStyle w:val="FootnoteAnchor"/>
          <w:rtl w:val="true"/>
        </w:rPr>
        <w:footnoteReference w:id="11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رواية الحضرمي وموثّقة الساباطي</w:t>
      </w:r>
      <w:r>
        <w:rPr>
          <w:rStyle w:val="FootnoteAnchor"/>
          <w:rtl w:val="true"/>
        </w:rPr>
        <w:footnoteReference w:id="1118"/>
      </w:r>
      <w:r>
        <w:rPr>
          <w:rFonts w:ascii="Amiri" w:hAnsi="Amiri" w:eastAsia="Amiri" w:cs="Amiri"/>
          <w:color w:val="111111"/>
          <w:sz w:val="28"/>
          <w:sz w:val="28"/>
          <w:szCs w:val="28"/>
          <w:rtl w:val="true"/>
          <w:lang w:bidi="ar-SA"/>
        </w:rPr>
        <w:t>وصحيحة ابن بزيع بناءً على أح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الاحتمالين</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8" w:name="__RefHeading___Toc212928_2142443653"/>
      <w:bookmarkStart w:id="439" w:name="_Toc156"/>
      <w:bookmarkEnd w:id="438"/>
      <w:r>
        <w:rPr>
          <w:rtl w:val="true"/>
        </w:rPr>
        <w:t>اشتراط تحقّق اليبوسة واستقلال الشمس فيه</w:t>
      </w:r>
      <w:bookmarkEnd w:id="439"/>
    </w:p>
    <w:p>
      <w:pPr>
        <w:pStyle w:val="BookText"/>
        <w:rPr/>
      </w:pPr>
      <w:r>
        <w:rPr>
          <w:rFonts w:ascii="Amiri" w:hAnsi="Amiri" w:eastAsia="Amiri" w:cs="Amiri"/>
          <w:color w:val="111111"/>
          <w:sz w:val="28"/>
          <w:sz w:val="28"/>
          <w:szCs w:val="28"/>
          <w:rtl w:val="true"/>
          <w:lang w:bidi="ar-SA"/>
        </w:rPr>
        <w:t xml:space="preserve">ثمّ إنّ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زرارة وغيرها هو حصول اليبوسة ، كما في موثّقة عمّار ؛ ضرورة أ نّه مع بقاء رطوبة عين البول وكذا سائر المائعات النجسة أو المتنجّسة ، لا يطهر المحلّ ، وهو واضح ، والميزان حصول اليبوسة ، وعدم بقاء أثر النجس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للبول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بواسطة التكرار على المحلّ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جِرم لا يتبخّر بإشراق</w:t>
      </w:r>
    </w:p>
    <w:p>
      <w:pPr>
        <w:pStyle w:val="BookText"/>
        <w:rPr/>
      </w:pPr>
      <w:r>
        <w:rPr>
          <w:rFonts w:ascii="Amiri" w:hAnsi="Amiri" w:eastAsia="Amiri" w:cs="Amiri"/>
          <w:color w:val="111111"/>
          <w:sz w:val="28"/>
          <w:sz w:val="28"/>
          <w:szCs w:val="28"/>
          <w:rtl w:val="true"/>
          <w:lang w:bidi="ar-SA"/>
        </w:rPr>
        <w:t>الشمس ، لم يطهر ، وهذا هو المراد من استثناء المحلّ المتّخذ مبالاً في صحيحة زرارة وحديد</w:t>
      </w:r>
      <w:r>
        <w:rPr>
          <w:rStyle w:val="FootnoteAnchor"/>
          <w:rtl w:val="true"/>
        </w:rPr>
        <w:footnoteReference w:id="1120"/>
      </w:r>
      <w:r>
        <w:rPr>
          <w:rFonts w:ascii="Amiri" w:hAnsi="Amiri" w:eastAsia="Amiri" w:cs="Amiri"/>
          <w:color w:val="111111"/>
          <w:sz w:val="28"/>
          <w:sz w:val="28"/>
          <w:szCs w:val="28"/>
          <w:rtl w:val="true"/>
          <w:lang w:bidi="ar-SA"/>
        </w:rPr>
        <w:t>، ولعلّه مراد الشيخ من استثناء الخمر</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من النصوص أن يكون الجفاف واليبس ، حاصلاً بإشراقها استقلالاً ، فلو اشترك معه غيره ولو بتنشيف المحلّ ؛ بحيث لا يبقى من الرطوبة السارية شيء ، أو اُعينت الشمس في فعلها بحرارة ونحوها ، لا يطهر المحلّ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 الشمس متأخّرة في التأثير في بعض الصور ، لا يوجب استقلالها في حصوله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 لا يضرّ تقليل العين والرطوبة عنه مع بقاء شيء من الرطوبة السارية ؛ للصدق العرفي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إطلاق موثّقة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الموضع قذراً من البول أو غير ذلك ، فأصابته الشمس ، ثمّ يبس الموضع ، فالصلاة على الموضع جائزة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يقتضي طهارته ولو مع نداوة غير سارية ، فاللازم استقلال الشمس في تحصيل اليبوسة ، وهو حاصل ولو كان الوصول إلى حدّ الرطوبة غير السارية بفاعل آخر ، بل ولو لم يبقَ للمحلّ إلاّ نداوة ضعيفة جدّاً ؛ لصدق أنّ المحلّ كان قذراً بالبول ، ويبس بالشمس</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فإنّه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إطلاقها محلّ تأمّل ؛ لأنّ اليبوسة فيها في مقابل الرطب المذكور في الفقرة الثانية ، وهو لا يصدق على النداوة الضعيفة غير السارية ؛ فإنّ المتفاهم من كون الشيء رطباً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بالانصراف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كونه ذا نداوة سارية ، ولا يلزم أن تكون الرطوبة أيضاً كذلك ؛ أي لا تصدق إلاّ على السارية ؛ لاختلاف المشتقّات بعضها مع بعض أحياناً ولو للانصراف ، 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جري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الجاري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ترى أنّ الظاهر من قوله علیه السلام في الفقرة الاُخرى منها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كانت</w:t>
      </w:r>
    </w:p>
    <w:p>
      <w:pPr>
        <w:pStyle w:val="BookText"/>
        <w:rPr/>
      </w:pPr>
      <w:r>
        <w:rPr>
          <w:rFonts w:ascii="Amiri" w:hAnsi="Amiri" w:eastAsia="Amiri" w:cs="Amiri"/>
          <w:color w:val="111111"/>
          <w:sz w:val="28"/>
          <w:sz w:val="28"/>
          <w:szCs w:val="28"/>
          <w:rtl w:val="true"/>
          <w:lang w:bidi="ar-SA"/>
        </w:rPr>
        <w:t xml:space="preserve">رجلك رطبة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آخره ، كونها ذات نداوة سارية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إمكان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بصدد بيان حكم آخر ؛ وهو حصول اليبس بالشمس تارةً ، وبغيرها اُخرى ، لا بصدد بيان كيفية التطهير بها </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أنّ صحيحة محمّد بن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الاحتمال الراجح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تقيّد الإطلاق لو كان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مع أنّ في صحيحة زرارة التي هي الأصل في المسألة ، علّق الحكم على التجفيف ، وهو لا يصدق على ما ذكر ، ولا يلزم منه كفاية حصول الجفاف مع بقاء رطوبة غير سارية في التطهير ؛ للقرينة العقلية على أنّ المراد حصول الجفاف إلى حدّ اليبوسة ، فلا بدّ من حفظ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الصادق على حصول اليبس من النداوة غير السارية ، والتقييد بانتهائه إلى حدّ اليبوسة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فالأحوط بل الأقوى عدم الطهارة إلاّ مع نداوة سارية للمحلّ </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جفّ بغير الشمس ويراد تطهيره يرشّ عليه الماء ، فإذا جفّفته الشمس طهر ؛ لعدم الفرق بين النجس والمتنجّس </w:t>
      </w:r>
      <w:r>
        <w:rPr>
          <w:rFonts w:eastAsia="Amiri" w:cs="Amiri" w:ascii="Amiri" w:hAnsi="Amiri"/>
          <w:color w:val="111111"/>
          <w:sz w:val="28"/>
          <w:szCs w:val="28"/>
          <w:rtl w:val="true"/>
          <w:lang w:bidi="ar-SA"/>
        </w:rPr>
        <w:t xml:space="preserve">. </w:t>
      </w:r>
      <w:bookmarkStart w:id="440" w:name="pg15030_143340"/>
    </w:p>
    <w:p>
      <w:pPr>
        <w:pStyle w:val="Heading4"/>
        <w:numPr>
          <w:ilvl w:val="3"/>
          <w:numId w:val="1"/>
        </w:numPr>
        <w:rPr/>
      </w:pPr>
      <w:bookmarkStart w:id="441" w:name="__RefHeading___Toc212930_2142443653"/>
      <w:bookmarkStart w:id="442" w:name="_Toc157"/>
      <w:bookmarkEnd w:id="440"/>
      <w:bookmarkEnd w:id="441"/>
      <w:r>
        <w:rPr>
          <w:rtl w:val="true"/>
        </w:rPr>
        <w:t>الأمر الثالث</w:t>
      </w:r>
      <w:r>
        <w:rPr>
          <w:rtl w:val="true"/>
        </w:rPr>
        <w:t xml:space="preserve">: </w:t>
      </w:r>
      <w:r>
        <w:rPr>
          <w:rtl w:val="true"/>
        </w:rPr>
        <w:t>في مطهّرية النار</w:t>
      </w:r>
      <w:bookmarkEnd w:id="442"/>
    </w:p>
    <w:p>
      <w:pPr>
        <w:pStyle w:val="Heading5"/>
        <w:numPr>
          <w:ilvl w:val="4"/>
          <w:numId w:val="1"/>
        </w:numPr>
        <w:rPr/>
      </w:pPr>
      <w:bookmarkStart w:id="443" w:name="__RefHeading___Toc212932_2142443653"/>
      <w:bookmarkStart w:id="444" w:name="_Toc158"/>
      <w:bookmarkEnd w:id="443"/>
      <w:r>
        <w:rPr>
          <w:rtl w:val="true"/>
        </w:rPr>
        <w:t>اشارة</w:t>
      </w:r>
      <w:bookmarkEnd w:id="444"/>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 والكلام فيها يقع في مقامين </w:t>
      </w:r>
      <w:r>
        <w:rPr>
          <w:rFonts w:eastAsia="Amiri" w:cs="Amiri" w:ascii="Amiri" w:hAnsi="Amiri"/>
          <w:color w:val="111111"/>
          <w:sz w:val="28"/>
          <w:szCs w:val="28"/>
          <w:rtl w:val="true"/>
          <w:lang w:bidi="ar-SA"/>
        </w:rPr>
        <w:t>:</w:t>
      </w:r>
    </w:p>
    <w:p>
      <w:pPr>
        <w:pStyle w:val="Heading5"/>
        <w:numPr>
          <w:ilvl w:val="4"/>
          <w:numId w:val="1"/>
        </w:numPr>
        <w:rPr/>
      </w:pPr>
      <w:bookmarkStart w:id="445" w:name="__RefHeading___Toc212934_2142443653"/>
      <w:bookmarkStart w:id="446" w:name="_Toc159"/>
      <w:bookmarkEnd w:id="445"/>
      <w:r>
        <w:rPr>
          <w:rtl w:val="true"/>
        </w:rPr>
        <w:t xml:space="preserve">المقام الأوّل </w:t>
      </w:r>
      <w:r>
        <w:rPr>
          <w:rtl w:val="true"/>
        </w:rPr>
        <w:t xml:space="preserve">: </w:t>
      </w:r>
      <w:r>
        <w:rPr>
          <w:rtl w:val="true"/>
        </w:rPr>
        <w:t>في أنّها هل هي مطهّرة كمطهّرية الشمس ؟</w:t>
      </w:r>
      <w:bookmarkEnd w:id="446"/>
    </w:p>
    <w:p>
      <w:pPr>
        <w:pStyle w:val="BookText"/>
        <w:rPr/>
      </w:pPr>
      <w:r>
        <w:rPr>
          <w:rFonts w:ascii="Amiri" w:hAnsi="Amiri" w:eastAsia="Amiri" w:cs="Amiri"/>
          <w:color w:val="111111"/>
          <w:sz w:val="28"/>
          <w:sz w:val="28"/>
          <w:szCs w:val="28"/>
          <w:rtl w:val="true"/>
          <w:lang w:bidi="ar-SA"/>
        </w:rPr>
        <w:t>فكما أنّ الثانية مطهّرة بإشراقها على المحلّ وتبخير النجس أو المتنجّس ، كذلك الاُولى إذا أصابت شيئاً طهّرته ؟</w:t>
      </w:r>
    </w:p>
    <w:p>
      <w:pPr>
        <w:pStyle w:val="BookText"/>
        <w:rPr/>
      </w:pPr>
      <w:r>
        <w:rPr>
          <w:rFonts w:ascii="Amiri" w:hAnsi="Amiri" w:eastAsia="Amiri" w:cs="Amiri"/>
          <w:color w:val="111111"/>
          <w:sz w:val="28"/>
          <w:sz w:val="28"/>
          <w:szCs w:val="28"/>
          <w:rtl w:val="true"/>
          <w:lang w:bidi="ar-SA"/>
        </w:rPr>
        <w:t xml:space="preserve">يظهر من الشيخ في مياه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استبصاره</w:t>
      </w:r>
      <w:r>
        <w:rPr>
          <w:rFonts w:eastAsia="Amiri" w:cs="Amiri" w:ascii="Amiri" w:hAnsi="Amiri"/>
          <w:color w:val="111111"/>
          <w:sz w:val="28"/>
          <w:szCs w:val="28"/>
          <w:rtl w:val="true"/>
          <w:lang w:bidi="ar-SA"/>
        </w:rPr>
        <w:t>»</w:t>
      </w:r>
      <w:r>
        <w:rPr>
          <w:rStyle w:val="FootnoteAnchor"/>
          <w:rtl w:val="true"/>
        </w:rPr>
        <w:footnoteReference w:id="1123"/>
      </w:r>
      <w:r>
        <w:rPr>
          <w:rFonts w:ascii="Amiri" w:hAnsi="Amiri" w:eastAsia="Amiri" w:cs="Amiri"/>
          <w:color w:val="111111"/>
          <w:sz w:val="28"/>
          <w:sz w:val="28"/>
          <w:szCs w:val="28"/>
          <w:rtl w:val="true"/>
          <w:lang w:bidi="ar-SA"/>
        </w:rPr>
        <w:t xml:space="preserve">ذلك في الجملة ،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فإن استُعمل شيء من هذه المياه النجسة في عجين يعجن به ويخبز ، لم يكن بأس بأكل ذلك الخبز ؛ لأنّ النار قد طهّرته</w:t>
      </w:r>
      <w:r>
        <w:rPr>
          <w:rFonts w:eastAsia="Amiri" w:cs="Amiri" w:ascii="Amiri" w:hAnsi="Amiri"/>
          <w:color w:val="111111"/>
          <w:sz w:val="28"/>
          <w:szCs w:val="28"/>
          <w:rtl w:val="true"/>
          <w:lang w:bidi="ar-SA"/>
        </w:rPr>
        <w:t>»</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عدل عنه في أطعمتها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يجز أكل ذلك الخبز ، وقد رويت رخصة في جواز أكله ، وذكر أنّ النار طهّرته</w:t>
      </w:r>
      <w:r>
        <w:rPr>
          <w:rFonts w:eastAsia="Amiri" w:cs="Amiri" w:ascii="Amiri" w:hAnsi="Amiri"/>
          <w:color w:val="111111"/>
          <w:sz w:val="28"/>
          <w:szCs w:val="28"/>
          <w:rtl w:val="true"/>
          <w:lang w:bidi="ar-SA"/>
        </w:rPr>
        <w:t>»</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ويظهر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أيضاً ، حيث أجاز الأكل من خبز عجينٍ عجن بماء البئر الواقع فيه الفأرة وغيرها وماتت فيها </w:t>
      </w:r>
      <w:r>
        <w:rPr>
          <w:rStyle w:val="FootnoteAnchor"/>
          <w:rtl w:val="true"/>
        </w:rPr>
        <w:footnoteReference w:id="1126"/>
      </w:r>
      <w:r>
        <w:rPr>
          <w:rFonts w:ascii="IRNazanin" w:hAnsi="IRNazanin" w:eastAsia="IRNazanin"/>
          <w:color w:val="111111"/>
          <w:sz w:val="28"/>
          <w:sz w:val="28"/>
          <w:szCs w:val="28"/>
          <w:rtl w:val="true"/>
          <w:lang w:bidi="fa-IR"/>
        </w:rPr>
        <w:t xml:space="preserve">؛ بناءً على انفعال ماء البئر عنده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مبسوطه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 آخر القول بطهارة الخزف والآجرّ مع نجاسة طينهما </w:t>
      </w:r>
      <w:r>
        <w:rPr>
          <w:rStyle w:val="FootnoteAnchor"/>
          <w:rtl w:val="true"/>
        </w:rPr>
        <w:footnoteReference w:id="1127"/>
      </w:r>
      <w:r>
        <w:rPr>
          <w:rFonts w:ascii="Amiri" w:hAnsi="Amiri" w:eastAsia="Amiri" w:cs="Amiri"/>
          <w:color w:val="111111"/>
          <w:sz w:val="28"/>
          <w:sz w:val="28"/>
          <w:szCs w:val="28"/>
          <w:rtl w:val="true"/>
          <w:lang w:bidi="ar-SA"/>
        </w:rPr>
        <w:t xml:space="preserve">، وادّعى الشيخ الإجماع عليه </w:t>
      </w:r>
      <w:r>
        <w:rPr>
          <w:rStyle w:val="FootnoteAnchor"/>
          <w:rtl w:val="true"/>
        </w:rPr>
        <w:footnoteReference w:id="1128"/>
      </w:r>
      <w:r>
        <w:rPr>
          <w:rFonts w:ascii="Amiri" w:hAnsi="Amiri" w:eastAsia="Amiri" w:cs="Amiri"/>
          <w:color w:val="111111"/>
          <w:sz w:val="28"/>
          <w:sz w:val="28"/>
          <w:szCs w:val="28"/>
          <w:rtl w:val="true"/>
          <w:lang w:bidi="ar-SA"/>
        </w:rPr>
        <w:t xml:space="preserve">، واستدلّ على الطهارة بصحيحة ابن محبوب 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منهم مطهّريتها مع عدم تبدّل الموضوع ، سيّما مع الاستدلال بالصحيحة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أفتى الشيخ في أطعمة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1129"/>
      </w:r>
      <w:r>
        <w:rPr>
          <w:rFonts w:ascii="Amiri" w:hAnsi="Amiri" w:eastAsia="Amiri" w:cs="Amiri"/>
          <w:color w:val="111111"/>
          <w:sz w:val="28"/>
          <w:sz w:val="28"/>
          <w:szCs w:val="28"/>
          <w:rtl w:val="true"/>
          <w:lang w:bidi="ar-SA"/>
        </w:rPr>
        <w:t>بمضمون رواية زكريّا بن آدم</w:t>
      </w:r>
      <w:r>
        <w:rPr>
          <w:rStyle w:val="FootnoteAnchor"/>
          <w:rtl w:val="true"/>
        </w:rPr>
        <w:footnoteReference w:id="1130"/>
      </w:r>
      <w:r>
        <w:rPr>
          <w:rFonts w:ascii="Amiri" w:hAnsi="Amiri" w:eastAsia="Amiri" w:cs="Amiri"/>
          <w:color w:val="111111"/>
          <w:sz w:val="28"/>
          <w:sz w:val="28"/>
          <w:szCs w:val="28"/>
          <w:rtl w:val="true"/>
          <w:lang w:bidi="ar-SA"/>
        </w:rPr>
        <w:t xml:space="preserve">الظاهر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النار إذا أكلت الدم طهر المرق ، فكانت مطهّريتها فوق سائر المطهّرات حتّى الماء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يمكن أن يستدلّ به على مطلوبهم روايات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الحسن بن محبوب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الجصّ</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يوقد عليه بالعَذِرة وعظام الموتى ، ثمّ يجصّص به المسجد ، أيسجد عليه ؟ فكتب إليّ بخطّه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الماء والنار قد طهّراه</w:t>
      </w:r>
      <w:r>
        <w:rPr>
          <w:rFonts w:eastAsia="Amiri" w:cs="Amiri" w:ascii="Amiri" w:hAnsi="Amiri"/>
          <w:color w:val="111111"/>
          <w:sz w:val="28"/>
          <w:szCs w:val="28"/>
          <w:rtl w:val="true"/>
          <w:lang w:bidi="ar-SA"/>
        </w:rPr>
        <w:t>»</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بدعوى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السؤال عن الجصّ الملاقي للعَذِرة والعظام الموقدتين عليه ، وهما ملازمتان للرطوبة ، سيّما الثانية التي لا تنفكّ غالباً عن دسومة سارية في أوّل الإيقاد ، فسئل عن النجاسة العارضة للجصّ ، فأجاب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الماء والنار قد طهّراه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ومعلوم أ نّهما لم يقعا عليه دفعة ، بل النار أصابته أوّلاً للطبخ ، والماء بعدها للتجصيص ، وبعد عدم مطهّرية الماء المخلوط بالجصّ جزماً وإجماعاً ، وعدم كونه جزء المطهّر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كالمرّة الثانية في الماء المطهّر للبول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محالة تكون</w:t>
      </w:r>
    </w:p>
    <w:p>
      <w:pPr>
        <w:pStyle w:val="BookText"/>
        <w:rPr/>
      </w:pPr>
      <w:r>
        <w:rPr>
          <w:rFonts w:ascii="Amiri" w:hAnsi="Amiri" w:eastAsia="Amiri" w:cs="Amiri"/>
          <w:color w:val="111111"/>
          <w:sz w:val="28"/>
          <w:sz w:val="28"/>
          <w:szCs w:val="28"/>
          <w:rtl w:val="true"/>
          <w:lang w:bidi="ar-SA"/>
        </w:rPr>
        <w:t xml:space="preserve">المطهّرية مستندة إلى النار حقيقة ، وللماء أيضاً نحو تأثير في رفع القذارة العرفية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يلزم منه استعمال اللفظ في المعنى الحقيقي والمجازي ؛ لما مرّ مراراً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القذارة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اصطلاح الشارع ليستا إلاّ بالمعنى العرفي واللغوي</w:t>
      </w:r>
      <w:r>
        <w:rPr>
          <w:rStyle w:val="FootnoteAnchor"/>
          <w:rtl w:val="true"/>
        </w:rPr>
        <w:footnoteReference w:id="1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الاستعمال في 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قيام القرينة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مانع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يمتنع الاستعمال في المعنيين ، كما قرّر في محلّه</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فتحصّل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الجصّ النجس بملاقاة النجاسة ، صار طاهراً بإيقاد النار عليه </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الرواية احتمالات اُخر لعلّ بعضها أقرب ممّا ذكر ، كاحتمال كون السؤال عن الجصّ الموقد عليه ما ذكر لأجل اختلاطه برمادهما وعدم إمكان تفكيكه عنه ، فعليه يكون المراد من التطهير بالنار استحالتهما وبالماء رفع القذارة العرفية ، والتطهير بالاستحالة وتبدّل الموضوع غير ما هو المطلوب في المقام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وكاحتمال كون السؤال لتوهّم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الطبخ بالعَذِرة وعظام الموتى ، منافٍ لاحترام المسجد والسجود ، فسئل عن جوازه ، فأجاب بعدم المنافاة ؛ لرفع القذارة العرفية بالنار والماء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وكاحتمال أن يكون المراد أنّ إيقادهما عليه معرض لعروض النجاسة ، فيكون مظنّة لذلك ، فأجاب بما ذكر ، والمراد بالتطهير رفع القذارة المظنونة أو المحتملة ، كما ورد الرشّ في موارد الشبهات في الأخبار</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إثبات هذا الحكم المخالف للقواعد بمثل هذه الرواية ، غير ممكن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الظاهر منها أنّ النار جزء الموضوع للتطهير ، والحمل المتقدّم بعيد جدّاً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مرسلة ابن أبي عمير ، عن 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عجين عجن وخبز ، ثمّ علم أنّ الماء كانت فيه ميتة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 أكلت النار ما فيه</w:t>
      </w:r>
      <w:r>
        <w:rPr>
          <w:rFonts w:eastAsia="IRNazanin" w:cs="IRNazanin"/>
          <w:color w:val="111111"/>
          <w:sz w:val="28"/>
          <w:szCs w:val="28"/>
          <w:rtl w:val="true"/>
          <w:lang w:bidi="fa-IR"/>
        </w:rPr>
        <w:t>»</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 نّه لم يصرّح فيها بأنّ العجين عجن بالماء النجس ، بل الظاهر منها أ نّه بعد العجن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الماء الذي اُخذ ماء العجين منه كانت ميتة ، فلو فرض أنّ المأخوذ منه لم يكن بئراً ، لكن لم يعلم أنّ الميتة كانت فيه حين اُخذ الماء منه ، أو وقعت فيه بعده ، كانت الشبهة موضوعية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أكلت النار ما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لدفع القذارة المحتملة ، كرشّ الماء في مثله ، ولم يتّضح حال من أرسل عنه ابن أبي عمير ، فلعلّه كان رجلاً مبتلىً بوسواس ، فأراد أبو عبداللّه علیه السلام دفعها ، كما نقل عن الشيخ الأعظم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نّه رأى رجلاً مبتلىً بالوسواس يتحرّز عن بخار الحمّام ؛ لكونه بخار الماء النجس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البخار متّصل بالخزانة ، وهي كرّ ، فلا ينفعل</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الشبهة ظاهراً كانت موضوعية ، تأمّل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نّها معارضة بما هو أوضح سنداً ومتناً ، وهو مرسلته الاُخرى بالسند المتقدّم ، عن بعض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أحسبه إلاّ عن حفص بن البَخْتَري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لأبي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العجين يعجن من الماء النجس ، كيف يصنع به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يباع ممّن يستحلّ أكل الميتة</w:t>
      </w:r>
      <w:r>
        <w:rPr>
          <w:rFonts w:eastAsia="IRNazanin" w:cs="IRNazanin"/>
          <w:color w:val="111111"/>
          <w:sz w:val="28"/>
          <w:szCs w:val="28"/>
          <w:rtl w:val="true"/>
          <w:lang w:bidi="fa-IR"/>
        </w:rPr>
        <w:t>»</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وبالإسناد عنه ، عن بعض أصحابه ، عنه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يدفن ولا يباع</w:t>
      </w:r>
      <w:r>
        <w:rPr>
          <w:rFonts w:eastAsia="IRNazanin" w:cs="IRNazanin"/>
          <w:color w:val="111111"/>
          <w:sz w:val="28"/>
          <w:szCs w:val="28"/>
          <w:rtl w:val="true"/>
          <w:lang w:bidi="fa-IR"/>
        </w:rPr>
        <w:t>»</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وحمل الثانية على الاستحباب</w:t>
      </w:r>
      <w:r>
        <w:rPr>
          <w:rStyle w:val="FootnoteAnchor"/>
          <w:rtl w:val="true"/>
        </w:rPr>
        <w:footnoteReference w:id="1138"/>
      </w:r>
      <w:r>
        <w:rPr>
          <w:rFonts w:ascii="Amiri" w:hAnsi="Amiri" w:eastAsia="Amiri" w:cs="Amiri"/>
          <w:color w:val="111111"/>
          <w:sz w:val="28"/>
          <w:sz w:val="28"/>
          <w:szCs w:val="28"/>
          <w:rtl w:val="true"/>
          <w:lang w:bidi="ar-SA"/>
        </w:rPr>
        <w:t xml:space="preserve">كما ترى ؛ فإنّ دفن المال المحترم تبذير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يبعد حملها على النهي عن بيعه على المسلم ، فيجوز البيع على المستحلّ ، ومع عدمه أو عدم اشترائه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يدفن ، فهذه نصّ في العجين بالماء النجس ، والاُولى محتمل للأمرين ، فتحمل على مورد الشبهة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مع عدم نقل عامل بها يعتدّ به ؛ فإنّ الشيخ قد رجع عن القول به في أطعمة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كتاب الفتوى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زكريّا بن آدم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 السلام عن قطرة خمر أو نبيذ مسكر ، قطرت في قدر فيه لحم كثير ومرق كثير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يهراق المرق ، أو يطعمه أهل الذمّة أو الكلب ، واللحم اغسله وكله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قطر فيه الدم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الدم تأكله النار إن شاء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فخمر أو نبيذ قطر في عجين أو دم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أبيعه من اليهودي والنصراني واُبيّن لهم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 فإنّهم يستحلّون شربه </w:t>
      </w:r>
      <w:r>
        <w:rPr>
          <w:rFonts w:eastAsia="Amiri" w:cs="Amiri" w:ascii="Amiri" w:hAnsi="Amiri"/>
          <w:color w:val="111111"/>
          <w:sz w:val="28"/>
          <w:szCs w:val="28"/>
          <w:rtl w:val="true"/>
          <w:lang w:bidi="ar-SA"/>
        </w:rPr>
        <w:t>. . . »</w:t>
      </w:r>
      <w:r>
        <w:rPr>
          <w:rStyle w:val="FootnoteAnchor"/>
          <w:rtl w:val="true"/>
        </w:rPr>
        <w:footnoteReference w:id="1139"/>
      </w:r>
      <w:r>
        <w:rPr>
          <w:rFonts w:ascii="IRNazanin" w:hAnsi="IRNazanin" w:eastAsia="IRNazanin"/>
          <w:color w:val="111111"/>
          <w:sz w:val="28"/>
          <w:sz w:val="28"/>
          <w:szCs w:val="28"/>
          <w:rtl w:val="true"/>
          <w:lang w:bidi="fa-IR"/>
        </w:rPr>
        <w:t xml:space="preserve">إلى آخره </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ضعفها سنداً </w:t>
      </w:r>
      <w:r>
        <w:rPr>
          <w:rStyle w:val="FootnoteAnchor"/>
          <w:rtl w:val="true"/>
        </w:rPr>
        <w:footnoteReference w:id="1140"/>
      </w:r>
      <w:r>
        <w:rPr>
          <w:rFonts w:ascii="Amiri" w:hAnsi="Amiri" w:eastAsia="Amiri" w:cs="Amiri"/>
          <w:color w:val="111111"/>
          <w:sz w:val="28"/>
          <w:sz w:val="28"/>
          <w:szCs w:val="28"/>
          <w:rtl w:val="true"/>
          <w:lang w:bidi="ar-SA"/>
        </w:rPr>
        <w:t xml:space="preserve">، ومناقضة صدرها وذيلها في الدم ، ومخالفتها لقاعدة انفعال المضاف ، وتفصيلها بين الدم وغيره ، وهو كما ترى ، وظهور ذيلها في كراهة أكل ما قطر فيه الفُقّاع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تصلح لإثبات هذا الحكم المخالف للقواعد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منها أنّ أكل النار الدم موجب لطهارة المرق أيضاً ، وهو غير معهود في شيء من المطهّرات </w:t>
      </w:r>
      <w:r>
        <w:rPr>
          <w:rFonts w:eastAsia="Amiri" w:cs="Amiri" w:ascii="Amiri" w:hAnsi="Amiri"/>
          <w:color w:val="111111"/>
          <w:sz w:val="28"/>
          <w:szCs w:val="28"/>
          <w:rtl w:val="true"/>
          <w:lang w:bidi="ar-SA"/>
        </w:rPr>
        <w:t xml:space="preserve">. </w:t>
      </w:r>
      <w:bookmarkStart w:id="447" w:name="pg15030_143346"/>
    </w:p>
    <w:p>
      <w:pPr>
        <w:pStyle w:val="BookText"/>
        <w:rPr/>
      </w:pPr>
      <w:bookmarkEnd w:id="447"/>
      <w:r>
        <w:rPr>
          <w:rFonts w:ascii="Amiri" w:hAnsi="Amiri" w:eastAsia="Amiri" w:cs="Amiri"/>
          <w:color w:val="111111"/>
          <w:sz w:val="28"/>
          <w:sz w:val="28"/>
          <w:szCs w:val="28"/>
          <w:rtl w:val="true"/>
          <w:lang w:bidi="ar-SA"/>
        </w:rPr>
        <w:t xml:space="preserve">هذا مضافاً إلى أنّ الدم المستهلك في المرق ، لا تأكله النار بالتبخير أو لا يمكن العلم به إلاّ بعد تبخير جميع المرق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المستهلك ليس بشيء عرفاً حتّى تأكله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كون النار مطهّرة مطلقاً </w:t>
      </w:r>
      <w:r>
        <w:rPr>
          <w:rFonts w:eastAsia="Amiri" w:cs="Amiri" w:ascii="Amiri" w:hAnsi="Amiri"/>
          <w:color w:val="111111"/>
          <w:sz w:val="28"/>
          <w:szCs w:val="28"/>
          <w:rtl w:val="true"/>
          <w:lang w:bidi="ar-SA"/>
        </w:rPr>
        <w:t>.</w:t>
      </w:r>
    </w:p>
    <w:p>
      <w:pPr>
        <w:pStyle w:val="Heading5"/>
        <w:numPr>
          <w:ilvl w:val="4"/>
          <w:numId w:val="1"/>
        </w:numPr>
        <w:rPr/>
      </w:pPr>
      <w:bookmarkStart w:id="448" w:name="__RefHeading___Toc212936_2142443653"/>
      <w:bookmarkStart w:id="449" w:name="_Toc160"/>
      <w:bookmarkEnd w:id="448"/>
      <w:r>
        <w:rPr>
          <w:rtl w:val="true"/>
        </w:rPr>
        <w:t xml:space="preserve">المقام الثاني </w:t>
      </w:r>
      <w:r>
        <w:rPr>
          <w:rtl w:val="true"/>
        </w:rPr>
        <w:t xml:space="preserve">: </w:t>
      </w:r>
      <w:r>
        <w:rPr>
          <w:rtl w:val="true"/>
        </w:rPr>
        <w:t>في تطهيرها كلّ ما أحالته دخاناً أو رماداً</w:t>
      </w:r>
      <w:bookmarkEnd w:id="449"/>
    </w:p>
    <w:p>
      <w:pPr>
        <w:pStyle w:val="Heading6"/>
        <w:numPr>
          <w:ilvl w:val="5"/>
          <w:numId w:val="1"/>
        </w:numPr>
        <w:rPr/>
      </w:pPr>
      <w:bookmarkStart w:id="450" w:name="__RefHeading___Toc212938_2142443653"/>
      <w:bookmarkStart w:id="451" w:name="_Toc161"/>
      <w:bookmarkEnd w:id="450"/>
      <w:r>
        <w:rPr>
          <w:rtl w:val="true"/>
        </w:rPr>
        <w:t>اشارة</w:t>
      </w:r>
      <w:bookmarkEnd w:id="451"/>
    </w:p>
    <w:p>
      <w:pPr>
        <w:pStyle w:val="BookText"/>
        <w:rPr/>
      </w:pPr>
      <w:r>
        <w:rPr>
          <w:rFonts w:ascii="Amiri" w:hAnsi="Amiri" w:eastAsia="Amiri" w:cs="Amiri"/>
          <w:color w:val="111111"/>
          <w:sz w:val="28"/>
          <w:sz w:val="28"/>
          <w:szCs w:val="28"/>
          <w:rtl w:val="true"/>
          <w:lang w:bidi="ar-SA"/>
        </w:rPr>
        <w:t xml:space="preserve">وهذا الحكم ليس من مختصّات النار ، وليست الاستحالة مطهّرة ، بل هي من قبيل تبديل موضوع بموضوع آخر ، كما أنّ الأمر كذلك في بعض آخر ممّا يعدّ مطهّراً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والميزان الكلّي في الحكم بالطهارة بالاستحالة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تبدّل موضوع النجس أو المتنجّس بآخر طاهر ؛ بنحو لا يصدق عليه عنوان موضوع الدليل الاجتهادي المثبت للحكم على الموضوع الأوّل ، ولم يبق موضوع القضيّة المتيقّنة عرفاً حتّى يستصحب ، فإنْ فرض حصول التغيّر للموضوع الأوّل ، لكن بنحو لم يخرج عن صدق عنوانه عليه ، أو فرض حصوله بنحو بقي عرفاً موضوع القضيّة المتيقّنة المعتبر في الاستصحاب ، حكم عليه بالنجاسة ، وخرج عن موضوع الاستحالة ولو ظاهراً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قد يتّفق حصول التغيّر على النحو الأوّل دون الثاني ، فيكون المورد مجرى الاستصحاب ، لكن قام دليل لفظي اجتهادي أو إجماع أو سيرة على طهارته ، فيحكم بها تحكيماً للدليل على الأصل </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الاختلافات التي وقعت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كالاختلاف في التفرقة بين </w:t>
      </w:r>
      <w:bookmarkStart w:id="452" w:name="pg15030_143347"/>
    </w:p>
    <w:p>
      <w:pPr>
        <w:pStyle w:val="BookText"/>
        <w:rPr/>
      </w:pPr>
      <w:bookmarkEnd w:id="452"/>
      <w:r>
        <w:rPr>
          <w:rFonts w:ascii="Amiri" w:hAnsi="Amiri" w:eastAsia="Amiri" w:cs="Amiri"/>
          <w:color w:val="111111"/>
          <w:sz w:val="28"/>
          <w:sz w:val="28"/>
          <w:szCs w:val="28"/>
          <w:rtl w:val="true"/>
          <w:lang w:bidi="ar-SA"/>
        </w:rPr>
        <w:t xml:space="preserve">النجاسات والمتنجّسات وعدمها ، وكالاختلاف في الآجرّ والخزف المعمولين من الطين النجس ، وكالاختلاف في الفحم ، وفي بخار الماء النجس ، أو المائع النجس ، ودخان الدهن المتنجّس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موضوعية ، فالقائل بالنجاسة يرى الموضوع الاستصحابي باقياً ، والقائل بالطهارة ينكره ، أو يشكّ فيه ، وليست الاختلافات فيها فقهية ؛ وإن يظهر من بعض استدلالاتهم كونها في بعض الموارد كذلك </w:t>
      </w:r>
      <w:r>
        <w:rPr>
          <w:rFonts w:eastAsia="Amiri" w:cs="Amiri" w:ascii="Amiri" w:hAnsi="Amiri"/>
          <w:color w:val="111111"/>
          <w:sz w:val="28"/>
          <w:szCs w:val="28"/>
          <w:rtl w:val="true"/>
          <w:lang w:bidi="ar-SA"/>
        </w:rPr>
        <w:t>.</w:t>
      </w:r>
    </w:p>
    <w:p>
      <w:pPr>
        <w:pStyle w:val="Heading6"/>
        <w:numPr>
          <w:ilvl w:val="5"/>
          <w:numId w:val="1"/>
        </w:numPr>
        <w:rPr/>
      </w:pPr>
      <w:bookmarkStart w:id="453" w:name="__RefHeading___Toc212940_2142443653"/>
      <w:bookmarkStart w:id="454" w:name="_Toc162"/>
      <w:bookmarkEnd w:id="453"/>
      <w:r>
        <w:rPr>
          <w:rtl w:val="true"/>
        </w:rPr>
        <w:t>حكم الانتقال على ضوء القاعدة</w:t>
      </w:r>
      <w:bookmarkEnd w:id="454"/>
    </w:p>
    <w:p>
      <w:pPr>
        <w:pStyle w:val="BookText"/>
        <w:rPr/>
      </w:pPr>
      <w:r>
        <w:rPr>
          <w:rFonts w:ascii="Amiri" w:hAnsi="Amiri" w:eastAsia="Amiri" w:cs="Amiri"/>
          <w:color w:val="111111"/>
          <w:sz w:val="28"/>
          <w:sz w:val="28"/>
          <w:szCs w:val="28"/>
          <w:rtl w:val="true"/>
          <w:lang w:bidi="ar-SA"/>
        </w:rPr>
        <w:t xml:space="preserve">ثمّ إنّ الانتقال من الاستحالة لو فرض إيجابه لتعدّد الموضوع ؛ بحيث لا يبقى موضوع الدليل الاجتهادي ، ولا القضيّة المتيقّنة ، وذلك مثل ما إذا انتقل إلى النبات ، وتبدّل إلى الرطوبة التي جزء له ، وخرج عن مسمّاه ، أو شرب حيوان دم إنسان ، فتبدّل بتصرّف جهاز هضمه إلى أجزائه ، كالدم وغيره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لم يتبدّل ، بل انتقل إلى المنتقل إليه وبقي على حقيقته ، فلا يخلو إمّا أن يصدق عليه أ نّه من المنتقل منه ، ولم يصدق أ نّه من المنتقل إليه ، أو على عكسه ، أو يصدقا عليه ، أو لم يصدق شيء منهما عليه ، أو يصدق أحدهما ، ويشكّ في صدق الآخر ، أو شكّ في صدق كلّ منهما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كان لدليل المنتقل منه إطلاق يشمله ، أو للمنتقل إليه ، أو لدليلهما ، أو لا إطلاق لهما </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فمع إطلاق دليل أحدهما وإحراز 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الآخر ، يحكم به ، فلو اُحرز أنّ الدم من الإنسان كدم مصّه العلق ، وكان لدليل نجاسته </w:t>
      </w:r>
      <w:bookmarkStart w:id="455" w:name="pg15030_143348"/>
    </w:p>
    <w:p>
      <w:pPr>
        <w:pStyle w:val="BookText"/>
        <w:rPr/>
      </w:pPr>
      <w:bookmarkEnd w:id="455"/>
      <w:r>
        <w:rPr>
          <w:rFonts w:ascii="Amiri" w:hAnsi="Amiri" w:eastAsia="Amiri" w:cs="Amiri"/>
          <w:color w:val="111111"/>
          <w:sz w:val="28"/>
          <w:sz w:val="28"/>
          <w:szCs w:val="28"/>
          <w:rtl w:val="true"/>
          <w:lang w:bidi="ar-SA"/>
        </w:rPr>
        <w:t xml:space="preserve">إطلاق ، حكم بها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شكّ في تبديل الإضافة ؛ لتنقيح موضوع الدليل بالاستصحاب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لدليل طهارة دم المنتقل إليه إطلاق دون المنتقل منه ، واُحرز كونه من المنتقل إليه ، يحكم عليه بالطهارة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شكّ فيه يحكم بالنجاسة ؛ للاستصحاب الحكمي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لدليلهما إطلاق ، واُحرز كونه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صحّة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التعارض بين الدليلين ، فيؤخذ بالأرجح لو قلنا بالترجيح في مثل المقام ، ومع عدمه يحكم بالنجاسة لو قلنا بسقوطهما في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وكذلك لو شكّ في كونه مضافاً إلى المنتقل منه ؛ سواء اُحرز كونه من المنتقل إليه ، أم شكّ فيه ؛ كلّ ذلك للاستصحاب ، على تأمّل في بعض الصور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حال الفروض الاُخر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بحسب القاعدة </w:t>
      </w:r>
      <w:r>
        <w:rPr>
          <w:rFonts w:eastAsia="Amiri" w:cs="Amiri" w:ascii="Amiri" w:hAnsi="Amiri"/>
          <w:color w:val="111111"/>
          <w:sz w:val="28"/>
          <w:szCs w:val="28"/>
          <w:rtl w:val="true"/>
          <w:lang w:bidi="ar-SA"/>
        </w:rPr>
        <w:t>.</w:t>
      </w:r>
    </w:p>
    <w:p>
      <w:pPr>
        <w:pStyle w:val="Heading6"/>
        <w:numPr>
          <w:ilvl w:val="5"/>
          <w:numId w:val="1"/>
        </w:numPr>
        <w:rPr/>
      </w:pPr>
      <w:bookmarkStart w:id="456" w:name="__RefHeading___Toc212942_2142443653"/>
      <w:bookmarkStart w:id="457" w:name="_Toc163"/>
      <w:bookmarkEnd w:id="456"/>
      <w:r>
        <w:rPr>
          <w:rtl w:val="true"/>
        </w:rPr>
        <w:t>طهارة دم البقّ والبرغوث دون العلق</w:t>
      </w:r>
      <w:bookmarkEnd w:id="457"/>
    </w:p>
    <w:p>
      <w:pPr>
        <w:pStyle w:val="BookText"/>
        <w:rPr/>
      </w:pPr>
      <w:r>
        <w:rPr>
          <w:rFonts w:ascii="Amiri" w:hAnsi="Amiri" w:eastAsia="Amiri" w:cs="Amiri"/>
          <w:color w:val="111111"/>
          <w:sz w:val="28"/>
          <w:sz w:val="28"/>
          <w:szCs w:val="28"/>
          <w:rtl w:val="true"/>
          <w:lang w:bidi="ar-SA"/>
        </w:rPr>
        <w:t>لكن لا يبعد الحكم بطهارة دم البقّ والبرغوث ؛ ولو مع العلم بأنّ الدم الذي</w:t>
      </w:r>
    </w:p>
    <w:p>
      <w:pPr>
        <w:pStyle w:val="BookText"/>
        <w:rPr/>
      </w:pPr>
      <w:r>
        <w:rPr>
          <w:rFonts w:ascii="IRNazanin" w:hAnsi="IRNazanin" w:eastAsia="IRNazanin"/>
          <w:color w:val="111111"/>
          <w:sz w:val="28"/>
          <w:sz w:val="28"/>
          <w:szCs w:val="28"/>
          <w:rtl w:val="true"/>
          <w:lang w:bidi="fa-IR"/>
        </w:rPr>
        <w:t xml:space="preserve">فيهما من الإنسان ؛ لقيام السيرة على عدم الاحتراز منه ، ولإطلاق صحيحة ابن أبي يعفور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في دم البراغيث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به بأس</w:t>
      </w:r>
      <w:r>
        <w:rPr>
          <w:rFonts w:eastAsia="IRNazanin" w:cs="IRNazanin"/>
          <w:color w:val="111111"/>
          <w:sz w:val="28"/>
          <w:szCs w:val="28"/>
          <w:rtl w:val="true"/>
          <w:lang w:bidi="fa-IR"/>
        </w:rPr>
        <w:t>» .</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يكثر ويتفاحش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كثر</w:t>
      </w:r>
      <w:r>
        <w:rPr>
          <w:rFonts w:eastAsia="Amiri" w:cs="Amiri" w:ascii="Amiri" w:hAnsi="Amiri"/>
          <w:color w:val="111111"/>
          <w:sz w:val="28"/>
          <w:szCs w:val="28"/>
          <w:rtl w:val="true"/>
          <w:lang w:bidi="ar-SA"/>
        </w:rPr>
        <w:t>»</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ورواية الحلبي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 السلام عن دم البراغيث في الثوب ، هل يمنعه ذلك من الصلاة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ورواية غياث ، عن جعفر ، عن أبيه علیهما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بدم البراغيث والبقّ وبول الخشاشيف</w:t>
      </w:r>
      <w:r>
        <w:rPr>
          <w:rFonts w:eastAsia="IRNazanin" w:cs="IRNazanin"/>
          <w:color w:val="111111"/>
          <w:sz w:val="28"/>
          <w:szCs w:val="28"/>
          <w:rtl w:val="true"/>
          <w:lang w:bidi="fa-IR"/>
        </w:rPr>
        <w:t>»</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ومكاتبة محمّد بن ريّان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إلى الرجل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يجري دم البقّ مجرى دم البراغيث ، وهل يجوز لأحد أن يقيس دم البقّ على البراغيث فيصلّي فيه ، وأن يقيس على نحو هذا فيعمل به ؟ فوقّع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يجوز الصلاة ، والطهر منه أفضل</w:t>
      </w:r>
      <w:r>
        <w:rPr>
          <w:rFonts w:eastAsia="IRNazanin" w:cs="IRNazanin"/>
          <w:color w:val="111111"/>
          <w:sz w:val="28"/>
          <w:szCs w:val="28"/>
          <w:rtl w:val="true"/>
          <w:lang w:bidi="fa-IR"/>
        </w:rPr>
        <w:t>»</w:t>
      </w:r>
      <w:r>
        <w:rPr>
          <w:rStyle w:val="FootnoteAnchor"/>
          <w:rtl w:val="true"/>
        </w:rPr>
        <w:footnoteReference w:id="1144"/>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وتلك الروايات وإن وردت في الدم المضاف إليهما ، لكن ما يضاف إليهما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إلى البقّ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اجتمع في جوفهما من دم الإنسان ، وأمّا بعد هضمه فلا يتبدّل بالدم عرفاً ، ولهذا لا يرى للبقّ دم إلاّ ما امتصّه من الإنسان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البرغوث أيضاً كذلك ، ولو كان له دم أيضاً فلا شبهة في شمول الروايات للدم الذي في جوفه وامتصّه من الإنسان </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فالأقوى ما ذكر ؛ وإن كان الأحوط الاجتناب عن الدم الذي امتصّه من الإنسان ولم يستقرّ في جوفه زماناً </w:t>
      </w:r>
      <w:r>
        <w:rPr>
          <w:rFonts w:eastAsia="Amiri" w:cs="Amiri" w:ascii="Amiri" w:hAnsi="Amiri"/>
          <w:color w:val="111111"/>
          <w:sz w:val="28"/>
          <w:szCs w:val="28"/>
          <w:rtl w:val="true"/>
          <w:lang w:bidi="ar-SA"/>
        </w:rPr>
        <w:t xml:space="preserve">. </w:t>
      </w:r>
      <w:bookmarkStart w:id="458" w:name="pg15030_143350"/>
    </w:p>
    <w:p>
      <w:pPr>
        <w:pStyle w:val="BookText"/>
        <w:rPr/>
      </w:pPr>
      <w:bookmarkEnd w:id="458"/>
      <w:r>
        <w:rPr>
          <w:rFonts w:ascii="Amiri" w:hAnsi="Amiri" w:eastAsia="Amiri" w:cs="Amiri"/>
          <w:color w:val="111111"/>
          <w:sz w:val="28"/>
          <w:sz w:val="28"/>
          <w:szCs w:val="28"/>
          <w:rtl w:val="true"/>
          <w:lang w:bidi="ar-SA"/>
        </w:rPr>
        <w:t xml:space="preserve">كما إنّ الأقوى نجاسة الدم الذي امتصّه العلق ؛ للاستصحاب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لإطلاق الدليل ، على احتمال ، وعدم سيرة أو دليل آخر على طهارته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صار جزء بدنه وتبدّل إلى موضوع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 </w:t>
      </w:r>
      <w:r>
        <w:rPr>
          <w:rFonts w:eastAsia="Amiri" w:cs="Amiri" w:ascii="Amiri" w:hAnsi="Amiri"/>
          <w:color w:val="111111"/>
          <w:sz w:val="28"/>
          <w:szCs w:val="28"/>
          <w:rtl w:val="true"/>
          <w:lang w:bidi="ar-SA"/>
        </w:rPr>
        <w:t>.</w:t>
      </w:r>
    </w:p>
    <w:p>
      <w:pPr>
        <w:pStyle w:val="Heading6"/>
        <w:numPr>
          <w:ilvl w:val="5"/>
          <w:numId w:val="1"/>
        </w:numPr>
        <w:rPr/>
      </w:pPr>
      <w:bookmarkStart w:id="459" w:name="__RefHeading___Toc212944_2142443653"/>
      <w:bookmarkStart w:id="460" w:name="_Toc164"/>
      <w:bookmarkEnd w:id="459"/>
      <w:r>
        <w:rPr>
          <w:rtl w:val="true"/>
        </w:rPr>
        <w:t>طهارة الخمر بانقلابها خلاًّ ولو بعلاج</w:t>
      </w:r>
      <w:bookmarkEnd w:id="460"/>
    </w:p>
    <w:p>
      <w:pPr>
        <w:pStyle w:val="BookText"/>
        <w:rPr/>
      </w:pPr>
      <w:r>
        <w:rPr>
          <w:rFonts w:ascii="Amiri" w:hAnsi="Amiri" w:eastAsia="Amiri" w:cs="Amiri"/>
          <w:color w:val="111111"/>
          <w:sz w:val="28"/>
          <w:sz w:val="28"/>
          <w:szCs w:val="28"/>
          <w:rtl w:val="true"/>
          <w:lang w:bidi="ar-SA"/>
        </w:rPr>
        <w:t xml:space="preserve">وأمّا انقلاب الخمر خلاًّ فلا يكون استحالة ؛ للتبدّل في الصفة عرفاً ، فبقي موضوع الاستصحاب ، وجرى الاستصحاب الحكمي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مع الغضّ عنه يحكم بنجاسته ؛ لملاقاته مع الإناء المتنجّس بالخمر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بدّ في الحكم بطهارته من قيام دليل مخرج عن الأصل وإطلاق الدليل ، وهو النصوص المستفيضة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الإجماع المنقول مستفيضاً فيما ينقلب خلاًّ بنفسه</w:t>
      </w:r>
      <w:r>
        <w:rPr>
          <w:rStyle w:val="FootnoteAnchor"/>
          <w:rtl w:val="true"/>
        </w:rPr>
        <w:footnoteReference w:id="1145"/>
      </w:r>
      <w:r>
        <w:rPr>
          <w:rFonts w:ascii="Amiri" w:hAnsi="Amiri" w:eastAsia="Amiri" w:cs="Amiri"/>
          <w:color w:val="111111"/>
          <w:sz w:val="28"/>
          <w:sz w:val="28"/>
          <w:szCs w:val="28"/>
          <w:rtl w:val="true"/>
          <w:lang w:bidi="ar-SA"/>
        </w:rPr>
        <w:t>، وإطلاق بعض معاقده فيما ينقلب بالعلاج</w:t>
      </w:r>
      <w:r>
        <w:rPr>
          <w:rStyle w:val="FootnoteAnchor"/>
          <w:rtl w:val="true"/>
        </w:rPr>
        <w:footnoteReference w:id="1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جمع دعوى الشهرة عليه</w:t>
      </w:r>
      <w:r>
        <w:rPr>
          <w:rStyle w:val="FootnoteAnchor"/>
          <w:rtl w:val="true"/>
        </w:rPr>
        <w:footnoteReference w:id="11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موثّقةِ زرارة ،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الخمر العتيقة تجعل خلاًّ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وموثّقةِ عبيد بن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 السلام عن الرجل يأخذ الخمر </w:t>
      </w:r>
    </w:p>
    <w:p>
      <w:pPr>
        <w:pStyle w:val="BookText"/>
        <w:rPr/>
      </w:pPr>
      <w:r>
        <w:rPr>
          <w:rFonts w:ascii="Amiri" w:hAnsi="Amiri" w:eastAsia="Amiri" w:cs="Amiri"/>
          <w:color w:val="111111"/>
          <w:sz w:val="28"/>
          <w:sz w:val="28"/>
          <w:szCs w:val="28"/>
          <w:rtl w:val="true"/>
          <w:lang w:bidi="ar-SA"/>
        </w:rPr>
        <w:t xml:space="preserve">فيجعلها خلاًّ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وموثّقتِه الاُخرى ، عنه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 قال في الرجل إذا باع عصيراً ، فحبسه السلطان حتّى صار خمراً ، فجعله صاحبه خلاًّ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تحوّل عن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بأس</w:t>
      </w:r>
      <w:r>
        <w:rPr>
          <w:rFonts w:eastAsia="IRNazanin" w:cs="IRNazanin"/>
          <w:color w:val="111111"/>
          <w:sz w:val="28"/>
          <w:szCs w:val="28"/>
          <w:rtl w:val="true"/>
          <w:lang w:bidi="fa-IR"/>
        </w:rPr>
        <w:t>»</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منها جعلها خلاًّ بالعلاج ؛ فإنّ الخمر بنفسها ولو بقيت طويلاً لا تصير خلاًّ ، فالمراد من جعلها خلاًّ هو علاجها حتّى صارت كذلك ؛ بأن يوضع فيها شيء كالخلّ والملح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مع تصريح بعض الروايات به ، مثل ما عن ابن إدريس نقلاً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البَزَنْطي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بصير ، عن 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 سئل عن الخمر تعالج بالملح وغيره لتحوّل خلاًّ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بأس بمعالجتها </w:t>
      </w:r>
      <w:r>
        <w:rPr>
          <w:rFonts w:eastAsia="IRNazanin" w:cs="IRNazanin"/>
          <w:color w:val="111111"/>
          <w:sz w:val="28"/>
          <w:szCs w:val="28"/>
          <w:rtl w:val="true"/>
          <w:lang w:bidi="fa-IR"/>
        </w:rPr>
        <w:t>. . . »</w:t>
      </w:r>
      <w:r>
        <w:rPr>
          <w:rStyle w:val="FootnoteAnchor"/>
          <w:rtl w:val="true"/>
        </w:rPr>
        <w:footnoteReference w:id="1151"/>
      </w:r>
      <w:r>
        <w:rPr>
          <w:rFonts w:ascii="IRNazanin" w:hAnsi="IRNazanin" w:eastAsia="IRNazanin"/>
          <w:color w:val="111111"/>
          <w:sz w:val="28"/>
          <w:sz w:val="28"/>
          <w:szCs w:val="28"/>
          <w:rtl w:val="true"/>
          <w:lang w:bidi="fa-IR"/>
        </w:rPr>
        <w:t xml:space="preserve">إلى آخره </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عبد العزيز بن المهتدي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الأصحّ</w:t>
      </w:r>
      <w:r>
        <w:rPr>
          <w:rStyle w:val="FootnoteAnchor"/>
          <w:rtl w:val="true"/>
        </w:rPr>
        <w:footnoteReference w:id="1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w:t>
      </w:r>
    </w:p>
    <w:p>
      <w:pPr>
        <w:pStyle w:val="BookText"/>
        <w:rPr/>
      </w:pPr>
      <w:r>
        <w:rPr>
          <w:rFonts w:ascii="IRNazanin" w:hAnsi="IRNazanin" w:eastAsia="IRNazanin"/>
          <w:color w:val="111111"/>
          <w:sz w:val="28"/>
          <w:sz w:val="28"/>
          <w:szCs w:val="28"/>
          <w:rtl w:val="true"/>
          <w:lang w:bidi="fa-IR"/>
        </w:rPr>
        <w:t xml:space="preserve">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 العصير يصير خمراً ، فيصبّ عليه الخلّ وشيء يغيّره حتّى يصير خلاًّ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فما في بعض الروايات الشاذّة من المنع مطروح ، أو مؤوّل ومحمول على الكراهة ، مثل 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كلوا من الخمر ما انفسد ، ولا تأكلوا ما أفسدتموه أنتم</w:t>
      </w:r>
      <w:r>
        <w:rPr>
          <w:rFonts w:eastAsia="IRNazanin" w:cs="IRNazanin"/>
          <w:color w:val="111111"/>
          <w:sz w:val="28"/>
          <w:szCs w:val="28"/>
          <w:rtl w:val="true"/>
          <w:lang w:bidi="fa-IR"/>
        </w:rPr>
        <w:t>»</w:t>
      </w:r>
      <w:r>
        <w:rPr>
          <w:rStyle w:val="FootnoteAnchor"/>
          <w:rtl w:val="true"/>
        </w:rPr>
        <w:footnoteReference w:id="1154"/>
      </w:r>
    </w:p>
    <w:p>
      <w:pPr>
        <w:pStyle w:val="BookText"/>
        <w:rPr/>
      </w:pPr>
      <w:r>
        <w:rPr>
          <w:rFonts w:ascii="Amiri" w:hAnsi="Amiri" w:eastAsia="Amiri" w:cs="Amiri"/>
          <w:color w:val="111111"/>
          <w:sz w:val="28"/>
          <w:sz w:val="28"/>
          <w:szCs w:val="28"/>
          <w:rtl w:val="true"/>
          <w:lang w:bidi="ar-SA"/>
        </w:rPr>
        <w:t xml:space="preserve">والأشربة ، أبواب الأطعمة المباحة ، الباب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أن تكون صحيحةً</w:t>
      </w:r>
      <w:r>
        <w:rPr>
          <w:rStyle w:val="FootnoteAnchor"/>
          <w:rtl w:val="true"/>
        </w:rPr>
        <w:footnoteReference w:id="11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عبداللّه علیه السلام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الخمر يجعل فيها الخلّ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 إلاّ ما جاء من قِبَل نفسه</w:t>
      </w:r>
      <w:r>
        <w:rPr>
          <w:rFonts w:eastAsia="Amiri" w:cs="Amiri" w:ascii="Amiri" w:hAnsi="Amiri"/>
          <w:color w:val="111111"/>
          <w:sz w:val="28"/>
          <w:szCs w:val="28"/>
          <w:rtl w:val="true"/>
          <w:lang w:bidi="ar-SA"/>
        </w:rPr>
        <w:t>»</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ما في الاُولى من الإجمال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الثانية لا تخلو منه أيضاً </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موثّقة أبي بصير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 السلام عن الخمر تجعل خلاًّ ، قال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إذا لم يجعل فيها ما يغلبها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يغلبها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بالغين المعجمة</w:t>
      </w:r>
      <w:r>
        <w:rPr>
          <w:rStyle w:val="FootnoteAnchor"/>
          <w:rtl w:val="true"/>
        </w:rPr>
        <w:footnoteReference w:id="1157"/>
      </w:r>
      <w:r>
        <w:rPr>
          <w:rFonts w:ascii="Amiri" w:hAnsi="Amiri" w:eastAsia="Amiri" w:cs="Amiri"/>
          <w:color w:val="111111"/>
          <w:sz w:val="28"/>
          <w:sz w:val="28"/>
          <w:szCs w:val="28"/>
          <w:rtl w:val="true"/>
          <w:lang w:bidi="ar-SA"/>
        </w:rPr>
        <w:t xml:space="preserve">، وفي بعض كتب الاستدلال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بالقاف</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والظاهر أ نّها موافقة لمضمون روايته الاُخرى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 السلام عن الخمر يصنع فيها شيء حتّى تحمّض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الذي صنع فيها هو الغالب على ما صنع فيه ، فلا بأس به</w:t>
      </w:r>
      <w:r>
        <w:rPr>
          <w:rFonts w:eastAsia="IRNazanin" w:cs="IRNazanin"/>
          <w:color w:val="111111"/>
          <w:sz w:val="28"/>
          <w:szCs w:val="28"/>
          <w:rtl w:val="true"/>
          <w:lang w:bidi="fa-IR"/>
        </w:rPr>
        <w:t>»</w:t>
      </w:r>
      <w:r>
        <w:rPr>
          <w:rStyle w:val="FootnoteAnchor"/>
          <w:rtl w:val="true"/>
        </w:rPr>
        <w:footnoteReference w:id="1159"/>
      </w:r>
    </w:p>
    <w:p>
      <w:pPr>
        <w:pStyle w:val="BookText"/>
        <w:rPr/>
      </w:pP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 لأطعمة وا لأشربة ، أبواب ا لأشربة ا لمحرّمة ، ا لباب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فهي مؤيّدة لصحّة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نحو إجمال يرفع بما في النسختين ، فيكون المراد من الروايتين النهي عن غلبة ما يعالج به الخمر لتصير خلاًّ ، فلا يجوز صبّ مقدار منها في خلّ كثير ، ولا تطهر ولو مع العلم بصيرورتها خلاًّ ؛ لأ نّه صار نجساً بصبّها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دليل على صيرورته طاهراً بالتبع ؛ فإنّ ما طهر بالتبع هو شيء يصبّ للعلاج بحسب المتعارف ، كمقدار من الملح أو الخلّ ممّا يتعارف صبّه فيها للانقلاب </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عن الشيخ من القول بطهارة الخمر القليلة الملقاة في خلّ كثير ؛ إذا مضى عليها زمان يعلم عادة باستحالتها </w:t>
      </w:r>
      <w:r>
        <w:rPr>
          <w:rStyle w:val="FootnoteAnchor"/>
          <w:rtl w:val="true"/>
        </w:rPr>
        <w:footnoteReference w:id="1160"/>
      </w:r>
      <w:r>
        <w:rPr>
          <w:rFonts w:ascii="Amiri" w:hAnsi="Amiri" w:eastAsia="Amiri" w:cs="Amiri"/>
          <w:color w:val="111111"/>
          <w:sz w:val="28"/>
          <w:sz w:val="28"/>
          <w:szCs w:val="28"/>
          <w:rtl w:val="true"/>
          <w:lang w:bidi="ar-SA"/>
        </w:rPr>
        <w:t xml:space="preserve">ضعيف ، لا لما 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بأنّ صبّ </w:t>
      </w:r>
    </w:p>
    <w:p>
      <w:pPr>
        <w:pStyle w:val="BookText"/>
        <w:rPr/>
      </w:pPr>
      <w:r>
        <w:rPr>
          <w:rFonts w:ascii="Amiri" w:hAnsi="Amiri" w:eastAsia="Amiri" w:cs="Amiri"/>
          <w:color w:val="111111"/>
          <w:sz w:val="28"/>
          <w:sz w:val="28"/>
          <w:szCs w:val="28"/>
          <w:rtl w:val="true"/>
          <w:lang w:bidi="ar-SA"/>
        </w:rPr>
        <w:t>المائع حتّى للعلاج محلّ إشكال ، فضلاً عن غيره</w:t>
      </w:r>
      <w:r>
        <w:rPr>
          <w:rFonts w:eastAsia="Amiri" w:cs="Amiri" w:ascii="Amiri" w:hAnsi="Amiri"/>
          <w:color w:val="111111"/>
          <w:sz w:val="28"/>
          <w:szCs w:val="28"/>
          <w:rtl w:val="true"/>
          <w:lang w:bidi="ar-SA"/>
        </w:rPr>
        <w:t>»</w:t>
      </w:r>
      <w:r>
        <w:rPr>
          <w:rStyle w:val="FootnoteAnchor"/>
          <w:rtl w:val="true"/>
        </w:rPr>
        <w:footnoteReference w:id="1161"/>
      </w:r>
      <w:r>
        <w:rPr>
          <w:rFonts w:ascii="Amiri" w:hAnsi="Amiri" w:eastAsia="Amiri" w:cs="Amiri"/>
          <w:color w:val="111111"/>
          <w:sz w:val="28"/>
          <w:sz w:val="28"/>
          <w:szCs w:val="28"/>
          <w:rtl w:val="true"/>
          <w:lang w:bidi="ar-SA"/>
        </w:rPr>
        <w:t xml:space="preserve">فإنّ الخلّ الوارد في الأدلّة من المائعات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مقتضى إطلاق الأدلّة عدم الفرق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منشأ الإشكال أنّ المستفاد من الأدلّة ، هو طهارة ما يعمل علاجاً ويتعارف استعماله فيه دون غيره ، فإلقاء الأجسام الأجنبيّة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من المائعات أو الجامدات ؛ لتصير طاهرة بالتبع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إشكال ومنع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الإشكال في الجامدات أشدّ إذا كانت المائعات بمقدار يستهلك فيها ؛ وإن زاد عن المتعارف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مع الاستهلاك يكون للقول بالطهارة 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موثّقتي أبي بصير ، جواز جعل الخلّ وغيره فيها إذا لم يغلبها وإن زاد عن المتعارف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الاتّكال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اختلاف نسخة الاُولى ، والإجمال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من إشكال ، فالأحوط عدم التجاوز عن المقدار المتعارف للعلاج </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ذهاب الثلثين ، فلا موجب للبحث عنه بعد ما تقدّم من عدم نجاسة العصير بغليانه</w:t>
      </w:r>
      <w:r>
        <w:rPr>
          <w:rStyle w:val="FootnoteAnchor"/>
          <w:rtl w:val="true"/>
        </w:rPr>
        <w:footnoteReference w:id="1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فرض حصول الإسكار في بعض الأحيان وصار خمراً ، فلا يطهر إلاّ بالانقلاب </w:t>
      </w:r>
      <w:r>
        <w:rPr>
          <w:rFonts w:eastAsia="Amiri" w:cs="Amiri" w:ascii="Amiri" w:hAnsi="Amiri"/>
          <w:color w:val="111111"/>
          <w:sz w:val="28"/>
          <w:szCs w:val="28"/>
          <w:rtl w:val="true"/>
          <w:lang w:bidi="ar-SA"/>
        </w:rPr>
        <w:t xml:space="preserve">. </w:t>
      </w:r>
      <w:bookmarkStart w:id="461" w:name="pg15030_143355"/>
    </w:p>
    <w:p>
      <w:pPr>
        <w:pStyle w:val="Heading6"/>
        <w:numPr>
          <w:ilvl w:val="5"/>
          <w:numId w:val="1"/>
        </w:numPr>
        <w:rPr/>
      </w:pPr>
      <w:bookmarkStart w:id="462" w:name="__RefHeading___Toc212946_2142443653"/>
      <w:bookmarkStart w:id="463" w:name="_Toc165"/>
      <w:bookmarkEnd w:id="461"/>
      <w:bookmarkEnd w:id="462"/>
      <w:r>
        <w:rPr>
          <w:rtl w:val="true"/>
        </w:rPr>
        <w:t>الكلام في مطهّرية الإسلام</w:t>
      </w:r>
      <w:bookmarkEnd w:id="463"/>
    </w:p>
    <w:p>
      <w:pPr>
        <w:pStyle w:val="BookText"/>
        <w:rPr/>
      </w:pPr>
      <w:r>
        <w:rPr>
          <w:rFonts w:ascii="Amiri" w:hAnsi="Amiri" w:eastAsia="Amiri" w:cs="Amiri"/>
          <w:color w:val="111111"/>
          <w:sz w:val="28"/>
          <w:sz w:val="28"/>
          <w:szCs w:val="28"/>
          <w:rtl w:val="true"/>
          <w:lang w:bidi="ar-SA"/>
        </w:rPr>
        <w:t xml:space="preserve">وأمّا الإسلام ، فموجب لارتفاع نجاسة الكفر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الانقلاب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تبدّل عنوان بالآخر دلّت الأدلّة على طهارة المعنون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إن قلنا بطهارة رطوباته المتّصلة به ، كعرقه وبصاقه ووسخه وثوبه المتنجّس بها ، كما ادّعي عليها السيرة ، وعدم معهودية الأمر بتطهيره بعد الإسلام مع ملازمته لها </w:t>
      </w:r>
      <w:r>
        <w:rPr>
          <w:rStyle w:val="FootnoteAnchor"/>
          <w:rtl w:val="true"/>
        </w:rPr>
        <w:footnoteReference w:id="1163"/>
      </w:r>
      <w:r>
        <w:rPr>
          <w:rFonts w:ascii="Amiri" w:hAnsi="Amiri" w:eastAsia="Amiri" w:cs="Amiri"/>
          <w:color w:val="111111"/>
          <w:sz w:val="28"/>
          <w:sz w:val="28"/>
          <w:szCs w:val="28"/>
          <w:rtl w:val="true"/>
          <w:lang w:bidi="ar-SA"/>
        </w:rPr>
        <w:t xml:space="preserve">، يكون الإسلام مطهّراً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ما قيل من تبدّل النسبة وصيرورتها من المسلم</w:t>
      </w:r>
      <w:r>
        <w:rPr>
          <w:rStyle w:val="FootnoteAnchor"/>
          <w:rtl w:val="true"/>
        </w:rPr>
        <w:footnoteReference w:id="1164"/>
      </w:r>
      <w:r>
        <w:rPr>
          <w:rFonts w:ascii="Amiri" w:hAnsi="Amiri" w:eastAsia="Amiri" w:cs="Amiri"/>
          <w:color w:val="111111"/>
          <w:sz w:val="28"/>
          <w:sz w:val="28"/>
          <w:szCs w:val="28"/>
          <w:rtl w:val="true"/>
          <w:lang w:bidi="ar-SA"/>
        </w:rPr>
        <w:t xml:space="preserve">، فيكون من الانقلاب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كما ترى ، سيّما في بعضها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بطهارة المسلم من الكفر الأصلي إجماعي</w:t>
      </w:r>
      <w:r>
        <w:rPr>
          <w:rStyle w:val="FootnoteAnchor"/>
          <w:rtl w:val="true"/>
        </w:rPr>
        <w:footnoteReference w:id="1165"/>
      </w:r>
      <w:r>
        <w:rPr>
          <w:rFonts w:ascii="Amiri" w:hAnsi="Amiri" w:eastAsia="Amiri" w:cs="Amiri"/>
          <w:color w:val="111111"/>
          <w:sz w:val="28"/>
          <w:sz w:val="28"/>
          <w:szCs w:val="28"/>
          <w:rtl w:val="true"/>
          <w:lang w:bidi="ar-SA"/>
        </w:rPr>
        <w:t>، بل ضروري ، كما ادّعاه الأعلام</w:t>
      </w:r>
      <w:r>
        <w:rPr>
          <w:rStyle w:val="FootnoteAnchor"/>
          <w:rtl w:val="true"/>
        </w:rPr>
        <w:footnoteReference w:id="1166"/>
      </w:r>
      <w:r>
        <w:rPr>
          <w:rFonts w:ascii="Amiri" w:hAnsi="Amiri" w:eastAsia="Amiri" w:cs="Amiri"/>
          <w:color w:val="111111"/>
          <w:sz w:val="28"/>
          <w:sz w:val="28"/>
          <w:szCs w:val="28"/>
          <w:rtl w:val="true"/>
          <w:lang w:bidi="ar-SA"/>
        </w:rPr>
        <w:t xml:space="preserve">، وهو كذلك </w:t>
      </w:r>
      <w:r>
        <w:rPr>
          <w:rFonts w:eastAsia="Amiri" w:cs="Amiri" w:ascii="Amiri" w:hAnsi="Amiri"/>
          <w:color w:val="111111"/>
          <w:sz w:val="28"/>
          <w:szCs w:val="28"/>
          <w:rtl w:val="true"/>
          <w:lang w:bidi="ar-SA"/>
        </w:rPr>
        <w:t>.</w:t>
      </w:r>
    </w:p>
    <w:p>
      <w:pPr>
        <w:pStyle w:val="Heading6"/>
        <w:numPr>
          <w:ilvl w:val="5"/>
          <w:numId w:val="1"/>
        </w:numPr>
        <w:rPr/>
      </w:pPr>
      <w:bookmarkStart w:id="464" w:name="__RefHeading___Toc212948_2142443653"/>
      <w:bookmarkStart w:id="465" w:name="_Toc166"/>
      <w:bookmarkEnd w:id="464"/>
      <w:r>
        <w:rPr>
          <w:rtl w:val="true"/>
        </w:rPr>
        <w:t>طهارة من أسلم عن الارتداد الملّي</w:t>
      </w:r>
      <w:bookmarkEnd w:id="465"/>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متسالم عليه فيمن أسلم عن ارتداد ملّي ، وحكي عليه الاتّفاق</w:t>
      </w:r>
      <w:r>
        <w:rPr>
          <w:rStyle w:val="FootnoteAnchor"/>
          <w:rtl w:val="true"/>
        </w:rPr>
        <w:footnoteReference w:id="11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أولوية قبول إسلامه وتوبته من الفطري ، الذي يأتي قوّة قبوله </w:t>
      </w:r>
      <w:bookmarkStart w:id="466" w:name="pg15030_143356"/>
    </w:p>
    <w:p>
      <w:pPr>
        <w:pStyle w:val="BookText"/>
        <w:rPr/>
      </w:pPr>
      <w:bookmarkEnd w:id="466"/>
      <w:r>
        <w:rPr>
          <w:rFonts w:ascii="IRNazanin" w:hAnsi="IRNazanin" w:eastAsia="IRNazanin"/>
          <w:color w:val="111111"/>
          <w:sz w:val="28"/>
          <w:sz w:val="28"/>
          <w:szCs w:val="28"/>
          <w:rtl w:val="true"/>
          <w:lang w:bidi="fa-IR"/>
        </w:rPr>
        <w:t xml:space="preserve">منه آنفاً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علي بن جعفر ، عن أخيه أبي الحسن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مسلم تنصّر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يقتل ولا يستتاب</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فنصراني أسلم ثمّ ارتدّ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يستتاب ، فإن رجع وإلاّ قتل</w:t>
      </w:r>
      <w:r>
        <w:rPr>
          <w:rFonts w:eastAsia="Amiri" w:cs="Amiri" w:ascii="Amiri" w:hAnsi="Amiri"/>
          <w:color w:val="111111"/>
          <w:sz w:val="28"/>
          <w:szCs w:val="28"/>
          <w:rtl w:val="true"/>
          <w:lang w:bidi="ar-SA"/>
        </w:rPr>
        <w:t>»</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وبها يقيّد إطلاق نحو صحيحة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w:t>
      </w:r>
    </w:p>
    <w:p>
      <w:pPr>
        <w:pStyle w:val="BookText"/>
        <w:rPr/>
      </w:pPr>
      <w:r>
        <w:rPr>
          <w:rFonts w:ascii="Amiri" w:hAnsi="Amiri" w:eastAsia="Amiri" w:cs="Amiri"/>
          <w:color w:val="111111"/>
          <w:sz w:val="28"/>
          <w:sz w:val="28"/>
          <w:szCs w:val="28"/>
          <w:rtl w:val="true"/>
          <w:lang w:bidi="ar-SA"/>
        </w:rPr>
        <w:t xml:space="preserve">عن المرتدّ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رغب عن الإسلام ، وكفر بما اُنزل على محمّد بعد إسلامه ، فلا توبة له وقد وجب قتله ، وبانت منه امرأته ، ويقسم ما ترك على ولده</w:t>
      </w:r>
      <w:r>
        <w:rPr>
          <w:rFonts w:eastAsia="Amiri" w:cs="Amiri" w:ascii="Amiri" w:hAnsi="Amiri"/>
          <w:color w:val="111111"/>
          <w:sz w:val="28"/>
          <w:szCs w:val="28"/>
          <w:rtl w:val="true"/>
          <w:lang w:bidi="ar-SA"/>
        </w:rPr>
        <w:t>»</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والمراد من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إسلامه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كونه مسلماً ، لا بعد دخوله في الإسلام ؛ جمعاً بينها وبين صحيحة علي بن جعفر المصرّحة باستتابته </w:t>
      </w:r>
      <w:r>
        <w:rPr>
          <w:rFonts w:eastAsia="IRNazanin" w:cs="IRNazanin"/>
          <w:color w:val="111111"/>
          <w:sz w:val="28"/>
          <w:szCs w:val="28"/>
          <w:rtl w:val="true"/>
          <w:lang w:bidi="fa-IR"/>
        </w:rPr>
        <w:t>.</w:t>
      </w:r>
    </w:p>
    <w:p>
      <w:pPr>
        <w:pStyle w:val="Heading6"/>
        <w:numPr>
          <w:ilvl w:val="5"/>
          <w:numId w:val="1"/>
        </w:numPr>
        <w:rPr/>
      </w:pPr>
      <w:bookmarkStart w:id="467" w:name="__RefHeading___Toc212950_2142443653"/>
      <w:bookmarkStart w:id="468" w:name="_Toc167"/>
      <w:bookmarkEnd w:id="467"/>
      <w:r>
        <w:rPr>
          <w:rtl w:val="true"/>
        </w:rPr>
        <w:t>قبول توبة المرتدّ الفطري باطناً وظاهراً وطهارته بعدها</w:t>
      </w:r>
      <w:bookmarkEnd w:id="468"/>
    </w:p>
    <w:p>
      <w:pPr>
        <w:pStyle w:val="BookText"/>
        <w:rPr/>
      </w:pPr>
      <w:r>
        <w:rPr>
          <w:rFonts w:ascii="Amiri" w:hAnsi="Amiri" w:eastAsia="Amiri" w:cs="Amiri"/>
          <w:color w:val="111111"/>
          <w:sz w:val="28"/>
          <w:sz w:val="28"/>
          <w:szCs w:val="28"/>
          <w:rtl w:val="true"/>
          <w:lang w:bidi="ar-SA"/>
        </w:rPr>
        <w:t xml:space="preserve">وأمّا المرتدّ الفطري ، فالظاهر قبول توبته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باطناً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دعوى القطع به ؛ لعموم رحمته تعالى وفضله على العباد ، وعدم إمكان طرد من رجع إليه وتاب وأسلم وآمن ؛ بأن ردّه من بابه ، وعذّبه عذاب الكفّار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لعلّه مخالف لاُصول العدلية </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ظاهراً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بمعنى صحّة إسلامه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يقال بعدم قبوله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فرض قبوله </w:t>
      </w:r>
    </w:p>
    <w:p>
      <w:pPr>
        <w:pStyle w:val="BookText"/>
        <w:rPr/>
      </w:pPr>
      <w:r>
        <w:rPr>
          <w:rFonts w:ascii="Amiri" w:hAnsi="Amiri" w:eastAsia="Amiri" w:cs="Amiri"/>
          <w:color w:val="111111"/>
          <w:sz w:val="28"/>
          <w:sz w:val="28"/>
          <w:szCs w:val="28"/>
          <w:rtl w:val="true"/>
          <w:lang w:bidi="ar-SA"/>
        </w:rPr>
        <w:t>وصيرورته مسلماً فلا دليل على صيرورته طاهراً ؛ لعدم عموم على طهارة كلّ مسلم يشمل مثله ، فمقتضى الاستصحاب نجاسته</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يستدلّ</w:t>
      </w:r>
      <w:r>
        <w:rPr>
          <w:rStyle w:val="FootnoteAnchor"/>
          <w:rtl w:val="true"/>
        </w:rPr>
        <w:footnoteReference w:id="1171"/>
      </w:r>
      <w:r>
        <w:rPr>
          <w:rFonts w:ascii="Amiri" w:hAnsi="Amiri" w:eastAsia="Amiri" w:cs="Amiri"/>
          <w:color w:val="111111"/>
          <w:sz w:val="28"/>
          <w:sz w:val="28"/>
          <w:szCs w:val="28"/>
          <w:rtl w:val="true"/>
          <w:lang w:bidi="ar-SA"/>
        </w:rPr>
        <w:t xml:space="preserve">على عدم قبوله بصحيحة محمّد بن مسلم المتقدّمة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عدم الملازمة بين عدم قبول توبته وعدم صحّة إسلامه ؛ لإمكان أن يكون المرتدّ الذي عصى ربّه واستوجب القتل في الدنيا والعذاب في الآخرة ، لا تقبل توبته من هذا العصيان وإن صار مسلماً ، فمقتضى الجمع بين الصحيحة وبين ما دلّت على أنّ الإسلام عبارة عن الشهادتين</w:t>
      </w:r>
      <w:r>
        <w:rPr>
          <w:rStyle w:val="FootnoteAnchor"/>
          <w:rtl w:val="true"/>
        </w:rPr>
        <w:footnoteReference w:id="1172"/>
      </w:r>
      <w:r>
        <w:rPr>
          <w:rFonts w:ascii="Amiri" w:hAnsi="Amiri" w:eastAsia="Amiri" w:cs="Amiri"/>
          <w:color w:val="111111"/>
          <w:sz w:val="28"/>
          <w:sz w:val="28"/>
          <w:szCs w:val="28"/>
          <w:rtl w:val="true"/>
          <w:lang w:bidi="ar-SA"/>
        </w:rPr>
        <w:t xml:space="preserve">، أن يصحّ إسلامه ، ويترتّب عليه أحكام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الطهارة وغيرها ، لكن لا يصير إسلامه موجباً لقبول توبته من عصيانه السابق ، فيستحقّ العقوبة في الآخرة ، لا نحو عقوبة الكفّار من الخلود ، وفي الدنيا تترتّب عليه أحكام المرتدّ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 الصحيحة قاصرة عن إثبات عدم قبول توبته باطناً وظاهراً ؛ فيما هو راجع إلى الأحكام الثابتة له بالارتداد ، كوجوب قتله وبينونة زوجته وتقسيم ماله وما لا يرجع إليه ؛ لأنّ الظاهر من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وجب قتله ، وبانت امرأته ، ويقسم ما ترك على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الجمل حالية </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فحاصل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الأحكام الثلاثة بعد ثبوتها بحدوث الارتداد ، لا ترفع بالتوبة ، فلا توبة له والحال أنّ القتل صار ثابتاً ، والامرأة بائنةً ، والمال منتقلاً </w:t>
      </w:r>
    </w:p>
    <w:p>
      <w:pPr>
        <w:pStyle w:val="BookText"/>
        <w:rPr/>
      </w:pPr>
      <w:r>
        <w:rPr>
          <w:rFonts w:ascii="Amiri" w:hAnsi="Amiri" w:eastAsia="Amiri" w:cs="Amiri"/>
          <w:color w:val="111111"/>
          <w:sz w:val="28"/>
          <w:sz w:val="28"/>
          <w:szCs w:val="28"/>
          <w:rtl w:val="true"/>
          <w:lang w:bidi="ar-SA"/>
        </w:rPr>
        <w:t xml:space="preserve">إلى الورثة ، فيمكن دعوى ظهورها أو إشعارها بأنْ لا توبة له بالنسبة إلى ما ثبت عليه ومضى ؛ وهي الأحكام الثلاثة ، دون ما سيأتي من الأحكام ، كطهارته 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الظاهر أنّ الصحيحة نظير غيرها من الروايات الواردة في الباب</w:t>
      </w:r>
      <w:r>
        <w:rPr>
          <w:rStyle w:val="FootnoteAnchor"/>
          <w:rtl w:val="true"/>
        </w:rPr>
        <w:footnoteReference w:id="1173"/>
      </w:r>
      <w:r>
        <w:rPr>
          <w:rFonts w:ascii="Amiri" w:hAnsi="Amiri" w:eastAsia="Amiri" w:cs="Amiri"/>
          <w:color w:val="111111"/>
          <w:sz w:val="28"/>
          <w:sz w:val="28"/>
          <w:szCs w:val="28"/>
          <w:rtl w:val="true"/>
          <w:lang w:bidi="ar-SA"/>
        </w:rPr>
        <w:t xml:space="preserve">، الدالّة على أنّ المرتدّ الملّي يستتاب ولا يقتل ، والفطري لا يستتاب ، وعلى الإمام أن يقتله بلا استتابة ، فلا إطلاق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إثبات هذا الحكم المخالف للعقول في قبول توبته باطناً وللأدلّة في قبول إسلامه وتحقّقه منه ، بتلك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رجوع كلمات الفقهاء إلى ما تقدّم ، فلا يمكن الاعتماد على الشهرة المحكيّة في الباب</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احتمال بقاء نجاسته بعد صحّة إسلامه ، فلا ينبغي التفوّه به بعد وضوح طهارة كلّ مسلم لدى المتشرّعة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لو أنكر أحد نجاسة هذا المرتدّ الراجع عن ارتداده ، كان أقرب إلى الصواب من إنكار طهارة هذا المسلم الذي إسلامه كسائر المسلمين </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إلى أنّ الروايات الواردة في تشريح حقيقة الإسلام ، ظاهرة في أنّ جميع أحكام الإسلام مترتّبة على من أقرّ بالشهادتين ، كموثّقة سَماعة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عن الإسلام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شهادة أن لا إله إلاّ اللّه ، والتصديق برسول اللّه ، به حقنت الدماء ، وعليه جرت المناكح </w:t>
      </w:r>
    </w:p>
    <w:p>
      <w:pPr>
        <w:pStyle w:val="BookText"/>
        <w:rPr/>
      </w:pPr>
      <w:r>
        <w:rPr>
          <w:rFonts w:ascii="Amiri" w:hAnsi="Amiri" w:eastAsia="Amiri" w:cs="Amiri"/>
          <w:color w:val="111111"/>
          <w:sz w:val="28"/>
          <w:sz w:val="28"/>
          <w:szCs w:val="28"/>
          <w:rtl w:val="true"/>
          <w:lang w:bidi="ar-SA"/>
        </w:rPr>
        <w:t>والمواريث، وعلى ظاهره جماعة الناس</w:t>
      </w:r>
      <w:r>
        <w:rPr>
          <w:rFonts w:eastAsia="Amiri" w:cs="Amiri" w:ascii="Amiri" w:hAnsi="Amiri"/>
          <w:color w:val="111111"/>
          <w:sz w:val="28"/>
          <w:szCs w:val="28"/>
          <w:rtl w:val="true"/>
          <w:lang w:bidi="ar-SA"/>
        </w:rPr>
        <w:t>»</w:t>
      </w:r>
      <w:r>
        <w:rPr>
          <w:rStyle w:val="FootnoteAnchor"/>
          <w:rtl w:val="true"/>
        </w:rPr>
        <w:footnoteReference w:id="1175"/>
      </w:r>
      <w:r>
        <w:rPr>
          <w:rFonts w:ascii="Amiri" w:hAnsi="Amiri" w:eastAsia="Amiri" w:cs="Amiri"/>
          <w:color w:val="111111"/>
          <w:sz w:val="28"/>
          <w:sz w:val="28"/>
          <w:szCs w:val="28"/>
          <w:rtl w:val="true"/>
          <w:lang w:bidi="ar-SA"/>
        </w:rPr>
        <w:t>ونحوها صحيحة حُمران بن أعين</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ومعلوم أنّ تلك الأمثلة لإفادة أنّ جميع الأحكام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المعاشرات والمناكحات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مترتّبة على الشهادتين ، فتوهّم أنّ الطهارة التي هي من أوضح ما يحتاج إليها الناس في عشرتهم لا تترتّب عليها ، في غاية السقوط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لأحد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الروايات في هذا المضمار إنّما هي لبيان الإسلام المقابل للإيمان ، ولا إطلاق لها بالنسبة إلى المرتدّ عن الإسلام إذا رجع وأظهر الشهادتين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لكنّه وهم ؛ فإنّ المنساق من الروايات أنّ الشهادتين تمام حقيقة الإسلام ، وتمام الموضوع لترتّب الآثار الظاهرة على مظهرها ، فالتشكيك في طهارة المسلم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سيّما المؤمن بجميع ما جاء به النبي صلی الله علیه و آله وسلم الذي هو أعزّ من الكبريت الأحمر ، ويكون من أولياء اللّه تعالى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إلى غير ذلك من الأوصاف التي ذكرت له في الروايات</w:t>
      </w:r>
      <w:r>
        <w:rPr>
          <w:rStyle w:val="FootnoteAnchor"/>
          <w:rtl w:val="true"/>
        </w:rPr>
        <w:footnoteReference w:id="11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كالتشكيك في البديهي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الاستدلال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 نّه مكلّف بالإسلام وشرائعه ، فلا بدّ من صحّتها منه ، وإلاّ فلا يعقل تكليفه بها جدّاً ، والصحّة متوقّفة على قبول إسلامه وعلى طهارته</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فغير وجيه ؛ إذ غاية ما يدلّ عليه هذا الوجه ، هو قبول إسلامه الذي هو شرط </w:t>
      </w:r>
    </w:p>
    <w:p>
      <w:pPr>
        <w:pStyle w:val="BookText"/>
        <w:rPr/>
      </w:pPr>
      <w:r>
        <w:rPr>
          <w:rFonts w:ascii="Amiri" w:hAnsi="Amiri" w:eastAsia="Amiri" w:cs="Amiri"/>
          <w:color w:val="111111"/>
          <w:sz w:val="28"/>
          <w:sz w:val="28"/>
          <w:szCs w:val="28"/>
          <w:rtl w:val="true"/>
          <w:lang w:bidi="ar-SA"/>
        </w:rPr>
        <w:t xml:space="preserve">في قبول عمله ، ولا يمكن التخصيص في دليله ، وأمّا اشتراط الطهارة فيمكن أن يقال بسقوطه منه ، فالعلم بصحّة العبادات منه ملازم للعلم بصحّة إسلامه ، لا العلم بطهارته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أنّ الاستدلال</w:t>
      </w:r>
      <w:r>
        <w:rPr>
          <w:rStyle w:val="FootnoteAnchor"/>
          <w:rtl w:val="true"/>
        </w:rPr>
        <w:footnoteReference w:id="1179"/>
      </w:r>
      <w:r>
        <w:rPr>
          <w:rFonts w:ascii="IRNazanin" w:hAnsi="IRNazanin" w:eastAsia="IRNazanin"/>
          <w:color w:val="111111"/>
          <w:sz w:val="28"/>
          <w:sz w:val="28"/>
          <w:szCs w:val="28"/>
          <w:rtl w:val="true"/>
          <w:lang w:bidi="fa-IR"/>
        </w:rPr>
        <w:t xml:space="preserve">عليها برواية محمّد بن مسلم ، عن 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فيمن كان مؤمناً فحجّ وعمل في إيمانه ، ثمّ أصابته في إيمانه فتنة فكفر ، ثمّ تاب وآمن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يحسب له كلّ عمل صالح في إيمانه ، ولا يبطل منه شيء</w:t>
      </w:r>
      <w:r>
        <w:rPr>
          <w:rFonts w:eastAsia="IRNazanin" w:cs="IRNazanin"/>
          <w:color w:val="111111"/>
          <w:sz w:val="28"/>
          <w:szCs w:val="28"/>
          <w:rtl w:val="true"/>
          <w:lang w:bidi="fa-IR"/>
        </w:rPr>
        <w:t>»</w:t>
      </w:r>
      <w:r>
        <w:rPr>
          <w:rStyle w:val="FootnoteAnchor"/>
          <w:rtl w:val="true"/>
        </w:rPr>
        <w:footnoteReference w:id="1180"/>
      </w:r>
      <w:r>
        <w:rPr>
          <w:rFonts w:ascii="Amiri" w:hAnsi="Amiri" w:eastAsia="Amiri" w:cs="Amiri"/>
          <w:color w:val="111111"/>
          <w:sz w:val="28"/>
          <w:sz w:val="28"/>
          <w:szCs w:val="28"/>
          <w:rtl w:val="true"/>
          <w:lang w:bidi="ar-SA"/>
        </w:rPr>
        <w:t xml:space="preserve">غير وجيه ؛ لأ نّها تدلّ على قبول أعماله الصالحة ، وهو لا يلازم طهارة بدنه </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يلازم صحّة عباداته ولو مع إسقاط شرطية الطهارة </w:t>
      </w:r>
      <w:r>
        <w:rPr>
          <w:rFonts w:eastAsia="Amiri" w:cs="Amiri" w:ascii="Amiri" w:hAnsi="Amiri"/>
          <w:color w:val="111111"/>
          <w:sz w:val="28"/>
          <w:szCs w:val="28"/>
          <w:rtl w:val="true"/>
          <w:lang w:bidi="ar-SA"/>
        </w:rPr>
        <w:t xml:space="preserve">. </w:t>
      </w:r>
      <w:bookmarkStart w:id="469" w:name="pg15030_143361"/>
    </w:p>
    <w:p>
      <w:pPr>
        <w:pStyle w:val="Heading4"/>
        <w:numPr>
          <w:ilvl w:val="3"/>
          <w:numId w:val="1"/>
        </w:numPr>
        <w:rPr/>
      </w:pPr>
      <w:bookmarkStart w:id="470" w:name="__RefHeading___Toc212952_2142443653"/>
      <w:bookmarkStart w:id="471" w:name="_Toc168"/>
      <w:bookmarkEnd w:id="469"/>
      <w:bookmarkEnd w:id="470"/>
      <w:r>
        <w:rPr>
          <w:rtl w:val="true"/>
        </w:rPr>
        <w:t>الأمر الرابع</w:t>
      </w:r>
      <w:r>
        <w:rPr>
          <w:rtl w:val="true"/>
        </w:rPr>
        <w:t xml:space="preserve">: </w:t>
      </w:r>
      <w:r>
        <w:rPr>
          <w:rtl w:val="true"/>
        </w:rPr>
        <w:t>في مطهّرية الأرض</w:t>
      </w:r>
      <w:bookmarkEnd w:id="471"/>
    </w:p>
    <w:p>
      <w:pPr>
        <w:pStyle w:val="Heading5"/>
        <w:numPr>
          <w:ilvl w:val="4"/>
          <w:numId w:val="1"/>
        </w:numPr>
        <w:rPr/>
      </w:pPr>
      <w:bookmarkStart w:id="472" w:name="__RefHeading___Toc212954_2142443653"/>
      <w:bookmarkStart w:id="473" w:name="_Toc169"/>
      <w:bookmarkEnd w:id="472"/>
      <w:r>
        <w:rPr>
          <w:rtl w:val="true"/>
        </w:rPr>
        <w:t>اشارة</w:t>
      </w:r>
      <w:bookmarkEnd w:id="473"/>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 ولا ينبغي الإشكال في مطهّريتها إجمالاً ،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عليها في باطن النعل وأسفل القدم والخفّ والقبقاب ونحوه</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 هذا الحكم مقطوع به في كلام الأصحاب ، وظاهرهم الاتّفاق عليه</w:t>
      </w:r>
      <w:r>
        <w:rPr>
          <w:rFonts w:eastAsia="Amiri" w:cs="Amiri" w:ascii="Amiri" w:hAnsi="Amiri"/>
          <w:color w:val="111111"/>
          <w:sz w:val="28"/>
          <w:szCs w:val="28"/>
          <w:rtl w:val="true"/>
          <w:lang w:bidi="ar-SA"/>
        </w:rPr>
        <w:t>»</w:t>
      </w:r>
      <w:r>
        <w:rPr>
          <w:rStyle w:val="FootnoteAnchor"/>
          <w:rtl w:val="true"/>
        </w:rPr>
        <w:footnoteReference w:id="11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الدلائل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هو مقطوع به في كلام الأصحاب ، ونقل بعضهم الإجماع عليه</w:t>
      </w:r>
      <w:r>
        <w:rPr>
          <w:rFonts w:eastAsia="Amiri" w:cs="Amiri" w:ascii="Amiri" w:hAnsi="Amiri"/>
          <w:color w:val="111111"/>
          <w:sz w:val="28"/>
          <w:szCs w:val="28"/>
          <w:rtl w:val="true"/>
          <w:lang w:bidi="ar-SA"/>
        </w:rPr>
        <w:t>»</w:t>
      </w:r>
      <w:r>
        <w:rPr>
          <w:rStyle w:val="FootnoteAnchor"/>
          <w:rtl w:val="true"/>
        </w:rPr>
        <w:footnoteReference w:id="1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يعرف فيه خلاف بين الأصحاب</w:t>
      </w:r>
      <w:r>
        <w:rPr>
          <w:rFonts w:eastAsia="Amiri" w:cs="Amiri" w:ascii="Amiri" w:hAnsi="Amiri"/>
          <w:color w:val="111111"/>
          <w:sz w:val="28"/>
          <w:szCs w:val="28"/>
          <w:rtl w:val="true"/>
          <w:lang w:bidi="ar-SA"/>
        </w:rPr>
        <w:t>»</w:t>
      </w:r>
      <w:r>
        <w:rPr>
          <w:rStyle w:val="FootnoteAnchor"/>
          <w:rtl w:val="true"/>
        </w:rPr>
        <w:footnoteReference w:id="11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يظهر من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في ذلك</w:t>
      </w:r>
      <w:r>
        <w:rPr>
          <w:rStyle w:val="FootnoteAnchor"/>
          <w:rtl w:val="true"/>
        </w:rPr>
        <w:footnoteReference w:id="1185"/>
      </w:r>
      <w:r>
        <w:rPr>
          <w:rFonts w:ascii="Amiri" w:hAnsi="Amiri" w:eastAsia="Amiri" w:cs="Amiri"/>
          <w:color w:val="111111"/>
          <w:sz w:val="28"/>
          <w:sz w:val="28"/>
          <w:szCs w:val="28"/>
          <w:rtl w:val="true"/>
          <w:lang w:bidi="ar-SA"/>
        </w:rPr>
        <w:t xml:space="preserve">، على إشكال في ظهور كلامه ، وعلى فرضه لا بدّ من تأويله </w:t>
      </w:r>
      <w:r>
        <w:rPr>
          <w:rFonts w:eastAsia="Amiri" w:cs="Amiri" w:ascii="Amiri" w:hAnsi="Amiri"/>
          <w:color w:val="111111"/>
          <w:sz w:val="28"/>
          <w:szCs w:val="28"/>
          <w:rtl w:val="true"/>
          <w:lang w:bidi="ar-SA"/>
        </w:rPr>
        <w:t xml:space="preserve">. </w:t>
      </w:r>
      <w:bookmarkStart w:id="474" w:name="pg15030_143362"/>
    </w:p>
    <w:p>
      <w:pPr>
        <w:pStyle w:val="Heading5"/>
        <w:numPr>
          <w:ilvl w:val="4"/>
          <w:numId w:val="1"/>
        </w:numPr>
        <w:rPr/>
      </w:pPr>
      <w:bookmarkStart w:id="475" w:name="__RefHeading___Toc212956_2142443653"/>
      <w:bookmarkStart w:id="476" w:name="_Toc170"/>
      <w:bookmarkEnd w:id="474"/>
      <w:bookmarkEnd w:id="475"/>
      <w:r>
        <w:rPr>
          <w:rtl w:val="true"/>
        </w:rPr>
        <w:t>الروايات الدالّة على مطهّرية الأرض</w:t>
      </w:r>
      <w:bookmarkEnd w:id="476"/>
    </w:p>
    <w:p>
      <w:pPr>
        <w:pStyle w:val="BookText"/>
        <w:rPr/>
      </w:pPr>
      <w:r>
        <w:rPr>
          <w:rFonts w:ascii="Amiri" w:hAnsi="Amiri" w:eastAsia="Amiri" w:cs="Amiri"/>
          <w:color w:val="111111"/>
          <w:sz w:val="28"/>
          <w:sz w:val="28"/>
          <w:szCs w:val="28"/>
          <w:rtl w:val="true"/>
          <w:lang w:bidi="ar-SA"/>
        </w:rPr>
        <w:t>وتدلّ عليها الكبرى الواردة في الروايات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الأرض يطهّر بعضها بعضاً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وط‌ء العَذِرَة ، كصحيحة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مع أبي جعفر علیه السلام</w:t>
      </w:r>
    </w:p>
    <w:p>
      <w:pPr>
        <w:pStyle w:val="BookText"/>
        <w:rPr/>
      </w:pPr>
      <w:r>
        <w:rPr>
          <w:rFonts w:ascii="Amiri" w:hAnsi="Amiri" w:eastAsia="Amiri" w:cs="Amiri"/>
          <w:color w:val="111111"/>
          <w:sz w:val="28"/>
          <w:sz w:val="28"/>
          <w:szCs w:val="28"/>
          <w:rtl w:val="true"/>
          <w:lang w:bidi="ar-SA"/>
        </w:rPr>
        <w:t xml:space="preserve">إذ مرّ على عَذِرة يابسة ، فوطأ عليها فأصابت ثوبه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قد وطأت على عَذِرة فأصابت ثوبك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ليس هي يابسة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 إنّ الأرض تطهّر بعضها بعضاً</w:t>
      </w:r>
      <w:r>
        <w:rPr>
          <w:rFonts w:eastAsia="Amiri" w:cs="Amiri" w:ascii="Amiri" w:hAnsi="Amiri"/>
          <w:color w:val="111111"/>
          <w:sz w:val="28"/>
          <w:szCs w:val="28"/>
          <w:rtl w:val="true"/>
          <w:lang w:bidi="ar-SA"/>
        </w:rPr>
        <w:t>»</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 المراد أ نّه لا بأس بإصابة الثوب ؛ لكونها يابسة ، ولا بوطئها الملازم لصحابة أجزائها للرجل أو النعل ؛ لأنّ الأرض تزيلها ، وعلى هذا يكون مفادها غير مفاد ما تأتي في سائر الروايات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بعيداً أن يراد بنفي البأس إذا كانت يابسة ، نفيه عن إصابة الثوب ، وذكر الكبرى لأجل التنبيه على أ نّها لو كانت رطبة وتلوّثت بها الرجل ، تطهر بالأرض ، فضلاً عمّا كانت يابسة ، وعليه يكون مفادها كغيرها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واحتمل بعضهم وقوع سقط فيها </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مورد التنجّس بملاقي الخنزير ، كحسنة</w:t>
      </w:r>
      <w:r>
        <w:rPr>
          <w:rStyle w:val="FootnoteAnchor"/>
          <w:rtl w:val="true"/>
        </w:rPr>
        <w:footnoteReference w:id="1188"/>
      </w:r>
      <w:r>
        <w:rPr>
          <w:rFonts w:ascii="IRNazanin" w:hAnsi="IRNazanin" w:eastAsia="IRNazanin"/>
          <w:color w:val="111111"/>
          <w:sz w:val="28"/>
          <w:sz w:val="28"/>
          <w:szCs w:val="28"/>
          <w:rtl w:val="true"/>
          <w:lang w:bidi="fa-IR"/>
        </w:rPr>
        <w:t xml:space="preserve">المعلّى بن خُنيس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الخنزير يخرج من الماء ، فيمرّ على الطريق</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فيسيل منه الماء ، أمرّ عليه حافياً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ليس وراءه شيء جافّ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بأس ؛ إنّ الأرض يطهّر بعضها بعضاً</w:t>
      </w:r>
      <w:r>
        <w:rPr>
          <w:rFonts w:eastAsia="Amiri" w:cs="Amiri" w:ascii="Amiri" w:hAnsi="Amiri"/>
          <w:color w:val="111111"/>
          <w:sz w:val="28"/>
          <w:szCs w:val="28"/>
          <w:rtl w:val="true"/>
          <w:lang w:bidi="ar-SA"/>
        </w:rPr>
        <w:t>»</w:t>
      </w:r>
      <w:r>
        <w:rPr>
          <w:rStyle w:val="FootnoteAnchor"/>
          <w:rtl w:val="true"/>
        </w:rPr>
        <w:footnoteReference w:id="1189"/>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مورد التنجّس بالبول ، كحسنة الحلبي ، عن أبي عبداللّه علیه السلام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طريقي إلى المسجد في زقاق يبال فيه ، فربّما مررت فيه وليس عليّ حذاء ، فيلصق برجلي من نداوته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ليس تمشي بعد ذلك في أرض يابسة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بأس ؛ إنّ الأرض يطهّر بعضها بعضاً</w:t>
      </w:r>
      <w:r>
        <w:rPr>
          <w:rFonts w:eastAsia="Amiri" w:cs="Amiri" w:ascii="Amiri" w:hAnsi="Amiri"/>
          <w:color w:val="111111"/>
          <w:sz w:val="28"/>
          <w:szCs w:val="28"/>
          <w:rtl w:val="true"/>
          <w:lang w:bidi="ar-SA"/>
        </w:rPr>
        <w:t>»</w:t>
      </w:r>
      <w:r>
        <w:rPr>
          <w:rStyle w:val="FootnoteAnchor"/>
          <w:rtl w:val="true"/>
        </w:rPr>
        <w:footnoteReference w:id="1190"/>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إلى آخره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مورد التنجّس بمطلق القذر ، كموثّقة الحلبي</w:t>
      </w:r>
      <w:r>
        <w:rPr>
          <w:rStyle w:val="FootnoteAnchor"/>
          <w:rtl w:val="true"/>
        </w:rPr>
        <w:footnoteReference w:id="1191"/>
      </w:r>
      <w:r>
        <w:rPr>
          <w:rFonts w:ascii="Amiri" w:hAnsi="Amiri" w:eastAsia="Amiri" w:cs="Amiri"/>
          <w:color w:val="111111"/>
          <w:sz w:val="28"/>
          <w:sz w:val="28"/>
          <w:szCs w:val="28"/>
          <w:rtl w:val="true"/>
          <w:lang w:bidi="ar-SA"/>
        </w:rPr>
        <w:t xml:space="preserve">لو كانت القضيّة غير ما في الحسنة ، وإلاّ كان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البول ، كما صرّح به في الاُولى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تلك الكبرى أنّ الأرض مطهّرة للرجل ولو فرض أنّ فيها إجمالاً ؛ فإنّ صدورها لإفادة طهارتها وجواز الدخول معها في المسجد والدخول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لعلّه المنساق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ينبغي الإشكال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الإشكال في كيفية إفادتها طهارة الرجل ، ولا يبعد أن يكون المتفاهم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الأرض يطهّر بعضها ما يتنجّس ببعضها ، أو يكون المراد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نفسَ النجاسات الحالّة في الأرض بنحو من التأويل ، فإنّها صارت كالجزء لها ، والمراد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تطهيرها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تطهير آثارها من الملاقي ،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يطهّر</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الدم</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نعم ، ما احتمله الكاشاني</w:t>
      </w:r>
      <w:r>
        <w:rPr>
          <w:rStyle w:val="FootnoteAnchor"/>
          <w:rtl w:val="true"/>
        </w:rPr>
        <w:footnoteReference w:id="1192"/>
      </w:r>
      <w:r>
        <w:rPr>
          <w:rFonts w:ascii="Amiri" w:hAnsi="Amiri" w:eastAsia="Amiri" w:cs="Amiri"/>
          <w:color w:val="111111"/>
          <w:sz w:val="28"/>
          <w:sz w:val="28"/>
          <w:szCs w:val="28"/>
          <w:rtl w:val="true"/>
          <w:lang w:bidi="ar-SA"/>
        </w:rPr>
        <w:t>غير بعيد بالنسبة إلى صحيحة ابن مسلم المتقدّمة</w:t>
      </w:r>
      <w:r>
        <w:rPr>
          <w:rStyle w:val="FootnoteAnchor"/>
          <w:rtl w:val="true"/>
        </w:rPr>
        <w:footnoteReference w:id="1193"/>
      </w:r>
      <w:r>
        <w:rPr>
          <w:rFonts w:ascii="Amiri" w:hAnsi="Amiri" w:eastAsia="Amiri" w:cs="Amiri"/>
          <w:color w:val="111111"/>
          <w:sz w:val="28"/>
          <w:sz w:val="28"/>
          <w:szCs w:val="28"/>
          <w:rtl w:val="true"/>
          <w:lang w:bidi="ar-SA"/>
        </w:rPr>
        <w:t xml:space="preserve">، والظاهر أنّ مراده توجيه هذه الرواية دون 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استفادة الطهارة من سائر الروايات أيضاً ؛ فإنّ اشتراط طهارة البدن</w:t>
      </w:r>
    </w:p>
    <w:p>
      <w:pPr>
        <w:pStyle w:val="BookText"/>
        <w:rPr/>
      </w:pPr>
      <w:r>
        <w:rPr>
          <w:rFonts w:ascii="Amiri" w:hAnsi="Amiri" w:eastAsia="Amiri" w:cs="Amiri"/>
          <w:color w:val="111111"/>
          <w:sz w:val="28"/>
          <w:sz w:val="28"/>
          <w:szCs w:val="28"/>
          <w:rtl w:val="true"/>
          <w:lang w:bidi="ar-SA"/>
        </w:rPr>
        <w:t xml:space="preserve">لمّا كان معهوداً لدى السائل والمسؤول ، فلا يفهم من تجويز الصلاة مع رجل ساخت في العَذِرة بعد مسحها وذهاب أثرها </w:t>
      </w:r>
      <w:r>
        <w:rPr>
          <w:rStyle w:val="FootnoteAnchor"/>
          <w:rtl w:val="true"/>
        </w:rPr>
        <w:footnoteReference w:id="1194"/>
      </w:r>
      <w:r>
        <w:rPr>
          <w:rFonts w:ascii="Amiri" w:hAnsi="Amiri" w:eastAsia="Amiri" w:cs="Amiri"/>
          <w:color w:val="111111"/>
          <w:sz w:val="28"/>
          <w:sz w:val="28"/>
          <w:szCs w:val="28"/>
          <w:rtl w:val="true"/>
          <w:lang w:bidi="ar-SA"/>
        </w:rPr>
        <w:t xml:space="preserve">، ولا من نفي البأس إذا مشى نحو خمسة عشر ذراعاً </w:t>
      </w:r>
      <w:r>
        <w:rPr>
          <w:rStyle w:val="FootnoteAnchor"/>
          <w:rtl w:val="true"/>
        </w:rPr>
        <w:footnoteReference w:id="1195"/>
      </w:r>
      <w:r>
        <w:rPr>
          <w:rFonts w:ascii="Amiri" w:hAnsi="Amiri" w:eastAsia="Amiri" w:cs="Amiri"/>
          <w:color w:val="111111"/>
          <w:sz w:val="28"/>
          <w:sz w:val="28"/>
          <w:szCs w:val="28"/>
          <w:rtl w:val="true"/>
          <w:lang w:bidi="ar-SA"/>
        </w:rPr>
        <w:t xml:space="preserve">، إلاّ حصولَ شرط الصلاة والطهارة ، وأمّا رفع اليد عنه والعفو فشيء لا يفهمه العرف ، فلا ينبغي التأمّل في حصولها </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الاستدلال عليها </w:t>
      </w:r>
      <w:r>
        <w:rPr>
          <w:rStyle w:val="FootnoteAnchor"/>
          <w:rtl w:val="true"/>
        </w:rPr>
        <w:footnoteReference w:id="1196"/>
      </w:r>
      <w:r>
        <w:rPr>
          <w:rFonts w:ascii="IRNazanin" w:hAnsi="IRNazanin" w:eastAsia="IRNazanin"/>
          <w:color w:val="111111"/>
          <w:sz w:val="28"/>
          <w:sz w:val="28"/>
          <w:szCs w:val="28"/>
          <w:rtl w:val="true"/>
          <w:lang w:bidi="fa-IR"/>
        </w:rPr>
        <w:t xml:space="preserve">بمثل قوله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لي الأرض مسجداً وطهوراً</w:t>
      </w:r>
      <w:r>
        <w:rPr>
          <w:rFonts w:eastAsia="IRNazanin" w:cs="IRNazanin"/>
          <w:color w:val="111111"/>
          <w:sz w:val="28"/>
          <w:szCs w:val="28"/>
          <w:rtl w:val="true"/>
          <w:lang w:bidi="fa-IR"/>
        </w:rPr>
        <w:t>»</w:t>
      </w:r>
      <w:r>
        <w:rPr>
          <w:rStyle w:val="FootnoteAnchor"/>
          <w:rtl w:val="true"/>
        </w:rPr>
        <w:footnoteReference w:id="1197"/>
      </w:r>
      <w:r>
        <w:rPr>
          <w:rFonts w:ascii="IRNazanin" w:hAnsi="IRNazanin" w:eastAsia="IRNazanin"/>
          <w:color w:val="111111"/>
          <w:sz w:val="28"/>
          <w:sz w:val="28"/>
          <w:szCs w:val="28"/>
          <w:rtl w:val="true"/>
          <w:lang w:bidi="fa-IR"/>
        </w:rPr>
        <w:t xml:space="preserve">أو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جعل التراب طهوراً كما جعل الماء طهوراً</w:t>
      </w:r>
      <w:r>
        <w:rPr>
          <w:rFonts w:eastAsia="IRNazanin" w:cs="IRNazanin"/>
          <w:color w:val="111111"/>
          <w:sz w:val="28"/>
          <w:szCs w:val="28"/>
          <w:rtl w:val="true"/>
          <w:lang w:bidi="fa-IR"/>
        </w:rPr>
        <w:t>»</w:t>
      </w:r>
      <w:r>
        <w:rPr>
          <w:rStyle w:val="FootnoteAnchor"/>
          <w:rtl w:val="true"/>
        </w:rPr>
        <w:footnoteReference w:id="1198"/>
      </w:r>
      <w:r>
        <w:rPr>
          <w:rFonts w:ascii="Amiri" w:hAnsi="Amiri" w:eastAsia="Amiri" w:cs="Amiri"/>
          <w:color w:val="111111"/>
          <w:sz w:val="28"/>
          <w:sz w:val="28"/>
          <w:szCs w:val="28"/>
          <w:rtl w:val="true"/>
          <w:lang w:bidi="ar-SA"/>
        </w:rPr>
        <w:t xml:space="preserve">ضعيف ؛ لأنّ الظاهر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كونهما إشارة إلى آية التيمّم</w:t>
      </w:r>
      <w:r>
        <w:rPr>
          <w:rStyle w:val="FootnoteAnchor"/>
          <w:rtl w:val="true"/>
        </w:rPr>
        <w:footnoteReference w:id="1199"/>
      </w:r>
      <w:r>
        <w:rPr>
          <w:rFonts w:ascii="Amiri" w:hAnsi="Amiri" w:eastAsia="Amiri" w:cs="Amiri"/>
          <w:color w:val="111111"/>
          <w:sz w:val="28"/>
          <w:sz w:val="28"/>
          <w:szCs w:val="28"/>
          <w:rtl w:val="true"/>
          <w:lang w:bidi="ar-SA"/>
        </w:rPr>
        <w:t>، وإلاّ فالأخذ بإطلاقهما خلاف الإجماع، بل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وتقييدهما موجب للاستهجان</w:t>
      </w:r>
      <w:r>
        <w:rPr>
          <w:rFonts w:eastAsia="Amiri" w:cs="Amiri" w:ascii="Amiri" w:hAnsi="Amiri"/>
          <w:color w:val="111111"/>
          <w:sz w:val="28"/>
          <w:szCs w:val="28"/>
          <w:rtl w:val="true"/>
          <w:lang w:bidi="ar-SA"/>
        </w:rPr>
        <w:t xml:space="preserve">. </w:t>
      </w:r>
      <w:bookmarkStart w:id="477" w:name="pg15030_143365"/>
    </w:p>
    <w:p>
      <w:pPr>
        <w:pStyle w:val="Heading5"/>
        <w:numPr>
          <w:ilvl w:val="4"/>
          <w:numId w:val="1"/>
        </w:numPr>
        <w:rPr/>
      </w:pPr>
      <w:bookmarkStart w:id="478" w:name="__RefHeading___Toc212958_2142443653"/>
      <w:bookmarkStart w:id="479" w:name="_Toc171"/>
      <w:bookmarkEnd w:id="477"/>
      <w:bookmarkEnd w:id="478"/>
      <w:r>
        <w:rPr>
          <w:rtl w:val="true"/>
        </w:rPr>
        <w:t>عموم مطهّرية الأرض لجميع النجاسات</w:t>
      </w:r>
      <w:bookmarkEnd w:id="479"/>
    </w:p>
    <w:p>
      <w:pPr>
        <w:pStyle w:val="BookText"/>
        <w:rPr/>
      </w:pPr>
      <w:r>
        <w:rPr>
          <w:rFonts w:ascii="Amiri" w:hAnsi="Amiri" w:eastAsia="Amiri" w:cs="Amiri"/>
          <w:color w:val="111111"/>
          <w:sz w:val="28"/>
          <w:sz w:val="28"/>
          <w:szCs w:val="28"/>
          <w:rtl w:val="true"/>
          <w:lang w:bidi="ar-SA"/>
        </w:rPr>
        <w:t xml:space="preserve">ثمّ إنّ مقتضى إطلاق بعض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كالكبرى المتقدّمة</w:t>
      </w:r>
      <w:r>
        <w:rPr>
          <w:rStyle w:val="FootnoteAnchor"/>
          <w:rtl w:val="true"/>
        </w:rPr>
        <w:footnoteReference w:id="1200"/>
      </w:r>
      <w:r>
        <w:rPr>
          <w:rFonts w:ascii="IRNazanin" w:hAnsi="IRNazanin" w:eastAsia="IRNazanin"/>
          <w:color w:val="111111"/>
          <w:sz w:val="28"/>
          <w:sz w:val="28"/>
          <w:szCs w:val="28"/>
          <w:rtl w:val="true"/>
          <w:lang w:bidi="fa-IR"/>
        </w:rPr>
        <w:t xml:space="preserve">، وصحيحة الأحول ،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الرجل يطأ على الموضع الذي ليس بنظيف ، ثمّ يطأ بعده مكاناً نظيفاً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إذا كان خمسة عشر ذراعاً ، أو نحو ذلك</w:t>
      </w:r>
      <w:r>
        <w:rPr>
          <w:rFonts w:eastAsia="IRNazanin" w:cs="IRNazanin"/>
          <w:color w:val="111111"/>
          <w:sz w:val="28"/>
          <w:szCs w:val="28"/>
          <w:rtl w:val="true"/>
          <w:lang w:bidi="fa-IR"/>
        </w:rPr>
        <w:t>»</w:t>
      </w:r>
      <w:r>
        <w:rPr>
          <w:rStyle w:val="FootnoteAnchor"/>
          <w:rtl w:val="true"/>
        </w:rPr>
        <w:footnoteReference w:id="1201"/>
      </w:r>
      <w:r>
        <w:rPr>
          <w:rFonts w:ascii="IRNazanin" w:hAnsi="IRNazanin" w:eastAsia="IRNazanin"/>
          <w:color w:val="111111"/>
          <w:sz w:val="28"/>
          <w:sz w:val="28"/>
          <w:szCs w:val="28"/>
          <w:rtl w:val="true"/>
          <w:lang w:bidi="fa-IR"/>
        </w:rPr>
        <w:t xml:space="preserve">بل وموثّقة عمّار بن موسى ، عن أبي عبداللّه علیه السلام 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 سأله عن رجل يتوضّأ ويمشي حافياً ورجله رطبة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كانت أرضكم مبلّطة أجزأكم المشي عليها </w:t>
      </w:r>
      <w:r>
        <w:rPr>
          <w:rFonts w:eastAsia="IRNazanin" w:cs="IRNazanin"/>
          <w:color w:val="111111"/>
          <w:sz w:val="28"/>
          <w:szCs w:val="28"/>
          <w:rtl w:val="true"/>
          <w:lang w:bidi="fa-IR"/>
        </w:rPr>
        <w:t>. . .»</w:t>
      </w:r>
      <w:r>
        <w:rPr>
          <w:rStyle w:val="FootnoteAnchor"/>
          <w:rtl w:val="true"/>
        </w:rPr>
        <w:footnoteReference w:id="1202"/>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الحكم لجميع النجاسات من غير فرق بين العَذِرة والبول وغيرهما </w:t>
      </w:r>
      <w:r>
        <w:rPr>
          <w:rFonts w:eastAsia="Amiri" w:cs="Amiri" w:ascii="Amiri" w:hAnsi="Amiri"/>
          <w:color w:val="111111"/>
          <w:sz w:val="28"/>
          <w:szCs w:val="28"/>
          <w:rtl w:val="true"/>
          <w:lang w:bidi="ar-SA"/>
        </w:rPr>
        <w:t>.</w:t>
      </w:r>
    </w:p>
    <w:p>
      <w:pPr>
        <w:pStyle w:val="Heading5"/>
        <w:numPr>
          <w:ilvl w:val="4"/>
          <w:numId w:val="1"/>
        </w:numPr>
        <w:rPr/>
      </w:pPr>
      <w:bookmarkStart w:id="480" w:name="__RefHeading___Toc212960_2142443653"/>
      <w:bookmarkStart w:id="481" w:name="_Toc172"/>
      <w:bookmarkEnd w:id="480"/>
      <w:r>
        <w:rPr>
          <w:rtl w:val="true"/>
        </w:rPr>
        <w:t>اعتبار كون النجاسة من الأرض</w:t>
      </w:r>
      <w:bookmarkEnd w:id="481"/>
    </w:p>
    <w:p>
      <w:pPr>
        <w:pStyle w:val="BookText"/>
        <w:rPr/>
      </w:pPr>
      <w:r>
        <w:rPr>
          <w:rFonts w:ascii="Amiri" w:hAnsi="Amiri" w:eastAsia="Amiri" w:cs="Amiri"/>
          <w:color w:val="111111"/>
          <w:sz w:val="28"/>
          <w:sz w:val="28"/>
          <w:szCs w:val="28"/>
          <w:rtl w:val="true"/>
          <w:lang w:bidi="ar-SA"/>
        </w:rPr>
        <w:t>وهل يعمّ الحكم حصولها بأيّ نحو كان ، أو يختصّ بحصولها من الأرض بمشي ونحوه ، لا النجاسة الخارجية ؛ كأن قطرت على باطن القدم قطرة دم أو غيره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يقال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مورد جلّ الروايات أو كلّها وإن كان ما حصل التلوّث من الأرض ، بل قد يستشعر من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الأرض يطهّر بعضها بعضاً</w:t>
      </w:r>
      <w:r>
        <w:rPr>
          <w:rFonts w:eastAsia="IRNazanin" w:cs="IRNazanin"/>
          <w:color w:val="111111"/>
          <w:sz w:val="28"/>
          <w:szCs w:val="28"/>
          <w:rtl w:val="true"/>
          <w:lang w:bidi="fa-IR"/>
        </w:rPr>
        <w:t>»</w:t>
      </w:r>
      <w:r>
        <w:rPr>
          <w:rStyle w:val="FootnoteAnchor"/>
          <w:rtl w:val="true"/>
        </w:rPr>
        <w:footnoteReference w:id="1203"/>
      </w:r>
      <w:r>
        <w:rPr>
          <w:rFonts w:ascii="Amiri" w:hAnsi="Amiri" w:eastAsia="Amiri" w:cs="Amiri"/>
          <w:color w:val="111111"/>
          <w:sz w:val="28"/>
          <w:sz w:val="28"/>
          <w:szCs w:val="28"/>
          <w:rtl w:val="true"/>
          <w:lang w:bidi="ar-SA"/>
        </w:rPr>
        <w:t xml:space="preserve">ذلك ، </w:t>
      </w:r>
    </w:p>
    <w:p>
      <w:pPr>
        <w:pStyle w:val="BookText"/>
        <w:rPr/>
      </w:pPr>
      <w:r>
        <w:rPr>
          <w:rFonts w:ascii="Amiri" w:hAnsi="Amiri" w:eastAsia="Amiri" w:cs="Amiri"/>
          <w:color w:val="111111"/>
          <w:sz w:val="28"/>
          <w:sz w:val="28"/>
          <w:szCs w:val="28"/>
          <w:rtl w:val="true"/>
          <w:lang w:bidi="ar-SA"/>
        </w:rPr>
        <w:t>لكن استبعاد مدخلية مثل هذه الخصوصية في موضوع الحكم ، مانع عن أن يقف الذهن دونها ، ولهذا لم يفهم الأصحاب منها الاختصاص</w:t>
      </w:r>
      <w:r>
        <w:rPr>
          <w:rFonts w:eastAsia="Amiri" w:cs="Amiri" w:ascii="Amiri" w:hAnsi="Amiri"/>
          <w:color w:val="111111"/>
          <w:sz w:val="28"/>
          <w:szCs w:val="28"/>
          <w:rtl w:val="true"/>
          <w:lang w:bidi="ar-SA"/>
        </w:rPr>
        <w:t>»</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وحاصل كلامه يرجع إلى إلغاء الخصوصية عرفاً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يستدلّ له بإطلاق صحيحة الأحول ؛ فإنّ الموضع الذي ليس بنظيف أعمّ من الأرض ؛ كأن وطأ على فراش ونحوه ، ويتمّ في غيره بعدم الفصل جزماً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الحكم بالتعميم في المقام لا يخلو من إشكال ؛ لأنّ الكبرى المتقدّمة لمّا</w:t>
      </w:r>
    </w:p>
    <w:p>
      <w:pPr>
        <w:pStyle w:val="BookText"/>
        <w:rPr/>
      </w:pPr>
      <w:r>
        <w:rPr>
          <w:rFonts w:ascii="Amiri" w:hAnsi="Amiri" w:eastAsia="Amiri" w:cs="Amiri"/>
          <w:color w:val="111111"/>
          <w:sz w:val="28"/>
          <w:sz w:val="28"/>
          <w:szCs w:val="28"/>
          <w:rtl w:val="true"/>
          <w:lang w:bidi="ar-SA"/>
        </w:rPr>
        <w:t>كانت في مقام بيان الضابط ، لا بدّ من أخذ القيود التي فيها ، ولا يجوز إلغاؤها إذا</w:t>
      </w:r>
    </w:p>
    <w:p>
      <w:pPr>
        <w:pStyle w:val="BookText"/>
        <w:rPr/>
      </w:pPr>
      <w:r>
        <w:rPr>
          <w:rFonts w:ascii="Amiri" w:hAnsi="Amiri" w:eastAsia="Amiri" w:cs="Amiri"/>
          <w:color w:val="111111"/>
          <w:sz w:val="28"/>
          <w:sz w:val="28"/>
          <w:szCs w:val="28"/>
          <w:rtl w:val="true"/>
          <w:lang w:bidi="ar-SA"/>
        </w:rPr>
        <w:t>كانت في مورد إعطاء القاعدة ، ولا يبعد أن يكون أظهر الاحتمالات فيها أحد الاحتمالين المتقدّمين</w:t>
      </w:r>
      <w:r>
        <w:rPr>
          <w:rStyle w:val="FootnoteAnchor"/>
          <w:rtl w:val="true"/>
        </w:rPr>
        <w:footnoteReference w:id="1205"/>
      </w:r>
      <w:r>
        <w:rPr>
          <w:rFonts w:ascii="Amiri" w:hAnsi="Amiri" w:eastAsia="Amiri" w:cs="Amiri"/>
          <w:color w:val="111111"/>
          <w:sz w:val="28"/>
          <w:sz w:val="28"/>
          <w:szCs w:val="28"/>
          <w:rtl w:val="true"/>
          <w:lang w:bidi="ar-SA"/>
        </w:rPr>
        <w:t xml:space="preserve">، فيفهم منها دخالة خصوصية حصول النجاسة من الأرض ، وإلاّ لم يأخذها في مقام إعطاء الضابط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واحتمال أن يكون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الأرض ، ويكون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تطهيرها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إزالة أثرها ، أو استحالتها وتبديل موضوعها ، ويكون الاستدلال بهذه القضيّة لطهارة الرجل والخفّ ، مبنيّاً على تنزيلهما منزلة الأرض بعلاقة المجاورة</w:t>
      </w:r>
      <w:r>
        <w:rPr>
          <w:rStyle w:val="FootnoteAnchor"/>
          <w:rtl w:val="true"/>
        </w:rPr>
        <w:footnoteReference w:id="1206"/>
      </w:r>
      <w:r>
        <w:rPr>
          <w:rFonts w:ascii="Amiri" w:hAnsi="Amiri" w:eastAsia="Amiri" w:cs="Amiri"/>
          <w:color w:val="111111"/>
          <w:sz w:val="28"/>
          <w:sz w:val="28"/>
          <w:szCs w:val="28"/>
          <w:rtl w:val="true"/>
          <w:lang w:bidi="ar-SA"/>
        </w:rPr>
        <w:t xml:space="preserve">، بعيد مخالف للمتفاهم العرفي ، بل لعلّه من أبعد الاحتمالات </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في إطلاق صحيحة الأحول إشكالاً ، سيّما مع أنّ المراد من المكان النظيف الذي بعده هو الأرض ، كما يأتي الكلام فيه</w:t>
      </w:r>
      <w:r>
        <w:rPr>
          <w:rStyle w:val="FootnoteAnchor"/>
          <w:rtl w:val="true"/>
        </w:rPr>
        <w:footnoteReference w:id="12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والتفكيك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بدعوى </w:t>
      </w:r>
    </w:p>
    <w:p>
      <w:pPr>
        <w:pStyle w:val="BookText"/>
        <w:rPr/>
      </w:pPr>
      <w:r>
        <w:rPr>
          <w:rFonts w:ascii="Amiri" w:hAnsi="Amiri" w:eastAsia="Amiri" w:cs="Amiri"/>
          <w:color w:val="111111"/>
          <w:sz w:val="28"/>
          <w:sz w:val="28"/>
          <w:szCs w:val="28"/>
          <w:rtl w:val="true"/>
          <w:lang w:bidi="ar-SA"/>
        </w:rPr>
        <w:t xml:space="preserve">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الموضع الذي ليس بنظيف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موضع ؛ لمساعدة العرف ، مع عدم الفرق بين أسباب حصول النجاسة ، وعدم إطلاق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مكاناً نظيفاً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بعيد ، سيّما مع الكبرى المتقدّمة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يمكن تقييد إطلاقه بها لو فرض الإطلاق ؛ بعد ما عرفت ظهورها ؛ وأنّ القيد فيها ظاهر في القيدية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وظهور النبويين العامّيين في الاختصاص ؛ فإنّ قوله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وطأ أحدكم الأذى بخفّيه فطهورهما التراب</w:t>
      </w:r>
      <w:r>
        <w:rPr>
          <w:rFonts w:eastAsia="IRNazanin" w:cs="IRNazanin"/>
          <w:color w:val="111111"/>
          <w:sz w:val="28"/>
          <w:szCs w:val="28"/>
          <w:rtl w:val="true"/>
          <w:lang w:bidi="fa-IR"/>
        </w:rPr>
        <w:t>»</w:t>
      </w:r>
      <w:r>
        <w:rPr>
          <w:rStyle w:val="FootnoteAnchor"/>
          <w:rtl w:val="true"/>
        </w:rPr>
        <w:footnoteReference w:id="1208"/>
      </w:r>
      <w:r>
        <w:rPr>
          <w:rFonts w:ascii="IRNazanin" w:hAnsi="IRNazanin" w:eastAsia="IRNazanin"/>
          <w:color w:val="111111"/>
          <w:sz w:val="28"/>
          <w:sz w:val="28"/>
          <w:szCs w:val="28"/>
          <w:rtl w:val="true"/>
          <w:lang w:bidi="fa-IR"/>
        </w:rPr>
        <w:t xml:space="preserve">وقوله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وطأ أحدكم بنعليه الأذى فإنّ التراب له طهور</w:t>
      </w:r>
      <w:r>
        <w:rPr>
          <w:rFonts w:eastAsia="IRNazanin" w:cs="IRNazanin"/>
          <w:color w:val="111111"/>
          <w:sz w:val="28"/>
          <w:szCs w:val="28"/>
          <w:rtl w:val="true"/>
          <w:lang w:bidi="fa-IR"/>
        </w:rPr>
        <w:t>»</w:t>
      </w:r>
      <w:r>
        <w:rPr>
          <w:rStyle w:val="FootnoteAnchor"/>
          <w:rtl w:val="true"/>
        </w:rPr>
        <w:footnoteReference w:id="1209"/>
      </w:r>
      <w:r>
        <w:rPr>
          <w:rFonts w:ascii="Amiri" w:hAnsi="Amiri" w:eastAsia="Amiri" w:cs="Amiri"/>
          <w:color w:val="111111"/>
          <w:sz w:val="28"/>
          <w:sz w:val="28"/>
          <w:szCs w:val="28"/>
          <w:rtl w:val="true"/>
          <w:lang w:bidi="ar-SA"/>
        </w:rPr>
        <w:t xml:space="preserve">ظاهر أو مشعر بالاختصاص ، ومعه يشكل إلغاء الخصوصية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عدم ذكر الأصحاب هذا القيد ، بل مقتضى إطلاق كلامهم عدم القيدية ، فليس إلاّ لاجتهادهم في تلك الروايات ؛ للجزم بعدم أمر آخر عندهم وراءها ، ومعه ليست الشهرة بحجّة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عدم دخالة الخصوصية عرفاً يستكشف من فهم الأصحاب ؛ فإنّهم أيضاً من العرف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مشكل بعد عدم استفادتنا إلغاء الخصوصية بالشواهد المتقدّمة ، فالأحوط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كون النجاسة من الأرض </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 لا يلزم أن يكون التنجّس بملاقاة الأرض المتنجّسة ، بل أعمّ منه ومن ملاقاة عين النجس الملقاة فيها ، كما تدلّ عليه صحيحة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وطأ على عَذِرة ، فساخت رجله فيها ، أينقض ذلك </w:t>
      </w:r>
      <w:bookmarkStart w:id="482" w:name="pg15030_143368"/>
    </w:p>
    <w:p>
      <w:pPr>
        <w:pStyle w:val="BookText"/>
        <w:rPr/>
      </w:pPr>
      <w:bookmarkEnd w:id="482"/>
      <w:r>
        <w:rPr>
          <w:rFonts w:ascii="Amiri" w:hAnsi="Amiri" w:eastAsia="Amiri" w:cs="Amiri"/>
          <w:color w:val="111111"/>
          <w:sz w:val="28"/>
          <w:sz w:val="28"/>
          <w:szCs w:val="28"/>
          <w:rtl w:val="true"/>
          <w:lang w:bidi="ar-SA"/>
        </w:rPr>
        <w:t xml:space="preserve">وضوءه ، وهل يجب عليه غسلها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يغسلها إلاّ أن يقذرها ، ولكنّه يمسحها حتّى يذهب أثرها ويصلّي</w:t>
      </w:r>
      <w:r>
        <w:rPr>
          <w:rFonts w:eastAsia="Amiri" w:cs="Amiri" w:ascii="Amiri" w:hAnsi="Amiri"/>
          <w:color w:val="111111"/>
          <w:sz w:val="28"/>
          <w:szCs w:val="28"/>
          <w:rtl w:val="true"/>
          <w:lang w:bidi="ar-SA"/>
        </w:rPr>
        <w:t>»</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تدلّ على ثبوت الحكم لملاقاة الأرض المتنجّسة حسنة المعلّى</w:t>
      </w:r>
      <w:r>
        <w:rPr>
          <w:rStyle w:val="FootnoteAnchor"/>
          <w:rtl w:val="true"/>
        </w:rPr>
        <w:footnoteReference w:id="1211"/>
      </w:r>
      <w:r>
        <w:rPr>
          <w:rFonts w:ascii="Amiri" w:hAnsi="Amiri" w:eastAsia="Amiri" w:cs="Amiri"/>
          <w:color w:val="111111"/>
          <w:sz w:val="28"/>
          <w:sz w:val="28"/>
          <w:szCs w:val="28"/>
          <w:rtl w:val="true"/>
          <w:lang w:bidi="ar-SA"/>
        </w:rPr>
        <w:t xml:space="preserve">وإطلاق بعض الروايات </w:t>
      </w:r>
      <w:r>
        <w:rPr>
          <w:rFonts w:eastAsia="Amiri" w:cs="Amiri" w:ascii="Amiri" w:hAnsi="Amiri"/>
          <w:color w:val="111111"/>
          <w:sz w:val="28"/>
          <w:szCs w:val="28"/>
          <w:rtl w:val="true"/>
          <w:lang w:bidi="ar-SA"/>
        </w:rPr>
        <w:t>.</w:t>
      </w:r>
    </w:p>
    <w:p>
      <w:pPr>
        <w:pStyle w:val="Heading5"/>
        <w:numPr>
          <w:ilvl w:val="4"/>
          <w:numId w:val="1"/>
        </w:numPr>
        <w:rPr/>
      </w:pPr>
      <w:bookmarkStart w:id="483" w:name="__RefHeading___Toc212962_2142443653"/>
      <w:bookmarkStart w:id="484" w:name="_Toc173"/>
      <w:bookmarkEnd w:id="483"/>
      <w:r>
        <w:rPr>
          <w:rtl w:val="true"/>
        </w:rPr>
        <w:t>مطهّرية الأرض لأسفل القدم وباطن النعل والخفّ</w:t>
      </w:r>
      <w:bookmarkEnd w:id="484"/>
    </w:p>
    <w:p>
      <w:pPr>
        <w:pStyle w:val="BookText"/>
        <w:rPr/>
      </w:pPr>
      <w:r>
        <w:rPr>
          <w:rFonts w:ascii="Amiri" w:hAnsi="Amiri" w:eastAsia="Amiri" w:cs="Amiri"/>
          <w:color w:val="111111"/>
          <w:sz w:val="28"/>
          <w:sz w:val="28"/>
          <w:szCs w:val="28"/>
          <w:rtl w:val="true"/>
          <w:lang w:bidi="ar-SA"/>
        </w:rPr>
        <w:t xml:space="preserve">ثمّ إنّه لا ينبغي الإشكال في ثبوت الحكم لأسفل القدم ؛ لإطلاق بعض الروايات ، كصحيحة الأحول وإحدى روايتي الحلبي ، وصراحة جملة منها ، كحسنتي المعلّى والحلبي وصحيحة زرارة وموثّقة عمّار ، ولم يتّضح مع ذلك وجه إشكال العلاّمة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1212"/>
      </w:r>
      <w:r>
        <w:rPr>
          <w:rFonts w:ascii="Amiri" w:hAnsi="Amiri" w:eastAsia="Amiri" w:cs="Amiri"/>
          <w:color w:val="111111"/>
          <w:sz w:val="28"/>
          <w:sz w:val="28"/>
          <w:szCs w:val="28"/>
          <w:rtl w:val="true"/>
          <w:lang w:bidi="ar-SA"/>
        </w:rPr>
        <w:t xml:space="preserve">وتوقّفه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1213"/>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باطن النعل والخفّ ، فمضافاً إلى حكاية الشهرة</w:t>
      </w:r>
      <w:r>
        <w:rPr>
          <w:rStyle w:val="FootnoteAnchor"/>
          <w:rtl w:val="true"/>
        </w:rPr>
        <w:footnoteReference w:id="1214"/>
      </w:r>
      <w:r>
        <w:rPr>
          <w:rFonts w:ascii="Amiri" w:hAnsi="Amiri" w:eastAsia="Amiri" w:cs="Amiri"/>
          <w:color w:val="111111"/>
          <w:sz w:val="28"/>
          <w:sz w:val="28"/>
          <w:szCs w:val="28"/>
          <w:rtl w:val="true"/>
          <w:lang w:bidi="ar-SA"/>
        </w:rPr>
        <w:t>والإجماع وعدم الخلاف فيه</w:t>
      </w:r>
      <w:r>
        <w:rPr>
          <w:rStyle w:val="FootnoteAnchor"/>
          <w:rtl w:val="true"/>
        </w:rPr>
        <w:footnoteReference w:id="1215"/>
      </w:r>
      <w:r>
        <w:rPr>
          <w:rFonts w:ascii="IRNazanin" w:hAnsi="IRNazanin" w:eastAsia="IRNazanin"/>
          <w:color w:val="111111"/>
          <w:sz w:val="28"/>
          <w:sz w:val="28"/>
          <w:szCs w:val="28"/>
          <w:rtl w:val="true"/>
          <w:lang w:bidi="fa-IR"/>
        </w:rPr>
        <w:t xml:space="preserve">، يدلّ عليه إطلاق الكبرى المتقدّمة ، وإطلاق صحيحة الأحول وصحيحة ابن مسلم ، فإنّ من المعلوم عدم كون أبي جعفر علیه السلام بلا حذاء ، ورواية حفص بن أبي عيسى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وطأت عَذِرة بخفّي ، </w:t>
      </w:r>
    </w:p>
    <w:p>
      <w:pPr>
        <w:pStyle w:val="BookText"/>
        <w:rPr/>
      </w:pPr>
      <w:r>
        <w:rPr>
          <w:rFonts w:ascii="Amiri" w:hAnsi="Amiri" w:eastAsia="Amiri" w:cs="Amiri"/>
          <w:color w:val="111111"/>
          <w:sz w:val="28"/>
          <w:sz w:val="28"/>
          <w:szCs w:val="28"/>
          <w:rtl w:val="true"/>
          <w:lang w:bidi="ar-SA"/>
        </w:rPr>
        <w:t xml:space="preserve">ومسحته حتّى لم أرَ فيه شيئاً ، ما تقول في الصلاة فيه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 الظاهر أنّ سؤاله عن طهارته بالمسح ، وإلاّ فصلاته صحيحة مع نجاسته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ويلحق بهما مثل القبقاب ، وظاهر القدم والنعل إذا كان المشي عليه لنقص في الخلقة على الأقوى ؛ لإطلاق بعض 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إلحاق الركبتين واليدين ممّن يمشي عليهما تأمّل، وإن لا يخلو من وجه؛ للتعليل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يبعد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الوط‌ء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على تأمّل ، سيّما في اليدين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إلحاق عصى الأعرج وخشبة الأقطع إشكال ؛ لاحتمال انصراف الأدلّة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وأشكل منهما نعل الدوابّ وأسفل العكّاز وكعب الرمح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الكلّ أسفل العربات والدبّابات ونحوها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واحتمال إلحاق الجميع ؛ لإطلاق الكبرى المتقدّمة ، غير وجيه ؛ لعدم إمكان الأخذ بإطلاقها ، إذ مقتضى ذلك أنّ كلّ ما تنجّس بالأرض يطهر بها ، وهو مقطوع البطلان ، فلا بدّ من اختصاصها بأنحاء ما وقع السؤال عنها ، وعدم التعدّي عن إطلاق بعض الأدلّة ، مثل صحيحة الأحول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وضوح بطلان الأخذ بإطلاق الكبرى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للزوم التعدّي</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كلّ ما تنجّس بالأرض ؛ حتّى الثياب والأواني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يبقى لإطلاقها في المذكورات وثوق ، بل يوهن ذلك الإطلاق ، ويشكل التعدّي عن موردها ؛ أي القدم والنعل </w:t>
      </w:r>
      <w:r>
        <w:rPr>
          <w:rFonts w:eastAsia="Amiri" w:cs="Amiri" w:ascii="Amiri" w:hAnsi="Amiri"/>
          <w:color w:val="111111"/>
          <w:sz w:val="28"/>
          <w:szCs w:val="28"/>
          <w:rtl w:val="true"/>
          <w:lang w:bidi="ar-SA"/>
        </w:rPr>
        <w:t xml:space="preserve">. </w:t>
      </w:r>
      <w:bookmarkStart w:id="485" w:name="pg15030_143370"/>
    </w:p>
    <w:p>
      <w:pPr>
        <w:pStyle w:val="BookText"/>
        <w:rPr/>
      </w:pPr>
      <w:bookmarkEnd w:id="485"/>
      <w:r>
        <w:rPr>
          <w:rFonts w:ascii="Amiri" w:hAnsi="Amiri" w:eastAsia="Amiri" w:cs="Amiri"/>
          <w:color w:val="111111"/>
          <w:sz w:val="28"/>
          <w:sz w:val="28"/>
          <w:szCs w:val="28"/>
          <w:rtl w:val="true"/>
          <w:lang w:bidi="ar-SA"/>
        </w:rPr>
        <w:t>نعم ، لا فرق بين أنحاء النعال ، بل لا يبعد إلحاق الجورب إذا خيط في أسفله</w:t>
      </w:r>
    </w:p>
    <w:p>
      <w:pPr>
        <w:pStyle w:val="BookText"/>
        <w:rPr/>
      </w:pPr>
      <w:r>
        <w:rPr>
          <w:rFonts w:ascii="Amiri" w:hAnsi="Amiri" w:eastAsia="Amiri" w:cs="Amiri"/>
          <w:color w:val="111111"/>
          <w:sz w:val="28"/>
          <w:sz w:val="28"/>
          <w:szCs w:val="28"/>
          <w:rtl w:val="true"/>
          <w:lang w:bidi="ar-SA"/>
        </w:rPr>
        <w:t xml:space="preserve">جلد الدابّة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يعمل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تأمّل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الجورب المعمول من القطن والصوف أو غيرهما ، فالأقوى عدم الإلحاق ؛ لانصراف صحيحة الأحول</w:t>
      </w:r>
      <w:r>
        <w:rPr>
          <w:rStyle w:val="FootnoteAnchor"/>
          <w:rtl w:val="true"/>
        </w:rPr>
        <w:footnoteReference w:id="1217"/>
      </w:r>
      <w:r>
        <w:rPr>
          <w:rFonts w:ascii="Amiri" w:hAnsi="Amiri" w:eastAsia="Amiri" w:cs="Amiri"/>
          <w:color w:val="111111"/>
          <w:sz w:val="28"/>
          <w:sz w:val="28"/>
          <w:szCs w:val="28"/>
          <w:rtl w:val="true"/>
          <w:lang w:bidi="ar-SA"/>
        </w:rPr>
        <w:t xml:space="preserve">عنه ، وعدم دليل آخر عليه </w:t>
      </w:r>
      <w:r>
        <w:rPr>
          <w:rFonts w:eastAsia="Amiri" w:cs="Amiri" w:ascii="Amiri" w:hAnsi="Amiri"/>
          <w:color w:val="111111"/>
          <w:sz w:val="28"/>
          <w:szCs w:val="28"/>
          <w:rtl w:val="true"/>
          <w:lang w:bidi="ar-SA"/>
        </w:rPr>
        <w:t>.</w:t>
      </w:r>
    </w:p>
    <w:p>
      <w:pPr>
        <w:pStyle w:val="Heading5"/>
        <w:numPr>
          <w:ilvl w:val="4"/>
          <w:numId w:val="1"/>
        </w:numPr>
        <w:rPr/>
      </w:pPr>
      <w:bookmarkStart w:id="486" w:name="__RefHeading___Toc212964_2142443653"/>
      <w:bookmarkStart w:id="487" w:name="_Toc174"/>
      <w:bookmarkEnd w:id="486"/>
      <w:r>
        <w:rPr>
          <w:rtl w:val="true"/>
        </w:rPr>
        <w:t>اعتبار كون المطهّر أرضاً لا حصيراً مثلاً</w:t>
      </w:r>
      <w:bookmarkEnd w:id="487"/>
    </w:p>
    <w:p>
      <w:pPr>
        <w:pStyle w:val="BookText"/>
        <w:rPr/>
      </w:pPr>
      <w:r>
        <w:rPr>
          <w:rFonts w:ascii="Amiri" w:hAnsi="Amiri" w:eastAsia="Amiri" w:cs="Amiri"/>
          <w:color w:val="111111"/>
          <w:sz w:val="28"/>
          <w:sz w:val="28"/>
          <w:szCs w:val="28"/>
          <w:rtl w:val="true"/>
          <w:lang w:bidi="ar-SA"/>
        </w:rPr>
        <w:t>ثمّ إنّه يعتبر في المطهّر أن يكون أرضاً ، وعن ابن الجنيد كفاية المسح بكلّ</w:t>
      </w:r>
    </w:p>
    <w:p>
      <w:pPr>
        <w:pStyle w:val="BookText"/>
        <w:rPr/>
      </w:pPr>
      <w:r>
        <w:rPr>
          <w:rFonts w:ascii="IRNazanin" w:hAnsi="IRNazanin" w:eastAsia="IRNazanin"/>
          <w:color w:val="111111"/>
          <w:sz w:val="28"/>
          <w:sz w:val="28"/>
          <w:szCs w:val="28"/>
          <w:rtl w:val="true"/>
          <w:lang w:bidi="fa-IR"/>
        </w:rPr>
        <w:t>قالع</w:t>
      </w:r>
      <w:r>
        <w:rPr>
          <w:rStyle w:val="FootnoteAnchor"/>
          <w:rtl w:val="true"/>
        </w:rPr>
        <w:footnoteReference w:id="1218"/>
      </w:r>
      <w:r>
        <w:rPr>
          <w:rFonts w:ascii="Amiri" w:hAnsi="Amiri" w:eastAsia="Amiri" w:cs="Amiri"/>
          <w:color w:val="111111"/>
          <w:sz w:val="28"/>
          <w:sz w:val="28"/>
          <w:szCs w:val="28"/>
          <w:rtl w:val="true"/>
          <w:lang w:bidi="ar-SA"/>
        </w:rPr>
        <w:t xml:space="preserve">،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احتماله</w:t>
      </w:r>
      <w:r>
        <w:rPr>
          <w:rStyle w:val="FootnoteAnchor"/>
          <w:rtl w:val="true"/>
        </w:rPr>
        <w:footnoteReference w:id="12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 النراقي الاجتزاء بالمشي في غير الأرض ، كالحصير والنبات والخشب</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والدليل على الاعتبار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الكبرى الملقاة في مقام الضابط ، حيث لا بدّ من الأخذ بقيودها والحكم بدخالتها ، فلو كان مطلق القالع أو المشي على مطلقه مجزياً ، لما كان اختصاص الأرض بالذكر في مقام ذكر الضابط مناسباً ، سيّما مع قوله علیه السلام في حسنة الحلبي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ليس تمشي بعد ذلك في أرض يابسة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وهي المراد بقوله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ليس وراءه شيء جافّ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حسنة المعلّى بقرينة ذكر الكبرى بعده ، وهما يؤكّدان خصوصية الأرض </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 الاعتبار بل يدلّ عليه موثّقة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النبويان المتقدّمان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p>
    <w:p>
      <w:pPr>
        <w:pStyle w:val="BookText"/>
        <w:rPr/>
      </w:pPr>
      <w:r>
        <w:rPr>
          <w:rFonts w:ascii="Amiri" w:hAnsi="Amiri" w:eastAsia="Amiri" w:cs="Amiri"/>
          <w:color w:val="111111"/>
          <w:sz w:val="28"/>
          <w:sz w:val="28"/>
          <w:szCs w:val="28"/>
          <w:rtl w:val="true"/>
          <w:lang w:bidi="ar-SA"/>
        </w:rPr>
        <w:t>كون الأرض بخصوصها مطهّرة للحدث ، لا يخلو من تأي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وبكلّ ذلك يقيّد إطلاق صحيحتي الأحول وزرارة ورواية حفص المتقدّمات ، وذيل صحيحة زرارة ، عن أبي جعفر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جرت السنّة في أثر الغائط بثلاثة أحجار أن يمسح العجان ولا يغسله ، ويجوز أن يمسح رجليه ولا يغسلهما</w:t>
      </w:r>
      <w:r>
        <w:rPr>
          <w:rFonts w:eastAsia="IRNazanin" w:cs="IRNazanin"/>
          <w:color w:val="111111"/>
          <w:sz w:val="28"/>
          <w:szCs w:val="28"/>
          <w:rtl w:val="true"/>
          <w:lang w:bidi="fa-IR"/>
        </w:rPr>
        <w:t>»</w:t>
      </w:r>
      <w:r>
        <w:rPr>
          <w:rStyle w:val="FootnoteAnchor"/>
          <w:rtl w:val="true"/>
        </w:rPr>
        <w:footnoteReference w:id="1221"/>
      </w:r>
      <w:r>
        <w:rPr>
          <w:rFonts w:ascii="Amiri" w:hAnsi="Amiri" w:eastAsia="Amiri" w:cs="Amiri"/>
          <w:color w:val="111111"/>
          <w:sz w:val="28"/>
          <w:sz w:val="28"/>
          <w:szCs w:val="28"/>
          <w:rtl w:val="true"/>
          <w:lang w:bidi="ar-SA"/>
        </w:rPr>
        <w:t xml:space="preserve">على فرض تسليم إطلاقها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إمكان إنكاره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صحيحة الأحول منصرفة إلى الأرض ، كما عن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1222"/>
      </w:r>
      <w:r>
        <w:rPr>
          <w:rFonts w:ascii="Amiri" w:hAnsi="Amiri" w:eastAsia="Amiri" w:cs="Amiri"/>
          <w:color w:val="111111"/>
          <w:sz w:val="28"/>
          <w:sz w:val="28"/>
          <w:szCs w:val="28"/>
          <w:rtl w:val="true"/>
          <w:lang w:bidi="ar-SA"/>
        </w:rPr>
        <w:t xml:space="preserve">وهو غير بعيد ، سيّما مع أنّ الوط‌ء بالرجل القذرة لمثل الفراش بعيد ، خصوصاً 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غير الأرض في محلّ الصدور نادر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صحيحة زرارة في مقام بيان عدم وجوب الغسل وكفاية المسح ، وليست بصدد بيان ما يمسح به وشرائطه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المتعارف في مسح ما يقذر بالعذرة هو المسح على الأرض ، سيّما في تلك البلاد وذلك العصر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الحال في رواية حفص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والصحيحة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وضوح المراد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فيها ما ذكر </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دعوى كون المقام نظير باب الاستنجاء ، بل هو منه ، فكما يكفي فيه مطلق القالع ، كذلك في المقام ، ففيه ما لا يخفى ، فالأقوى اعتبار كون القالع أرضاً </w:t>
      </w:r>
      <w:r>
        <w:rPr>
          <w:rFonts w:eastAsia="Amiri" w:cs="Amiri" w:ascii="Amiri" w:hAnsi="Amiri"/>
          <w:color w:val="111111"/>
          <w:sz w:val="28"/>
          <w:szCs w:val="28"/>
          <w:rtl w:val="true"/>
          <w:lang w:bidi="ar-SA"/>
        </w:rPr>
        <w:t xml:space="preserve">. </w:t>
      </w:r>
      <w:bookmarkStart w:id="488" w:name="pg15030_143372"/>
    </w:p>
    <w:p>
      <w:pPr>
        <w:pStyle w:val="Heading5"/>
        <w:numPr>
          <w:ilvl w:val="4"/>
          <w:numId w:val="1"/>
        </w:numPr>
        <w:rPr/>
      </w:pPr>
      <w:bookmarkStart w:id="489" w:name="__RefHeading___Toc212966_2142443653"/>
      <w:bookmarkStart w:id="490" w:name="_Toc175"/>
      <w:bookmarkEnd w:id="488"/>
      <w:bookmarkEnd w:id="489"/>
      <w:r>
        <w:rPr>
          <w:rtl w:val="true"/>
        </w:rPr>
        <w:t>عدم الفرق بين أجزاء الأرض في التطهير</w:t>
      </w:r>
      <w:bookmarkEnd w:id="490"/>
    </w:p>
    <w:p>
      <w:pPr>
        <w:pStyle w:val="BookText"/>
        <w:rPr/>
      </w:pPr>
      <w:r>
        <w:rPr>
          <w:rFonts w:ascii="Amiri" w:hAnsi="Amiri" w:eastAsia="Amiri" w:cs="Amiri"/>
          <w:color w:val="111111"/>
          <w:sz w:val="28"/>
          <w:sz w:val="28"/>
          <w:szCs w:val="28"/>
          <w:rtl w:val="true"/>
          <w:lang w:bidi="ar-SA"/>
        </w:rPr>
        <w:t xml:space="preserve">نعم ، لا فرق بين أجزاء الأرض ، كالتراب والحجر والحصى والرمل والجصّ والنورة ، بل والآجرّ والخزف ؛ لصدق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 ولجريان استصحاب كونها مطهّرة في بعضها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يضرّ بالحكم اختلاط غير الأرض بها بما لا يضرّ بالصدق العرفي ، كالتبن القليل ونحوه ؛ لابتلاء الأراضي نوعاً به ، فمقتضى الإطلاق عدم الإضرار ، وإلاّ لوجب التنبيه عليه </w:t>
      </w:r>
      <w:r>
        <w:rPr>
          <w:rFonts w:eastAsia="Amiri" w:cs="Amiri" w:ascii="Amiri" w:hAnsi="Amiri"/>
          <w:color w:val="111111"/>
          <w:sz w:val="28"/>
          <w:szCs w:val="28"/>
          <w:rtl w:val="true"/>
          <w:lang w:bidi="ar-SA"/>
        </w:rPr>
        <w:t>.</w:t>
      </w:r>
    </w:p>
    <w:p>
      <w:pPr>
        <w:pStyle w:val="Heading5"/>
        <w:numPr>
          <w:ilvl w:val="4"/>
          <w:numId w:val="1"/>
        </w:numPr>
        <w:rPr/>
      </w:pPr>
      <w:bookmarkStart w:id="491" w:name="__RefHeading___Toc212968_2142443653"/>
      <w:bookmarkStart w:id="492" w:name="_Toc176"/>
      <w:bookmarkEnd w:id="491"/>
      <w:r>
        <w:rPr>
          <w:rtl w:val="true"/>
        </w:rPr>
        <w:t>اعتبار جفاف الأرض ويبوستها</w:t>
      </w:r>
      <w:bookmarkEnd w:id="492"/>
    </w:p>
    <w:p>
      <w:pPr>
        <w:pStyle w:val="BookText"/>
        <w:rPr/>
      </w:pPr>
      <w:r>
        <w:rPr>
          <w:rFonts w:ascii="Amiri" w:hAnsi="Amiri" w:eastAsia="Amiri" w:cs="Amiri"/>
          <w:color w:val="111111"/>
          <w:sz w:val="28"/>
          <w:sz w:val="28"/>
          <w:szCs w:val="28"/>
          <w:rtl w:val="true"/>
          <w:lang w:bidi="ar-SA"/>
        </w:rPr>
        <w:t xml:space="preserve">ومن بعض ما تقدّم يظهر اعتبار الجفاف واليبوسة في الأرض ؛ لأنّ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حسنة المعلّى</w:t>
      </w:r>
      <w:r>
        <w:rPr>
          <w:rStyle w:val="FootnoteAnchor"/>
          <w:rtl w:val="true"/>
        </w:rPr>
        <w:footnoteReference w:id="1223"/>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حسنة الحلبي</w:t>
      </w:r>
      <w:r>
        <w:rPr>
          <w:rStyle w:val="FootnoteAnchor"/>
          <w:rtl w:val="true"/>
        </w:rPr>
        <w:footnoteReference w:id="1224"/>
      </w:r>
      <w:r>
        <w:rPr>
          <w:rFonts w:ascii="Amiri" w:hAnsi="Amiri" w:eastAsia="Amiri" w:cs="Amiri"/>
          <w:color w:val="111111"/>
          <w:sz w:val="28"/>
          <w:sz w:val="28"/>
          <w:szCs w:val="28"/>
          <w:rtl w:val="true"/>
          <w:lang w:bidi="ar-SA"/>
        </w:rPr>
        <w:t xml:space="preserve">، دليل عليه ، سيّما في مقام بيان الضابط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الاُولى في مقابل الماء السائل من الخنزير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اليابسة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الثانية في مقابل نداوة البول</w:t>
      </w:r>
      <w:r>
        <w:rPr>
          <w:rStyle w:val="FootnoteAnchor"/>
          <w:rtl w:val="true"/>
        </w:rPr>
        <w:footnoteReference w:id="1225"/>
      </w:r>
      <w:r>
        <w:rPr>
          <w:rFonts w:ascii="Amiri" w:hAnsi="Amiri" w:eastAsia="Amiri" w:cs="Amiri"/>
          <w:color w:val="111111"/>
          <w:sz w:val="28"/>
          <w:sz w:val="28"/>
          <w:szCs w:val="28"/>
          <w:rtl w:val="true"/>
          <w:lang w:bidi="ar-SA"/>
        </w:rPr>
        <w:t>، كما ترى ؛ فإنّه إن اُريد مقابلتهما للنداوة والرطوبة مطلقاً فمسلّم ، لكن يستفاد منهما التقي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اُريد مقابلتهما لنداوة البول وما سال من الخنزير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يكون جافّاً من هذه الرطوبة والنداوة حتّى لا ينافي كونه رطباً بغيرها ، بل وحلاً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ممنوع </w:t>
      </w:r>
      <w:bookmarkStart w:id="493" w:name="pg15030_143373"/>
    </w:p>
    <w:p>
      <w:pPr>
        <w:pStyle w:val="BookText"/>
        <w:rPr/>
      </w:pPr>
      <w:bookmarkEnd w:id="493"/>
      <w:r>
        <w:rPr>
          <w:rFonts w:ascii="Amiri" w:hAnsi="Amiri" w:eastAsia="Amiri" w:cs="Amiri"/>
          <w:color w:val="111111"/>
          <w:sz w:val="28"/>
          <w:sz w:val="28"/>
          <w:szCs w:val="28"/>
          <w:rtl w:val="true"/>
          <w:lang w:bidi="ar-SA"/>
        </w:rPr>
        <w:t xml:space="preserve">جدّاً ؛ لعدم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اليبوسة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 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للمسح على الجافّ واليابس ، دخالةً في قلع القذارة لدى العرف ؛ فإنّ المسح بشيء رطب رطوبة سارية أو بشيء نحو الوحل ، يوجب انتشار القذارة ، بل صيرورة المحلّ أقذر ، لا قلعها ، ولهذا يناسب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القلعَ بارتكاز العرف ، فيفهم منهما القيدية ، وبهما يقيّد إطلاق لو 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لا يبعد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الرطوبة الضعيفة غير السارية غير مضرّة ؛ لصدق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الأرض إذا كانت كذلك ، سيّما بعض مراتبها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اليبوسة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الثانية غير صادقة على الأرض التي لها رطوبة غير سارية ، فلا يبعد أيضاً القول بكفاية الجفاف ؛ بدعوى أنّ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اليبوسة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لكونها أحد المصاديق الحاصل به التطهير ، فيكون كلّ من الجافّة واليابسة مطهّرة ؛ وإن كانت الثانية أسرع في القلع وأوقع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تقييد حسنة المعلّى بحسنة الحلبي ، أبعد من البناء على ما ذكر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تأييد كفاية الرطوبة السارية بل الوحل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الملّة سمحة سهلة ، وبحصول الحرج في فصل الشتاء</w:t>
      </w:r>
      <w:r>
        <w:rPr>
          <w:rStyle w:val="FootnoteAnchor"/>
          <w:rtl w:val="true"/>
        </w:rPr>
        <w:footnoteReference w:id="1226"/>
      </w:r>
      <w:r>
        <w:rPr>
          <w:rFonts w:ascii="Amiri" w:hAnsi="Amiri" w:eastAsia="Amiri" w:cs="Amiri"/>
          <w:color w:val="111111"/>
          <w:sz w:val="28"/>
          <w:sz w:val="28"/>
          <w:szCs w:val="28"/>
          <w:rtl w:val="true"/>
          <w:lang w:bidi="ar-SA"/>
        </w:rPr>
        <w:t xml:space="preserve">، فهو كما ترى </w:t>
      </w:r>
      <w:r>
        <w:rPr>
          <w:rFonts w:eastAsia="Amiri" w:cs="Amiri" w:ascii="Amiri" w:hAnsi="Amiri"/>
          <w:color w:val="111111"/>
          <w:sz w:val="28"/>
          <w:szCs w:val="28"/>
          <w:rtl w:val="true"/>
          <w:lang w:bidi="ar-SA"/>
        </w:rPr>
        <w:t>.</w:t>
      </w:r>
    </w:p>
    <w:p>
      <w:pPr>
        <w:pStyle w:val="Heading5"/>
        <w:numPr>
          <w:ilvl w:val="4"/>
          <w:numId w:val="1"/>
        </w:numPr>
        <w:rPr/>
      </w:pPr>
      <w:bookmarkStart w:id="494" w:name="__RefHeading___Toc212970_2142443653"/>
      <w:bookmarkStart w:id="495" w:name="_Toc177"/>
      <w:bookmarkEnd w:id="494"/>
      <w:r>
        <w:rPr>
          <w:rtl w:val="true"/>
        </w:rPr>
        <w:t>اعتبار طهارة الأرض</w:t>
      </w:r>
      <w:bookmarkEnd w:id="495"/>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وتعتبر طهارة الأرض ؛ لأنّ الظاهر من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الأرض يطهّر بعضها بعضاً</w:t>
      </w:r>
      <w:r>
        <w:rPr>
          <w:rFonts w:eastAsia="IRNazanin" w:cs="IRNazanin"/>
          <w:color w:val="111111"/>
          <w:sz w:val="28"/>
          <w:szCs w:val="28"/>
          <w:rtl w:val="true"/>
          <w:lang w:bidi="fa-IR"/>
        </w:rPr>
        <w:t>»</w:t>
      </w:r>
      <w:r>
        <w:rPr>
          <w:rStyle w:val="FootnoteAnchor"/>
          <w:rtl w:val="true"/>
        </w:rPr>
        <w:footnoteReference w:id="1227"/>
      </w:r>
      <w:r>
        <w:rPr>
          <w:rFonts w:ascii="Amiri" w:hAnsi="Amiri" w:eastAsia="Amiri" w:cs="Amiri"/>
          <w:color w:val="111111"/>
          <w:sz w:val="28"/>
          <w:sz w:val="28"/>
          <w:szCs w:val="28"/>
          <w:rtl w:val="true"/>
          <w:lang w:bidi="ar-SA"/>
        </w:rPr>
        <w:t xml:space="preserve">التقابل بين الأرض التي تنجّس بها القدم والأرض المطهّرة ، فيفهم منه </w:t>
      </w:r>
    </w:p>
    <w:p>
      <w:pPr>
        <w:pStyle w:val="BookText"/>
        <w:rPr/>
      </w:pPr>
      <w:r>
        <w:rPr>
          <w:rFonts w:ascii="Amiri" w:hAnsi="Amiri" w:eastAsia="Amiri" w:cs="Amiri"/>
          <w:color w:val="111111"/>
          <w:sz w:val="28"/>
          <w:sz w:val="28"/>
          <w:szCs w:val="28"/>
          <w:rtl w:val="true"/>
          <w:lang w:bidi="ar-SA"/>
        </w:rPr>
        <w:t xml:space="preserve">أنّ الأرض الطاهرة ترفع النجاسة الحاصلة من الأرض القذرة ، 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التناسب بين طهارة الشيء ومطهّريته ، يوجب صرف الذهن إلى ذلك ، ولهذه المناسبة قابل الأحول في روايته</w:t>
      </w:r>
      <w:r>
        <w:rPr>
          <w:rStyle w:val="FootnoteAnchor"/>
          <w:rtl w:val="true"/>
        </w:rPr>
        <w:footnoteReference w:id="1228"/>
      </w:r>
      <w:r>
        <w:rPr>
          <w:rFonts w:ascii="Amiri" w:hAnsi="Amiri" w:eastAsia="Amiri" w:cs="Amiri"/>
          <w:color w:val="111111"/>
          <w:sz w:val="28"/>
          <w:sz w:val="28"/>
          <w:szCs w:val="28"/>
          <w:rtl w:val="true"/>
          <w:lang w:bidi="ar-SA"/>
        </w:rPr>
        <w:t xml:space="preserve">بين الموضع الذي ليس بنظيف والمكان النظيف ، فيمكن أن يستدلّ على اعتبارها بالرواية للارتكاز المذكور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لو 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العَذِرة اليابسة مطهّرة للنجاسة إذا ذهب بالمسح بها أثرها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عند العرف مستنكراً ، فلا ينقدح في الأذهان من الأدلّة إطلاق يشمل الأرض النجسة ، فلو كانت الأرض نجسةً بالبول ، وكانت رطوبة البول موجودة غير سارية ، وقلنا باجتزاء الجفاف ، فهل ترى من نفسك أنّ المشي في رطوبة البول صار مطهّراً لنداوته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الأدلّة منصرفة عن الأرض النجسة ، فلا وجه للتمسّك بإطلاقها لنفي الاعتبار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ترك هذا القيد في الأخبار على كثرتها ، دليل على عدم الاعتبار</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الترك للاتّكال على الارتكاز العقلائي ، ولهذا لم يرد هذا القيد في مطهّرية الماء ؛ لعدم الاحتياج إلى ذكره ، لا لعدم الاعتبار </w:t>
      </w:r>
      <w:r>
        <w:rPr>
          <w:rFonts w:eastAsia="Amiri" w:cs="Amiri" w:ascii="Amiri" w:hAnsi="Amiri"/>
          <w:color w:val="111111"/>
          <w:sz w:val="28"/>
          <w:szCs w:val="28"/>
          <w:rtl w:val="true"/>
          <w:lang w:bidi="ar-SA"/>
        </w:rPr>
        <w:t xml:space="preserve">. </w:t>
      </w:r>
      <w:bookmarkStart w:id="496" w:name="pg15030_143375"/>
    </w:p>
    <w:p>
      <w:pPr>
        <w:pStyle w:val="Heading5"/>
        <w:numPr>
          <w:ilvl w:val="4"/>
          <w:numId w:val="1"/>
        </w:numPr>
        <w:rPr/>
      </w:pPr>
      <w:bookmarkStart w:id="497" w:name="__RefHeading___Toc212972_2142443653"/>
      <w:bookmarkStart w:id="498" w:name="_Toc178"/>
      <w:bookmarkEnd w:id="496"/>
      <w:bookmarkEnd w:id="497"/>
      <w:r>
        <w:rPr>
          <w:rtl w:val="true"/>
        </w:rPr>
        <w:t>عدم الفرق بين المشي والمسح في حصول الطهارة</w:t>
      </w:r>
      <w:bookmarkEnd w:id="498"/>
    </w:p>
    <w:p>
      <w:pPr>
        <w:pStyle w:val="BookText"/>
        <w:rPr/>
      </w:pPr>
      <w:r>
        <w:rPr>
          <w:rFonts w:ascii="Amiri" w:hAnsi="Amiri" w:eastAsia="Amiri" w:cs="Amiri"/>
          <w:color w:val="111111"/>
          <w:sz w:val="28"/>
          <w:sz w:val="28"/>
          <w:szCs w:val="28"/>
          <w:rtl w:val="true"/>
          <w:lang w:bidi="ar-SA"/>
        </w:rPr>
        <w:t xml:space="preserve">ثمّ إنّه لا فرق بين المشي والمسح في حصول الطهارة ، كما تدلّ على كلّ منهما الروايات المتقدّمة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يتقدّر المشي بمقدار معيّن ، بل المعتبر زوال عين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تصلح صحيحة الأحول</w:t>
      </w:r>
      <w:r>
        <w:rPr>
          <w:rStyle w:val="FootnoteAnchor"/>
          <w:rtl w:val="true"/>
        </w:rPr>
        <w:footnoteReference w:id="1230"/>
      </w:r>
      <w:r>
        <w:rPr>
          <w:rFonts w:ascii="IRNazanin" w:hAnsi="IRNazanin" w:eastAsia="IRNazanin"/>
          <w:color w:val="111111"/>
          <w:sz w:val="28"/>
          <w:sz w:val="28"/>
          <w:szCs w:val="28"/>
          <w:rtl w:val="true"/>
          <w:lang w:bidi="fa-IR"/>
        </w:rPr>
        <w:t>لتقي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يد الإطلاقات ، سيّما مثل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الأرض يطهّر بعضها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بعد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ليس وراءه شيء جافّ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ليس</w:t>
      </w:r>
    </w:p>
    <w:p>
      <w:pPr>
        <w:pStyle w:val="BookText"/>
        <w:rPr/>
      </w:pPr>
      <w:r>
        <w:rPr>
          <w:rFonts w:ascii="Amiri" w:hAnsi="Amiri" w:eastAsia="Amiri" w:cs="Amiri"/>
          <w:color w:val="111111"/>
          <w:sz w:val="28"/>
          <w:sz w:val="28"/>
          <w:szCs w:val="28"/>
          <w:rtl w:val="true"/>
          <w:lang w:bidi="ar-SA"/>
        </w:rPr>
        <w:t>يمشي بعد ذلك في أرض يابسة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مضافاً إلى أنّ الظاهر من قوله علیه السلام في صحيحة زرارة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لكنّه يمسحها حتّى يذهب أثرها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المسح ونحوه إنّما هو لإذهاب الأثر ، فلها نحو حكومة على سائر الأخبار ، فيفسّر المقصود من مشي خمسة عشر ذراعاً بأ نّه ليس إلاّ للقلع ، ولهذا لا يشكّ أحد في أ نّه مع عدم القلع بهذا المقدار لا يصير طاهراً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قوله علیه السلام في الصحيحة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نحو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على أنّ التحديد ليس تعبّدياً ، بل لحصول الغاية بها نوعاً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واحتمال أن يكون في التطهير بالمشي إعمال تعبّد ، وهو المقدار الذي في الصحيحة ، دون المسح ، فإذا مسح كانت الغاية زوال الأثر ، دون ما إذا مشى ، في غاية السقوط ؛ ضرورة عدم انقداح النفسية في أمثال المقامات في الأذهان </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خفاء لمفهوم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العرف ، فإذا قال الشارع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الأرض تطهّر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منه أنّ التطهير بها عبارة عن رفع القذارة </w:t>
      </w:r>
      <w:bookmarkStart w:id="499" w:name="pg15030_143376"/>
    </w:p>
    <w:p>
      <w:pPr>
        <w:pStyle w:val="BookText"/>
        <w:rPr/>
      </w:pPr>
      <w:bookmarkEnd w:id="499"/>
      <w:r>
        <w:rPr>
          <w:rFonts w:ascii="IRNazanin" w:hAnsi="IRNazanin" w:eastAsia="IRNazanin"/>
          <w:color w:val="111111"/>
          <w:sz w:val="28"/>
          <w:sz w:val="28"/>
          <w:szCs w:val="28"/>
          <w:rtl w:val="true"/>
          <w:lang w:bidi="fa-IR"/>
        </w:rPr>
        <w:t xml:space="preserve">عن الشيء بها ، وهو بقلع عين النجس عنه ، كما إذا قال أحد من أهل العرف لصاحبه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نظّف قدمك بالتراب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يفهم منه إزالة القذارة منها بمسحها به ، أو المشي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فظاهر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الأرض يطهّر بعضها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تطهيره عبارة عن إزالة قذارته ، فلا يختلج في الأذهان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هذا الارتكاز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إعمال تعبّد خاصّ في مقدار المشي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لا مانع من إعمال التعبّد ، لكن يحتاج إلى بيان غير ما في الصحيحة </w:t>
      </w:r>
      <w:r>
        <w:rPr>
          <w:rFonts w:eastAsia="IRNazanin" w:cs="IRNazanin"/>
          <w:color w:val="111111"/>
          <w:sz w:val="28"/>
          <w:szCs w:val="28"/>
          <w:rtl w:val="true"/>
          <w:lang w:bidi="fa-IR"/>
        </w:rPr>
        <w:t>.</w:t>
      </w:r>
    </w:p>
    <w:p>
      <w:pPr>
        <w:pStyle w:val="Heading5"/>
        <w:numPr>
          <w:ilvl w:val="4"/>
          <w:numId w:val="1"/>
        </w:numPr>
        <w:rPr/>
      </w:pPr>
      <w:bookmarkStart w:id="500" w:name="__RefHeading___Toc212974_2142443653"/>
      <w:bookmarkStart w:id="501" w:name="_Toc179"/>
      <w:bookmarkEnd w:id="500"/>
      <w:r>
        <w:rPr>
          <w:rtl w:val="true"/>
        </w:rPr>
        <w:t>تعيّن المسح على الأرض وعدم الاجتزاء بمسح التراب على الموضع</w:t>
      </w:r>
      <w:bookmarkEnd w:id="501"/>
    </w:p>
    <w:p>
      <w:pPr>
        <w:pStyle w:val="BookText"/>
        <w:rPr/>
      </w:pPr>
      <w:r>
        <w:rPr>
          <w:rFonts w:ascii="Amiri" w:hAnsi="Amiri" w:eastAsia="Amiri" w:cs="Amiri"/>
          <w:color w:val="111111"/>
          <w:sz w:val="28"/>
          <w:sz w:val="28"/>
          <w:szCs w:val="28"/>
          <w:rtl w:val="true"/>
          <w:lang w:bidi="ar-SA"/>
        </w:rPr>
        <w:t>وهل يتعيّن المسح على الأرض ، أو يجتزى بمسح التراب أو الحجر على الموضع حتّى يذهب أثره ؟</w:t>
      </w:r>
    </w:p>
    <w:p>
      <w:pPr>
        <w:pStyle w:val="BookText"/>
        <w:rPr/>
      </w:pPr>
      <w:r>
        <w:rPr>
          <w:rFonts w:ascii="Amiri" w:hAnsi="Amiri" w:eastAsia="Amiri" w:cs="Amiri"/>
          <w:color w:val="111111"/>
          <w:sz w:val="28"/>
          <w:sz w:val="28"/>
          <w:szCs w:val="28"/>
          <w:rtl w:val="true"/>
          <w:lang w:bidi="ar-SA"/>
        </w:rPr>
        <w:t xml:space="preserve">ظاهر الكبرى المتقدّمة هو الأوّل ؛ لعدم صدق بعض الأرض على الجزء المنفصل عنها صدقاً حقيقياً ، وإنّما يصدق عليه حال الاتّصال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نوقش فيه فالظاهر من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بقرينة سابقها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المشي على الأرض ، ولمّا كانت الكبرى في مقام بيان الضابط ، لا بدّ من الحكم بدخالة الخصوصية فيه </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يجوز في المقام الاتّكال على ارتكاز العرف ؛ فإنّه يوجب اتّساع الخرق كما تقدّم</w:t>
      </w:r>
      <w:r>
        <w:rPr>
          <w:rStyle w:val="FootnoteAnchor"/>
          <w:rtl w:val="true"/>
        </w:rPr>
        <w:footnoteReference w:id="1231"/>
      </w:r>
      <w:r>
        <w:rPr>
          <w:rFonts w:ascii="Amiri" w:hAnsi="Amiri" w:eastAsia="Amiri" w:cs="Amiri"/>
          <w:color w:val="111111"/>
          <w:sz w:val="28"/>
          <w:sz w:val="28"/>
          <w:szCs w:val="28"/>
          <w:rtl w:val="true"/>
          <w:lang w:bidi="ar-SA"/>
        </w:rPr>
        <w:t>، فبها يقيّد إطلاق صحيحة زرارة</w:t>
      </w:r>
      <w:r>
        <w:rPr>
          <w:rStyle w:val="FootnoteAnchor"/>
          <w:rtl w:val="true"/>
        </w:rPr>
        <w:footnoteReference w:id="1232"/>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روايةحفص</w:t>
      </w:r>
      <w:r>
        <w:rPr>
          <w:rStyle w:val="FootnoteAnchor"/>
          <w:rtl w:val="true"/>
        </w:rPr>
        <w:footnoteReference w:id="1233"/>
      </w:r>
      <w:r>
        <w:rPr>
          <w:rFonts w:ascii="Amiri" w:hAnsi="Amiri" w:eastAsia="Amiri" w:cs="Amiri"/>
          <w:color w:val="111111"/>
          <w:sz w:val="28"/>
          <w:sz w:val="28"/>
          <w:szCs w:val="28"/>
          <w:rtl w:val="true"/>
          <w:lang w:bidi="ar-SA"/>
        </w:rPr>
        <w:t xml:space="preserve">، على فرض تسليم إطلاقهما </w:t>
      </w:r>
      <w:r>
        <w:rPr>
          <w:rFonts w:eastAsia="Amiri" w:cs="Amiri" w:ascii="Amiri" w:hAnsi="Amiri"/>
          <w:color w:val="111111"/>
          <w:sz w:val="28"/>
          <w:szCs w:val="28"/>
          <w:rtl w:val="true"/>
          <w:lang w:bidi="ar-SA"/>
        </w:rPr>
        <w:t xml:space="preserve">. </w:t>
      </w:r>
      <w:bookmarkStart w:id="502" w:name="pg15030_143377"/>
    </w:p>
    <w:p>
      <w:pPr>
        <w:pStyle w:val="BookText"/>
        <w:rPr/>
      </w:pPr>
      <w:bookmarkEnd w:id="502"/>
      <w:r>
        <w:rPr>
          <w:rFonts w:ascii="Amiri" w:hAnsi="Amiri" w:eastAsia="Amiri" w:cs="Amiri"/>
          <w:color w:val="111111"/>
          <w:sz w:val="28"/>
          <w:sz w:val="28"/>
          <w:szCs w:val="28"/>
          <w:rtl w:val="true"/>
          <w:lang w:bidi="ar-SA"/>
        </w:rPr>
        <w:t xml:space="preserve">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منهما أنّ الرجل والخفّ ممسوحتان ، لا ماسحتان</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المتعلّق غير مذكور ، فإن كان التقدير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يمسحها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الرجل ماسحة ، وإن كان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يمسحها بالتراب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تكون ممسوحة ، ومع عدم الذكر ولو فرض أنّ مقتضاه الاجتزاء بكلّ منهما ، نظير الإطلاق ، لكن مقتضى الكبرى عدم الاجتزاء إلاّ بالمسح على الأرض ، فيقدّم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بين الصحيحة والكبرى عموماً من 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الترجيح مع الكبرى ؛ لأظهريتها وموافقتها للشهرة ظاهراً </w:t>
      </w:r>
      <w:r>
        <w:rPr>
          <w:rFonts w:eastAsia="Amiri" w:cs="Amiri" w:ascii="Amiri" w:hAnsi="Amiri"/>
          <w:color w:val="111111"/>
          <w:sz w:val="28"/>
          <w:szCs w:val="28"/>
          <w:rtl w:val="true"/>
          <w:lang w:bidi="ar-SA"/>
        </w:rPr>
        <w:t>.</w:t>
      </w:r>
    </w:p>
    <w:p>
      <w:pPr>
        <w:pStyle w:val="Heading5"/>
        <w:numPr>
          <w:ilvl w:val="4"/>
          <w:numId w:val="1"/>
        </w:numPr>
        <w:rPr/>
      </w:pPr>
      <w:bookmarkStart w:id="503" w:name="__RefHeading___Toc212976_2142443653"/>
      <w:bookmarkStart w:id="504" w:name="_Toc180"/>
      <w:bookmarkEnd w:id="503"/>
      <w:r>
        <w:rPr>
          <w:rtl w:val="true"/>
        </w:rPr>
        <w:t>في حصول الطهارة بذهاب عين النجاسة وأثرها</w:t>
      </w:r>
      <w:bookmarkEnd w:id="504"/>
    </w:p>
    <w:p>
      <w:pPr>
        <w:pStyle w:val="BookText"/>
        <w:rPr/>
      </w:pPr>
      <w:r>
        <w:rPr>
          <w:rFonts w:ascii="Amiri" w:hAnsi="Amiri" w:eastAsia="Amiri" w:cs="Amiri"/>
          <w:color w:val="111111"/>
          <w:sz w:val="28"/>
          <w:sz w:val="28"/>
          <w:szCs w:val="28"/>
          <w:rtl w:val="true"/>
          <w:lang w:bidi="ar-SA"/>
        </w:rPr>
        <w:t xml:space="preserve">ثمّ إنّ التطهير حاصل بذهاب عين النجاسة وأثرها ؛ بمعنى الأجزاء الصغار التي تعدّ أثراً لدى العرف ، ولا يلزم رفع الآثار ، كالرائحة واللون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احتمال أنّ الأرض مطهّرة للأجزاء الصغار التي يراها العرف الأعيان النجسة ، فلا ينبغي التفوّه به ، فضلاً عن اختياره ؛ لعدم معنى طهارة عين النجاسة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كانت الإزالة بالأرض من قبيل العفو لا التطهير ، لكان لاحتمال العفو عن الأجزاء الصغار سبيل ؛ وإن كان أيضاً خلاف الأدلّة ، لكن مع البناء على الطهارة فلا سبيل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وبناء الحكم على السهولة لا يوجب طهارة النجس ذاتاً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الأجزاء الصغار التي لا يراها العرف أعياناً ، فلا يعتنى بها </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الألوان والروائح من بقايا الأعيان واقعاً بحسب البرهان ، أو كشف الآلات الحديثة المكبّرة ، لكنّ الميزان في التشخيص العرف العامّ ، فلا يعبأ بمثلها </w:t>
      </w:r>
      <w:r>
        <w:rPr>
          <w:rFonts w:eastAsia="Amiri" w:cs="Amiri" w:ascii="Amiri" w:hAnsi="Amiri"/>
          <w:color w:val="111111"/>
          <w:sz w:val="28"/>
          <w:szCs w:val="28"/>
          <w:rtl w:val="true"/>
          <w:lang w:bidi="ar-SA"/>
        </w:rPr>
        <w:t xml:space="preserve">. </w:t>
      </w:r>
      <w:bookmarkStart w:id="505" w:name="pg15030_143378"/>
    </w:p>
    <w:p>
      <w:pPr>
        <w:pStyle w:val="Heading5"/>
        <w:numPr>
          <w:ilvl w:val="4"/>
          <w:numId w:val="1"/>
        </w:numPr>
        <w:rPr/>
      </w:pPr>
      <w:bookmarkStart w:id="506" w:name="__RefHeading___Toc212978_2142443653"/>
      <w:bookmarkStart w:id="507" w:name="_Toc181"/>
      <w:bookmarkEnd w:id="505"/>
      <w:bookmarkEnd w:id="506"/>
      <w:r>
        <w:rPr>
          <w:rtl w:val="true"/>
        </w:rPr>
        <w:t>عدم لزوم إزالة النجاسة بالمشي أو المسح</w:t>
      </w:r>
      <w:bookmarkEnd w:id="507"/>
    </w:p>
    <w:p>
      <w:pPr>
        <w:pStyle w:val="BookText"/>
        <w:rPr/>
      </w:pPr>
      <w:r>
        <w:rPr>
          <w:rFonts w:ascii="Amiri" w:hAnsi="Amiri" w:eastAsia="Amiri" w:cs="Amiri"/>
          <w:color w:val="111111"/>
          <w:sz w:val="28"/>
          <w:sz w:val="28"/>
          <w:szCs w:val="28"/>
          <w:rtl w:val="true"/>
          <w:lang w:bidi="ar-SA"/>
        </w:rPr>
        <w:t>وهل يتعيّن أن يكون السبب لذهاب عين النجاسة المشي أو المسح ، أو لا ، فلو ذهبت بغيرهما يطهر المحلّ بالمشي أو المسح ؟</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 نّهما موجبان للطهارة بإذهاب العين ، موجبان لها عن ملاقي الأعيان ؟</w:t>
      </w:r>
    </w:p>
    <w:p>
      <w:pPr>
        <w:pStyle w:val="BookText"/>
        <w:rPr/>
      </w:pPr>
      <w:r>
        <w:rPr>
          <w:rFonts w:ascii="Amiri" w:hAnsi="Amiri" w:eastAsia="Amiri" w:cs="Amiri"/>
          <w:color w:val="111111"/>
          <w:sz w:val="28"/>
          <w:sz w:val="28"/>
          <w:szCs w:val="28"/>
          <w:rtl w:val="true"/>
          <w:lang w:bidi="ar-SA"/>
        </w:rPr>
        <w:t xml:space="preserve">الأقوى الثاني ؛ لإطلاق الكبرى المتقدّمة وصحيحة الأحول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إطلاق بعض روايات اُخر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ينافيها صحيحة زرارة ورواية حفص ؛ لعدم ظهورهما في القيدية ، بل فرض فيهما وجود العين ، فقوله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يمسحها حتّى يذهب أثرها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لبيان حال قضيّة مفروضة ، فيكون بياناً عادياً لا يستفاد منه دخالة وجود العين في طهارة المحلّ ، ولا ينقدح في الأذهان منه بقاء النجاسة على المحلّ لو زالت العين بغير الأرض ولو مشى بعده ما مشى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تصلح الصحيحة ونحوها لتقييد إطلاق الكبرى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تطهير المحلّ الخالي من العين ، أولى من المشغول بها في نظر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فالأقوى عدم اعتبار وجودها أو أثرها في المحلّ </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 عدمهما يكفي مجرّد المسح أو المشي دون المسّ ؛ لعدم الدليل عليها إلاّ دعوى إطلاق الكبرى ، وهو مشكل ، سيّما مع سبقِها في حسنة الحلبي بقوله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ليس تمشي بعد ذلك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235"/>
      </w:r>
      <w:r>
        <w:rPr>
          <w:rFonts w:ascii="Amiri" w:hAnsi="Amiri" w:eastAsia="Amiri" w:cs="Amiri"/>
          <w:color w:val="111111"/>
          <w:sz w:val="28"/>
          <w:sz w:val="28"/>
          <w:szCs w:val="28"/>
          <w:rtl w:val="true"/>
          <w:lang w:bidi="ar-SA"/>
        </w:rPr>
        <w:t xml:space="preserve">إلى آخره ، وتبادرِ المشي من موارد </w:t>
      </w:r>
    </w:p>
    <w:p>
      <w:pPr>
        <w:pStyle w:val="BookText"/>
        <w:rPr/>
      </w:pPr>
      <w:r>
        <w:rPr>
          <w:rFonts w:ascii="Amiri" w:hAnsi="Amiri" w:eastAsia="Amiri" w:cs="Amiri"/>
          <w:color w:val="111111"/>
          <w:sz w:val="28"/>
          <w:sz w:val="28"/>
          <w:szCs w:val="28"/>
          <w:rtl w:val="true"/>
          <w:lang w:bidi="ar-SA"/>
        </w:rPr>
        <w:t>غيرها ، وهو وإن لا يصلح لتقي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 إطلاق لو كان ، لكن يوهن توهّم الإطلاق ، فإنّ</w:t>
      </w:r>
    </w:p>
    <w:p>
      <w:pPr>
        <w:pStyle w:val="BookText"/>
        <w:rPr/>
      </w:pPr>
      <w:r>
        <w:rPr>
          <w:rFonts w:ascii="Amiri" w:hAnsi="Amiri" w:eastAsia="Amiri" w:cs="Amiri"/>
          <w:color w:val="111111"/>
          <w:sz w:val="28"/>
          <w:sz w:val="28"/>
          <w:szCs w:val="28"/>
          <w:rtl w:val="true"/>
          <w:lang w:bidi="ar-SA"/>
        </w:rPr>
        <w:t xml:space="preserve">الأظهر عدم إطلاقها لصِرف المماسّة ؛ لأنّ التطهير به خلاف ارتكاز العقلاء في باب التنظيف بالأرض ، دون التمسّح الذي هو موافق له ، ودون المشي الذي دلّ عليه الدليل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إمكان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كالمسح في رفع الأثر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إمكان تقييد إطلاقها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بموثّقة عمّار بن موسى</w:t>
      </w:r>
      <w:r>
        <w:rPr>
          <w:rStyle w:val="FootnoteAnchor"/>
          <w:rtl w:val="true"/>
        </w:rPr>
        <w:footnoteReference w:id="1236"/>
      </w:r>
      <w:r>
        <w:rPr>
          <w:rFonts w:ascii="Amiri" w:hAnsi="Amiri" w:eastAsia="Amiri" w:cs="Amiri"/>
          <w:color w:val="111111"/>
          <w:sz w:val="28"/>
          <w:sz w:val="28"/>
          <w:szCs w:val="28"/>
          <w:rtl w:val="true"/>
          <w:lang w:bidi="ar-SA"/>
        </w:rPr>
        <w:t xml:space="preserve">، 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الاجتزاء بمجرّد المماسّة </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أوّلاً وآخراً، وظاهراً وباطناً، والصلاة والسلام على سيّدنا محمّد وآله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وقع الفراغ من هذه الوجيزة يوم الثامن والعشرين من شهر ذي القعدة الحرام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bookmarkStart w:id="508" w:name="pg15030_143380"/>
    </w:p>
    <w:p>
      <w:pPr>
        <w:pStyle w:val="Heading2"/>
        <w:numPr>
          <w:ilvl w:val="1"/>
          <w:numId w:val="1"/>
        </w:numPr>
        <w:rPr/>
      </w:pPr>
      <w:bookmarkStart w:id="509" w:name="__RefHeading___Toc212980_2142443653"/>
      <w:bookmarkStart w:id="510" w:name="_Toc182"/>
      <w:bookmarkEnd w:id="508"/>
      <w:bookmarkEnd w:id="509"/>
      <w:r>
        <w:rPr>
          <w:rtl w:val="true"/>
        </w:rPr>
        <w:t>الفهارس العامّة</w:t>
      </w:r>
      <w:bookmarkEnd w:id="510"/>
    </w:p>
    <w:p>
      <w:pPr>
        <w:pStyle w:val="Heading3"/>
        <w:numPr>
          <w:ilvl w:val="2"/>
          <w:numId w:val="1"/>
        </w:numPr>
        <w:rPr/>
      </w:pPr>
      <w:bookmarkStart w:id="511" w:name="__RefHeading___Toc212982_2142443653"/>
      <w:bookmarkStart w:id="512" w:name="_Toc183"/>
      <w:bookmarkEnd w:id="511"/>
      <w:r>
        <w:rPr>
          <w:rtl w:val="true"/>
        </w:rPr>
        <w:t>اشارة</w:t>
      </w:r>
      <w:bookmarkEnd w:id="51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الآيات الكريمة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الأحاديث الشريفة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أسماء المعصومين علیهم السلام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الأعلام</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الكتب الواردة في المتن</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مصادر التحقيق</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الموضوعات </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3" w:name="pg15030_143382"/>
      <w:bookmarkStart w:id="514" w:name="pg15030_143382"/>
      <w:bookmarkEnd w:id="514"/>
    </w:p>
    <w:p>
      <w:pPr>
        <w:pStyle w:val="Heading3"/>
        <w:numPr>
          <w:ilvl w:val="2"/>
          <w:numId w:val="1"/>
        </w:numPr>
        <w:rPr/>
      </w:pPr>
      <w:bookmarkStart w:id="515" w:name="pg15030_143382"/>
      <w:bookmarkStart w:id="516" w:name="__RefHeading___Toc212984_2142443653"/>
      <w:bookmarkStart w:id="517" w:name="_Toc184"/>
      <w:bookmarkEnd w:id="515"/>
      <w:bookmarkEnd w:id="516"/>
      <w:r>
        <w:rPr/>
        <w:t>1</w:t>
      </w:r>
      <w:r>
        <w:rPr>
          <w:rtl w:val="true"/>
        </w:rPr>
        <w:t xml:space="preserve"> - </w:t>
      </w:r>
      <w:r>
        <w:rPr>
          <w:rtl w:val="true"/>
        </w:rPr>
        <w:t>فهرس الآيات الكريمة</w:t>
      </w:r>
      <w:bookmarkEnd w:id="517"/>
    </w:p>
    <w:p>
      <w:pPr>
        <w:pStyle w:val="BookText"/>
        <w:rPr/>
      </w:pPr>
      <w:r>
        <w:rPr>
          <w:rFonts w:ascii="Amiri" w:hAnsi="Amiri" w:eastAsia="Amiri" w:cs="Amiri"/>
          <w:color w:val="111111"/>
          <w:sz w:val="28"/>
          <w:sz w:val="28"/>
          <w:szCs w:val="28"/>
          <w:rtl w:val="true"/>
          <w:lang w:bidi="ar-SA"/>
        </w:rPr>
        <w:t>الآية رقمها الصفحة</w:t>
      </w:r>
    </w:p>
    <w:p>
      <w:pPr>
        <w:pStyle w:val="BookText"/>
        <w:rPr/>
      </w:pP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لِلطَّائِفِينَ وَالْعَاكِفِينَ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قُمْتُمْ إلَى الصَّلَوةِ فَاغْسِلُوا</w:t>
      </w:r>
    </w:p>
    <w:p>
      <w:pPr>
        <w:pStyle w:val="BookText"/>
        <w:rPr/>
      </w:pPr>
      <w:r>
        <w:rPr>
          <w:rFonts w:ascii="Amiri" w:hAnsi="Amiri" w:eastAsia="Amiri" w:cs="Amiri"/>
          <w:color w:val="111111"/>
          <w:sz w:val="28"/>
          <w:sz w:val="28"/>
          <w:szCs w:val="28"/>
          <w:rtl w:val="true"/>
          <w:lang w:bidi="ar-SA"/>
        </w:rPr>
        <w:t>وُجُوهَكُمْ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IRNazanin" w:hAnsi="IRNazanin" w:eastAsia="IRNazanin"/>
          <w:color w:val="111111"/>
          <w:sz w:val="28"/>
          <w:sz w:val="28"/>
          <w:szCs w:val="28"/>
          <w:rtl w:val="true"/>
          <w:lang w:bidi="fa-IR"/>
        </w:rPr>
        <w:t xml:space="preserve">الأنفال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وَيُنَزِّلُ عَلَيْكُمْ مِنَ السَّمَاءِ مَاءً</w:t>
      </w:r>
    </w:p>
    <w:p>
      <w:pPr>
        <w:pStyle w:val="BookText"/>
        <w:rPr/>
      </w:pPr>
      <w:r>
        <w:rPr>
          <w:rFonts w:ascii="Amiri" w:hAnsi="Amiri" w:eastAsia="Amiri" w:cs="Amiri"/>
          <w:color w:val="111111"/>
          <w:sz w:val="28"/>
          <w:sz w:val="28"/>
          <w:szCs w:val="28"/>
          <w:rtl w:val="true"/>
          <w:lang w:bidi="ar-SA"/>
        </w:rPr>
        <w:t>لِيُطَهِّرَكُمْ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 يُّهَا الَّذِينَ آمَنُوا إِنَّمَا الْمُشْرِكُونَ</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نَجَسٌ فَلاَ يَقْرَبُوا الْمَسْجِدَ الْحَرَامَ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الآية رقمها 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يَقْرَبُوا الْمَسْجِدَ الْحَرَامَ بَعْدَ</w:t>
      </w:r>
    </w:p>
    <w:p>
      <w:pPr>
        <w:pStyle w:val="BookText"/>
        <w:rPr/>
      </w:pPr>
      <w:r>
        <w:rPr>
          <w:rFonts w:ascii="Amiri" w:hAnsi="Amiri" w:eastAsia="Amiri" w:cs="Amiri"/>
          <w:color w:val="111111"/>
          <w:sz w:val="28"/>
          <w:sz w:val="28"/>
          <w:szCs w:val="28"/>
          <w:rtl w:val="true"/>
          <w:lang w:bidi="ar-SA"/>
        </w:rPr>
        <w:t>عَامِهِمْ هَذَا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عَامِهِمْ هَذَا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فَبَدَأَ بِأَوْعِيَتِهِمْ قَبْلَ وِعَاءِ أَخِيهِ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وَطَهِّرْ بَيْتِىَ لِلطَّائِفِينَ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 xml:space="preserve">الفرقان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وَأَنْزَلْنَا مِنَ السَّمَاءِ مَاءً طَهُوراً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يَمَسُّهُ إِلاَّ الْمُطَهَّرُونَ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bookmarkStart w:id="518" w:name="pg15030_143384"/>
    </w:p>
    <w:p>
      <w:pPr>
        <w:pStyle w:val="Heading3"/>
        <w:numPr>
          <w:ilvl w:val="2"/>
          <w:numId w:val="1"/>
        </w:numPr>
        <w:rPr/>
      </w:pPr>
      <w:bookmarkStart w:id="519" w:name="__RefHeading___Toc212986_2142443653"/>
      <w:bookmarkStart w:id="520" w:name="_Toc185"/>
      <w:bookmarkEnd w:id="518"/>
      <w:bookmarkEnd w:id="519"/>
      <w:r>
        <w:rPr/>
        <w:t>2</w:t>
      </w:r>
      <w:r>
        <w:rPr>
          <w:rtl w:val="true"/>
        </w:rPr>
        <w:t xml:space="preserve"> - </w:t>
      </w:r>
      <w:r>
        <w:rPr>
          <w:rtl w:val="true"/>
        </w:rPr>
        <w:t>فهرس الأحاديث الشريفة</w:t>
      </w:r>
      <w:bookmarkEnd w:id="520"/>
    </w:p>
    <w:p>
      <w:pPr>
        <w:pStyle w:val="BookText"/>
        <w:rPr/>
      </w:pPr>
      <w:r>
        <w:rPr>
          <w:rFonts w:ascii="Amiri" w:hAnsi="Amiri" w:eastAsia="Amiri" w:cs="Amiri"/>
          <w:color w:val="111111"/>
          <w:sz w:val="28"/>
          <w:sz w:val="28"/>
          <w:szCs w:val="28"/>
          <w:rtl w:val="true"/>
          <w:lang w:bidi="ar-SA"/>
        </w:rPr>
        <w:t xml:space="preserve">آنية الذهب والفضّة متاع الذين لا يوقنون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 xml:space="preserve">أترغب عمّا كان أبو الحسن علیه السلام يفعله ؟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Amiri" w:hAnsi="Amiri" w:eastAsia="Amiri" w:cs="Amiri"/>
          <w:color w:val="111111"/>
          <w:sz w:val="28"/>
          <w:sz w:val="28"/>
          <w:szCs w:val="28"/>
          <w:rtl w:val="true"/>
          <w:lang w:bidi="ar-SA"/>
        </w:rPr>
        <w:t xml:space="preserve">إذا اُلقي عليه من التراب ما يواري ذلك ويقطع ريحه فلا بأس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إذا بلغ الماء قدر كرّ لا ينجّسه شيء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 xml:space="preserve">إذا تحوّل عن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بأس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إذا جرى فلا بأس </w:t>
      </w:r>
      <w:r>
        <w:rPr>
          <w:rFonts w:eastAsia="IRNazanin" w:cs="IRNazanin"/>
          <w:color w:val="111111"/>
          <w:sz w:val="28"/>
          <w:szCs w:val="28"/>
          <w:lang w:bidi="fa-IR"/>
        </w:rPr>
        <w:t>349</w:t>
      </w:r>
    </w:p>
    <w:p>
      <w:pPr>
        <w:pStyle w:val="BookText"/>
        <w:rPr/>
      </w:pPr>
      <w:r>
        <w:rPr>
          <w:rFonts w:ascii="Amiri" w:hAnsi="Amiri" w:eastAsia="Amiri" w:cs="Amiri"/>
          <w:color w:val="111111"/>
          <w:sz w:val="28"/>
          <w:sz w:val="28"/>
          <w:szCs w:val="28"/>
          <w:rtl w:val="true"/>
          <w:lang w:bidi="ar-SA"/>
        </w:rPr>
        <w:t xml:space="preserve">إذا جرى فيه المطر فلا بأس </w:t>
      </w:r>
      <w:r>
        <w:rPr>
          <w:rFonts w:eastAsia="Amiri" w:cs="Amiri" w:ascii="Amiri" w:hAnsi="Amiri"/>
          <w:color w:val="111111"/>
          <w:sz w:val="28"/>
          <w:szCs w:val="28"/>
          <w:lang w:bidi="ar-SA"/>
        </w:rPr>
        <w:t>351</w:t>
      </w:r>
    </w:p>
    <w:p>
      <w:pPr>
        <w:pStyle w:val="BookText"/>
        <w:rPr/>
      </w:pPr>
      <w:r>
        <w:rPr>
          <w:rFonts w:ascii="IRNazanin" w:hAnsi="IRNazanin" w:eastAsia="IRNazanin"/>
          <w:color w:val="111111"/>
          <w:sz w:val="28"/>
          <w:sz w:val="28"/>
          <w:szCs w:val="28"/>
          <w:rtl w:val="true"/>
          <w:lang w:bidi="fa-IR"/>
        </w:rPr>
        <w:t xml:space="preserve">إذا جرى من ماء المطر فلا بأس </w:t>
      </w:r>
      <w:r>
        <w:rPr>
          <w:rFonts w:eastAsia="IRNazanin" w:cs="IRNazanin"/>
          <w:color w:val="111111"/>
          <w:sz w:val="28"/>
          <w:szCs w:val="28"/>
          <w:lang w:bidi="fa-IR"/>
        </w:rPr>
        <w:t>351</w:t>
      </w:r>
    </w:p>
    <w:p>
      <w:pPr>
        <w:pStyle w:val="BookText"/>
        <w:rPr/>
      </w:pPr>
      <w:r>
        <w:rPr>
          <w:rFonts w:ascii="Amiri" w:hAnsi="Amiri" w:eastAsia="Amiri" w:cs="Amiri"/>
          <w:color w:val="111111"/>
          <w:sz w:val="28"/>
          <w:sz w:val="28"/>
          <w:szCs w:val="28"/>
          <w:rtl w:val="true"/>
          <w:lang w:bidi="ar-SA"/>
        </w:rPr>
        <w:t xml:space="preserve">إذا جفّفته الشمس فصلّ عليه ؛ فهو طاهر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إذا دخلت الغائط ، فقضيت الحاجة فلم تهرق الماء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إذا شككت في موضع منه ثمّ رأيته </w:t>
      </w:r>
      <w:r>
        <w:rPr>
          <w:rFonts w:eastAsia="Amiri" w:cs="Amiri" w:ascii="Amiri" w:hAnsi="Amiri"/>
          <w:color w:val="111111"/>
          <w:sz w:val="28"/>
          <w:szCs w:val="28"/>
          <w:lang w:bidi="ar-SA"/>
        </w:rPr>
        <w:t>304</w:t>
      </w:r>
    </w:p>
    <w:p>
      <w:pPr>
        <w:pStyle w:val="BookText"/>
        <w:rPr/>
      </w:pPr>
      <w:r>
        <w:rPr>
          <w:rFonts w:ascii="IRNazanin" w:hAnsi="IRNazanin" w:eastAsia="IRNazanin"/>
          <w:color w:val="111111"/>
          <w:sz w:val="28"/>
          <w:sz w:val="28"/>
          <w:szCs w:val="28"/>
          <w:rtl w:val="true"/>
          <w:lang w:bidi="fa-IR"/>
        </w:rPr>
        <w:t xml:space="preserve">إذا غسل فلا بأس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 xml:space="preserve">إذا كان الرجل نائماً في المسجد الحرام أو مسجد الرسول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121</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 الغالب عليها المسلمين فلا بأس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كان الموضع قذراً من البول أو غير ذلك، فأصابته الشمس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إذا كان بالرجل جرح سائل فأصاب ثوبه من دمه ، فلا يغسله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إذا كان جافّاً فلا بأس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إذا كان رآه فلم يغسله فليقض جميع ما فاته على قدر ما كان يصلّي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إذا كان مضموناً فلا بأس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إذا كان يخضّب الإناء فاشربه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إذا نظّف واُصلح فلا بأس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إذا وطأ أحدكم الأذى بخفّيه فطهورهما التراب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إذا وطأ أحدكم بنعليه الأذى فإنّ التراب له طهور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إذا وقعت الفأرة في السمن فماتت ، فإن كان جامداً فألقها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الأرض كلّها مسجد إلاّ بئر غائط أو مقبرة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الأرض يطهّر بعضها بعضاً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أرى أن تصدّق منها بعشرة دنانير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استحلال أهل العراق الميتةَ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أن لا إله إلاّ اللّه ، والتصديق برسول اللّه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اشترِ من رجل مسلم ، ولا تسأله عن شيء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اشتر وصلّ فيها حتّى تعلم أ نّه ميتة بعينه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اصبغيه بمشق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اصبغيه بمشق حتّى يختلط ويذهب أثره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أعرته إيّاه وهو طاهر ، ولم تستيقن أ نّه نجّسه ، فلا بأس أن تصلّي فيه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اغتسل أبي من الجنابة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أبقيت لُمعة في ظهرك </w:t>
      </w:r>
      <w:r>
        <w:rPr>
          <w:rFonts w:eastAsia="Amiri" w:cs="Amiri" w:ascii="Amiri" w:hAnsi="Amiri"/>
          <w:color w:val="111111"/>
          <w:sz w:val="28"/>
          <w:szCs w:val="28"/>
          <w:lang w:bidi="ar-SA"/>
        </w:rPr>
        <w:t>278</w:t>
      </w:r>
    </w:p>
    <w:p>
      <w:pPr>
        <w:pStyle w:val="BookText"/>
        <w:rPr/>
      </w:pPr>
      <w:r>
        <w:rPr>
          <w:rFonts w:ascii="IRNazanin" w:hAnsi="IRNazanin" w:eastAsia="IRNazanin"/>
          <w:color w:val="111111"/>
          <w:sz w:val="28"/>
          <w:sz w:val="28"/>
          <w:szCs w:val="28"/>
          <w:rtl w:val="true"/>
          <w:lang w:bidi="fa-IR"/>
        </w:rPr>
        <w:t xml:space="preserve">اغسل الإناء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اغسل الثوب كلّه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اغسل ثوبك من أبوال ما لا يؤكل لحمه </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 xml:space="preserve">اغسل ما أصاب منه ، ومسّ الجانب الآخر ، فإذا أصبت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اغسله بالتراب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 xml:space="preserve">اغسله بالتراب أوّل مرّة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اغسله في المِرْكَن مرّتين ، فإن غسلته في ماءٍ جارٍ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اغسله مرّتين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أكلت النار ما فيه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إلاّ أن يكره الفضّة فينزعها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إلاّ أن يكون مقدار الدرهم مجتمعاً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أليس تمشي بعد ذلك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أليس تمشي بعد ذلك في أرض يابسة ؟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أليس وراءه شيء جافّ؟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أليس هي يابسة ؟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أليس يمشي بعد ذلك في أرض يابسة ؟ </w:t>
      </w:r>
      <w:r>
        <w:rPr>
          <w:rFonts w:eastAsia="Amiri" w:cs="Amiri" w:ascii="Amiri" w:hAnsi="Amiri"/>
          <w:color w:val="111111"/>
          <w:sz w:val="28"/>
          <w:szCs w:val="28"/>
          <w:lang w:bidi="ar-SA"/>
        </w:rPr>
        <w:t>410</w:t>
      </w:r>
    </w:p>
    <w:p>
      <w:pPr>
        <w:pStyle w:val="BookText"/>
        <w:rPr/>
      </w:pPr>
      <w:r>
        <w:rPr>
          <w:rFonts w:ascii="IRNazanin" w:hAnsi="IRNazanin" w:eastAsia="IRNazanin"/>
          <w:color w:val="111111"/>
          <w:sz w:val="28"/>
          <w:sz w:val="28"/>
          <w:szCs w:val="28"/>
          <w:rtl w:val="true"/>
          <w:lang w:bidi="fa-IR"/>
        </w:rPr>
        <w:t xml:space="preserve">أمّا النعل والخفاف فلا بأس بهما </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 xml:space="preserve">أمّا ما توهّمت ممّا أصاب يدك ، فليس بشيء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إن أبيتم فشيء من ماء فانضحه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إن اجتمع قدر حمّصة فاغسله ، وإلاّ فلا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إن أصاب ثوب الرجل الدم ، فصلّى فيه وهو لا يعلم ، فلا إعادة عليه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إن أصاب ثوبك من الكلب رطوبة فاغسله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إنّ الأرض يطهّر بعضها بعضاً </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IRNazanin" w:hAnsi="IRNazanin" w:eastAsia="IRNazanin"/>
          <w:color w:val="111111"/>
          <w:sz w:val="28"/>
          <w:sz w:val="28"/>
          <w:szCs w:val="28"/>
          <w:rtl w:val="true"/>
          <w:lang w:bidi="fa-IR"/>
        </w:rPr>
        <w:t xml:space="preserve">إنّ الثوب خلاف الجسد </w:t>
      </w:r>
      <w:r>
        <w:rPr>
          <w:rFonts w:eastAsia="IRNazanin" w:cs="IRNazanin"/>
          <w:color w:val="111111"/>
          <w:sz w:val="28"/>
          <w:szCs w:val="28"/>
          <w:lang w:bidi="fa-IR"/>
        </w:rPr>
        <w:t>316</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الدين أوسع من ذلك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العبّاس حين عذر عمل له قضيب ملبّس فضّة من نحو ما يعمل للصبيان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إنّ اللّه أوحى إلى نبيّه أن طهّر مسجدك ، وأخرج من المسجد من يرقد بالليل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 xml:space="preserve">إنّ اللّه تبارك وتعالى أعطى محمّداً صلی الله علیه و آله وسلم شرائع نوح وإبراهيم وموسى </w:t>
      </w:r>
      <w:r>
        <w:rPr>
          <w:rFonts w:eastAsia="IRNazanin" w:cs="IRNazanin"/>
          <w:color w:val="111111"/>
          <w:sz w:val="28"/>
          <w:szCs w:val="28"/>
          <w:rtl w:val="true"/>
          <w:lang w:bidi="fa-IR"/>
        </w:rPr>
        <w:t xml:space="preserve">. . .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 xml:space="preserve">إنّ اللّه جعل التراب طهوراً كما جعل الماء طهوراً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IRNazanin" w:hAnsi="IRNazanin" w:eastAsia="IRNazanin"/>
          <w:color w:val="111111"/>
          <w:sz w:val="28"/>
          <w:sz w:val="28"/>
          <w:szCs w:val="28"/>
          <w:rtl w:val="true"/>
          <w:lang w:bidi="fa-IR"/>
        </w:rPr>
        <w:t xml:space="preserve">إنّ الماء والنار قد طهّراه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أنّ النبي صلی الله علیه و آله وسلم بال عليه الحسن والحسين علیهما السلام قبل أن يطعما </w:t>
      </w:r>
      <w:r>
        <w:rPr>
          <w:rFonts w:eastAsia="IRNazanin" w:cs="IRNazanin"/>
          <w:color w:val="111111"/>
          <w:sz w:val="28"/>
          <w:szCs w:val="28"/>
          <w:rtl w:val="true"/>
          <w:lang w:bidi="fa-IR"/>
        </w:rPr>
        <w:t xml:space="preserve">. . .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إنّ أمير المؤمنين علیه السلام سئل عن سفرة وجدت في الطريق </w:t>
      </w:r>
      <w:r>
        <w:rPr>
          <w:rFonts w:eastAsia="IRNazanin" w:cs="IRNazanin"/>
          <w:color w:val="111111"/>
          <w:sz w:val="28"/>
          <w:szCs w:val="28"/>
          <w:rtl w:val="true"/>
          <w:lang w:bidi="fa-IR"/>
        </w:rPr>
        <w:t xml:space="preserve">. . . </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 xml:space="preserve">إنّ بي دماميل ، ولست أغسل ثوبي حتّى تبرأ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إن تردّى في جُبّ أو وَهْدة من الأرض فلا تأكله ولا تطعم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إن تصيبه الشمس والريح 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جافّاً فلا بأس به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إن رأيت المنيّ قبل أو بعد ما تدخل في الصلاة ، فعليك إعادة الصلاة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إن رأيته وعليك ثوب غيره فاطرحه وصلّ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IRNazanin" w:hAnsi="IRNazanin" w:eastAsia="IRNazanin"/>
          <w:color w:val="111111"/>
          <w:sz w:val="28"/>
          <w:sz w:val="28"/>
          <w:szCs w:val="28"/>
          <w:rtl w:val="true"/>
          <w:lang w:bidi="fa-IR"/>
        </w:rPr>
        <w:t xml:space="preserve">أنّ رسول اللّه صلی الله علیه و آله وسلم نهاهم عن سبع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الشرب في آنية الذهب والفضّة </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 xml:space="preserve">إنّ صاحب القرحة التي لا يستطيع صاحبها ربطها ولا حبس دمها يصلّي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 xml:space="preserve">إنّ علياً علیه السلام سئل عن قدر طبخت ، وإذا في القدر فأرة </w:t>
      </w:r>
      <w:r>
        <w:rPr>
          <w:rFonts w:eastAsia="IRNazanin" w:cs="IRNazanin"/>
          <w:color w:val="111111"/>
          <w:sz w:val="28"/>
          <w:szCs w:val="28"/>
          <w:rtl w:val="true"/>
          <w:lang w:bidi="fa-IR"/>
        </w:rPr>
        <w:t xml:space="preserve">. . .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أنّ علياً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 الجارية وبولها يغسل منه الثوب </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 xml:space="preserve">إن كان أقلّ من قدر الدرهم فلا يعيد الصلاة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إن كان الذي صنع فيها هو الغالب على ما صنع فيه ، فلا بأس به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إن كانت أرضكم مبلّطة أجزأكم المشي عليها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إن كانت رجلك رطبة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إن كان ثقة فلا يقربها ، وإن كان غير ثقة فلا يقبل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إن كان رآها في الإناء قبل أن يغتسل أو يتوضّأ أو يغسل ثيابه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34</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كان علم أ نّه أصاب ثوبه جنابة قبل أن يصلّي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كان لم يعلم فلا يعيد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إن كان ممّن يستحلّ المسكر فلا تشربه ، وإن كان ممّن لا يستحلّ فاشربه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إن كان يابساً فليرمِ به ، ولا بأس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أن لا يطوف بعد هذا العام عريان ، ولا يقرب المسجد الحرام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إن لم يتخوّف أن يسيل الدم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إن لم يتخوّف أن يسيل الدم فلا بأس ، وإن تخوّف أن يسيل الدم فلا يفعله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إنّما اُمر بالوضوء وبدئ به ؛ لأن يكون العبد إذا قام بين يدي الجبّار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إنّما 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الأكبر؛ لأ نّها كانت سنة حجّ فيها المسلمون والمشركون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إنّما يغسل من بول الاُنثى ، وينضح على بول الذكر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إن وجد ماءً غسله، وإن لم يجد ماءً صلّى فيه، ولم يصلّ عرياناً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إنّ هذا لا يصيب شيئاً إلاّ طهّره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أ نّه لا بأس به أن يصيب الثوب ثلاثة أيّام ، إلاّ أن يعلم أ نّه قد نجّسه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اُهديت لأبي جبّة فرو من العراق ، وكان إذا أراد أن يصلّي نزعها فطرحها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أيّهما أرجس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البول أو الجنابة ؟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تصبّ عليه الماء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تصبّ عليه الماء ، فإن كان قد أكل فاغسله بالماء غسلاً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تعيد الصلاة وتغسله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تغسل القميص في اليوم مرّة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تغسل من ثوبك الناحية التي ترى أ نّه أصابها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تغسل من ثوبك الناحية التي ترى أ نّه قد أصابها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 xml:space="preserve">تغسله ثلاث مرّات </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 xml:space="preserve">تغسله سبع مرّات ، وكذا الكلب </w:t>
      </w:r>
      <w:r>
        <w:rPr>
          <w:rFonts w:eastAsia="Amiri" w:cs="Amiri" w:ascii="Amiri" w:hAnsi="Amiri"/>
          <w:color w:val="111111"/>
          <w:sz w:val="28"/>
          <w:szCs w:val="28"/>
          <w:lang w:bidi="ar-SA"/>
        </w:rPr>
        <w:t>183</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تغسله سبع مرّات ، وكذلك الكلب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تغسله وتعيد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تغسله ولا تعيد الصلاة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تكره الصلاة في الفراء إلاّ ما صنع في أرض الحجاز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تكون فضّة نحواً من عشرة دراهم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تنزّهوا عن قرب الكلاب ، فمن أصاب الكلب وهو رطب فليغسله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تنقض الصلاة وتعيد إذا شككت في موضع منه ثمّ رأيته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جرت السنّة في أثر الغائط بثلاثة أحجار أن يمسح العجان ولا يغسله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جعلت لي الأرض مسجداً وطهوراً </w:t>
      </w:r>
      <w:r>
        <w:rPr>
          <w:rFonts w:eastAsia="Amiri" w:cs="Amiri" w:ascii="Amiri" w:hAnsi="Amiri"/>
          <w:color w:val="111111"/>
          <w:sz w:val="28"/>
          <w:szCs w:val="28"/>
          <w:lang w:bidi="ar-SA"/>
        </w:rPr>
        <w:t>399</w:t>
      </w:r>
    </w:p>
    <w:p>
      <w:pPr>
        <w:pStyle w:val="BookText"/>
        <w:rPr/>
      </w:pPr>
      <w:r>
        <w:rPr>
          <w:rFonts w:ascii="IRNazanin" w:hAnsi="IRNazanin" w:eastAsia="IRNazanin"/>
          <w:color w:val="111111"/>
          <w:sz w:val="28"/>
          <w:sz w:val="28"/>
          <w:szCs w:val="28"/>
          <w:rtl w:val="true"/>
          <w:lang w:bidi="fa-IR"/>
        </w:rPr>
        <w:t xml:space="preserve">جعل له الأرض مسجداً وطهوراً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 xml:space="preserve">جنّبوا مساجدكم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جنّبوا مساجدكم النجاسة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الحمد للّه الذي لم يدع شيئاً إلاّ وله حدّ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خلق اللّه الماء طهوراً لا ينجّسه شيء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دعه ، فلا يضرّك أن لا تغسله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الدم تأكله النار إن شاء اللّه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دمك أنظف من دم غيرك ، إذا كان في ثوبك شبه النضح من دمك فلا بأس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الذي يشرب في آنية الذهب والفضّة إنّما يجرجر في بطنه نار جهنّم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الذي يشرب في آنية الفضّة إنّما يجرجر في بطنه نار جهنّم </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 xml:space="preserve">رجس نجس </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 xml:space="preserve">رجس نجس ، لا يتوضّأ بفضله ، واصبب ذلك الماء ، واغسله بالتراب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الريح لا ينظر إليه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السيف بمنزلة الرداء تصلّي فيه ما لم ترَ فيه دماً </w:t>
      </w:r>
      <w:r>
        <w:rPr>
          <w:rFonts w:eastAsia="Amiri" w:cs="Amiri" w:ascii="Amiri" w:hAnsi="Amiri"/>
          <w:color w:val="111111"/>
          <w:sz w:val="28"/>
          <w:szCs w:val="28"/>
          <w:lang w:bidi="ar-SA"/>
        </w:rPr>
        <w:t>56</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صبّ عليه الماء مرّتين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صبّ عليه الماء مرّتين ؛ فإنّما هو ماء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الصلاة ثلثها الطهور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الصلاة في وبره وروثه وبوله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صلّ حتّى تعلم أ نّه ميتة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صلّ فيها حتّى تعلم أ نّه ميتة بعينه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صلّ فيه ، ولا تغسله من أجل ذلك ؛ فإنّك أعرته إيّاه وهو طاهر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علم به أو لم يعلم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علم به أو لم يعلم فعليه إعادة الصلاة إذا علم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عليكم أنتم أن تسألوا عنه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عليكم أنتم أن تسألوا عنه إذا رأيتم المشركين يبيعون ذلك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عليه أن يبتدئ الصلاة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فإن أصابه بعد ثلاثة أيّام فاغسله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فإن غسلته بالماء الجاري فمرّة واحدة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فإن كان قد أكل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فإن كان قد أكل فاغسله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فإن كان ممّا يؤكل لحمه ، فالصلاة في وبره وبوله وشعره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فضّلت بأربع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لي الأرض مسجداً وطهوراً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فلا بأس؛ إنّ الأرض يطهّر بعضها بعضاً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فما بال الناس يغتسلون من الجنابة ، ولا يغتسلون من البول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 xml:space="preserve">قال أمير المؤمنين علیه السلام في صيد وجد فيه سهم ، وهو ميّت </w:t>
      </w:r>
      <w:r>
        <w:rPr>
          <w:rFonts w:eastAsia="IRNazanin" w:cs="IRNazanin"/>
          <w:color w:val="111111"/>
          <w:sz w:val="28"/>
          <w:szCs w:val="28"/>
          <w:rtl w:val="true"/>
          <w:lang w:bidi="fa-IR"/>
        </w:rPr>
        <w:t xml:space="preserve">. . . </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 xml:space="preserve">قل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تصبغه بمشق حتّى يختلط </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 xml:space="preserve">كان علي بن الحسين علیه السلام رجلاً صَرِداً لا يدفئه فراء الحجاز </w:t>
      </w:r>
      <w:r>
        <w:rPr>
          <w:rFonts w:eastAsia="IRNazanin" w:cs="IRNazanin"/>
          <w:color w:val="111111"/>
          <w:sz w:val="28"/>
          <w:szCs w:val="28"/>
          <w:lang w:bidi="fa-IR"/>
        </w:rPr>
        <w:t>251</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إذا كان ذلك في سوق المسلمين ، ولا تسأل عنه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كلّ شيء لك حلال حتّى يجيئك شاهدان يشهدان أنّ فيه ميتة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كلّ شيء نظيف حتّى تعلم أ نّه قذر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كلّ شيء هو لك حلال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كلّ شيء هو لك حلال حتّى تعلم أ نّه حرام بعينه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كلّ شيء يابس زكيّ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كلّ شيء يراه ماء المطر فقد طهر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كلّ ما أشرقت عليه الشمس فهو طاهر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كلّ ما كان على الإنسان أو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تجوز الصلاة فيه وحده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كلّ ما كان لا تجوز فيه الصلاة وحده فلا بأس بأن يكون عليه الشيء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كلوا من الخمر ما انفسد ، ولا تأكلوا ما أفسدتموه أنتم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كيف يطهّر من غير ماء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لا ، إلاّ ما جاء من قِبَل نفسه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لا بأس إذا كان خمسة عشر ذراعاً ، أو نحو ذلك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لا بأس إذا لم يجعل فيها ما يغلبها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لا بأس ؛ أكلت النار ما فيه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لا بأس ، إلاّ أن يكره الفضّة فينزعها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لا بأس ؛ الأرض يطهّر بعضها بعضاً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لا بأس ؛ إنّ الأرض تطهّر بعضها بعضاً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لا بأس أن يشرب الرجل في القدح المفضّض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لا بأس بالصلاة في الفراء اليماني ، وفيما صنع في أرض الإسلام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لا بأس بأن يصلّي الرجل في الثوب وفيه الدم متفرّقاً شبه النضح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لا بأس بدم البراغيث والبقّ وبول الخشاشيف </w:t>
      </w:r>
      <w:r>
        <w:rPr>
          <w:rFonts w:eastAsia="Amiri" w:cs="Amiri" w:ascii="Amiri" w:hAnsi="Amiri"/>
          <w:color w:val="111111"/>
          <w:sz w:val="28"/>
          <w:szCs w:val="28"/>
          <w:lang w:bidi="ar-SA"/>
        </w:rPr>
        <w:t>384</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بأس بمعالجتها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لا بأس به؛ ما أصابه من الماء أكثر منه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لا بأس ما لم تعلم أ نّه ميتة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لا تأكل في آنية الذهب والفضّة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لا تأكل في آنية من فضّة ، ولا آنية مفضّضة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لا تأكل في آنية من فضّة ، ولا في آنية مفضّضة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لا تأكل من آنية الذهب والفضّة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لا تأكله ؛ فإنّك لا تدري التردّي قتله أو الذبح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لا تجوز الصلاة في شيء من الحديد ؛ فإنّه نجس ممسوخ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لا تزرموا ابني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لا تشربوا في آنية الذهب والفضّة ، ولا تأكلوا في صحافها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لا تصلّ في الحمّام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لا تصلّ في ثوب قد أصابه خمر أو مسكر حتّى يغسل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لا تصلّ في وبر ما لا يؤكل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لا تصلّ فيها ؛ فإنّها تدبغ بخرء الكلاب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لا تصلّ فيه ؛ فإنّه رجس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 xml:space="preserve">لا تعاد </w:t>
      </w:r>
      <w:r>
        <w:rPr>
          <w:rFonts w:eastAsia="IRNazanin" w:cs="IRNazanin"/>
          <w:color w:val="111111"/>
          <w:sz w:val="28"/>
          <w:szCs w:val="28"/>
          <w:rtl w:val="true"/>
          <w:lang w:bidi="fa-IR"/>
        </w:rPr>
        <w:t xml:space="preserve">. . .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p>
    <w:p>
      <w:pPr>
        <w:pStyle w:val="BookText"/>
        <w:rPr/>
      </w:pPr>
      <w:r>
        <w:rPr>
          <w:rFonts w:ascii="Amiri" w:hAnsi="Amiri" w:eastAsia="Amiri" w:cs="Amiri"/>
          <w:color w:val="111111"/>
          <w:sz w:val="28"/>
          <w:sz w:val="28"/>
          <w:szCs w:val="28"/>
          <w:rtl w:val="true"/>
          <w:lang w:bidi="ar-SA"/>
        </w:rPr>
        <w:t xml:space="preserve">لا تعاد الصلاة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لا تعاد الصلاة إلاّ من خمس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لا تعاد الصلاة من دم لا تبصره غير دم الحيض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 xml:space="preserve">لا ، حتّى تغتسل منه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 xml:space="preserve">لا ، حتّى ينقى ما ثمّة </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 xml:space="preserve">لا سهو لمن أقرّ على نفسه بالسهو </w:t>
      </w:r>
      <w:r>
        <w:rPr>
          <w:rFonts w:eastAsia="IRNazanin" w:cs="IRNazanin"/>
          <w:color w:val="111111"/>
          <w:sz w:val="28"/>
          <w:szCs w:val="28"/>
          <w:lang w:bidi="fa-IR"/>
        </w:rPr>
        <w:t>310</w:t>
      </w:r>
    </w:p>
    <w:p>
      <w:pPr>
        <w:pStyle w:val="BookText"/>
        <w:rPr/>
      </w:pPr>
      <w:r>
        <w:rPr>
          <w:rFonts w:ascii="Amiri" w:hAnsi="Amiri" w:eastAsia="Amiri" w:cs="Amiri"/>
          <w:color w:val="111111"/>
          <w:sz w:val="28"/>
          <w:sz w:val="28"/>
          <w:szCs w:val="28"/>
          <w:rtl w:val="true"/>
          <w:lang w:bidi="ar-SA"/>
        </w:rPr>
        <w:t xml:space="preserve">لا صلاة إلاّ بطهور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لا صلاة إلاّ بطهور ، ويجزيك عن الاستنجاء ثلاثة أحجار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IRNazanin" w:hAnsi="IRNazanin" w:eastAsia="IRNazanin"/>
          <w:color w:val="111111"/>
          <w:sz w:val="28"/>
          <w:sz w:val="28"/>
          <w:szCs w:val="28"/>
          <w:rtl w:val="true"/>
          <w:lang w:bidi="fa-IR"/>
        </w:rPr>
        <w:t xml:space="preserve">لأنّ النبي صلی الله علیه و آله وسلم أمر بقتلها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 xml:space="preserve">لأ نّك كنت على يقين من طهارتك ثمّ شككت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لأ نّك لا تدري لعلّه شيء اُوقع عليك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لا والحمد للّه ، وإنّما كانت لها حلقة من فضّة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لا ، وإن كثر فلا بأس أيضاً بشبهه من الرعاف ، ينضحه ولا يغسله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لا ، ولا يغسل مكانها ؛ لأنّ الحجّام مؤتمن إذا كان ينظّفه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لا ، ولكن لا بأس أن تبيعها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شرط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نّها ذكيّة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لا يجزيه حتّى يدلكه بيده ، ويغسله ثلاث مرّات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لا يحجّنّ بعد هذا العام مشرك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لا يدرى سفرة مسلم ، أم سفرة مجوسي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في سعة حتّى يعلموا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لا يصلح أن يصلّي وهي معه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لا يصلّى ، وأعلم موضعه حتّى تغسله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لا يطوف بالبيت عريان ولا عريانة ولا مشرك بعد هذا العام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لا يطوفنّ بالبيت عريان ، ولا يحجّنّ بالبيت مشرك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لا يعيد شيئاً من صلاته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لا يعيد ، قد مضت الصلاة وكتبت له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لا يغسل ثوبه ولا رجله ، ويصلّي فيه ، ولا بأس به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لا يغسلها إلاّ أن يقذِرها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لا يغسلها إلاّ أن يقذِرها ، ولكنّه يمسحها حتّى يذهب أثرها ، ويصلّي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لا ينبغي الشرب في آنية الذهب والفضّة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لا يؤكل منه ؛ لأ نّك لا تدري أخذه معلّم أم لا </w:t>
      </w:r>
      <w:r>
        <w:rPr>
          <w:rFonts w:eastAsia="Amiri" w:cs="Amiri" w:ascii="Amiri" w:hAnsi="Amiri"/>
          <w:color w:val="111111"/>
          <w:sz w:val="28"/>
          <w:szCs w:val="28"/>
          <w:lang w:bidi="ar-SA"/>
        </w:rPr>
        <w:t>243</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لست أغسله حتّى تبرأ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لكنّه يمسحها حتّى يذهب أثرها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لو أنّ رجلاً رعف في صلاته ، وكان عنده ماء ، أو من يشير إليه بماء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لو أنّ رجلاً نسي أن يستنجي من الغائط حتّى يصلّي ، لم يعد الصلاة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ليس به بأس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ليس به بأس ، لا تسأل عنه </w:t>
      </w:r>
      <w:r>
        <w:rPr>
          <w:rFonts w:eastAsia="Amiri" w:cs="Amiri" w:ascii="Amiri" w:hAnsi="Amiri"/>
          <w:color w:val="111111"/>
          <w:sz w:val="28"/>
          <w:szCs w:val="28"/>
          <w:lang w:bidi="ar-SA"/>
        </w:rPr>
        <w:t>343</w:t>
      </w:r>
    </w:p>
    <w:p>
      <w:pPr>
        <w:pStyle w:val="BookText"/>
        <w:rPr/>
      </w:pPr>
      <w:r>
        <w:rPr>
          <w:rFonts w:ascii="IRNazanin" w:hAnsi="IRNazanin" w:eastAsia="IRNazanin"/>
          <w:color w:val="111111"/>
          <w:sz w:val="28"/>
          <w:sz w:val="28"/>
          <w:szCs w:val="28"/>
          <w:rtl w:val="true"/>
          <w:lang w:bidi="fa-IR"/>
        </w:rPr>
        <w:t xml:space="preserve">ما أرى به بأساً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 xml:space="preserve">ما أشرقت عليه الشمس فقد طهر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ما أصابه من الماء أكثر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ماء الحمّام كماء النهر يطهّر بعضه بعضاً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ما بذا بأس لا تغسله ؛ كلّ شيء يراه ماء المطر فقد طهر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ما علمت أ نّه ميتة فلا تصلّ فيه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ما لم يأكل الطعام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ما يبلّ الميل ينجّس حبّاً من ماء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مضت صلاته ، ولا شيء عليه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من جرح صيداً بسلاح ، وذكر اسم اللّه عليه ، ثمّ بقي ليلة أو ليلتين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من رغب عن الإسلام ، وكفر بما اُنزل على محمّد بعد 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 فلا توبة له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من يشرب في آنية الفضّة في الدنيا لم يشرب فيها في الآخرة </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 xml:space="preserve">نحواً من عشرة دراهم ، فأمر به أبو الحسن علیه السلام فكسر </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 xml:space="preserve">نظر فلم يرَ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نعم ، إذا اُلقي عليه من التراب ما يواريه ، فإنّ ذلك ينظّفه ويطهّره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نعم ، إذا كانت خرقته طاهرة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نعم ، إنّ الوكيل إذا وكّل ثمّ قام عن المجلس ، فأمره ماضٍ أبداً </w:t>
      </w:r>
      <w:r>
        <w:rPr>
          <w:rFonts w:eastAsia="Amiri" w:cs="Amiri" w:ascii="Amiri" w:hAnsi="Amiri"/>
          <w:color w:val="111111"/>
          <w:sz w:val="28"/>
          <w:szCs w:val="28"/>
          <w:lang w:bidi="ar-SA"/>
        </w:rPr>
        <w:t>277</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إنّما يكره استعمال ما يشرب فيه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 فإنّهم يستحلّون شربه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نعم ، لا بأس به ، إلاّ أن تكون النطفة فيه رطبة ، فإن كانت جافّة فلا بأس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 xml:space="preserve">نعم ، ليس عليكم المسألة ؛ إنّ أبا جعفر علیه السلام 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الخوارج ضيّقوا </w:t>
      </w:r>
      <w:r>
        <w:rPr>
          <w:rFonts w:eastAsia="IRNazanin" w:cs="IRNazanin"/>
          <w:color w:val="111111"/>
          <w:sz w:val="28"/>
          <w:szCs w:val="28"/>
          <w:rtl w:val="true"/>
          <w:lang w:bidi="fa-IR"/>
        </w:rPr>
        <w:t xml:space="preserve">. . . </w:t>
      </w:r>
      <w:r>
        <w:rPr>
          <w:rFonts w:eastAsia="IRNazanin" w:cs="IRNazanin"/>
          <w:color w:val="111111"/>
          <w:sz w:val="28"/>
          <w:szCs w:val="28"/>
          <w:lang w:bidi="fa-IR"/>
        </w:rPr>
        <w:t>250</w:t>
      </w:r>
    </w:p>
    <w:p>
      <w:pPr>
        <w:pStyle w:val="BookText"/>
        <w:rPr/>
      </w:pPr>
      <w:r>
        <w:rPr>
          <w:rFonts w:ascii="Amiri" w:hAnsi="Amiri" w:eastAsia="Amiri" w:cs="Amiri"/>
          <w:color w:val="111111"/>
          <w:sz w:val="28"/>
          <w:sz w:val="28"/>
          <w:szCs w:val="28"/>
          <w:rtl w:val="true"/>
          <w:lang w:bidi="ar-SA"/>
        </w:rPr>
        <w:t xml:space="preserve">نعم ، ينفضه ويصلّي فلا بأس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 xml:space="preserve">نهى النبي صلی الله علیه و آله وسلم عن الغرر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نهى رسول اللّه صلی الله علیه و آله وسلم عن الشرب في آنية الذهب والفضّة </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 xml:space="preserve">وإذا رأيتم يصلّون فيه فلا تسألوا عنه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وإذا رأيتهم يصلّون فيه فلا تسألوا عنه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والأشياء كلّها على هذا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واللّه ، إنّي لأعترض السوق ، فأشتري بها اللحم والسمن والجبن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وإن كانت رجلك رطبة أو جبهتك رطبة أو غير ذلك منك ما يصيب ذلك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وإن كان حين قام لم ينظر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وإن كان غير الشمس أصابه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وإن لم يكن عليك ثوب غيره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وإيّاك أن تغتسل من غسالة الحمّام ؛ ففيها يجتمع غسالة اليهودي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وقد وجب قتله ، وبانت امرأته ، ويقسم ما ترك على ولده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وكذلك الحائض إذا أصابها الحيض تفعل ذلك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ولا بأس أن تصلّي فيه حتّى تستيقن أ نّه نجّسه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وما الكيمخت ؟ </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 xml:space="preserve">وما فات وقتها </w:t>
      </w:r>
      <w:r>
        <w:rPr>
          <w:rFonts w:eastAsia="IRNazanin" w:cs="IRNazanin"/>
          <w:color w:val="111111"/>
          <w:sz w:val="28"/>
          <w:szCs w:val="28"/>
          <w:lang w:bidi="fa-IR"/>
        </w:rPr>
        <w:t>316</w:t>
      </w:r>
    </w:p>
    <w:p>
      <w:pPr>
        <w:pStyle w:val="BookText"/>
        <w:rPr/>
      </w:pPr>
      <w:r>
        <w:rPr>
          <w:rFonts w:ascii="Amiri" w:hAnsi="Amiri" w:eastAsia="Amiri" w:cs="Amiri"/>
          <w:color w:val="111111"/>
          <w:sz w:val="28"/>
          <w:sz w:val="28"/>
          <w:szCs w:val="28"/>
          <w:rtl w:val="true"/>
          <w:lang w:bidi="ar-SA"/>
        </w:rPr>
        <w:t xml:space="preserve">وما كان أقلّ من ذلك فليس بشيء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وما لم يزد على مقدار الدرهم من ذلك فليس بشيء </w:t>
      </w:r>
      <w:r>
        <w:rPr>
          <w:rFonts w:eastAsia="Amiri" w:cs="Amiri" w:ascii="Amiri" w:hAnsi="Amiri"/>
          <w:color w:val="111111"/>
          <w:sz w:val="28"/>
          <w:szCs w:val="28"/>
          <w:lang w:bidi="ar-SA"/>
        </w:rPr>
        <w:t>92</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ويصلّي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قاعداً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هم في سعة حتّى يعلموا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هو بمنزلة الماء الجاري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يأكل ممّا أمسك عليه ، فإذا أدركه قبل قتله ذكّاه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يباع ممّن يستحلّ أكل الميتة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يتيمّم ويصلّي عرياناً قائماً يومئ إيماء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يتيمّم ويصلّي ، فإذا أصاب ماءً غسله وأعاد الصلاة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يتيمّم ويطرح ثوبه فيجلس مجتمعاً ، فيصلّي فيومئ إيماء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يجوز الصلاة ، والطهر منه أفضل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يحسب له كلّ عمل صالح في إيمانه ، ولا يبطل منه شيء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يدفن ولا يباع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يستتاب ، فإن رجع وإلاّ قتل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يصبّ عليه الماء حتّى يخرج من الجانب الآخر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يصبّ عليه الماء قليلاً ، ثمّ يعصره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يصبّ عليه الماء مرّتين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يصبّ فيه الماء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يصبّ من الماء ثلاثة أكفّ ، ثمّ يدلك الكوز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يصلّي في ثيابه ولا يغسلها ، ولا شيء عليه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يصلّي فيه إذا اضطرّ إليه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يصلّي فيه ، فإذا وجد الماء غسله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يصلّي فيهما جميعاً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يصلّي ولا يغسل ثوبه كلّ يوم إلاّ مرّة واحدة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يعرف هذا وأشباهه من كتاب اللّه </w:t>
      </w:r>
      <w:r>
        <w:rPr>
          <w:rFonts w:eastAsia="Amiri" w:cs="Amiri" w:ascii="Amiri" w:hAnsi="Amiri"/>
          <w:color w:val="111111"/>
          <w:sz w:val="28"/>
          <w:szCs w:val="28"/>
          <w:lang w:bidi="ar-SA"/>
        </w:rPr>
        <w:t>83</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يعيد إذا لم يكن علم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يعيد صلاته كي يهتمّ بالشيء إذا كان في ثوبه ؛ عقوبة لنسيانه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يغسل الظاهر ، ثمّ يصبّ عليه الماء في المكان الذي أصابه البول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يغسل المكان الذي أصابه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يغسل ثلاث مرّات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يغسل 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يصبّ فيه الماء فيحرّك فيه ، ثمّ يفرغ منه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يغسل سبع مرّات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يغسل ما ظهر منها في وجهه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يغسل ما ظهر منه في وجهه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يغسل من بول الجارية ، وينضح من بول الصبيّ ما لم يأكل الطعام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يقتل ولا يستتاب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يمسحها حتّى يذهب أثرها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ينحره ، ويكتب كتاباً يضعه عليه ؛ ليعلم من مرّ به أ نّه صدقة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ينصرف ويستنجي من الخلاء ، ويعيد الصلاة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ينضحه ولا يغسله </w:t>
      </w:r>
      <w:r>
        <w:rPr>
          <w:rFonts w:eastAsia="Amiri" w:cs="Amiri" w:ascii="Amiri" w:hAnsi="Amiri"/>
          <w:color w:val="111111"/>
          <w:sz w:val="28"/>
          <w:szCs w:val="28"/>
          <w:lang w:bidi="ar-SA"/>
        </w:rPr>
        <w:t>104</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يهراق المرق ، أو يطعمه أهل الذمّة أو الكلب ، واللحم اغسله وكله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bookmarkStart w:id="521" w:name="pg15030_143398"/>
    </w:p>
    <w:p>
      <w:pPr>
        <w:pStyle w:val="Heading3"/>
        <w:numPr>
          <w:ilvl w:val="2"/>
          <w:numId w:val="1"/>
        </w:numPr>
        <w:rPr/>
      </w:pPr>
      <w:bookmarkStart w:id="522" w:name="__RefHeading___Toc212988_2142443653"/>
      <w:bookmarkStart w:id="523" w:name="_Toc186"/>
      <w:bookmarkEnd w:id="521"/>
      <w:bookmarkEnd w:id="522"/>
      <w:r>
        <w:rPr/>
        <w:t>3</w:t>
      </w:r>
      <w:r>
        <w:rPr>
          <w:rtl w:val="true"/>
        </w:rPr>
        <w:t xml:space="preserve"> - </w:t>
      </w:r>
      <w:r>
        <w:rPr>
          <w:rtl w:val="true"/>
        </w:rPr>
        <w:t>فهرس أسماء المعصومين علیهم السلام</w:t>
      </w:r>
      <w:bookmarkEnd w:id="523"/>
    </w:p>
    <w:p>
      <w:pPr>
        <w:pStyle w:val="BookText"/>
        <w:rPr/>
      </w:pPr>
      <w:r>
        <w:rPr>
          <w:rFonts w:ascii="IRNazanin" w:hAnsi="IRNazanin" w:eastAsia="IRNazanin"/>
          <w:color w:val="111111"/>
          <w:sz w:val="28"/>
          <w:sz w:val="28"/>
          <w:szCs w:val="28"/>
          <w:rtl w:val="true"/>
          <w:lang w:bidi="fa-IR"/>
        </w:rPr>
        <w:t xml:space="preserve">النبي، محمّد،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بن عبداللّه صلی الله علیه و آله وسلم ، نبي الإسلام</w:t>
      </w:r>
    </w:p>
    <w:p>
      <w:pPr>
        <w:pStyle w:val="BookText"/>
        <w:rPr/>
      </w:pPr>
      <w:r>
        <w:rPr>
          <w:rFonts w:ascii="IRNazanin" w:hAnsi="IRNazanin" w:eastAsia="IRNazanin"/>
          <w:color w:val="111111"/>
          <w:sz w:val="28"/>
          <w:sz w:val="28"/>
          <w:szCs w:val="28"/>
          <w:rtl w:val="true"/>
          <w:lang w:bidi="fa-IR"/>
        </w:rPr>
        <w:t xml:space="preserve">محمّد بن عبداللّه صلی الله علیه و آله وسلم ، نبي الإسلام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علي،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w:t>
      </w:r>
    </w:p>
    <w:p>
      <w:pPr>
        <w:pStyle w:val="BookText"/>
        <w:rPr/>
      </w:pPr>
      <w:r>
        <w:rPr>
          <w:rFonts w:ascii="IRNazanin" w:hAnsi="IRNazanin" w:eastAsia="IRNazanin"/>
          <w:color w:val="111111"/>
          <w:sz w:val="28"/>
          <w:sz w:val="28"/>
          <w:szCs w:val="28"/>
          <w:rtl w:val="true"/>
          <w:lang w:bidi="fa-IR"/>
        </w:rPr>
        <w:t>طالب علیه السلام ، الإمام الأوّل</w:t>
      </w:r>
    </w:p>
    <w:p>
      <w:pPr>
        <w:pStyle w:val="BookText"/>
        <w:rPr/>
      </w:pPr>
      <w:r>
        <w:rPr>
          <w:rFonts w:ascii="IRNazanin" w:hAnsi="IRNazanin" w:eastAsia="IRNazanin"/>
          <w:color w:val="111111"/>
          <w:sz w:val="28"/>
          <w:sz w:val="28"/>
          <w:szCs w:val="28"/>
          <w:rtl w:val="true"/>
          <w:lang w:bidi="fa-IR"/>
        </w:rPr>
        <w:t xml:space="preserve">علي بن أبي طالب علیه السلام ، الإمام الأوّل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p>
    <w:p>
      <w:pPr>
        <w:pStyle w:val="BookText"/>
        <w:rPr/>
      </w:pPr>
      <w:r>
        <w:rPr>
          <w:rFonts w:ascii="Amiri" w:hAnsi="Amiri" w:eastAsia="Amiri" w:cs="Amiri"/>
          <w:color w:val="111111"/>
          <w:sz w:val="28"/>
          <w:sz w:val="28"/>
          <w:szCs w:val="28"/>
          <w:rtl w:val="true"/>
          <w:lang w:bidi="ar-SA"/>
        </w:rPr>
        <w:t xml:space="preserve">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 xml:space="preserve">الحسن بن علي علیه السلام ، الإمام الثاني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p>
    <w:p>
      <w:pPr>
        <w:pStyle w:val="BookText"/>
        <w:rPr/>
      </w:pPr>
      <w:r>
        <w:rPr>
          <w:rFonts w:ascii="IRNazanin" w:hAnsi="IRNazanin" w:eastAsia="IRNazanin"/>
          <w:color w:val="111111"/>
          <w:sz w:val="28"/>
          <w:sz w:val="28"/>
          <w:szCs w:val="28"/>
          <w:rtl w:val="true"/>
          <w:lang w:bidi="fa-IR"/>
        </w:rPr>
        <w:t xml:space="preserve">الحسين بن علي علیه السلام ، الإمام الثالث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علي بن الحسين علیه السلام ، الإمام الرابع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علي علیه السلام ،</w:t>
      </w:r>
    </w:p>
    <w:p>
      <w:pPr>
        <w:pStyle w:val="BookText"/>
        <w:rPr/>
      </w:pPr>
      <w:r>
        <w:rPr>
          <w:rFonts w:ascii="IRNazanin" w:hAnsi="IRNazanin" w:eastAsia="IRNazanin"/>
          <w:color w:val="111111"/>
          <w:sz w:val="28"/>
          <w:sz w:val="28"/>
          <w:szCs w:val="28"/>
          <w:rtl w:val="true"/>
          <w:lang w:bidi="fa-IR"/>
        </w:rPr>
        <w:t>الإمام الخامس</w:t>
      </w:r>
    </w:p>
    <w:p>
      <w:pPr>
        <w:pStyle w:val="BookText"/>
        <w:rPr/>
      </w:pPr>
      <w:r>
        <w:rPr>
          <w:rFonts w:ascii="IRNazanin" w:hAnsi="IRNazanin" w:eastAsia="IRNazanin"/>
          <w:color w:val="111111"/>
          <w:sz w:val="28"/>
          <w:sz w:val="28"/>
          <w:szCs w:val="28"/>
          <w:rtl w:val="true"/>
          <w:lang w:bidi="fa-IR"/>
        </w:rPr>
        <w:t xml:space="preserve">محمّد بن علي علیه السلام ، الإمام الخامس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الصادق، أبو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w:t>
      </w:r>
    </w:p>
    <w:p>
      <w:pPr>
        <w:pStyle w:val="BookText"/>
        <w:rPr/>
      </w:pPr>
      <w:r>
        <w:rPr>
          <w:rFonts w:ascii="IRNazanin" w:hAnsi="IRNazanin" w:eastAsia="IRNazanin"/>
          <w:color w:val="111111"/>
          <w:sz w:val="28"/>
          <w:sz w:val="28"/>
          <w:szCs w:val="28"/>
          <w:rtl w:val="true"/>
          <w:lang w:bidi="fa-IR"/>
        </w:rPr>
        <w:t>محمّد علیه السلام ، الإمام السادس</w:t>
      </w:r>
    </w:p>
    <w:p>
      <w:pPr>
        <w:pStyle w:val="BookText"/>
        <w:rPr/>
      </w:pPr>
      <w:r>
        <w:rPr>
          <w:rFonts w:ascii="IRNazanin" w:hAnsi="IRNazanin" w:eastAsia="IRNazanin"/>
          <w:color w:val="111111"/>
          <w:sz w:val="28"/>
          <w:sz w:val="28"/>
          <w:szCs w:val="28"/>
          <w:rtl w:val="true"/>
          <w:lang w:bidi="fa-IR"/>
        </w:rPr>
        <w:t xml:space="preserve">جعفر بن محمّد علیه السلام ، الإمام السادس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الصادقين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علي علیه السلام ، الإمام</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علیه السلام ، الإمام</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أحدهما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علي علیه السلام ، الإمام</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علیه السلام ، الإمام</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العبد الصالح، أبو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w:t>
      </w:r>
    </w:p>
    <w:p>
      <w:pPr>
        <w:pStyle w:val="BookText"/>
        <w:rPr/>
      </w:pPr>
      <w:r>
        <w:rPr>
          <w:rFonts w:ascii="IRNazanin" w:hAnsi="IRNazanin" w:eastAsia="IRNazanin"/>
          <w:color w:val="111111"/>
          <w:sz w:val="28"/>
          <w:sz w:val="28"/>
          <w:szCs w:val="28"/>
          <w:rtl w:val="true"/>
          <w:lang w:bidi="fa-IR"/>
        </w:rPr>
        <w:t>بن جعفر علیه السلام ، الإمام السابع</w:t>
      </w:r>
    </w:p>
    <w:p>
      <w:pPr>
        <w:pStyle w:val="BookText"/>
        <w:rPr/>
      </w:pPr>
      <w:r>
        <w:rPr>
          <w:rFonts w:ascii="IRNazanin" w:hAnsi="IRNazanin" w:eastAsia="IRNazanin"/>
          <w:color w:val="111111"/>
          <w:sz w:val="28"/>
          <w:sz w:val="28"/>
          <w:szCs w:val="28"/>
          <w:rtl w:val="true"/>
          <w:lang w:bidi="fa-IR"/>
        </w:rPr>
        <w:t xml:space="preserve">موسى بن جعفر علیه السلام ، الإمام السابع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الرضا،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w:t>
      </w:r>
    </w:p>
    <w:p>
      <w:pPr>
        <w:pStyle w:val="BookText"/>
        <w:rPr/>
      </w:pPr>
      <w:r>
        <w:rPr>
          <w:rFonts w:ascii="IRNazanin" w:hAnsi="IRNazanin" w:eastAsia="IRNazanin"/>
          <w:color w:val="111111"/>
          <w:sz w:val="28"/>
          <w:sz w:val="28"/>
          <w:szCs w:val="28"/>
          <w:rtl w:val="true"/>
          <w:lang w:bidi="fa-IR"/>
        </w:rPr>
        <w:t>بن موسى علیه السلام ، الإمام الثامن</w:t>
      </w:r>
    </w:p>
    <w:p>
      <w:pPr>
        <w:pStyle w:val="BookText"/>
        <w:rPr/>
      </w:pPr>
      <w:r>
        <w:rPr>
          <w:rFonts w:ascii="IRNazanin" w:hAnsi="IRNazanin" w:eastAsia="IRNazanin"/>
          <w:color w:val="111111"/>
          <w:sz w:val="28"/>
          <w:sz w:val="28"/>
          <w:szCs w:val="28"/>
          <w:rtl w:val="true"/>
          <w:lang w:bidi="fa-IR"/>
        </w:rPr>
        <w:t xml:space="preserve">علي بن موسى علیه السلام ، الإمام الثامن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أبو جعفر الثاني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w:t>
      </w:r>
    </w:p>
    <w:p>
      <w:pPr>
        <w:pStyle w:val="BookText"/>
        <w:rPr/>
      </w:pPr>
      <w:r>
        <w:rPr>
          <w:rFonts w:ascii="IRNazanin" w:hAnsi="IRNazanin" w:eastAsia="IRNazanin"/>
          <w:color w:val="111111"/>
          <w:sz w:val="28"/>
          <w:sz w:val="28"/>
          <w:szCs w:val="28"/>
          <w:rtl w:val="true"/>
          <w:lang w:bidi="fa-IR"/>
        </w:rPr>
        <w:t>علي علیه السلام ، الإمام التاسع</w:t>
      </w:r>
    </w:p>
    <w:p>
      <w:pPr>
        <w:pStyle w:val="BookText"/>
        <w:rPr/>
      </w:pPr>
      <w:r>
        <w:rPr>
          <w:rFonts w:ascii="IRNazanin" w:hAnsi="IRNazanin" w:eastAsia="IRNazanin"/>
          <w:color w:val="111111"/>
          <w:sz w:val="28"/>
          <w:sz w:val="28"/>
          <w:szCs w:val="28"/>
          <w:rtl w:val="true"/>
          <w:lang w:bidi="fa-IR"/>
        </w:rPr>
        <w:t xml:space="preserve">محمّد بن علي علیه السلام ، الإمام التاسع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الهادي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محمّد علیه السلام ، الإمام</w:t>
      </w:r>
    </w:p>
    <w:p>
      <w:pPr>
        <w:pStyle w:val="BookText"/>
        <w:rPr/>
      </w:pPr>
      <w:r>
        <w:rPr>
          <w:rFonts w:ascii="IRNazanin" w:hAnsi="IRNazanin" w:eastAsia="IRNazanin"/>
          <w:color w:val="111111"/>
          <w:sz w:val="28"/>
          <w:sz w:val="28"/>
          <w:szCs w:val="28"/>
          <w:rtl w:val="true"/>
          <w:lang w:bidi="fa-IR"/>
        </w:rPr>
        <w:t>العاشر</w:t>
      </w:r>
    </w:p>
    <w:p>
      <w:pPr>
        <w:pStyle w:val="BookText"/>
        <w:rPr/>
      </w:pPr>
      <w:r>
        <w:rPr>
          <w:rFonts w:ascii="IRNazanin" w:hAnsi="IRNazanin" w:eastAsia="IRNazanin"/>
          <w:color w:val="111111"/>
          <w:sz w:val="28"/>
          <w:sz w:val="28"/>
          <w:szCs w:val="28"/>
          <w:rtl w:val="true"/>
          <w:lang w:bidi="fa-IR"/>
        </w:rPr>
        <w:t xml:space="preserve">علي بن محمّد علیه السلام ، الإمام العاشر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العسكري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علي علیه السلام ،</w:t>
      </w:r>
    </w:p>
    <w:p>
      <w:pPr>
        <w:pStyle w:val="BookText"/>
        <w:rPr/>
      </w:pPr>
      <w:r>
        <w:rPr>
          <w:rFonts w:ascii="Amiri" w:hAnsi="Amiri" w:eastAsia="Amiri" w:cs="Amiri"/>
          <w:color w:val="111111"/>
          <w:sz w:val="28"/>
          <w:sz w:val="28"/>
          <w:szCs w:val="28"/>
          <w:rtl w:val="true"/>
          <w:lang w:bidi="ar-SA"/>
        </w:rPr>
        <w:t>الإمام الحادي عشر</w:t>
      </w:r>
    </w:p>
    <w:p>
      <w:pPr>
        <w:pStyle w:val="BookText"/>
        <w:rPr/>
      </w:pPr>
      <w:r>
        <w:rPr>
          <w:rFonts w:ascii="IRNazanin" w:hAnsi="IRNazanin" w:eastAsia="IRNazanin"/>
          <w:color w:val="111111"/>
          <w:sz w:val="28"/>
          <w:sz w:val="28"/>
          <w:szCs w:val="28"/>
          <w:rtl w:val="true"/>
          <w:lang w:bidi="fa-IR"/>
        </w:rPr>
        <w:t>الحسن بن علي علیه السلام ، الإمام الحادي عشر</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Amiri" w:hAnsi="Amiri" w:eastAsia="Amiri" w:cs="Amiri"/>
          <w:color w:val="111111"/>
          <w:sz w:val="28"/>
          <w:sz w:val="28"/>
          <w:szCs w:val="28"/>
          <w:rtl w:val="true"/>
          <w:lang w:bidi="ar-SA"/>
        </w:rPr>
        <w:t xml:space="preserve">نوح، النبي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إبراهيم، النبي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إسماعيل، النبي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يوسف، النبي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موسى، نبي اليهود </w:t>
      </w:r>
      <w:r>
        <w:rPr>
          <w:rFonts w:eastAsia="Amiri" w:cs="Amiri" w:ascii="Amiri" w:hAnsi="Amiri"/>
          <w:color w:val="111111"/>
          <w:sz w:val="28"/>
          <w:szCs w:val="28"/>
          <w:lang w:bidi="ar-SA"/>
        </w:rPr>
        <w:t>11</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عيسى المسيح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bookmarkStart w:id="524" w:name="pg15030_143400"/>
    </w:p>
    <w:p>
      <w:pPr>
        <w:pStyle w:val="Heading3"/>
        <w:numPr>
          <w:ilvl w:val="2"/>
          <w:numId w:val="1"/>
        </w:numPr>
        <w:rPr/>
      </w:pPr>
      <w:bookmarkStart w:id="525" w:name="__RefHeading___Toc212990_2142443653"/>
      <w:bookmarkStart w:id="526" w:name="_Toc187"/>
      <w:bookmarkEnd w:id="524"/>
      <w:bookmarkEnd w:id="525"/>
      <w:r>
        <w:rPr/>
        <w:t>4</w:t>
      </w:r>
      <w:r>
        <w:rPr>
          <w:rtl w:val="true"/>
        </w:rPr>
        <w:t xml:space="preserve"> - </w:t>
      </w:r>
      <w:r>
        <w:rPr>
          <w:rtl w:val="true"/>
        </w:rPr>
        <w:t>فهرس الأعلام</w:t>
      </w:r>
      <w:bookmarkEnd w:id="526"/>
    </w:p>
    <w:p>
      <w:pPr>
        <w:pStyle w:val="BookText"/>
        <w:rPr/>
      </w:pPr>
      <w:r>
        <w:rPr>
          <w:rFonts w:ascii="Amiri" w:hAnsi="Amiri" w:eastAsia="Amiri" w:cs="Amiri"/>
          <w:color w:val="111111"/>
          <w:sz w:val="28"/>
          <w:sz w:val="28"/>
          <w:szCs w:val="28"/>
          <w:rtl w:val="true"/>
          <w:lang w:bidi="ar-SA"/>
        </w:rPr>
        <w:t xml:space="preserve">الآبي، الحسن بن أبي طالب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الآخوند الخراساني، محمّد كاظم بن</w:t>
      </w:r>
    </w:p>
    <w:p>
      <w:pPr>
        <w:pStyle w:val="BookText"/>
        <w:rPr/>
      </w:pP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آل بحر العلوم، علي بن محمّد رضا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 xml:space="preserve">أبان بن تغلب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أبان بن عثمان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أبان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أبان بن تغلب</w:t>
      </w:r>
    </w:p>
    <w:p>
      <w:pPr>
        <w:pStyle w:val="BookText"/>
        <w:rPr/>
      </w:pPr>
      <w:r>
        <w:rPr>
          <w:rFonts w:ascii="IRNazanin" w:hAnsi="IRNazanin" w:eastAsia="IRNazanin"/>
          <w:color w:val="111111"/>
          <w:sz w:val="28"/>
          <w:sz w:val="28"/>
          <w:szCs w:val="28"/>
          <w:rtl w:val="true"/>
          <w:lang w:bidi="fa-IR"/>
        </w:rPr>
        <w:t xml:space="preserve">أبان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أبان بن عثمان</w:t>
      </w:r>
    </w:p>
    <w:p>
      <w:pPr>
        <w:pStyle w:val="BookText"/>
        <w:rPr/>
      </w:pPr>
      <w:r>
        <w:rPr>
          <w:rFonts w:ascii="Amiri" w:hAnsi="Amiri" w:eastAsia="Amiri" w:cs="Amiri"/>
          <w:color w:val="111111"/>
          <w:sz w:val="28"/>
          <w:sz w:val="28"/>
          <w:szCs w:val="28"/>
          <w:rtl w:val="true"/>
          <w:lang w:bidi="ar-SA"/>
        </w:rPr>
        <w:t xml:space="preserve">إبراهيم بن أبي البلاد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إبراهيم بن أبي محمود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إبراهيم بن عبدالحميد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ابن أبي العلاء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أبي العلاء</w:t>
      </w:r>
    </w:p>
    <w:p>
      <w:pPr>
        <w:pStyle w:val="BookText"/>
        <w:rPr/>
      </w:pPr>
      <w:r>
        <w:rPr>
          <w:rFonts w:ascii="Amiri" w:hAnsi="Amiri" w:eastAsia="Amiri" w:cs="Amiri"/>
          <w:color w:val="111111"/>
          <w:sz w:val="28"/>
          <w:sz w:val="28"/>
          <w:szCs w:val="28"/>
          <w:rtl w:val="true"/>
          <w:lang w:bidi="ar-SA"/>
        </w:rPr>
        <w:t xml:space="preserve">ابن أبي عمير، محمّد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379</w:t>
      </w:r>
    </w:p>
    <w:p>
      <w:pPr>
        <w:pStyle w:val="BookText"/>
        <w:rPr/>
      </w:pPr>
      <w:r>
        <w:rPr>
          <w:rFonts w:ascii="Amiri" w:hAnsi="Amiri" w:eastAsia="Amiri" w:cs="Amiri"/>
          <w:color w:val="111111"/>
          <w:sz w:val="28"/>
          <w:sz w:val="28"/>
          <w:szCs w:val="28"/>
          <w:rtl w:val="true"/>
          <w:lang w:bidi="ar-SA"/>
        </w:rPr>
        <w:t xml:space="preserve">ابن أبي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البزنطي، أحمد بن محمّد</w:t>
      </w:r>
    </w:p>
    <w:p>
      <w:pPr>
        <w:pStyle w:val="BookText"/>
        <w:rPr/>
      </w:pPr>
      <w:r>
        <w:rPr>
          <w:rFonts w:ascii="Amiri" w:hAnsi="Amiri" w:eastAsia="Amiri" w:cs="Amiri"/>
          <w:color w:val="111111"/>
          <w:sz w:val="28"/>
          <w:sz w:val="28"/>
          <w:szCs w:val="28"/>
          <w:rtl w:val="true"/>
          <w:lang w:bidi="ar-SA"/>
        </w:rPr>
        <w:t xml:space="preserve">ابن أبي هريرة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ابن أبي يعفور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أبي يعفور</w:t>
      </w:r>
    </w:p>
    <w:p>
      <w:pPr>
        <w:pStyle w:val="BookText"/>
        <w:rPr/>
      </w:pPr>
      <w:r>
        <w:rPr>
          <w:rFonts w:ascii="Amiri" w:hAnsi="Amiri" w:eastAsia="Amiri" w:cs="Amiri"/>
          <w:color w:val="111111"/>
          <w:sz w:val="28"/>
          <w:sz w:val="28"/>
          <w:szCs w:val="28"/>
          <w:rtl w:val="true"/>
          <w:lang w:bidi="ar-SA"/>
        </w:rPr>
        <w:t xml:space="preserve">ابن إدريس ، محمّد بن أحمد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386</w:t>
      </w:r>
    </w:p>
    <w:p>
      <w:pPr>
        <w:pStyle w:val="BookText"/>
        <w:rPr/>
      </w:pPr>
      <w:r>
        <w:rPr>
          <w:rFonts w:ascii="Amiri" w:hAnsi="Amiri" w:eastAsia="Amiri" w:cs="Amiri"/>
          <w:color w:val="111111"/>
          <w:sz w:val="28"/>
          <w:sz w:val="28"/>
          <w:szCs w:val="28"/>
          <w:rtl w:val="true"/>
          <w:lang w:bidi="ar-SA"/>
        </w:rPr>
        <w:t xml:space="preserve">ابن البرّاج، عبدالعزيز بن نحرير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ابن الجنيد الإسكافي، محمّد بن أحمد</w:t>
      </w:r>
    </w:p>
    <w:p>
      <w:pPr>
        <w:pStyle w:val="BookText"/>
        <w:rPr/>
      </w:pP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p>
    <w:p>
      <w:pPr>
        <w:pStyle w:val="BookText"/>
        <w:rPr/>
      </w:pPr>
      <w:r>
        <w:rPr>
          <w:rFonts w:ascii="Amiri" w:hAnsi="Amiri" w:eastAsia="Amiri" w:cs="Amiri"/>
          <w:color w:val="111111"/>
          <w:sz w:val="28"/>
          <w:sz w:val="28"/>
          <w:szCs w:val="28"/>
          <w:rtl w:val="true"/>
          <w:lang w:bidi="ar-SA"/>
        </w:rPr>
        <w:t>ابن الشهيد الثاني، الحسن بن زين الدين</w:t>
      </w:r>
    </w:p>
    <w:p>
      <w:pPr>
        <w:pStyle w:val="BookText"/>
        <w:rPr/>
      </w:pPr>
      <w:r>
        <w:rPr>
          <w:rFonts w:ascii="Amiri" w:hAnsi="Amiri" w:eastAsia="Amiri" w:cs="Amiri"/>
          <w:color w:val="111111"/>
          <w:sz w:val="28"/>
          <w:sz w:val="28"/>
          <w:szCs w:val="28"/>
          <w:rtl w:val="true"/>
          <w:lang w:bidi="ar-SA"/>
        </w:rPr>
        <w:t xml:space="preserve">بن علي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ابن المغيرة،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المغيرة</w:t>
      </w:r>
    </w:p>
    <w:p>
      <w:pPr>
        <w:pStyle w:val="BookText"/>
        <w:rPr/>
      </w:pPr>
      <w:r>
        <w:rPr>
          <w:rFonts w:ascii="Amiri" w:hAnsi="Amiri" w:eastAsia="Amiri" w:cs="Amiri"/>
          <w:color w:val="111111"/>
          <w:sz w:val="28"/>
          <w:sz w:val="28"/>
          <w:szCs w:val="28"/>
          <w:rtl w:val="true"/>
          <w:lang w:bidi="ar-SA"/>
        </w:rPr>
        <w:t xml:space="preserve">ابن بابويه، محمّد بن علي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299</w:t>
      </w:r>
    </w:p>
    <w:p>
      <w:pPr>
        <w:pStyle w:val="BookText"/>
        <w:rPr/>
      </w:pPr>
      <w:r>
        <w:rPr>
          <w:rFonts w:ascii="Amiri" w:hAnsi="Amiri" w:eastAsia="Amiri" w:cs="Amiri"/>
          <w:color w:val="111111"/>
          <w:sz w:val="28"/>
          <w:sz w:val="28"/>
          <w:szCs w:val="28"/>
          <w:rtl w:val="true"/>
          <w:lang w:bidi="ar-SA"/>
        </w:rPr>
        <w:t xml:space="preserve">ابن بزيع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بن بزيع</w:t>
      </w:r>
    </w:p>
    <w:p>
      <w:pPr>
        <w:pStyle w:val="BookText"/>
        <w:rPr/>
      </w:pPr>
      <w:r>
        <w:rPr>
          <w:rFonts w:ascii="Amiri" w:hAnsi="Amiri" w:eastAsia="Amiri" w:cs="Amiri"/>
          <w:color w:val="111111"/>
          <w:sz w:val="28"/>
          <w:sz w:val="28"/>
          <w:szCs w:val="28"/>
          <w:rtl w:val="true"/>
          <w:lang w:bidi="ar-SA"/>
        </w:rPr>
        <w:t xml:space="preserve">ابن بكير، عبداللّه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ابن حمزة، محمّد بن علي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ابن حنبل، أحمد بن محمّد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 xml:space="preserve">ابن زهرة، حمزة بن علي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p>
    <w:p>
      <w:pPr>
        <w:pStyle w:val="BookText"/>
        <w:rPr/>
      </w:pPr>
      <w:r>
        <w:rPr>
          <w:rFonts w:ascii="Amiri" w:hAnsi="Amiri" w:eastAsia="Amiri" w:cs="Amiri"/>
          <w:color w:val="111111"/>
          <w:sz w:val="28"/>
          <w:sz w:val="28"/>
          <w:szCs w:val="28"/>
          <w:rtl w:val="true"/>
          <w:lang w:bidi="ar-SA"/>
        </w:rPr>
        <w:t xml:space="preserve">ابن سعيد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سعيد، يحيى بن</w:t>
      </w:r>
    </w:p>
    <w:p>
      <w:pPr>
        <w:pStyle w:val="BookText"/>
        <w:rPr/>
      </w:pPr>
      <w:r>
        <w:rPr>
          <w:rFonts w:ascii="IRNazanin" w:hAnsi="IRNazanin" w:eastAsia="IRNazanin"/>
          <w:color w:val="111111"/>
          <w:sz w:val="28"/>
          <w:sz w:val="28"/>
          <w:szCs w:val="28"/>
          <w:rtl w:val="true"/>
          <w:lang w:bidi="fa-IR"/>
        </w:rPr>
        <w:t>أحمد</w:t>
      </w:r>
    </w:p>
    <w:p>
      <w:pPr>
        <w:pStyle w:val="BookText"/>
        <w:rPr/>
      </w:pPr>
      <w:r>
        <w:rPr>
          <w:rFonts w:ascii="Amiri" w:hAnsi="Amiri" w:eastAsia="Amiri" w:cs="Amiri"/>
          <w:color w:val="111111"/>
          <w:sz w:val="28"/>
          <w:sz w:val="28"/>
          <w:szCs w:val="28"/>
          <w:rtl w:val="true"/>
          <w:lang w:bidi="ar-SA"/>
        </w:rPr>
        <w:t xml:space="preserve">ابن سعيد، يحيى بن أحمد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347</w:t>
      </w:r>
    </w:p>
    <w:p>
      <w:pPr>
        <w:pStyle w:val="BookText"/>
        <w:rPr/>
      </w:pPr>
      <w:r>
        <w:rPr>
          <w:rFonts w:ascii="IRNazanin" w:hAnsi="IRNazanin" w:eastAsia="IRNazanin"/>
          <w:color w:val="111111"/>
          <w:sz w:val="28"/>
          <w:sz w:val="28"/>
          <w:szCs w:val="28"/>
          <w:rtl w:val="true"/>
          <w:lang w:bidi="fa-IR"/>
        </w:rPr>
        <w:t xml:space="preserve">ابن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w:t>
      </w:r>
    </w:p>
    <w:p>
      <w:pPr>
        <w:pStyle w:val="BookText"/>
        <w:rPr/>
      </w:pPr>
      <w:r>
        <w:rPr>
          <w:rFonts w:ascii="IRNazanin" w:hAnsi="IRNazanin" w:eastAsia="IRNazanin"/>
          <w:color w:val="111111"/>
          <w:sz w:val="28"/>
          <w:sz w:val="28"/>
          <w:szCs w:val="28"/>
          <w:rtl w:val="true"/>
          <w:lang w:bidi="fa-IR"/>
        </w:rPr>
        <w:t xml:space="preserve">ابن شاذان، الفضل بن شاذان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ابن عبد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بن عبد ربّه</w:t>
      </w:r>
    </w:p>
    <w:p>
      <w:pPr>
        <w:pStyle w:val="BookText"/>
        <w:rPr/>
      </w:pPr>
      <w:r>
        <w:rPr>
          <w:rFonts w:ascii="IRNazanin" w:hAnsi="IRNazanin" w:eastAsia="IRNazanin"/>
          <w:color w:val="111111"/>
          <w:sz w:val="28"/>
          <w:sz w:val="28"/>
          <w:szCs w:val="28"/>
          <w:rtl w:val="true"/>
          <w:lang w:bidi="fa-IR"/>
        </w:rPr>
        <w:t xml:space="preserve">ابن محبوب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محبوب</w:t>
      </w:r>
    </w:p>
    <w:p>
      <w:pPr>
        <w:pStyle w:val="BookText"/>
        <w:rPr/>
      </w:pPr>
      <w:r>
        <w:rPr>
          <w:rFonts w:ascii="IRNazanin" w:hAnsi="IRNazanin" w:eastAsia="IRNazanin"/>
          <w:color w:val="111111"/>
          <w:sz w:val="28"/>
          <w:sz w:val="28"/>
          <w:szCs w:val="28"/>
          <w:rtl w:val="true"/>
          <w:lang w:bidi="fa-IR"/>
        </w:rPr>
        <w:t xml:space="preserve">ابن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w:t>
      </w:r>
    </w:p>
    <w:p>
      <w:pPr>
        <w:pStyle w:val="BookText"/>
        <w:rPr/>
      </w:pPr>
      <w:r>
        <w:rPr>
          <w:rFonts w:ascii="Amiri" w:hAnsi="Amiri" w:eastAsia="Amiri" w:cs="Amiri"/>
          <w:color w:val="111111"/>
          <w:sz w:val="28"/>
          <w:sz w:val="28"/>
          <w:szCs w:val="28"/>
          <w:rtl w:val="true"/>
          <w:lang w:bidi="ar-SA"/>
        </w:rPr>
        <w:t xml:space="preserve">أبو اُسامة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الشحّام</w:t>
      </w:r>
    </w:p>
    <w:p>
      <w:pPr>
        <w:pStyle w:val="BookText"/>
        <w:rPr/>
      </w:pPr>
      <w:r>
        <w:rPr>
          <w:rFonts w:ascii="Amiri" w:hAnsi="Amiri" w:eastAsia="Amiri" w:cs="Amiri"/>
          <w:color w:val="111111"/>
          <w:sz w:val="28"/>
          <w:sz w:val="28"/>
          <w:szCs w:val="28"/>
          <w:rtl w:val="true"/>
          <w:lang w:bidi="ar-SA"/>
        </w:rPr>
        <w:t xml:space="preserve">أبو البختري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 xml:space="preserve">أبو الجارود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p>
    <w:p>
      <w:pPr>
        <w:pStyle w:val="BookText"/>
        <w:rPr/>
      </w:pPr>
      <w:r>
        <w:rPr>
          <w:rFonts w:ascii="Amiri" w:hAnsi="Amiri" w:eastAsia="Amiri" w:cs="Amiri"/>
          <w:color w:val="111111"/>
          <w:sz w:val="28"/>
          <w:sz w:val="28"/>
          <w:szCs w:val="28"/>
          <w:rtl w:val="true"/>
          <w:lang w:bidi="ar-SA"/>
        </w:rPr>
        <w:t xml:space="preserve">أبو الصلاح الحلبي، التقي بن نجم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أبو العبّاس 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بن</w:t>
      </w:r>
    </w:p>
    <w:p>
      <w:pPr>
        <w:pStyle w:val="BookText"/>
        <w:rPr/>
      </w:pPr>
      <w:r>
        <w:rPr>
          <w:rFonts w:ascii="Amiri" w:hAnsi="Amiri" w:eastAsia="Amiri" w:cs="Amiri"/>
          <w:color w:val="111111"/>
          <w:sz w:val="28"/>
          <w:sz w:val="28"/>
          <w:szCs w:val="28"/>
          <w:rtl w:val="true"/>
          <w:lang w:bidi="ar-SA"/>
        </w:rPr>
        <w:t>عبدالملك البقباق</w:t>
      </w:r>
    </w:p>
    <w:p>
      <w:pPr>
        <w:pStyle w:val="BookText"/>
        <w:rPr/>
      </w:pPr>
      <w:r>
        <w:rPr>
          <w:rFonts w:ascii="Amiri" w:hAnsi="Amiri" w:eastAsia="Amiri" w:cs="Amiri"/>
          <w:color w:val="111111"/>
          <w:sz w:val="28"/>
          <w:sz w:val="28"/>
          <w:szCs w:val="28"/>
          <w:rtl w:val="true"/>
          <w:lang w:bidi="ar-SA"/>
        </w:rPr>
        <w:t xml:space="preserve">أبو اُمامة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أبو بصير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p>
    <w:p>
      <w:pPr>
        <w:pStyle w:val="BookText"/>
        <w:rPr/>
      </w:pPr>
      <w:r>
        <w:rPr>
          <w:rFonts w:ascii="Amiri" w:hAnsi="Amiri" w:eastAsia="Amiri" w:cs="Amiri"/>
          <w:color w:val="111111"/>
          <w:sz w:val="28"/>
          <w:sz w:val="28"/>
          <w:szCs w:val="28"/>
          <w:rtl w:val="true"/>
          <w:lang w:bidi="ar-SA"/>
        </w:rPr>
        <w:t xml:space="preserve">أبو بصير، ليث المرادي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أبوبكر، عبداللّه بن أبي قحافة</w:t>
      </w:r>
    </w:p>
    <w:p>
      <w:pPr>
        <w:pStyle w:val="BookText"/>
        <w:rPr/>
      </w:pPr>
      <w:r>
        <w:rPr>
          <w:rFonts w:ascii="Amiri" w:hAnsi="Amiri" w:eastAsia="Amiri" w:cs="Amiri"/>
          <w:color w:val="111111"/>
          <w:sz w:val="28"/>
          <w:sz w:val="28"/>
          <w:szCs w:val="28"/>
          <w:rtl w:val="true"/>
          <w:lang w:bidi="ar-SA"/>
        </w:rPr>
        <w:t xml:space="preserve">أبو بكر، عبداللّه بن أبي قحافة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 xml:space="preserve">أبو حفص </w:t>
      </w:r>
      <w:r>
        <w:rPr>
          <w:rFonts w:eastAsia="IRNazanin" w:cs="IRNazanin"/>
          <w:color w:val="111111"/>
          <w:sz w:val="28"/>
          <w:szCs w:val="28"/>
          <w:lang w:bidi="fa-IR"/>
        </w:rPr>
        <w:t>318</w:t>
      </w:r>
    </w:p>
    <w:p>
      <w:pPr>
        <w:pStyle w:val="BookText"/>
        <w:rPr/>
      </w:pPr>
      <w:r>
        <w:rPr>
          <w:rFonts w:ascii="Amiri" w:hAnsi="Amiri" w:eastAsia="Amiri" w:cs="Amiri"/>
          <w:color w:val="111111"/>
          <w:sz w:val="28"/>
          <w:sz w:val="28"/>
          <w:szCs w:val="28"/>
          <w:rtl w:val="true"/>
          <w:lang w:bidi="ar-SA"/>
        </w:rPr>
        <w:t xml:space="preserve">أبو حمزة الثمالي، ثابت بن دينار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 xml:space="preserve">أبو حنيفة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p>
    <w:p>
      <w:pPr>
        <w:pStyle w:val="BookText"/>
        <w:rPr/>
      </w:pPr>
      <w:r>
        <w:rPr>
          <w:rFonts w:ascii="Amiri" w:hAnsi="Amiri" w:eastAsia="Amiri" w:cs="Amiri"/>
          <w:color w:val="111111"/>
          <w:sz w:val="28"/>
          <w:sz w:val="28"/>
          <w:szCs w:val="28"/>
          <w:rtl w:val="true"/>
          <w:lang w:bidi="ar-SA"/>
        </w:rPr>
        <w:t xml:space="preserve">أبو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محمّد بن خالد</w:t>
      </w:r>
    </w:p>
    <w:p>
      <w:pPr>
        <w:pStyle w:val="BookText"/>
        <w:rPr/>
      </w:pPr>
      <w:r>
        <w:rPr>
          <w:rFonts w:ascii="Amiri" w:hAnsi="Amiri" w:eastAsia="Amiri" w:cs="Amiri"/>
          <w:color w:val="111111"/>
          <w:sz w:val="28"/>
          <w:sz w:val="28"/>
          <w:szCs w:val="28"/>
          <w:rtl w:val="true"/>
          <w:lang w:bidi="ar-SA"/>
        </w:rPr>
        <w:t xml:space="preserve">أبو هريرة، عبداللّه بن عامر </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 xml:space="preserve">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حنبل، أحمد بن</w:t>
      </w:r>
    </w:p>
    <w:p>
      <w:pPr>
        <w:pStyle w:val="BookText"/>
        <w:rPr/>
      </w:pPr>
      <w:r>
        <w:rPr>
          <w:rFonts w:ascii="Amiri" w:hAnsi="Amiri" w:eastAsia="Amiri" w:cs="Amiri"/>
          <w:color w:val="111111"/>
          <w:sz w:val="28"/>
          <w:sz w:val="28"/>
          <w:szCs w:val="28"/>
          <w:rtl w:val="true"/>
          <w:lang w:bidi="ar-SA"/>
        </w:rPr>
        <w:t>محمّد</w:t>
      </w:r>
    </w:p>
    <w:p>
      <w:pPr>
        <w:pStyle w:val="BookText"/>
        <w:rPr/>
      </w:pPr>
      <w:r>
        <w:rPr>
          <w:rFonts w:ascii="Amiri" w:hAnsi="Amiri" w:eastAsia="Amiri" w:cs="Amiri"/>
          <w:color w:val="111111"/>
          <w:sz w:val="28"/>
          <w:sz w:val="28"/>
          <w:szCs w:val="28"/>
          <w:rtl w:val="true"/>
          <w:lang w:bidi="ar-SA"/>
        </w:rPr>
        <w:t xml:space="preserve">أحمد بن محمّد بن أبي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البزنطي،</w:t>
      </w:r>
    </w:p>
    <w:p>
      <w:pPr>
        <w:pStyle w:val="BookText"/>
        <w:rPr/>
      </w:pPr>
      <w:r>
        <w:rPr>
          <w:rFonts w:ascii="IRNazanin" w:hAnsi="IRNazanin" w:eastAsia="IRNazanin"/>
          <w:color w:val="111111"/>
          <w:sz w:val="28"/>
          <w:sz w:val="28"/>
          <w:szCs w:val="28"/>
          <w:rtl w:val="true"/>
          <w:lang w:bidi="fa-IR"/>
        </w:rPr>
        <w:t>أحمد بن محمّد</w:t>
      </w:r>
    </w:p>
    <w:p>
      <w:pPr>
        <w:pStyle w:val="BookText"/>
        <w:rPr/>
      </w:pPr>
      <w:r>
        <w:rPr>
          <w:rFonts w:ascii="Amiri" w:hAnsi="Amiri" w:eastAsia="Amiri" w:cs="Amiri"/>
          <w:color w:val="111111"/>
          <w:sz w:val="28"/>
          <w:sz w:val="28"/>
          <w:szCs w:val="28"/>
          <w:rtl w:val="true"/>
          <w:lang w:bidi="ar-SA"/>
        </w:rPr>
        <w:t xml:space="preserve">أحمد بن محمّد بن عيسى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أحمد بن محمّد بن يحيى </w:t>
      </w:r>
      <w:r>
        <w:rPr>
          <w:rFonts w:eastAsia="Amiri" w:cs="Amiri" w:ascii="Amiri" w:hAnsi="Amiri"/>
          <w:color w:val="111111"/>
          <w:sz w:val="28"/>
          <w:szCs w:val="28"/>
          <w:lang w:bidi="ar-SA"/>
        </w:rPr>
        <w:t>336</w:t>
      </w:r>
    </w:p>
    <w:p>
      <w:pPr>
        <w:pStyle w:val="BookText"/>
        <w:rPr/>
      </w:pPr>
      <w:r>
        <w:rPr>
          <w:rFonts w:ascii="IRNazanin" w:hAnsi="IRNazanin" w:eastAsia="IRNazanin"/>
          <w:color w:val="111111"/>
          <w:sz w:val="28"/>
          <w:sz w:val="28"/>
          <w:szCs w:val="28"/>
          <w:rtl w:val="true"/>
          <w:lang w:bidi="fa-IR"/>
        </w:rPr>
        <w:t xml:space="preserve">الأحول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p>
    <w:p>
      <w:pPr>
        <w:pStyle w:val="BookText"/>
        <w:rPr/>
      </w:pPr>
      <w:r>
        <w:rPr>
          <w:rFonts w:ascii="Amiri" w:hAnsi="Amiri" w:eastAsia="Amiri" w:cs="Amiri"/>
          <w:color w:val="111111"/>
          <w:sz w:val="28"/>
          <w:sz w:val="28"/>
          <w:szCs w:val="28"/>
          <w:rtl w:val="true"/>
          <w:lang w:bidi="ar-SA"/>
        </w:rPr>
        <w:t xml:space="preserve">الأردبيلي، أحمد بن محمّد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 xml:space="preserve">الاُستاذ الآقا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البهبهاني، محمّد باقر بن</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أكمل </w:t>
      </w:r>
    </w:p>
    <w:p>
      <w:pPr>
        <w:pStyle w:val="BookText"/>
        <w:rPr/>
      </w:pPr>
      <w:r>
        <w:rPr>
          <w:rFonts w:ascii="Amiri" w:hAnsi="Amiri" w:eastAsia="Amiri" w:cs="Amiri"/>
          <w:color w:val="111111"/>
          <w:sz w:val="28"/>
          <w:sz w:val="28"/>
          <w:szCs w:val="28"/>
          <w:rtl w:val="true"/>
          <w:lang w:bidi="ar-SA"/>
        </w:rPr>
        <w:t xml:space="preserve">الاُستاذ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البهبهاني، محمّد باقر</w:t>
      </w:r>
    </w:p>
    <w:p>
      <w:pPr>
        <w:pStyle w:val="BookText"/>
        <w:rPr/>
      </w:pPr>
      <w:r>
        <w:rPr>
          <w:rFonts w:ascii="Amiri" w:hAnsi="Amiri" w:eastAsia="Amiri" w:cs="Amiri"/>
          <w:color w:val="111111"/>
          <w:sz w:val="28"/>
          <w:sz w:val="28"/>
          <w:szCs w:val="28"/>
          <w:rtl w:val="true"/>
          <w:lang w:bidi="ar-SA"/>
        </w:rPr>
        <w:t>بن محمّد أكمل</w:t>
      </w:r>
    </w:p>
    <w:p>
      <w:pPr>
        <w:pStyle w:val="BookText"/>
        <w:rPr/>
      </w:pPr>
      <w:r>
        <w:rPr>
          <w:rFonts w:ascii="Amiri" w:hAnsi="Amiri" w:eastAsia="Amiri" w:cs="Amiri"/>
          <w:color w:val="111111"/>
          <w:sz w:val="28"/>
          <w:sz w:val="28"/>
          <w:szCs w:val="28"/>
          <w:rtl w:val="true"/>
          <w:lang w:bidi="ar-SA"/>
        </w:rPr>
        <w:t xml:space="preserve">الاُستاذ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البهبهاني، محمّد باقر بن</w:t>
      </w:r>
    </w:p>
    <w:p>
      <w:pPr>
        <w:pStyle w:val="BookText"/>
        <w:rPr/>
      </w:pPr>
      <w:r>
        <w:rPr>
          <w:rFonts w:ascii="Amiri" w:hAnsi="Amiri" w:eastAsia="Amiri" w:cs="Amiri"/>
          <w:color w:val="111111"/>
          <w:sz w:val="28"/>
          <w:sz w:val="28"/>
          <w:szCs w:val="28"/>
          <w:rtl w:val="true"/>
          <w:lang w:bidi="ar-SA"/>
        </w:rPr>
        <w:t>محمّد أكمل</w:t>
      </w:r>
    </w:p>
    <w:p>
      <w:pPr>
        <w:pStyle w:val="BookText"/>
        <w:rPr/>
      </w:pPr>
      <w:r>
        <w:rPr>
          <w:rFonts w:ascii="Amiri" w:hAnsi="Amiri" w:eastAsia="Amiri" w:cs="Amiri"/>
          <w:color w:val="111111"/>
          <w:sz w:val="28"/>
          <w:sz w:val="28"/>
          <w:szCs w:val="28"/>
          <w:rtl w:val="true"/>
          <w:lang w:bidi="ar-SA"/>
        </w:rPr>
        <w:t xml:space="preserve">الاُستاذ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كاشف الغطاء، جعفر بن خضر</w:t>
      </w:r>
    </w:p>
    <w:p>
      <w:pPr>
        <w:pStyle w:val="BookText"/>
        <w:rPr/>
      </w:pPr>
      <w:r>
        <w:rPr>
          <w:rFonts w:ascii="IRNazanin" w:hAnsi="IRNazanin" w:eastAsia="IRNazanin"/>
          <w:color w:val="111111"/>
          <w:sz w:val="28"/>
          <w:sz w:val="28"/>
          <w:szCs w:val="28"/>
          <w:rtl w:val="true"/>
          <w:lang w:bidi="fa-IR"/>
        </w:rPr>
        <w:t xml:space="preserve">إسحاق بن عمّار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 xml:space="preserve">الإسكافي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الجنيد الإسكافي،</w:t>
      </w:r>
    </w:p>
    <w:p>
      <w:pPr>
        <w:pStyle w:val="BookText"/>
        <w:rPr/>
      </w:pPr>
      <w:r>
        <w:rPr>
          <w:rFonts w:ascii="IRNazanin" w:hAnsi="IRNazanin" w:eastAsia="IRNazanin"/>
          <w:color w:val="111111"/>
          <w:sz w:val="28"/>
          <w:sz w:val="28"/>
          <w:szCs w:val="28"/>
          <w:rtl w:val="true"/>
          <w:lang w:bidi="fa-IR"/>
        </w:rPr>
        <w:t>محمّد بن أحمد</w:t>
      </w:r>
    </w:p>
    <w:p>
      <w:pPr>
        <w:pStyle w:val="BookText"/>
        <w:rPr/>
      </w:pPr>
      <w:r>
        <w:rPr>
          <w:rFonts w:ascii="Amiri" w:hAnsi="Amiri" w:eastAsia="Amiri" w:cs="Amiri"/>
          <w:color w:val="111111"/>
          <w:sz w:val="28"/>
          <w:sz w:val="28"/>
          <w:szCs w:val="28"/>
          <w:rtl w:val="true"/>
          <w:lang w:bidi="ar-SA"/>
        </w:rPr>
        <w:t xml:space="preserve">إسماعيل بن عيسى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261</w:t>
      </w:r>
    </w:p>
    <w:p>
      <w:pPr>
        <w:pStyle w:val="BookText"/>
        <w:rPr/>
      </w:pPr>
      <w:r>
        <w:rPr>
          <w:rFonts w:ascii="Amiri" w:hAnsi="Amiri" w:eastAsia="Amiri" w:cs="Amiri"/>
          <w:color w:val="111111"/>
          <w:sz w:val="28"/>
          <w:sz w:val="28"/>
          <w:szCs w:val="28"/>
          <w:rtl w:val="true"/>
          <w:lang w:bidi="ar-SA"/>
        </w:rPr>
        <w:t xml:space="preserve">الأشعري، محمّد بن أحمد بن يحيى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الأشعري، محمّد بن الحسين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الأنصاري، مرتضى بن محمّد أمين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p>
    <w:p>
      <w:pPr>
        <w:pStyle w:val="BookText"/>
        <w:rPr/>
      </w:pPr>
      <w:r>
        <w:rPr>
          <w:rFonts w:ascii="Amiri" w:hAnsi="Amiri" w:eastAsia="Amiri" w:cs="Amiri"/>
          <w:color w:val="111111"/>
          <w:sz w:val="28"/>
          <w:sz w:val="28"/>
          <w:szCs w:val="28"/>
          <w:rtl w:val="true"/>
          <w:lang w:bidi="ar-SA"/>
        </w:rPr>
        <w:t>الأوزاعي، عبدالرحمان بن عمرو بن</w:t>
      </w:r>
    </w:p>
    <w:p>
      <w:pPr>
        <w:pStyle w:val="BookText"/>
        <w:rPr/>
      </w:pPr>
      <w:r>
        <w:rPr>
          <w:rFonts w:ascii="Amiri" w:hAnsi="Amiri" w:eastAsia="Amiri" w:cs="Amiri"/>
          <w:color w:val="111111"/>
          <w:sz w:val="28"/>
          <w:sz w:val="28"/>
          <w:szCs w:val="28"/>
          <w:rtl w:val="true"/>
          <w:lang w:bidi="ar-SA"/>
        </w:rPr>
        <w:t xml:space="preserve">يُحمد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الأهوازي، الحسين بن سعيد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البحراني، يوسف بن أحمد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p>
    <w:p>
      <w:pPr>
        <w:pStyle w:val="BookText"/>
        <w:rPr/>
      </w:pPr>
      <w:r>
        <w:rPr>
          <w:rFonts w:ascii="Amiri" w:hAnsi="Amiri" w:eastAsia="Amiri" w:cs="Amiri"/>
          <w:color w:val="111111"/>
          <w:sz w:val="28"/>
          <w:sz w:val="28"/>
          <w:szCs w:val="28"/>
          <w:rtl w:val="true"/>
          <w:lang w:bidi="ar-SA"/>
        </w:rPr>
        <w:t xml:space="preserve">البرقي، محمّد بن خالد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بريد بن معاوية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بريد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بريد بن معاوية</w:t>
      </w:r>
    </w:p>
    <w:p>
      <w:pPr>
        <w:pStyle w:val="BookText"/>
        <w:rPr/>
      </w:pPr>
      <w:r>
        <w:rPr>
          <w:rFonts w:ascii="Amiri" w:hAnsi="Amiri" w:eastAsia="Amiri" w:cs="Amiri"/>
          <w:color w:val="111111"/>
          <w:sz w:val="28"/>
          <w:sz w:val="28"/>
          <w:szCs w:val="28"/>
          <w:rtl w:val="true"/>
          <w:lang w:bidi="ar-SA"/>
        </w:rPr>
        <w:t xml:space="preserve">البزنطي، أحمد بن محمّد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p>
    <w:p>
      <w:pPr>
        <w:pStyle w:val="BookText"/>
        <w:rPr/>
      </w:pPr>
      <w:r>
        <w:rPr>
          <w:rFonts w:ascii="Amiri" w:hAnsi="Amiri" w:eastAsia="Amiri" w:cs="Amiri"/>
          <w:color w:val="111111"/>
          <w:sz w:val="28"/>
          <w:sz w:val="28"/>
          <w:szCs w:val="28"/>
          <w:rtl w:val="true"/>
          <w:lang w:bidi="ar-SA"/>
        </w:rPr>
        <w:t xml:space="preserve">البطائني، علي بن أبي حمزة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249</w:t>
      </w:r>
    </w:p>
    <w:p>
      <w:pPr>
        <w:pStyle w:val="BookText"/>
        <w:rPr/>
      </w:pPr>
      <w:r>
        <w:rPr>
          <w:rFonts w:ascii="Amiri" w:hAnsi="Amiri" w:eastAsia="Amiri" w:cs="Amiri"/>
          <w:color w:val="111111"/>
          <w:sz w:val="28"/>
          <w:sz w:val="28"/>
          <w:szCs w:val="28"/>
          <w:rtl w:val="true"/>
          <w:lang w:bidi="ar-SA"/>
        </w:rPr>
        <w:t xml:space="preserve">بعض أهل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الهمداني، رضا بن</w:t>
      </w:r>
    </w:p>
    <w:p>
      <w:pPr>
        <w:pStyle w:val="BookText"/>
        <w:rPr/>
      </w:pPr>
      <w:r>
        <w:rPr>
          <w:rFonts w:ascii="Amiri" w:hAnsi="Amiri" w:eastAsia="Amiri" w:cs="Amiri"/>
          <w:color w:val="111111"/>
          <w:sz w:val="28"/>
          <w:sz w:val="28"/>
          <w:szCs w:val="28"/>
          <w:rtl w:val="true"/>
          <w:lang w:bidi="ar-SA"/>
        </w:rPr>
        <w:t>محمّد هادي</w:t>
      </w:r>
    </w:p>
    <w:p>
      <w:pPr>
        <w:pStyle w:val="BookText"/>
        <w:rPr/>
      </w:pPr>
      <w:r>
        <w:rPr>
          <w:rFonts w:ascii="Amiri" w:hAnsi="Amiri" w:eastAsia="Amiri" w:cs="Amiri"/>
          <w:color w:val="111111"/>
          <w:sz w:val="28"/>
          <w:sz w:val="28"/>
          <w:szCs w:val="28"/>
          <w:rtl w:val="true"/>
          <w:lang w:bidi="ar-SA"/>
        </w:rPr>
        <w:t xml:space="preserve">بعض أهل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الهمداني، رضا بن</w:t>
      </w:r>
    </w:p>
    <w:p>
      <w:pPr>
        <w:pStyle w:val="BookText"/>
        <w:rPr/>
      </w:pPr>
      <w:r>
        <w:rPr>
          <w:rFonts w:ascii="Amiri" w:hAnsi="Amiri" w:eastAsia="Amiri" w:cs="Amiri"/>
          <w:color w:val="111111"/>
          <w:sz w:val="28"/>
          <w:sz w:val="28"/>
          <w:szCs w:val="28"/>
          <w:rtl w:val="true"/>
          <w:lang w:bidi="ar-SA"/>
        </w:rPr>
        <w:t>محمّد هادي</w:t>
      </w:r>
    </w:p>
    <w:p>
      <w:pPr>
        <w:pStyle w:val="BookText"/>
        <w:rPr/>
      </w:pPr>
      <w:r>
        <w:rPr>
          <w:rFonts w:ascii="Amiri" w:hAnsi="Amiri" w:eastAsia="Amiri" w:cs="Amiri"/>
          <w:color w:val="111111"/>
          <w:sz w:val="28"/>
          <w:sz w:val="28"/>
          <w:szCs w:val="28"/>
          <w:rtl w:val="true"/>
          <w:lang w:bidi="ar-SA"/>
        </w:rPr>
        <w:t xml:space="preserve">البقباق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عبدالملك البقباق</w:t>
      </w:r>
    </w:p>
    <w:p>
      <w:pPr>
        <w:pStyle w:val="BookText"/>
        <w:rPr/>
      </w:pPr>
      <w:r>
        <w:rPr>
          <w:rFonts w:ascii="Amiri" w:hAnsi="Amiri" w:eastAsia="Amiri" w:cs="Amiri"/>
          <w:color w:val="111111"/>
          <w:sz w:val="28"/>
          <w:sz w:val="28"/>
          <w:szCs w:val="28"/>
          <w:rtl w:val="true"/>
          <w:lang w:bidi="ar-SA"/>
        </w:rPr>
        <w:t xml:space="preserve">بكّار بن أبي بكر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بكر بن حبيب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البهائي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البهائي، محمّد بن</w:t>
      </w:r>
    </w:p>
    <w:p>
      <w:pPr>
        <w:pStyle w:val="BookText"/>
        <w:rPr/>
      </w:pPr>
      <w:r>
        <w:rPr>
          <w:rFonts w:ascii="Amiri" w:hAnsi="Amiri" w:eastAsia="Amiri" w:cs="Amiri"/>
          <w:color w:val="111111"/>
          <w:sz w:val="28"/>
          <w:sz w:val="28"/>
          <w:szCs w:val="28"/>
          <w:rtl w:val="true"/>
          <w:lang w:bidi="ar-SA"/>
        </w:rPr>
        <w:t>الحسين</w:t>
      </w:r>
    </w:p>
    <w:p>
      <w:pPr>
        <w:pStyle w:val="BookText"/>
        <w:rPr/>
      </w:pPr>
      <w:r>
        <w:rPr>
          <w:rFonts w:ascii="Amiri" w:hAnsi="Amiri" w:eastAsia="Amiri" w:cs="Amiri"/>
          <w:color w:val="111111"/>
          <w:sz w:val="28"/>
          <w:sz w:val="28"/>
          <w:szCs w:val="28"/>
          <w:rtl w:val="true"/>
          <w:lang w:bidi="ar-SA"/>
        </w:rPr>
        <w:t xml:space="preserve">البهبهاني، محمّد باقر بن محمّد أكمل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 xml:space="preserve">ثعلبة بن ميمون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الثمالي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حمزة الثمالي، ثابت بن</w:t>
      </w:r>
    </w:p>
    <w:p>
      <w:pPr>
        <w:pStyle w:val="BookText"/>
        <w:rPr/>
      </w:pPr>
      <w:r>
        <w:rPr>
          <w:rFonts w:ascii="Amiri" w:hAnsi="Amiri" w:eastAsia="Amiri" w:cs="Amiri"/>
          <w:color w:val="111111"/>
          <w:sz w:val="28"/>
          <w:sz w:val="28"/>
          <w:szCs w:val="28"/>
          <w:rtl w:val="true"/>
          <w:lang w:bidi="ar-SA"/>
        </w:rPr>
        <w:t>دينار</w:t>
      </w:r>
    </w:p>
    <w:p>
      <w:pPr>
        <w:pStyle w:val="BookText"/>
        <w:rPr/>
      </w:pPr>
      <w:r>
        <w:rPr>
          <w:rFonts w:ascii="Amiri" w:hAnsi="Amiri" w:eastAsia="Amiri" w:cs="Amiri"/>
          <w:color w:val="111111"/>
          <w:sz w:val="28"/>
          <w:sz w:val="28"/>
          <w:szCs w:val="28"/>
          <w:rtl w:val="true"/>
          <w:lang w:bidi="ar-SA"/>
        </w:rPr>
        <w:t xml:space="preserve">الجريري، وهب بن حفص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جعفر بن محمّد بن يونس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الجعفي، إسماعيل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w:t>
      </w:r>
    </w:p>
    <w:p>
      <w:pPr>
        <w:pStyle w:val="BookText"/>
        <w:rPr/>
      </w:pPr>
      <w:r>
        <w:rPr>
          <w:rFonts w:ascii="Amiri" w:hAnsi="Amiri" w:eastAsia="Amiri" w:cs="Amiri"/>
          <w:color w:val="111111"/>
          <w:sz w:val="28"/>
          <w:sz w:val="28"/>
          <w:szCs w:val="28"/>
          <w:rtl w:val="true"/>
          <w:lang w:bidi="ar-SA"/>
        </w:rPr>
        <w:t xml:space="preserve">جميل بن درّاج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جميل بن درّاج</w:t>
      </w:r>
    </w:p>
    <w:p>
      <w:pPr>
        <w:pStyle w:val="BookText"/>
        <w:rPr/>
      </w:pPr>
      <w:r>
        <w:rPr>
          <w:rFonts w:ascii="Amiri" w:hAnsi="Amiri" w:eastAsia="Amiri" w:cs="Amiri"/>
          <w:color w:val="111111"/>
          <w:sz w:val="28"/>
          <w:sz w:val="28"/>
          <w:szCs w:val="28"/>
          <w:rtl w:val="true"/>
          <w:lang w:bidi="ar-SA"/>
        </w:rPr>
        <w:t xml:space="preserve">حديد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حديد بن حكيم</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الأزدي </w:t>
      </w:r>
    </w:p>
    <w:p>
      <w:pPr>
        <w:pStyle w:val="BookText"/>
        <w:rPr/>
      </w:pPr>
      <w:r>
        <w:rPr>
          <w:rFonts w:ascii="Amiri" w:hAnsi="Amiri" w:eastAsia="Amiri" w:cs="Amiri"/>
          <w:color w:val="111111"/>
          <w:sz w:val="28"/>
          <w:sz w:val="28"/>
          <w:szCs w:val="28"/>
          <w:rtl w:val="true"/>
          <w:lang w:bidi="ar-SA"/>
        </w:rPr>
        <w:t xml:space="preserve">حديد بن حكيم الأزدي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الحذّاء، زياد بن عيسى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الحرّ العاملي، محمّد بن الحسن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حريز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السجستاني، حريز بن عبداللّه</w:t>
      </w:r>
    </w:p>
    <w:p>
      <w:pPr>
        <w:pStyle w:val="BookText"/>
        <w:rPr/>
      </w:pPr>
      <w:r>
        <w:rPr>
          <w:rFonts w:ascii="IRNazanin" w:hAnsi="IRNazanin" w:eastAsia="IRNazanin"/>
          <w:color w:val="111111"/>
          <w:sz w:val="28"/>
          <w:sz w:val="28"/>
          <w:szCs w:val="28"/>
          <w:rtl w:val="true"/>
          <w:lang w:bidi="fa-IR"/>
        </w:rPr>
        <w:t xml:space="preserve">الحسن بن الجهم </w:t>
      </w:r>
      <w:r>
        <w:rPr>
          <w:rFonts w:eastAsia="IRNazanin" w:cs="IRNazanin"/>
          <w:color w:val="111111"/>
          <w:sz w:val="28"/>
          <w:szCs w:val="28"/>
          <w:lang w:bidi="fa-IR"/>
        </w:rPr>
        <w:t>250</w:t>
      </w:r>
    </w:p>
    <w:p>
      <w:pPr>
        <w:pStyle w:val="BookText"/>
        <w:rPr/>
      </w:pPr>
      <w:r>
        <w:rPr>
          <w:rFonts w:ascii="Amiri" w:hAnsi="Amiri" w:eastAsia="Amiri" w:cs="Amiri"/>
          <w:color w:val="111111"/>
          <w:sz w:val="28"/>
          <w:sz w:val="28"/>
          <w:szCs w:val="28"/>
          <w:rtl w:val="true"/>
          <w:lang w:bidi="ar-SA"/>
        </w:rPr>
        <w:t xml:space="preserve">الحسن بن صالح بن حيّ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الحسن بن علي بن عبداللّه </w:t>
      </w:r>
      <w:r>
        <w:rPr>
          <w:rFonts w:eastAsia="Amiri" w:cs="Amiri" w:ascii="Amiri" w:hAnsi="Amiri"/>
          <w:color w:val="111111"/>
          <w:sz w:val="28"/>
          <w:szCs w:val="28"/>
          <w:lang w:bidi="ar-SA"/>
        </w:rPr>
        <w:t>297</w:t>
      </w:r>
    </w:p>
    <w:p>
      <w:pPr>
        <w:pStyle w:val="BookText"/>
        <w:rPr/>
      </w:pPr>
      <w:r>
        <w:rPr>
          <w:rFonts w:ascii="IRNazanin" w:hAnsi="IRNazanin" w:eastAsia="IRNazanin"/>
          <w:color w:val="111111"/>
          <w:sz w:val="28"/>
          <w:sz w:val="28"/>
          <w:szCs w:val="28"/>
          <w:rtl w:val="true"/>
          <w:lang w:bidi="fa-IR"/>
        </w:rPr>
        <w:t xml:space="preserve">الحسن بن محبوب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السرّاد، الحسن بن</w:t>
      </w:r>
    </w:p>
    <w:p>
      <w:pPr>
        <w:pStyle w:val="BookText"/>
        <w:rPr/>
      </w:pPr>
      <w:r>
        <w:rPr>
          <w:rFonts w:ascii="IRNazanin" w:hAnsi="IRNazanin" w:eastAsia="IRNazanin"/>
          <w:color w:val="111111"/>
          <w:sz w:val="28"/>
          <w:sz w:val="28"/>
          <w:szCs w:val="28"/>
          <w:rtl w:val="true"/>
          <w:lang w:bidi="fa-IR"/>
        </w:rPr>
        <w:t>محبوب</w:t>
      </w:r>
    </w:p>
    <w:p>
      <w:pPr>
        <w:pStyle w:val="BookText"/>
        <w:rPr/>
      </w:pPr>
      <w:r>
        <w:rPr>
          <w:rFonts w:ascii="Amiri" w:hAnsi="Amiri" w:eastAsia="Amiri" w:cs="Amiri"/>
          <w:color w:val="111111"/>
          <w:sz w:val="28"/>
          <w:sz w:val="28"/>
          <w:szCs w:val="28"/>
          <w:rtl w:val="true"/>
          <w:lang w:bidi="ar-SA"/>
        </w:rPr>
        <w:t xml:space="preserve">الحسين بن أبي العلاء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 xml:space="preserve">الحسين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الأهوازي، الحسين</w:t>
      </w:r>
    </w:p>
    <w:p>
      <w:pPr>
        <w:pStyle w:val="BookText"/>
        <w:rPr/>
      </w:pPr>
      <w:r>
        <w:rPr>
          <w:rFonts w:ascii="Amiri" w:hAnsi="Amiri" w:eastAsia="Amiri" w:cs="Amiri"/>
          <w:color w:val="111111"/>
          <w:sz w:val="28"/>
          <w:sz w:val="28"/>
          <w:szCs w:val="28"/>
          <w:rtl w:val="true"/>
          <w:lang w:bidi="ar-SA"/>
        </w:rPr>
        <w:t>بن سعيد</w:t>
      </w:r>
    </w:p>
    <w:p>
      <w:pPr>
        <w:pStyle w:val="BookText"/>
        <w:rPr/>
      </w:pPr>
      <w:r>
        <w:rPr>
          <w:rFonts w:ascii="Amiri" w:hAnsi="Amiri" w:eastAsia="Amiri" w:cs="Amiri"/>
          <w:color w:val="111111"/>
          <w:sz w:val="28"/>
          <w:sz w:val="28"/>
          <w:szCs w:val="28"/>
          <w:rtl w:val="true"/>
          <w:lang w:bidi="ar-SA"/>
        </w:rPr>
        <w:t xml:space="preserve">الحضرمي، أبو بكر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p>
    <w:p>
      <w:pPr>
        <w:pStyle w:val="BookText"/>
        <w:rPr/>
      </w:pPr>
      <w:r>
        <w:rPr>
          <w:rFonts w:ascii="Amiri" w:hAnsi="Amiri" w:eastAsia="Amiri" w:cs="Amiri"/>
          <w:color w:val="111111"/>
          <w:sz w:val="28"/>
          <w:sz w:val="28"/>
          <w:szCs w:val="28"/>
          <w:rtl w:val="true"/>
          <w:lang w:bidi="ar-SA"/>
        </w:rPr>
        <w:t xml:space="preserve">حفص بن أبي عيسى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p>
    <w:p>
      <w:pPr>
        <w:pStyle w:val="BookText"/>
        <w:rPr/>
      </w:pPr>
      <w:r>
        <w:rPr>
          <w:rFonts w:ascii="Amiri" w:hAnsi="Amiri" w:eastAsia="Amiri" w:cs="Amiri"/>
          <w:color w:val="111111"/>
          <w:sz w:val="28"/>
          <w:sz w:val="28"/>
          <w:szCs w:val="28"/>
          <w:rtl w:val="true"/>
          <w:lang w:bidi="ar-SA"/>
        </w:rPr>
        <w:t xml:space="preserve">حفص بن البختري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حكم بن حكيم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الحلبي، عبيداللّه بن علي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p>
    <w:p>
      <w:pPr>
        <w:pStyle w:val="BookText"/>
        <w:rPr/>
      </w:pPr>
      <w:r>
        <w:rPr>
          <w:rFonts w:ascii="Amiri" w:hAnsi="Amiri" w:eastAsia="Amiri" w:cs="Amiri"/>
          <w:color w:val="111111"/>
          <w:sz w:val="28"/>
          <w:sz w:val="28"/>
          <w:szCs w:val="28"/>
          <w:rtl w:val="true"/>
          <w:lang w:bidi="ar-SA"/>
        </w:rPr>
        <w:t xml:space="preserve">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إدريس، محمّد بن أحمد</w:t>
      </w:r>
    </w:p>
    <w:p>
      <w:pPr>
        <w:pStyle w:val="BookText"/>
        <w:rPr/>
      </w:pPr>
      <w:r>
        <w:rPr>
          <w:rFonts w:ascii="IRNazanin" w:hAnsi="IRNazanin" w:eastAsia="IRNazanin"/>
          <w:color w:val="111111"/>
          <w:sz w:val="28"/>
          <w:sz w:val="28"/>
          <w:szCs w:val="28"/>
          <w:rtl w:val="true"/>
          <w:lang w:bidi="fa-IR"/>
        </w:rPr>
        <w:t xml:space="preserve">حمّاد بن عثمان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 xml:space="preserve">حمّاد بن عيسى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حمران بن أعين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الحميري، محمّد بن عبداللّه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الخادم، خيران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 xml:space="preserve">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الآخوند الخراساني،</w:t>
      </w:r>
    </w:p>
    <w:p>
      <w:pPr>
        <w:pStyle w:val="BookText"/>
        <w:rPr/>
      </w:pPr>
      <w:r>
        <w:rPr>
          <w:rFonts w:ascii="Amiri" w:hAnsi="Amiri" w:eastAsia="Amiri" w:cs="Amiri"/>
          <w:color w:val="111111"/>
          <w:sz w:val="28"/>
          <w:sz w:val="28"/>
          <w:szCs w:val="28"/>
          <w:rtl w:val="true"/>
          <w:lang w:bidi="ar-SA"/>
        </w:rPr>
        <w:t>محمّد كاظم بن الحسين</w:t>
      </w:r>
    </w:p>
    <w:p>
      <w:pPr>
        <w:pStyle w:val="BookText"/>
        <w:rPr/>
      </w:pPr>
      <w:r>
        <w:rPr>
          <w:rFonts w:ascii="Amiri" w:hAnsi="Amiri" w:eastAsia="Amiri" w:cs="Amiri"/>
          <w:color w:val="111111"/>
          <w:sz w:val="28"/>
          <w:sz w:val="28"/>
          <w:szCs w:val="28"/>
          <w:rtl w:val="true"/>
          <w:lang w:bidi="ar-SA"/>
        </w:rPr>
        <w:t xml:space="preserve">خيران الخادم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الخادم، خيران</w:t>
      </w:r>
    </w:p>
    <w:p>
      <w:pPr>
        <w:pStyle w:val="BookText"/>
        <w:rPr/>
      </w:pPr>
      <w:r>
        <w:rPr>
          <w:rFonts w:ascii="IRNazanin" w:hAnsi="IRNazanin" w:eastAsia="IRNazanin"/>
          <w:color w:val="111111"/>
          <w:sz w:val="28"/>
          <w:sz w:val="28"/>
          <w:szCs w:val="28"/>
          <w:rtl w:val="true"/>
          <w:lang w:bidi="fa-IR"/>
        </w:rPr>
        <w:t xml:space="preserve">داود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داود بن سرحان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 xml:space="preserve">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القطب الراوندي، سعيد بن</w:t>
      </w:r>
    </w:p>
    <w:p>
      <w:pPr>
        <w:pStyle w:val="BookText"/>
        <w:rPr/>
      </w:pPr>
      <w:r>
        <w:rPr>
          <w:rFonts w:ascii="Amiri" w:hAnsi="Amiri" w:eastAsia="Amiri" w:cs="Amiri"/>
          <w:color w:val="111111"/>
          <w:sz w:val="28"/>
          <w:sz w:val="28"/>
          <w:szCs w:val="28"/>
          <w:rtl w:val="true"/>
          <w:lang w:bidi="ar-SA"/>
        </w:rPr>
        <w:t>هبة اللّه</w:t>
      </w:r>
    </w:p>
    <w:p>
      <w:pPr>
        <w:pStyle w:val="BookText"/>
        <w:rPr/>
      </w:pPr>
      <w:r>
        <w:rPr>
          <w:rFonts w:ascii="Amiri" w:hAnsi="Amiri" w:eastAsia="Amiri" w:cs="Amiri"/>
          <w:color w:val="111111"/>
          <w:sz w:val="28"/>
          <w:sz w:val="28"/>
          <w:szCs w:val="28"/>
          <w:rtl w:val="true"/>
          <w:lang w:bidi="ar-SA"/>
        </w:rPr>
        <w:t xml:space="preserve">رفاعة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النخّاس، رفاعة بن موسى</w:t>
      </w:r>
    </w:p>
    <w:p>
      <w:pPr>
        <w:pStyle w:val="BookText"/>
        <w:rPr/>
      </w:pPr>
      <w:r>
        <w:rPr>
          <w:rFonts w:ascii="Amiri" w:hAnsi="Amiri" w:eastAsia="Amiri" w:cs="Amiri"/>
          <w:color w:val="111111"/>
          <w:sz w:val="28"/>
          <w:sz w:val="28"/>
          <w:szCs w:val="28"/>
          <w:rtl w:val="true"/>
          <w:lang w:bidi="ar-SA"/>
        </w:rPr>
        <w:t xml:space="preserve">زرارة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زفر </w:t>
      </w:r>
      <w:r>
        <w:rPr>
          <w:rFonts w:eastAsia="IRNazanin" w:cs="IRNazanin"/>
          <w:color w:val="111111"/>
          <w:sz w:val="28"/>
          <w:szCs w:val="28"/>
          <w:lang w:bidi="fa-IR"/>
        </w:rPr>
        <w:t>98</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زكريّا 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القمّي، زكريّا بن آدم </w:t>
      </w:r>
    </w:p>
    <w:p>
      <w:pPr>
        <w:pStyle w:val="BookText"/>
        <w:rPr/>
      </w:pPr>
      <w:r>
        <w:rPr>
          <w:rFonts w:ascii="Amiri" w:hAnsi="Amiri" w:eastAsia="Amiri" w:cs="Amiri"/>
          <w:color w:val="111111"/>
          <w:sz w:val="28"/>
          <w:sz w:val="28"/>
          <w:szCs w:val="28"/>
          <w:rtl w:val="true"/>
          <w:lang w:bidi="ar-SA"/>
        </w:rPr>
        <w:t xml:space="preserve">الزهري، محمّد بن مسلم بن شهاب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Amiri" w:hAnsi="Amiri" w:eastAsia="Amiri" w:cs="Amiri"/>
          <w:color w:val="111111"/>
          <w:sz w:val="28"/>
          <w:sz w:val="28"/>
          <w:szCs w:val="28"/>
          <w:rtl w:val="true"/>
          <w:lang w:bidi="ar-SA"/>
        </w:rPr>
        <w:t xml:space="preserve">زيد الشحّام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اُسامة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زينب بنت الجون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الساباطي، عمّار بن موسى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p>
    <w:p>
      <w:pPr>
        <w:pStyle w:val="BookText"/>
        <w:rPr/>
      </w:pPr>
      <w:r>
        <w:rPr>
          <w:rFonts w:ascii="Amiri" w:hAnsi="Amiri" w:eastAsia="Amiri" w:cs="Amiri"/>
          <w:color w:val="111111"/>
          <w:sz w:val="28"/>
          <w:sz w:val="28"/>
          <w:szCs w:val="28"/>
          <w:rtl w:val="true"/>
          <w:lang w:bidi="ar-SA"/>
        </w:rPr>
        <w:t xml:space="preserve">السجستاني، حريز بن عبداللّه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 xml:space="preserve">السرّاد، الحسن بن محبوب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376</w:t>
      </w:r>
    </w:p>
    <w:p>
      <w:pPr>
        <w:pStyle w:val="BookText"/>
        <w:rPr/>
      </w:pPr>
      <w:r>
        <w:rPr>
          <w:rFonts w:ascii="IRNazanin" w:hAnsi="IRNazanin" w:eastAsia="IRNazanin"/>
          <w:color w:val="111111"/>
          <w:sz w:val="28"/>
          <w:sz w:val="28"/>
          <w:szCs w:val="28"/>
          <w:rtl w:val="true"/>
          <w:lang w:bidi="fa-IR"/>
        </w:rPr>
        <w:t xml:space="preserve">سعد بن عبداللّه </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 xml:space="preserve">السكوني، إسماعيل بن أبي زياد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244</w:t>
      </w:r>
    </w:p>
    <w:p>
      <w:pPr>
        <w:pStyle w:val="BookText"/>
        <w:rPr/>
      </w:pPr>
      <w:r>
        <w:rPr>
          <w:rFonts w:ascii="Amiri" w:hAnsi="Amiri" w:eastAsia="Amiri" w:cs="Amiri"/>
          <w:color w:val="111111"/>
          <w:sz w:val="28"/>
          <w:sz w:val="28"/>
          <w:szCs w:val="28"/>
          <w:rtl w:val="true"/>
          <w:lang w:bidi="ar-SA"/>
        </w:rPr>
        <w:t xml:space="preserve">سلاّر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سلاّر الديلمي، حمزة بن</w:t>
      </w:r>
    </w:p>
    <w:p>
      <w:pPr>
        <w:pStyle w:val="BookText"/>
        <w:rPr/>
      </w:pPr>
      <w:r>
        <w:rPr>
          <w:rFonts w:ascii="Amiri" w:hAnsi="Amiri" w:eastAsia="Amiri" w:cs="Amiri"/>
          <w:color w:val="111111"/>
          <w:sz w:val="28"/>
          <w:sz w:val="28"/>
          <w:szCs w:val="28"/>
          <w:rtl w:val="true"/>
          <w:lang w:bidi="ar-SA"/>
        </w:rPr>
        <w:t>عبدالعزيز</w:t>
      </w:r>
    </w:p>
    <w:p>
      <w:pPr>
        <w:pStyle w:val="BookText"/>
        <w:rPr/>
      </w:pPr>
      <w:r>
        <w:rPr>
          <w:rFonts w:ascii="Amiri" w:hAnsi="Amiri" w:eastAsia="Amiri" w:cs="Amiri"/>
          <w:color w:val="111111"/>
          <w:sz w:val="28"/>
          <w:sz w:val="28"/>
          <w:szCs w:val="28"/>
          <w:rtl w:val="true"/>
          <w:lang w:bidi="ar-SA"/>
        </w:rPr>
        <w:t xml:space="preserve">سلاّر الديلمي، حمزة بن عبدالعزيز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 xml:space="preserve">سليمان بن رشيد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سماعة بن مهران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p>
    <w:p>
      <w:pPr>
        <w:pStyle w:val="BookText"/>
        <w:rPr/>
      </w:pPr>
      <w:r>
        <w:rPr>
          <w:rFonts w:ascii="Amiri" w:hAnsi="Amiri" w:eastAsia="Amiri" w:cs="Amiri"/>
          <w:color w:val="111111"/>
          <w:sz w:val="28"/>
          <w:sz w:val="28"/>
          <w:szCs w:val="28"/>
          <w:rtl w:val="true"/>
          <w:lang w:bidi="ar-SA"/>
        </w:rPr>
        <w:t xml:space="preserve">السيّد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الهدى، علي بن</w:t>
      </w:r>
    </w:p>
    <w:p>
      <w:pPr>
        <w:pStyle w:val="BookText"/>
        <w:rPr/>
      </w:pPr>
      <w:r>
        <w:rPr>
          <w:rFonts w:ascii="Amiri" w:hAnsi="Amiri" w:eastAsia="Amiri" w:cs="Amiri"/>
          <w:color w:val="111111"/>
          <w:sz w:val="28"/>
          <w:sz w:val="28"/>
          <w:szCs w:val="28"/>
          <w:rtl w:val="true"/>
          <w:lang w:bidi="ar-SA"/>
        </w:rPr>
        <w:t>الحسين</w:t>
      </w:r>
    </w:p>
    <w:p>
      <w:pPr>
        <w:pStyle w:val="BookText"/>
        <w:rPr/>
      </w:pPr>
      <w:r>
        <w:rPr>
          <w:rFonts w:ascii="Amiri" w:hAnsi="Amiri" w:eastAsia="Amiri" w:cs="Amiri"/>
          <w:color w:val="111111"/>
          <w:sz w:val="28"/>
          <w:sz w:val="28"/>
          <w:szCs w:val="28"/>
          <w:rtl w:val="true"/>
          <w:lang w:bidi="ar-SA"/>
        </w:rPr>
        <w:t xml:space="preserve">سيف بن عميرة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الشافعي، محمّد بن إدريس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336</w:t>
      </w:r>
    </w:p>
    <w:p>
      <w:pPr>
        <w:pStyle w:val="BookText"/>
        <w:rPr/>
      </w:pPr>
      <w:r>
        <w:rPr>
          <w:rFonts w:ascii="Amiri" w:hAnsi="Amiri" w:eastAsia="Amiri" w:cs="Amiri"/>
          <w:color w:val="111111"/>
          <w:sz w:val="28"/>
          <w:sz w:val="28"/>
          <w:szCs w:val="28"/>
          <w:rtl w:val="true"/>
          <w:lang w:bidi="ar-SA"/>
        </w:rPr>
        <w:t xml:space="preserve">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الأوّل، محمّد بن مكّي</w:t>
      </w:r>
    </w:p>
    <w:p>
      <w:pPr>
        <w:pStyle w:val="BookText"/>
        <w:rPr/>
      </w:pPr>
      <w:r>
        <w:rPr>
          <w:rFonts w:ascii="Amiri" w:hAnsi="Amiri" w:eastAsia="Amiri" w:cs="Amiri"/>
          <w:color w:val="111111"/>
          <w:sz w:val="28"/>
          <w:sz w:val="28"/>
          <w:szCs w:val="28"/>
          <w:rtl w:val="true"/>
          <w:lang w:bidi="ar-SA"/>
        </w:rPr>
        <w:t xml:space="preserve">الشهيد الأوّل، محمّد بن مكّي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 xml:space="preserve">الشهيد الثاني، زين الدين بن علي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295</w:t>
      </w:r>
    </w:p>
    <w:p>
      <w:pPr>
        <w:pStyle w:val="BookText"/>
        <w:rPr/>
      </w:pPr>
      <w:r>
        <w:rPr>
          <w:rFonts w:ascii="Amiri" w:hAnsi="Amiri" w:eastAsia="Amiri" w:cs="Amiri"/>
          <w:color w:val="111111"/>
          <w:sz w:val="28"/>
          <w:sz w:val="28"/>
          <w:szCs w:val="28"/>
          <w:rtl w:val="true"/>
          <w:lang w:bidi="ar-SA"/>
        </w:rPr>
        <w:t xml:space="preserve">الشهيدان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الأوّل، محمّد بن</w:t>
      </w:r>
    </w:p>
    <w:p>
      <w:pPr>
        <w:pStyle w:val="BookText"/>
        <w:rPr/>
      </w:pPr>
      <w:r>
        <w:rPr>
          <w:rFonts w:ascii="Amiri" w:hAnsi="Amiri" w:eastAsia="Amiri" w:cs="Amiri"/>
          <w:color w:val="111111"/>
          <w:sz w:val="28"/>
          <w:sz w:val="28"/>
          <w:szCs w:val="28"/>
          <w:rtl w:val="true"/>
          <w:lang w:bidi="ar-SA"/>
        </w:rPr>
        <w:t xml:space="preserve">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الثاني، زين الدين بن</w:t>
      </w:r>
    </w:p>
    <w:p>
      <w:pPr>
        <w:pStyle w:val="BookText"/>
        <w:rPr/>
      </w:pP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الشيباني، محمّد بن الحسن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محمّد بن الحسن</w:t>
      </w:r>
    </w:p>
    <w:p>
      <w:pPr>
        <w:pStyle w:val="BookText"/>
        <w:rPr/>
      </w:pPr>
      <w:r>
        <w:rPr>
          <w:rFonts w:ascii="Amiri" w:hAnsi="Amiri" w:eastAsia="Amiri" w:cs="Amiri"/>
          <w:color w:val="111111"/>
          <w:sz w:val="28"/>
          <w:sz w:val="28"/>
          <w:szCs w:val="28"/>
          <w:rtl w:val="true"/>
          <w:lang w:bidi="ar-SA"/>
        </w:rPr>
        <w:t xml:space="preserve">الشيخ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الأنصاري، مرتضى بن</w:t>
      </w:r>
    </w:p>
    <w:p>
      <w:pPr>
        <w:pStyle w:val="BookText"/>
        <w:rPr/>
      </w:pPr>
      <w:r>
        <w:rPr>
          <w:rFonts w:ascii="Amiri" w:hAnsi="Amiri" w:eastAsia="Amiri" w:cs="Amiri"/>
          <w:color w:val="111111"/>
          <w:sz w:val="28"/>
          <w:sz w:val="28"/>
          <w:szCs w:val="28"/>
          <w:rtl w:val="true"/>
          <w:lang w:bidi="ar-SA"/>
        </w:rPr>
        <w:t>محمّد أمين</w:t>
      </w:r>
    </w:p>
    <w:p>
      <w:pPr>
        <w:pStyle w:val="BookText"/>
        <w:rPr/>
      </w:pPr>
      <w:r>
        <w:rPr>
          <w:rFonts w:ascii="Amiri" w:hAnsi="Amiri" w:eastAsia="Amiri" w:cs="Amiri"/>
          <w:color w:val="111111"/>
          <w:sz w:val="28"/>
          <w:sz w:val="28"/>
          <w:szCs w:val="28"/>
          <w:rtl w:val="true"/>
          <w:lang w:bidi="ar-SA"/>
        </w:rPr>
        <w:t xml:space="preserve">الشيخان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المفيد، محمّد بن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الطوسي، محمّد بن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شيخ البهائي، محمّد بن الحسين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366</w:t>
      </w:r>
    </w:p>
    <w:p>
      <w:pPr>
        <w:pStyle w:val="BookText"/>
        <w:rPr/>
      </w:pPr>
      <w:r>
        <w:rPr>
          <w:rFonts w:ascii="Amiri" w:hAnsi="Amiri" w:eastAsia="Amiri" w:cs="Amiri"/>
          <w:color w:val="111111"/>
          <w:sz w:val="28"/>
          <w:sz w:val="28"/>
          <w:szCs w:val="28"/>
          <w:rtl w:val="true"/>
          <w:lang w:bidi="ar-SA"/>
        </w:rPr>
        <w:t xml:space="preserve">شيخ الطائفة محمّد بن الحسن </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الطوسي، محمّد بن الحسن </w:t>
      </w:r>
    </w:p>
    <w:p>
      <w:pPr>
        <w:pStyle w:val="BookText"/>
        <w:rPr/>
      </w:pPr>
      <w:r>
        <w:rPr>
          <w:rFonts w:ascii="Amiri" w:hAnsi="Amiri" w:eastAsia="Amiri" w:cs="Amiri"/>
          <w:color w:val="111111"/>
          <w:sz w:val="28"/>
          <w:sz w:val="28"/>
          <w:szCs w:val="28"/>
          <w:rtl w:val="true"/>
          <w:lang w:bidi="ar-SA"/>
        </w:rPr>
        <w:t xml:space="preserve">صاحب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بحر العلوم، علي</w:t>
      </w:r>
    </w:p>
    <w:p>
      <w:pPr>
        <w:pStyle w:val="BookText"/>
        <w:rPr/>
      </w:pPr>
      <w:r>
        <w:rPr>
          <w:rFonts w:ascii="Amiri" w:hAnsi="Amiri" w:eastAsia="Amiri" w:cs="Amiri"/>
          <w:color w:val="111111"/>
          <w:sz w:val="28"/>
          <w:sz w:val="28"/>
          <w:szCs w:val="28"/>
          <w:rtl w:val="true"/>
          <w:lang w:bidi="ar-SA"/>
        </w:rPr>
        <w:t>بن محمّد رضا</w:t>
      </w:r>
    </w:p>
    <w:p>
      <w:pPr>
        <w:pStyle w:val="BookText"/>
        <w:rPr/>
      </w:pPr>
      <w:r>
        <w:rPr>
          <w:rFonts w:ascii="IRNazanin" w:hAnsi="IRNazanin" w:eastAsia="IRNazanin"/>
          <w:color w:val="111111"/>
          <w:sz w:val="28"/>
          <w:sz w:val="28"/>
          <w:szCs w:val="28"/>
          <w:rtl w:val="true"/>
          <w:lang w:bidi="fa-IR"/>
        </w:rPr>
        <w:t>صاحب الجواهر، محمّد حسن بن باقر</w:t>
      </w:r>
    </w:p>
    <w:p>
      <w:pPr>
        <w:pStyle w:val="BookText"/>
        <w:rPr/>
      </w:pP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p>
    <w:p>
      <w:pPr>
        <w:pStyle w:val="BookText"/>
        <w:rPr/>
      </w:pPr>
      <w:r>
        <w:rPr>
          <w:rFonts w:ascii="Amiri" w:hAnsi="Amiri" w:eastAsia="Amiri" w:cs="Amiri"/>
          <w:color w:val="111111"/>
          <w:sz w:val="28"/>
          <w:sz w:val="28"/>
          <w:szCs w:val="28"/>
          <w:rtl w:val="true"/>
          <w:lang w:bidi="ar-SA"/>
        </w:rPr>
        <w:t xml:space="preserve">صاحب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البحراني، يوسف بن</w:t>
      </w:r>
    </w:p>
    <w:p>
      <w:pPr>
        <w:pStyle w:val="BookText"/>
        <w:rPr/>
      </w:pPr>
      <w:r>
        <w:rPr>
          <w:rFonts w:ascii="IRNazanin" w:hAnsi="IRNazanin" w:eastAsia="IRNazanin"/>
          <w:color w:val="111111"/>
          <w:sz w:val="28"/>
          <w:sz w:val="28"/>
          <w:szCs w:val="28"/>
          <w:rtl w:val="true"/>
          <w:lang w:bidi="fa-IR"/>
        </w:rPr>
        <w:t>أحمد</w:t>
      </w:r>
    </w:p>
    <w:p>
      <w:pPr>
        <w:pStyle w:val="BookText"/>
        <w:rPr/>
      </w:pPr>
      <w:r>
        <w:rPr>
          <w:rFonts w:ascii="Amiri" w:hAnsi="Amiri" w:eastAsia="Amiri" w:cs="Amiri"/>
          <w:color w:val="111111"/>
          <w:sz w:val="28"/>
          <w:sz w:val="28"/>
          <w:szCs w:val="28"/>
          <w:rtl w:val="true"/>
          <w:lang w:bidi="ar-SA"/>
        </w:rPr>
        <w:t xml:space="preserve">صاحب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الموسوي العاملي،</w:t>
      </w:r>
    </w:p>
    <w:p>
      <w:pPr>
        <w:pStyle w:val="BookText"/>
        <w:rPr/>
      </w:pPr>
      <w:r>
        <w:rPr>
          <w:rFonts w:ascii="Amiri" w:hAnsi="Amiri" w:eastAsia="Amiri" w:cs="Amiri"/>
          <w:color w:val="111111"/>
          <w:sz w:val="28"/>
          <w:sz w:val="28"/>
          <w:szCs w:val="28"/>
          <w:rtl w:val="true"/>
          <w:lang w:bidi="ar-SA"/>
        </w:rPr>
        <w:t>محمّد بن علي</w:t>
      </w:r>
    </w:p>
    <w:p>
      <w:pPr>
        <w:pStyle w:val="BookText"/>
        <w:rPr/>
      </w:pPr>
      <w:r>
        <w:rPr>
          <w:rFonts w:ascii="Amiri" w:hAnsi="Amiri" w:eastAsia="Amiri" w:cs="Amiri"/>
          <w:color w:val="111111"/>
          <w:sz w:val="28"/>
          <w:sz w:val="28"/>
          <w:szCs w:val="28"/>
          <w:rtl w:val="true"/>
          <w:lang w:bidi="ar-SA"/>
        </w:rPr>
        <w:t xml:space="preserve">صاحب المعالم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الشهيد الثاني،</w:t>
      </w:r>
    </w:p>
    <w:p>
      <w:pPr>
        <w:pStyle w:val="BookText"/>
        <w:rPr/>
      </w:pPr>
      <w:r>
        <w:rPr>
          <w:rFonts w:ascii="Amiri" w:hAnsi="Amiri" w:eastAsia="Amiri" w:cs="Amiri"/>
          <w:color w:val="111111"/>
          <w:sz w:val="28"/>
          <w:sz w:val="28"/>
          <w:szCs w:val="28"/>
          <w:rtl w:val="true"/>
          <w:lang w:bidi="ar-SA"/>
        </w:rPr>
        <w:t>الحسن بن زين الدين</w:t>
      </w:r>
    </w:p>
    <w:p>
      <w:pPr>
        <w:pStyle w:val="BookText"/>
        <w:rPr/>
      </w:pPr>
      <w:r>
        <w:rPr>
          <w:rFonts w:ascii="Amiri" w:hAnsi="Amiri" w:eastAsia="Amiri" w:cs="Amiri"/>
          <w:color w:val="111111"/>
          <w:sz w:val="28"/>
          <w:sz w:val="28"/>
          <w:szCs w:val="28"/>
          <w:rtl w:val="true"/>
          <w:lang w:bidi="ar-SA"/>
        </w:rPr>
        <w:t xml:space="preserve">صاحب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 العاملي، محمّد</w:t>
      </w:r>
    </w:p>
    <w:p>
      <w:pPr>
        <w:pStyle w:val="BookText"/>
        <w:rPr/>
      </w:pPr>
      <w:r>
        <w:rPr>
          <w:rFonts w:ascii="IRNazanin" w:hAnsi="IRNazanin" w:eastAsia="IRNazanin"/>
          <w:color w:val="111111"/>
          <w:sz w:val="28"/>
          <w:sz w:val="28"/>
          <w:szCs w:val="28"/>
          <w:rtl w:val="true"/>
          <w:lang w:bidi="fa-IR"/>
        </w:rPr>
        <w:t>بن الحسن</w:t>
      </w:r>
    </w:p>
    <w:p>
      <w:pPr>
        <w:pStyle w:val="BookText"/>
        <w:rPr/>
      </w:pPr>
      <w:r>
        <w:rPr>
          <w:rFonts w:ascii="Amiri" w:hAnsi="Amiri" w:eastAsia="Amiri" w:cs="Amiri"/>
          <w:color w:val="111111"/>
          <w:sz w:val="28"/>
          <w:sz w:val="28"/>
          <w:szCs w:val="28"/>
          <w:rtl w:val="true"/>
          <w:lang w:bidi="ar-SA"/>
        </w:rPr>
        <w:t xml:space="preserve">الصدوقان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بابويه، علي بن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بابويه، محمّد بن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محمّد بن علي</w:t>
      </w:r>
    </w:p>
    <w:p>
      <w:pPr>
        <w:pStyle w:val="BookText"/>
        <w:rPr/>
      </w:pPr>
      <w:r>
        <w:rPr>
          <w:rFonts w:ascii="Amiri" w:hAnsi="Amiri" w:eastAsia="Amiri" w:cs="Amiri"/>
          <w:color w:val="111111"/>
          <w:sz w:val="28"/>
          <w:sz w:val="28"/>
          <w:szCs w:val="28"/>
          <w:rtl w:val="true"/>
          <w:lang w:bidi="ar-SA"/>
        </w:rPr>
        <w:t xml:space="preserve">الصفّار، محمّد بن الحسن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صفوان بن يحيى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الصيقل، ميمون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الطوسي، أبو حمزة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w:t>
      </w:r>
    </w:p>
    <w:p>
      <w:pPr>
        <w:pStyle w:val="BookText"/>
        <w:rPr/>
      </w:pPr>
      <w:r>
        <w:rPr>
          <w:rFonts w:ascii="Amiri" w:hAnsi="Amiri" w:eastAsia="Amiri" w:cs="Amiri"/>
          <w:color w:val="111111"/>
          <w:sz w:val="28"/>
          <w:sz w:val="28"/>
          <w:szCs w:val="28"/>
          <w:rtl w:val="true"/>
          <w:lang w:bidi="ar-SA"/>
        </w:rPr>
        <w:t>حمزة، محمّد بن علي</w:t>
      </w:r>
    </w:p>
    <w:p>
      <w:pPr>
        <w:pStyle w:val="BookText"/>
        <w:rPr/>
      </w:pPr>
      <w:r>
        <w:rPr>
          <w:rFonts w:ascii="Amiri" w:hAnsi="Amiri" w:eastAsia="Amiri" w:cs="Amiri"/>
          <w:color w:val="111111"/>
          <w:sz w:val="28"/>
          <w:sz w:val="28"/>
          <w:szCs w:val="28"/>
          <w:rtl w:val="true"/>
          <w:lang w:bidi="ar-SA"/>
        </w:rPr>
        <w:t xml:space="preserve">الطوسي، محمّد بن الحسن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p>
    <w:p>
      <w:pPr>
        <w:pStyle w:val="BookText"/>
        <w:rPr/>
      </w:pPr>
      <w:r>
        <w:rPr>
          <w:rFonts w:ascii="Amiri" w:hAnsi="Amiri" w:eastAsia="Amiri" w:cs="Amiri"/>
          <w:color w:val="111111"/>
          <w:sz w:val="28"/>
          <w:sz w:val="28"/>
          <w:szCs w:val="28"/>
          <w:rtl w:val="true"/>
          <w:lang w:bidi="ar-SA"/>
        </w:rPr>
        <w:t xml:space="preserve">العبّاس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عبدالأعلى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عبدالأعلى بن أعين مولى</w:t>
      </w:r>
    </w:p>
    <w:p>
      <w:pPr>
        <w:pStyle w:val="BookText"/>
        <w:rPr/>
      </w:pPr>
      <w:r>
        <w:rPr>
          <w:rFonts w:ascii="IRNazanin" w:hAnsi="IRNazanin" w:eastAsia="IRNazanin"/>
          <w:color w:val="111111"/>
          <w:sz w:val="28"/>
          <w:sz w:val="28"/>
          <w:szCs w:val="28"/>
          <w:rtl w:val="true"/>
          <w:lang w:bidi="fa-IR"/>
        </w:rPr>
        <w:t>آل سام</w:t>
      </w:r>
    </w:p>
    <w:p>
      <w:pPr>
        <w:pStyle w:val="BookText"/>
        <w:rPr/>
      </w:pPr>
      <w:r>
        <w:rPr>
          <w:rFonts w:ascii="Amiri" w:hAnsi="Amiri" w:eastAsia="Amiri" w:cs="Amiri"/>
          <w:color w:val="111111"/>
          <w:sz w:val="28"/>
          <w:sz w:val="28"/>
          <w:szCs w:val="28"/>
          <w:rtl w:val="true"/>
          <w:lang w:bidi="ar-SA"/>
        </w:rPr>
        <w:t xml:space="preserve">عبدالأعلى بن أعين مولى آل سام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عبدالرحمان بن أبي عبداللّه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عبدالرحمان بن الحجّاج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p>
    <w:p>
      <w:pPr>
        <w:pStyle w:val="BookText"/>
        <w:rPr/>
      </w:pPr>
      <w:r>
        <w:rPr>
          <w:rFonts w:ascii="Amiri" w:hAnsi="Amiri" w:eastAsia="Amiri" w:cs="Amiri"/>
          <w:color w:val="111111"/>
          <w:sz w:val="28"/>
          <w:sz w:val="28"/>
          <w:szCs w:val="28"/>
          <w:rtl w:val="true"/>
          <w:lang w:bidi="ar-SA"/>
        </w:rPr>
        <w:t xml:space="preserve">عبدالعزيز بن المهتدي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عبداللّه بن أبي يعفور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p>
    <w:p>
      <w:pPr>
        <w:pStyle w:val="BookText"/>
        <w:rPr/>
      </w:pPr>
      <w:r>
        <w:rPr>
          <w:rFonts w:ascii="Amiri" w:hAnsi="Amiri" w:eastAsia="Amiri" w:cs="Amiri"/>
          <w:color w:val="111111"/>
          <w:sz w:val="28"/>
          <w:sz w:val="28"/>
          <w:szCs w:val="28"/>
          <w:rtl w:val="true"/>
          <w:lang w:bidi="ar-SA"/>
        </w:rPr>
        <w:t xml:space="preserve">عبداللّه بن المغيرة </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 xml:space="preserve">عبداللّه بن جعفر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 xml:space="preserve">عبداللّه بن سليمان </w:t>
      </w:r>
      <w:r>
        <w:rPr>
          <w:rFonts w:eastAsia="Amiri" w:cs="Amiri" w:ascii="Amiri" w:hAnsi="Amiri"/>
          <w:color w:val="111111"/>
          <w:sz w:val="28"/>
          <w:szCs w:val="28"/>
          <w:lang w:bidi="ar-SA"/>
        </w:rPr>
        <w:t>276</w:t>
      </w:r>
    </w:p>
    <w:p>
      <w:pPr>
        <w:pStyle w:val="BookText"/>
        <w:rPr/>
      </w:pPr>
      <w:r>
        <w:rPr>
          <w:rFonts w:ascii="IRNazanin" w:hAnsi="IRNazanin" w:eastAsia="IRNazanin"/>
          <w:color w:val="111111"/>
          <w:sz w:val="28"/>
          <w:sz w:val="28"/>
          <w:szCs w:val="28"/>
          <w:rtl w:val="true"/>
          <w:lang w:bidi="fa-IR"/>
        </w:rPr>
        <w:t xml:space="preserve">عبداللّه بن سنان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p>
    <w:p>
      <w:pPr>
        <w:pStyle w:val="BookText"/>
        <w:rPr/>
      </w:pPr>
      <w:r>
        <w:rPr>
          <w:rFonts w:ascii="Amiri" w:hAnsi="Amiri" w:eastAsia="Amiri" w:cs="Amiri"/>
          <w:color w:val="111111"/>
          <w:sz w:val="28"/>
          <w:sz w:val="28"/>
          <w:szCs w:val="28"/>
          <w:rtl w:val="true"/>
          <w:lang w:bidi="ar-SA"/>
        </w:rPr>
        <w:t xml:space="preserve">عبيد بن زرارة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عثمان بن عبدالملك </w:t>
      </w:r>
      <w:r>
        <w:rPr>
          <w:rFonts w:eastAsia="Amiri" w:cs="Amiri" w:ascii="Amiri" w:hAnsi="Amiri"/>
          <w:color w:val="111111"/>
          <w:sz w:val="28"/>
          <w:szCs w:val="28"/>
          <w:lang w:bidi="ar-SA"/>
        </w:rPr>
        <w:t>361</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العلاّمة الحلّي، الحسن بن يوسف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403</w:t>
      </w:r>
    </w:p>
    <w:p>
      <w:pPr>
        <w:pStyle w:val="BookText"/>
        <w:rPr/>
      </w:pPr>
      <w:r>
        <w:rPr>
          <w:rFonts w:ascii="Amiri" w:hAnsi="Amiri" w:eastAsia="Amiri" w:cs="Amiri"/>
          <w:color w:val="111111"/>
          <w:sz w:val="28"/>
          <w:sz w:val="28"/>
          <w:szCs w:val="28"/>
          <w:rtl w:val="true"/>
          <w:lang w:bidi="ar-SA"/>
        </w:rPr>
        <w:t xml:space="preserve">العلاء بن رزين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علم الهدى، علي بن الحسين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p>
    <w:p>
      <w:pPr>
        <w:pStyle w:val="BookText"/>
        <w:rPr/>
      </w:pPr>
      <w:r>
        <w:rPr>
          <w:rFonts w:ascii="Amiri" w:hAnsi="Amiri" w:eastAsia="Amiri" w:cs="Amiri"/>
          <w:color w:val="111111"/>
          <w:sz w:val="28"/>
          <w:sz w:val="28"/>
          <w:szCs w:val="28"/>
          <w:rtl w:val="true"/>
          <w:lang w:bidi="ar-SA"/>
        </w:rPr>
        <w:t xml:space="preserve">علي بن أبي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البطائني، علي بن</w:t>
      </w:r>
    </w:p>
    <w:p>
      <w:pPr>
        <w:pStyle w:val="BookText"/>
        <w:rPr/>
      </w:pPr>
      <w:r>
        <w:rPr>
          <w:rFonts w:ascii="Amiri" w:hAnsi="Amiri" w:eastAsia="Amiri" w:cs="Amiri"/>
          <w:color w:val="111111"/>
          <w:sz w:val="28"/>
          <w:sz w:val="28"/>
          <w:szCs w:val="28"/>
          <w:rtl w:val="true"/>
          <w:lang w:bidi="ar-SA"/>
        </w:rPr>
        <w:t>أبي حمزة</w:t>
      </w:r>
    </w:p>
    <w:p>
      <w:pPr>
        <w:pStyle w:val="BookText"/>
        <w:rPr/>
      </w:pPr>
      <w:r>
        <w:rPr>
          <w:rFonts w:ascii="Amiri" w:hAnsi="Amiri" w:eastAsia="Amiri" w:cs="Amiri"/>
          <w:color w:val="111111"/>
          <w:sz w:val="28"/>
          <w:sz w:val="28"/>
          <w:szCs w:val="28"/>
          <w:rtl w:val="true"/>
          <w:lang w:bidi="ar-SA"/>
        </w:rPr>
        <w:t xml:space="preserve">علي بن جعفر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391</w:t>
      </w:r>
    </w:p>
    <w:p>
      <w:pPr>
        <w:pStyle w:val="BookText"/>
        <w:rPr/>
      </w:pPr>
      <w:r>
        <w:rPr>
          <w:rFonts w:ascii="Amiri" w:hAnsi="Amiri" w:eastAsia="Amiri" w:cs="Amiri"/>
          <w:color w:val="111111"/>
          <w:sz w:val="28"/>
          <w:sz w:val="28"/>
          <w:szCs w:val="28"/>
          <w:rtl w:val="true"/>
          <w:lang w:bidi="ar-SA"/>
        </w:rPr>
        <w:t xml:space="preserve">علي بن حديد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علي بن خالد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علي بن مهزيار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عمر بن حنظلة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عمر بن يزيد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العيّاشي، محمّد بن مسعود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العيص بن القاسم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غياث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IRNazanin" w:hAnsi="IRNazanin" w:eastAsia="IRNazanin"/>
          <w:color w:val="111111"/>
          <w:sz w:val="28"/>
          <w:sz w:val="28"/>
          <w:szCs w:val="28"/>
          <w:rtl w:val="true"/>
          <w:lang w:bidi="fa-IR"/>
        </w:rPr>
        <w:t xml:space="preserve">فارس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 xml:space="preserve">الفخر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المحقّقين، محمّد بن</w:t>
      </w:r>
    </w:p>
    <w:p>
      <w:pPr>
        <w:pStyle w:val="BookText"/>
        <w:rPr/>
      </w:pPr>
      <w:r>
        <w:rPr>
          <w:rFonts w:ascii="IRNazanin" w:hAnsi="IRNazanin" w:eastAsia="IRNazanin"/>
          <w:color w:val="111111"/>
          <w:sz w:val="28"/>
          <w:sz w:val="28"/>
          <w:szCs w:val="28"/>
          <w:rtl w:val="true"/>
          <w:lang w:bidi="fa-IR"/>
        </w:rPr>
        <w:t>الحسن</w:t>
      </w:r>
    </w:p>
    <w:p>
      <w:pPr>
        <w:pStyle w:val="BookText"/>
        <w:rPr/>
      </w:pPr>
      <w:r>
        <w:rPr>
          <w:rFonts w:ascii="Amiri" w:hAnsi="Amiri" w:eastAsia="Amiri" w:cs="Amiri"/>
          <w:color w:val="111111"/>
          <w:sz w:val="28"/>
          <w:sz w:val="28"/>
          <w:szCs w:val="28"/>
          <w:rtl w:val="true"/>
          <w:lang w:bidi="ar-SA"/>
        </w:rPr>
        <w:t xml:space="preserve">فخر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المحقّقين، محمّد بن</w:t>
      </w:r>
    </w:p>
    <w:p>
      <w:pPr>
        <w:pStyle w:val="BookText"/>
        <w:rPr/>
      </w:pPr>
      <w:r>
        <w:rPr>
          <w:rFonts w:ascii="IRNazanin" w:hAnsi="IRNazanin" w:eastAsia="IRNazanin"/>
          <w:color w:val="111111"/>
          <w:sz w:val="28"/>
          <w:sz w:val="28"/>
          <w:szCs w:val="28"/>
          <w:rtl w:val="true"/>
          <w:lang w:bidi="fa-IR"/>
        </w:rPr>
        <w:t>الحسن</w:t>
      </w:r>
    </w:p>
    <w:p>
      <w:pPr>
        <w:pStyle w:val="BookText"/>
        <w:rPr/>
      </w:pPr>
      <w:r>
        <w:rPr>
          <w:rFonts w:ascii="Amiri" w:hAnsi="Amiri" w:eastAsia="Amiri" w:cs="Amiri"/>
          <w:color w:val="111111"/>
          <w:sz w:val="28"/>
          <w:sz w:val="28"/>
          <w:szCs w:val="28"/>
          <w:rtl w:val="true"/>
          <w:lang w:bidi="ar-SA"/>
        </w:rPr>
        <w:t xml:space="preserve">فخر المحقّقين، محمّد بن الحسن </w:t>
      </w:r>
      <w:r>
        <w:rPr>
          <w:rFonts w:eastAsia="Amiri" w:cs="Amiri" w:ascii="Amiri" w:hAnsi="Amiri"/>
          <w:color w:val="111111"/>
          <w:sz w:val="28"/>
          <w:szCs w:val="28"/>
          <w:lang w:bidi="ar-SA"/>
        </w:rPr>
        <w:t>216</w:t>
      </w:r>
    </w:p>
    <w:p>
      <w:pPr>
        <w:pStyle w:val="BookText"/>
        <w:rPr/>
      </w:pPr>
      <w:r>
        <w:rPr>
          <w:rFonts w:ascii="IRNazanin" w:hAnsi="IRNazanin" w:eastAsia="IRNazanin"/>
          <w:color w:val="111111"/>
          <w:sz w:val="28"/>
          <w:sz w:val="28"/>
          <w:szCs w:val="28"/>
          <w:rtl w:val="true"/>
          <w:lang w:bidi="fa-IR"/>
        </w:rPr>
        <w:t xml:space="preserve">الفضل أبو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بن</w:t>
      </w:r>
    </w:p>
    <w:p>
      <w:pPr>
        <w:pStyle w:val="BookText"/>
        <w:rPr/>
      </w:pPr>
      <w:r>
        <w:rPr>
          <w:rFonts w:ascii="Amiri" w:hAnsi="Amiri" w:eastAsia="Amiri" w:cs="Amiri"/>
          <w:color w:val="111111"/>
          <w:sz w:val="28"/>
          <w:sz w:val="28"/>
          <w:szCs w:val="28"/>
          <w:rtl w:val="true"/>
          <w:lang w:bidi="ar-SA"/>
        </w:rPr>
        <w:t>عبدالملك البقباق</w:t>
      </w:r>
    </w:p>
    <w:p>
      <w:pPr>
        <w:pStyle w:val="BookText"/>
        <w:rPr/>
      </w:pPr>
      <w:r>
        <w:rPr>
          <w:rFonts w:ascii="IRNazanin" w:hAnsi="IRNazanin" w:eastAsia="IRNazanin"/>
          <w:color w:val="111111"/>
          <w:sz w:val="28"/>
          <w:sz w:val="28"/>
          <w:szCs w:val="28"/>
          <w:rtl w:val="true"/>
          <w:lang w:bidi="fa-IR"/>
        </w:rPr>
        <w:t xml:space="preserve">الفضل بن شاذان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شاذان، الفضل</w:t>
      </w:r>
    </w:p>
    <w:p>
      <w:pPr>
        <w:pStyle w:val="BookText"/>
        <w:rPr/>
      </w:pPr>
      <w:r>
        <w:rPr>
          <w:rFonts w:ascii="IRNazanin" w:hAnsi="IRNazanin" w:eastAsia="IRNazanin"/>
          <w:color w:val="111111"/>
          <w:sz w:val="28"/>
          <w:sz w:val="28"/>
          <w:szCs w:val="28"/>
          <w:rtl w:val="true"/>
          <w:lang w:bidi="fa-IR"/>
        </w:rPr>
        <w:t>بن شاذان</w:t>
      </w:r>
    </w:p>
    <w:p>
      <w:pPr>
        <w:pStyle w:val="BookText"/>
        <w:rPr/>
      </w:pPr>
      <w:r>
        <w:rPr>
          <w:rFonts w:ascii="Amiri" w:hAnsi="Amiri" w:eastAsia="Amiri" w:cs="Amiri"/>
          <w:color w:val="111111"/>
          <w:sz w:val="28"/>
          <w:sz w:val="28"/>
          <w:szCs w:val="28"/>
          <w:rtl w:val="true"/>
          <w:lang w:bidi="ar-SA"/>
        </w:rPr>
        <w:t xml:space="preserve">الفضل بن عبدالملك البقباق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الفيض الكاشاني، محمّد بن شاه مرتضى</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p>
    <w:p>
      <w:pPr>
        <w:pStyle w:val="BookText"/>
        <w:rPr/>
      </w:pPr>
      <w:r>
        <w:rPr>
          <w:rFonts w:ascii="Amiri" w:hAnsi="Amiri" w:eastAsia="Amiri" w:cs="Amiri"/>
          <w:color w:val="111111"/>
          <w:sz w:val="28"/>
          <w:sz w:val="28"/>
          <w:szCs w:val="28"/>
          <w:rtl w:val="true"/>
          <w:lang w:bidi="ar-SA"/>
        </w:rPr>
        <w:t xml:space="preserve">القسمي، أبو يزيد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القطب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القطب الراوندي، سعيد بن</w:t>
      </w:r>
    </w:p>
    <w:p>
      <w:pPr>
        <w:pStyle w:val="BookText"/>
        <w:rPr/>
      </w:pPr>
      <w:r>
        <w:rPr>
          <w:rFonts w:ascii="Amiri" w:hAnsi="Amiri" w:eastAsia="Amiri" w:cs="Amiri"/>
          <w:color w:val="111111"/>
          <w:sz w:val="28"/>
          <w:sz w:val="28"/>
          <w:szCs w:val="28"/>
          <w:rtl w:val="true"/>
          <w:lang w:bidi="ar-SA"/>
        </w:rPr>
        <w:t>هبة اللّه</w:t>
      </w:r>
    </w:p>
    <w:p>
      <w:pPr>
        <w:pStyle w:val="BookText"/>
        <w:rPr/>
      </w:pPr>
      <w:r>
        <w:rPr>
          <w:rFonts w:ascii="Amiri" w:hAnsi="Amiri" w:eastAsia="Amiri" w:cs="Amiri"/>
          <w:color w:val="111111"/>
          <w:sz w:val="28"/>
          <w:sz w:val="28"/>
          <w:szCs w:val="28"/>
          <w:rtl w:val="true"/>
          <w:lang w:bidi="ar-SA"/>
        </w:rPr>
        <w:t xml:space="preserve">القطب الراوندي، سعيد بن هبة اللّه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 xml:space="preserve">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القمّي، أبو القاسم بن</w:t>
      </w:r>
    </w:p>
    <w:p>
      <w:pPr>
        <w:pStyle w:val="BookText"/>
        <w:rPr/>
      </w:pPr>
      <w:r>
        <w:rPr>
          <w:rFonts w:ascii="Amiri" w:hAnsi="Amiri" w:eastAsia="Amiri" w:cs="Amiri"/>
          <w:color w:val="111111"/>
          <w:sz w:val="28"/>
          <w:sz w:val="28"/>
          <w:szCs w:val="28"/>
          <w:rtl w:val="true"/>
          <w:lang w:bidi="ar-SA"/>
        </w:rPr>
        <w:t>محمّد حسن</w:t>
      </w:r>
    </w:p>
    <w:p>
      <w:pPr>
        <w:pStyle w:val="BookText"/>
        <w:rPr/>
      </w:pPr>
      <w:r>
        <w:rPr>
          <w:rFonts w:ascii="Amiri" w:hAnsi="Amiri" w:eastAsia="Amiri" w:cs="Amiri"/>
          <w:color w:val="111111"/>
          <w:sz w:val="28"/>
          <w:sz w:val="28"/>
          <w:szCs w:val="28"/>
          <w:rtl w:val="true"/>
          <w:lang w:bidi="ar-SA"/>
        </w:rPr>
        <w:t xml:space="preserve">القمّي، زكريّا بن آدم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الكاشاني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الفيض الكاشاني، محمّد بن</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 مرتضى </w:t>
      </w:r>
    </w:p>
    <w:p>
      <w:pPr>
        <w:pStyle w:val="BookText"/>
        <w:rPr/>
      </w:pPr>
      <w:r>
        <w:rPr>
          <w:rFonts w:ascii="Amiri" w:hAnsi="Amiri" w:eastAsia="Amiri" w:cs="Amiri"/>
          <w:color w:val="111111"/>
          <w:sz w:val="28"/>
          <w:sz w:val="28"/>
          <w:szCs w:val="28"/>
          <w:rtl w:val="true"/>
          <w:lang w:bidi="ar-SA"/>
        </w:rPr>
        <w:t xml:space="preserve">كاشف الغطاء، جعفر بن خضر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 xml:space="preserve">الكاهلي، عبداللّه بن يحيى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p>
    <w:p>
      <w:pPr>
        <w:pStyle w:val="BookText"/>
        <w:rPr/>
      </w:pPr>
      <w:r>
        <w:rPr>
          <w:rFonts w:ascii="Amiri" w:hAnsi="Amiri" w:eastAsia="Amiri" w:cs="Amiri"/>
          <w:color w:val="111111"/>
          <w:sz w:val="28"/>
          <w:sz w:val="28"/>
          <w:szCs w:val="28"/>
          <w:rtl w:val="true"/>
          <w:lang w:bidi="ar-SA"/>
        </w:rPr>
        <w:t xml:space="preserve">الكليني، محمّد بن يعقوب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لباب بنت الجون </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 xml:space="preserve">ليث المرادي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بصير، ليث المرادي</w:t>
      </w:r>
    </w:p>
    <w:p>
      <w:pPr>
        <w:pStyle w:val="BookText"/>
        <w:rPr/>
      </w:pPr>
      <w:r>
        <w:rPr>
          <w:rFonts w:ascii="Amiri" w:hAnsi="Amiri" w:eastAsia="Amiri" w:cs="Amiri"/>
          <w:color w:val="111111"/>
          <w:sz w:val="28"/>
          <w:sz w:val="28"/>
          <w:szCs w:val="28"/>
          <w:rtl w:val="true"/>
          <w:lang w:bidi="ar-SA"/>
        </w:rPr>
        <w:t xml:space="preserve">مالك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IRNazanin" w:hAnsi="IRNazanin" w:eastAsia="IRNazanin"/>
          <w:color w:val="111111"/>
          <w:sz w:val="28"/>
          <w:sz w:val="28"/>
          <w:szCs w:val="28"/>
          <w:rtl w:val="true"/>
          <w:lang w:bidi="fa-IR"/>
        </w:rPr>
        <w:t xml:space="preserve">مثنّى بن عبدالسلام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المجلسي، محمّد باقر بن</w:t>
      </w:r>
    </w:p>
    <w:p>
      <w:pPr>
        <w:pStyle w:val="BookText"/>
        <w:rPr/>
      </w:pPr>
      <w:r>
        <w:rPr>
          <w:rFonts w:ascii="Amiri" w:hAnsi="Amiri" w:eastAsia="Amiri" w:cs="Amiri"/>
          <w:color w:val="111111"/>
          <w:sz w:val="28"/>
          <w:sz w:val="28"/>
          <w:szCs w:val="28"/>
          <w:rtl w:val="true"/>
          <w:lang w:bidi="ar-SA"/>
        </w:rPr>
        <w:t>محمّد تقي</w:t>
      </w:r>
    </w:p>
    <w:p>
      <w:pPr>
        <w:pStyle w:val="BookText"/>
        <w:rPr/>
      </w:pPr>
      <w:r>
        <w:rPr>
          <w:rFonts w:ascii="Amiri" w:hAnsi="Amiri" w:eastAsia="Amiri" w:cs="Amiri"/>
          <w:color w:val="111111"/>
          <w:sz w:val="28"/>
          <w:sz w:val="28"/>
          <w:szCs w:val="28"/>
          <w:rtl w:val="true"/>
          <w:lang w:bidi="ar-SA"/>
        </w:rPr>
        <w:t xml:space="preserve">المجلسي، محمّد باقر بن محمّد تقي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p>
    <w:p>
      <w:pPr>
        <w:pStyle w:val="BookText"/>
        <w:rPr/>
      </w:pPr>
      <w:r>
        <w:rPr>
          <w:rFonts w:ascii="Amiri" w:hAnsi="Amiri" w:eastAsia="Amiri" w:cs="Amiri"/>
          <w:color w:val="111111"/>
          <w:sz w:val="28"/>
          <w:sz w:val="28"/>
          <w:szCs w:val="28"/>
          <w:rtl w:val="true"/>
          <w:lang w:bidi="ar-SA"/>
        </w:rPr>
        <w:t xml:space="preserve">المحقّق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الكركي، علي</w:t>
      </w:r>
    </w:p>
    <w:p>
      <w:pPr>
        <w:pStyle w:val="BookText"/>
        <w:rPr/>
      </w:pPr>
      <w:r>
        <w:rPr>
          <w:rFonts w:ascii="Amiri" w:hAnsi="Amiri" w:eastAsia="Amiri" w:cs="Amiri"/>
          <w:color w:val="111111"/>
          <w:sz w:val="28"/>
          <w:sz w:val="28"/>
          <w:szCs w:val="28"/>
          <w:rtl w:val="true"/>
          <w:lang w:bidi="ar-SA"/>
        </w:rPr>
        <w:t>بن الحسين</w:t>
      </w:r>
    </w:p>
    <w:p>
      <w:pPr>
        <w:pStyle w:val="BookText"/>
        <w:rPr/>
      </w:pPr>
      <w:r>
        <w:rPr>
          <w:rFonts w:ascii="Amiri" w:hAnsi="Amiri" w:eastAsia="Amiri" w:cs="Amiri"/>
          <w:color w:val="111111"/>
          <w:sz w:val="28"/>
          <w:sz w:val="28"/>
          <w:szCs w:val="28"/>
          <w:rtl w:val="true"/>
          <w:lang w:bidi="ar-SA"/>
        </w:rPr>
        <w:t xml:space="preserve">المحقّق الحلّي، جعفر بن الحسن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p>
    <w:p>
      <w:pPr>
        <w:pStyle w:val="BookText"/>
        <w:rPr/>
      </w:pPr>
      <w:r>
        <w:rPr>
          <w:rFonts w:ascii="Amiri" w:hAnsi="Amiri" w:eastAsia="Amiri" w:cs="Amiri"/>
          <w:color w:val="111111"/>
          <w:sz w:val="28"/>
          <w:sz w:val="28"/>
          <w:szCs w:val="28"/>
          <w:rtl w:val="true"/>
          <w:lang w:bidi="ar-SA"/>
        </w:rPr>
        <w:t xml:space="preserve">المحقّق الكركي، علي بن الحسين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 xml:space="preserve">محمّد بن أبي نصر البزنطي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البزنطي،</w:t>
      </w:r>
    </w:p>
    <w:p>
      <w:pPr>
        <w:pStyle w:val="BookText"/>
        <w:rPr/>
      </w:pPr>
      <w:r>
        <w:rPr>
          <w:rFonts w:ascii="IRNazanin" w:hAnsi="IRNazanin" w:eastAsia="IRNazanin"/>
          <w:color w:val="111111"/>
          <w:sz w:val="28"/>
          <w:sz w:val="28"/>
          <w:szCs w:val="28"/>
          <w:rtl w:val="true"/>
          <w:lang w:bidi="fa-IR"/>
        </w:rPr>
        <w:t>أحمد بن محمّد</w:t>
      </w:r>
    </w:p>
    <w:p>
      <w:pPr>
        <w:pStyle w:val="BookText"/>
        <w:rPr/>
      </w:pPr>
      <w:r>
        <w:rPr>
          <w:rFonts w:ascii="Amiri" w:hAnsi="Amiri" w:eastAsia="Amiri" w:cs="Amiri"/>
          <w:color w:val="111111"/>
          <w:sz w:val="28"/>
          <w:sz w:val="28"/>
          <w:szCs w:val="28"/>
          <w:rtl w:val="true"/>
          <w:lang w:bidi="ar-SA"/>
        </w:rPr>
        <w:t xml:space="preserve">محمّد بن إسماعيل بن بزيع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p>
    <w:p>
      <w:pPr>
        <w:pStyle w:val="BookText"/>
        <w:rPr/>
      </w:pPr>
      <w:r>
        <w:rPr>
          <w:rFonts w:ascii="Amiri" w:hAnsi="Amiri" w:eastAsia="Amiri" w:cs="Amiri"/>
          <w:color w:val="111111"/>
          <w:sz w:val="28"/>
          <w:sz w:val="28"/>
          <w:szCs w:val="28"/>
          <w:rtl w:val="true"/>
          <w:lang w:bidi="ar-SA"/>
        </w:rPr>
        <w:t xml:space="preserve">محمّد بن ريّان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محمّد بن عبدالحميد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محمّد بن قيس </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 xml:space="preserve">محمّد بن مروان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محمّد بن مسلم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p>
    <w:p>
      <w:pPr>
        <w:pStyle w:val="BookText"/>
        <w:rPr/>
      </w:pPr>
      <w:r>
        <w:rPr>
          <w:rFonts w:ascii="Amiri" w:hAnsi="Amiri" w:eastAsia="Amiri" w:cs="Amiri"/>
          <w:color w:val="111111"/>
          <w:sz w:val="28"/>
          <w:sz w:val="28"/>
          <w:szCs w:val="28"/>
          <w:rtl w:val="true"/>
          <w:lang w:bidi="ar-SA"/>
        </w:rPr>
        <w:t xml:space="preserve">المزني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مسعدة بن صدقة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p>
    <w:p>
      <w:pPr>
        <w:pStyle w:val="BookText"/>
        <w:rPr/>
      </w:pPr>
      <w:r>
        <w:rPr>
          <w:rFonts w:ascii="Amiri" w:hAnsi="Amiri" w:eastAsia="Amiri" w:cs="Amiri"/>
          <w:color w:val="111111"/>
          <w:sz w:val="28"/>
          <w:sz w:val="28"/>
          <w:szCs w:val="28"/>
          <w:rtl w:val="true"/>
          <w:lang w:bidi="ar-SA"/>
        </w:rPr>
        <w:t xml:space="preserve">معاوية بن عمّار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معاوية بن وهب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المعلّى بن خنيس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p>
    <w:p>
      <w:pPr>
        <w:pStyle w:val="BookText"/>
        <w:rPr/>
      </w:pPr>
      <w:r>
        <w:rPr>
          <w:rFonts w:ascii="Amiri" w:hAnsi="Amiri" w:eastAsia="Amiri" w:cs="Amiri"/>
          <w:color w:val="111111"/>
          <w:sz w:val="28"/>
          <w:sz w:val="28"/>
          <w:szCs w:val="28"/>
          <w:rtl w:val="true"/>
          <w:lang w:bidi="ar-SA"/>
        </w:rPr>
        <w:t xml:space="preserve">المفيد، محمّد بن محمّد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المكاري، أبو سعيد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الموسوي العاملي، محمّد بن علي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 xml:space="preserve">موسى بن بكر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الميرزا القمّي، أبو القاسم بن محمّد حسن</w:t>
      </w:r>
    </w:p>
    <w:p>
      <w:pPr>
        <w:pStyle w:val="BookText"/>
        <w:rPr/>
      </w:pP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 xml:space="preserve">ميسّر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النجاشي، أحمد بن علي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النحوي، أبو إسحاق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النخّاس، رفاعة بن موسى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النراقي، أحمد بن محمّد مهدي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الوحيد البهبهاني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البهبهاني، محمّد باقر</w:t>
      </w:r>
    </w:p>
    <w:p>
      <w:pPr>
        <w:pStyle w:val="BookText"/>
        <w:rPr/>
      </w:pPr>
      <w:r>
        <w:rPr>
          <w:rFonts w:ascii="Amiri" w:hAnsi="Amiri" w:eastAsia="Amiri" w:cs="Amiri"/>
          <w:color w:val="111111"/>
          <w:sz w:val="28"/>
          <w:sz w:val="28"/>
          <w:szCs w:val="28"/>
          <w:rtl w:val="true"/>
          <w:lang w:bidi="ar-SA"/>
        </w:rPr>
        <w:t>بن محمّد أكمل</w:t>
      </w:r>
    </w:p>
    <w:p>
      <w:pPr>
        <w:pStyle w:val="BookText"/>
        <w:rPr/>
      </w:pPr>
      <w:r>
        <w:rPr>
          <w:rFonts w:ascii="Amiri" w:hAnsi="Amiri" w:eastAsia="Amiri" w:cs="Amiri"/>
          <w:color w:val="111111"/>
          <w:sz w:val="28"/>
          <w:sz w:val="28"/>
          <w:szCs w:val="28"/>
          <w:rtl w:val="true"/>
          <w:lang w:bidi="ar-SA"/>
        </w:rPr>
        <w:t xml:space="preserve">وهب بن حفص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الجريري، وهب بن</w:t>
      </w:r>
    </w:p>
    <w:p>
      <w:pPr>
        <w:pStyle w:val="BookText"/>
        <w:rPr/>
      </w:pPr>
      <w:r>
        <w:rPr>
          <w:rFonts w:ascii="IRNazanin" w:hAnsi="IRNazanin" w:eastAsia="IRNazanin"/>
          <w:color w:val="111111"/>
          <w:sz w:val="28"/>
          <w:sz w:val="28"/>
          <w:szCs w:val="28"/>
          <w:rtl w:val="true"/>
          <w:lang w:bidi="fa-IR"/>
        </w:rPr>
        <w:t>حفص</w:t>
      </w:r>
    </w:p>
    <w:p>
      <w:pPr>
        <w:pStyle w:val="BookText"/>
        <w:rPr/>
      </w:pPr>
      <w:r>
        <w:rPr>
          <w:rFonts w:ascii="IRNazanin" w:hAnsi="IRNazanin" w:eastAsia="IRNazanin"/>
          <w:color w:val="111111"/>
          <w:sz w:val="28"/>
          <w:sz w:val="28"/>
          <w:szCs w:val="28"/>
          <w:rtl w:val="true"/>
          <w:lang w:bidi="fa-IR"/>
        </w:rPr>
        <w:t xml:space="preserve">وهب بن عبد ربّه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p>
    <w:p>
      <w:pPr>
        <w:pStyle w:val="BookText"/>
        <w:rPr/>
      </w:pPr>
      <w:r>
        <w:rPr>
          <w:rFonts w:ascii="Amiri" w:hAnsi="Amiri" w:eastAsia="Amiri" w:cs="Amiri"/>
          <w:color w:val="111111"/>
          <w:sz w:val="28"/>
          <w:sz w:val="28"/>
          <w:szCs w:val="28"/>
          <w:rtl w:val="true"/>
          <w:lang w:bidi="ar-SA"/>
        </w:rPr>
        <w:t xml:space="preserve">وهب بن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البختري</w:t>
      </w:r>
    </w:p>
    <w:p>
      <w:pPr>
        <w:pStyle w:val="BookText"/>
        <w:rPr/>
      </w:pPr>
      <w:r>
        <w:rPr>
          <w:rFonts w:ascii="Amiri" w:hAnsi="Amiri" w:eastAsia="Amiri" w:cs="Amiri"/>
          <w:color w:val="111111"/>
          <w:sz w:val="28"/>
          <w:sz w:val="28"/>
          <w:szCs w:val="28"/>
          <w:rtl w:val="true"/>
          <w:lang w:bidi="ar-SA"/>
        </w:rPr>
        <w:t xml:space="preserve">الهاشمي، إسماعيل بن الفضل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 xml:space="preserve">هشام بن الحكم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IRNazanin" w:hAnsi="IRNazanin" w:eastAsia="IRNazanin"/>
          <w:color w:val="111111"/>
          <w:sz w:val="28"/>
          <w:sz w:val="28"/>
          <w:szCs w:val="28"/>
          <w:rtl w:val="true"/>
          <w:lang w:bidi="fa-IR"/>
        </w:rPr>
        <w:t xml:space="preserve">هشام بن سالم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p>
    <w:p>
      <w:pPr>
        <w:pStyle w:val="BookText"/>
        <w:rPr/>
      </w:pPr>
      <w:r>
        <w:rPr>
          <w:rFonts w:ascii="Amiri" w:hAnsi="Amiri" w:eastAsia="Amiri" w:cs="Amiri"/>
          <w:color w:val="111111"/>
          <w:sz w:val="28"/>
          <w:sz w:val="28"/>
          <w:szCs w:val="28"/>
          <w:rtl w:val="true"/>
          <w:lang w:bidi="ar-SA"/>
        </w:rPr>
        <w:t xml:space="preserve">الهمداني، رضا بن محمّد هادي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242</w:t>
      </w:r>
    </w:p>
    <w:p>
      <w:pPr>
        <w:pStyle w:val="BookText"/>
        <w:rPr/>
      </w:pPr>
      <w:r>
        <w:rPr>
          <w:rFonts w:ascii="Amiri" w:hAnsi="Amiri" w:eastAsia="Amiri" w:cs="Amiri"/>
          <w:color w:val="111111"/>
          <w:sz w:val="28"/>
          <w:sz w:val="28"/>
          <w:szCs w:val="28"/>
          <w:rtl w:val="true"/>
          <w:lang w:bidi="ar-SA"/>
        </w:rPr>
        <w:t xml:space="preserve">اليوسفي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الآبي، الحسن بن أبي طالب</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يونس بن عبدالرحمان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7" w:name="pg15030_143410"/>
      <w:bookmarkStart w:id="528" w:name="pg15030_143410"/>
      <w:bookmarkEnd w:id="528"/>
    </w:p>
    <w:p>
      <w:pPr>
        <w:pStyle w:val="Heading3"/>
        <w:numPr>
          <w:ilvl w:val="2"/>
          <w:numId w:val="1"/>
        </w:numPr>
        <w:rPr/>
      </w:pPr>
      <w:bookmarkStart w:id="529" w:name="pg15030_143410"/>
      <w:bookmarkStart w:id="530" w:name="__RefHeading___Toc212992_2142443653"/>
      <w:bookmarkStart w:id="531" w:name="_Toc188"/>
      <w:bookmarkEnd w:id="529"/>
      <w:bookmarkEnd w:id="530"/>
      <w:r>
        <w:rPr/>
        <w:t>5</w:t>
      </w:r>
      <w:r>
        <w:rPr>
          <w:rtl w:val="true"/>
        </w:rPr>
        <w:t xml:space="preserve"> - </w:t>
      </w:r>
      <w:r>
        <w:rPr>
          <w:rtl w:val="true"/>
        </w:rPr>
        <w:t>فهرس الكتب الواردة في المتن</w:t>
      </w:r>
      <w:bookmarkEnd w:id="531"/>
    </w:p>
    <w:p>
      <w:pPr>
        <w:pStyle w:val="BookText"/>
        <w:rPr/>
      </w:pPr>
      <w:r>
        <w:rPr>
          <w:rFonts w:ascii="Amiri" w:hAnsi="Amiri" w:eastAsia="Amiri" w:cs="Amiri"/>
          <w:color w:val="111111"/>
          <w:sz w:val="28"/>
          <w:sz w:val="28"/>
          <w:szCs w:val="28"/>
          <w:rtl w:val="true"/>
          <w:lang w:bidi="ar-SA"/>
        </w:rPr>
        <w:t xml:space="preserve">القرآن الكريم </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p>
    <w:p>
      <w:pPr>
        <w:pStyle w:val="BookText"/>
        <w:rPr/>
      </w:pPr>
      <w:r>
        <w:rPr>
          <w:rFonts w:ascii="Amiri" w:hAnsi="Amiri" w:eastAsia="Amiri" w:cs="Amiri"/>
          <w:color w:val="111111"/>
          <w:sz w:val="28"/>
          <w:sz w:val="28"/>
          <w:szCs w:val="28"/>
          <w:rtl w:val="true"/>
          <w:lang w:bidi="ar-SA"/>
        </w:rPr>
        <w:t xml:space="preserve">الإصباح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إصباح الشيعة</w:t>
      </w:r>
    </w:p>
    <w:p>
      <w:pPr>
        <w:pStyle w:val="BookText"/>
        <w:rPr/>
      </w:pPr>
      <w:r>
        <w:rPr>
          <w:rFonts w:ascii="Amiri" w:hAnsi="Amiri" w:eastAsia="Amiri" w:cs="Amiri"/>
          <w:color w:val="111111"/>
          <w:sz w:val="28"/>
          <w:sz w:val="28"/>
          <w:szCs w:val="28"/>
          <w:rtl w:val="true"/>
          <w:lang w:bidi="ar-SA"/>
        </w:rPr>
        <w:t xml:space="preserve">إصباح الشيعة </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 xml:space="preserve">الانتصار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البرهان القاطع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 xml:space="preserve">البرهان في تفسير القرآن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التحرير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تحرير الأحكام</w:t>
      </w:r>
    </w:p>
    <w:p>
      <w:pPr>
        <w:pStyle w:val="BookText"/>
        <w:rPr/>
      </w:pPr>
      <w:r>
        <w:rPr>
          <w:rFonts w:ascii="Amiri" w:hAnsi="Amiri" w:eastAsia="Amiri" w:cs="Amiri"/>
          <w:color w:val="111111"/>
          <w:sz w:val="28"/>
          <w:sz w:val="28"/>
          <w:szCs w:val="28"/>
          <w:rtl w:val="true"/>
          <w:lang w:bidi="ar-SA"/>
        </w:rPr>
        <w:t xml:space="preserve">تحرير الأحكام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الفقهاء</w:t>
      </w:r>
    </w:p>
    <w:p>
      <w:pPr>
        <w:pStyle w:val="BookText"/>
        <w:rPr/>
      </w:pPr>
      <w:r>
        <w:rPr>
          <w:rFonts w:ascii="Amiri" w:hAnsi="Amiri" w:eastAsia="Amiri" w:cs="Amiri"/>
          <w:color w:val="111111"/>
          <w:sz w:val="28"/>
          <w:sz w:val="28"/>
          <w:szCs w:val="28"/>
          <w:rtl w:val="true"/>
          <w:lang w:bidi="ar-SA"/>
        </w:rPr>
        <w:t xml:space="preserve">تذكرة الفقهاء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p>
    <w:p>
      <w:pPr>
        <w:pStyle w:val="BookText"/>
        <w:rPr/>
      </w:pPr>
      <w:r>
        <w:rPr>
          <w:rFonts w:ascii="Amiri" w:hAnsi="Amiri" w:eastAsia="Amiri" w:cs="Amiri"/>
          <w:color w:val="111111"/>
          <w:sz w:val="28"/>
          <w:sz w:val="28"/>
          <w:szCs w:val="28"/>
          <w:rtl w:val="true"/>
          <w:lang w:bidi="ar-SA"/>
        </w:rPr>
        <w:t xml:space="preserve">تعليق النافع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التلخيص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تلخيص المرام</w:t>
      </w:r>
    </w:p>
    <w:p>
      <w:pPr>
        <w:pStyle w:val="BookText"/>
        <w:rPr/>
      </w:pPr>
      <w:r>
        <w:rPr>
          <w:rFonts w:ascii="Amiri" w:hAnsi="Amiri" w:eastAsia="Amiri" w:cs="Amiri"/>
          <w:color w:val="111111"/>
          <w:sz w:val="28"/>
          <w:sz w:val="28"/>
          <w:szCs w:val="28"/>
          <w:rtl w:val="true"/>
          <w:lang w:bidi="ar-SA"/>
        </w:rPr>
        <w:t xml:space="preserve">تلخيص المرام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التنقيح الرائع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الأحكام</w:t>
      </w:r>
    </w:p>
    <w:p>
      <w:pPr>
        <w:pStyle w:val="BookText"/>
        <w:rPr/>
      </w:pP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349</w:t>
      </w:r>
      <w:r>
        <w:rPr>
          <w:rFonts w:ascii="IRNazanin" w:hAnsi="IRNazanin" w:eastAsia="IRNazanin"/>
          <w:color w:val="111111"/>
          <w:sz w:val="28"/>
          <w:sz w:val="28"/>
          <w:szCs w:val="28"/>
          <w:lang w:bidi="fa-IR"/>
        </w:rPr>
        <w:t>،</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p>
    <w:p>
      <w:pPr>
        <w:pStyle w:val="BookText"/>
        <w:rPr/>
      </w:pPr>
      <w:r>
        <w:rPr>
          <w:rFonts w:ascii="Amiri" w:hAnsi="Amiri" w:eastAsia="Amiri" w:cs="Amiri"/>
          <w:color w:val="111111"/>
          <w:sz w:val="28"/>
          <w:sz w:val="28"/>
          <w:szCs w:val="28"/>
          <w:rtl w:val="true"/>
          <w:lang w:bidi="ar-SA"/>
        </w:rPr>
        <w:t xml:space="preserve">جامع البزنطي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IRNazanin" w:hAnsi="IRNazanin" w:eastAsia="IRNazanin"/>
          <w:color w:val="111111"/>
          <w:sz w:val="28"/>
          <w:sz w:val="28"/>
          <w:szCs w:val="28"/>
          <w:rtl w:val="true"/>
          <w:lang w:bidi="fa-IR"/>
        </w:rPr>
        <w:t xml:space="preserve">جامع المقاصد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p>
    <w:p>
      <w:pPr>
        <w:pStyle w:val="BookText"/>
        <w:rPr/>
      </w:pP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جواهر الكلام</w:t>
      </w:r>
    </w:p>
    <w:p>
      <w:pPr>
        <w:pStyle w:val="BookText"/>
        <w:rPr/>
      </w:pP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p>
    <w:p>
      <w:pPr>
        <w:pStyle w:val="BookText"/>
        <w:rPr/>
      </w:pPr>
      <w:r>
        <w:rPr>
          <w:rFonts w:ascii="Amiri" w:hAnsi="Amiri" w:eastAsia="Amiri" w:cs="Amiri"/>
          <w:color w:val="111111"/>
          <w:sz w:val="28"/>
          <w:sz w:val="28"/>
          <w:szCs w:val="28"/>
          <w:rtl w:val="true"/>
          <w:lang w:bidi="ar-SA"/>
        </w:rPr>
        <w:t xml:space="preserve">الحبل المتين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الحدائق الناضرة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الخلاف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396</w:t>
      </w:r>
    </w:p>
    <w:p>
      <w:pPr>
        <w:pStyle w:val="BookText"/>
        <w:rPr/>
      </w:pPr>
      <w:r>
        <w:rPr>
          <w:rFonts w:ascii="Amiri" w:hAnsi="Amiri" w:eastAsia="Amiri" w:cs="Amiri"/>
          <w:color w:val="111111"/>
          <w:sz w:val="28"/>
          <w:sz w:val="28"/>
          <w:szCs w:val="28"/>
          <w:rtl w:val="true"/>
          <w:lang w:bidi="ar-SA"/>
        </w:rPr>
        <w:t xml:space="preserve">الدروس الشرعية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الدلائل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p>
    <w:p>
      <w:pPr>
        <w:pStyle w:val="BookText"/>
        <w:rPr/>
      </w:pPr>
      <w:r>
        <w:rPr>
          <w:rFonts w:ascii="Amiri" w:hAnsi="Amiri" w:eastAsia="Amiri" w:cs="Amiri"/>
          <w:color w:val="111111"/>
          <w:sz w:val="28"/>
          <w:sz w:val="28"/>
          <w:szCs w:val="28"/>
          <w:rtl w:val="true"/>
          <w:lang w:bidi="ar-SA"/>
        </w:rPr>
        <w:t xml:space="preserve">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ذخيرة المعاد</w:t>
      </w:r>
    </w:p>
    <w:p>
      <w:pPr>
        <w:pStyle w:val="BookText"/>
        <w:rPr/>
      </w:pPr>
      <w:r>
        <w:rPr>
          <w:rFonts w:ascii="Amiri" w:hAnsi="Amiri" w:eastAsia="Amiri" w:cs="Amiri"/>
          <w:color w:val="111111"/>
          <w:sz w:val="28"/>
          <w:sz w:val="28"/>
          <w:szCs w:val="28"/>
          <w:rtl w:val="true"/>
          <w:lang w:bidi="ar-SA"/>
        </w:rPr>
        <w:t xml:space="preserve">ذخيرة المعاد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p>
    <w:p>
      <w:pPr>
        <w:pStyle w:val="BookText"/>
        <w:rPr/>
      </w:pPr>
      <w:r>
        <w:rPr>
          <w:rFonts w:ascii="Amiri" w:hAnsi="Amiri" w:eastAsia="Amiri" w:cs="Amiri"/>
          <w:color w:val="111111"/>
          <w:sz w:val="28"/>
          <w:sz w:val="28"/>
          <w:szCs w:val="28"/>
          <w:rtl w:val="true"/>
          <w:lang w:bidi="ar-SA"/>
        </w:rPr>
        <w:t xml:space="preserve">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ذكرى الشيعة</w:t>
      </w:r>
    </w:p>
    <w:p>
      <w:pPr>
        <w:pStyle w:val="BookText"/>
        <w:rPr/>
      </w:pPr>
      <w:r>
        <w:rPr>
          <w:rFonts w:ascii="Amiri" w:hAnsi="Amiri" w:eastAsia="Amiri" w:cs="Amiri"/>
          <w:color w:val="111111"/>
          <w:sz w:val="28"/>
          <w:sz w:val="28"/>
          <w:szCs w:val="28"/>
          <w:rtl w:val="true"/>
          <w:lang w:bidi="ar-SA"/>
        </w:rPr>
        <w:t xml:space="preserve">ذكرى الشيعة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الروض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 الجنان</w:t>
      </w:r>
    </w:p>
    <w:p>
      <w:pPr>
        <w:pStyle w:val="BookText"/>
        <w:rPr/>
      </w:pPr>
      <w:r>
        <w:rPr>
          <w:rFonts w:ascii="IRNazanin" w:hAnsi="IRNazanin" w:eastAsia="IRNazanin"/>
          <w:color w:val="111111"/>
          <w:sz w:val="28"/>
          <w:sz w:val="28"/>
          <w:szCs w:val="28"/>
          <w:rtl w:val="true"/>
          <w:lang w:bidi="fa-IR"/>
        </w:rPr>
        <w:t xml:space="preserve">روض الجنان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الشرائع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شرائع الإسلام</w:t>
      </w:r>
    </w:p>
    <w:p>
      <w:pPr>
        <w:pStyle w:val="BookText"/>
        <w:rPr/>
      </w:pPr>
      <w:r>
        <w:rPr>
          <w:rFonts w:ascii="IRNazanin" w:hAnsi="IRNazanin" w:eastAsia="IRNazanin"/>
          <w:color w:val="111111"/>
          <w:sz w:val="28"/>
          <w:sz w:val="28"/>
          <w:szCs w:val="28"/>
          <w:rtl w:val="true"/>
          <w:lang w:bidi="fa-IR"/>
        </w:rPr>
        <w:t xml:space="preserve">شرائع الإسلام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 xml:space="preserve">شرح الاُستاذ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مصابيح الظلام</w:t>
      </w:r>
    </w:p>
    <w:p>
      <w:pPr>
        <w:pStyle w:val="BookText"/>
        <w:rPr/>
      </w:pPr>
      <w:r>
        <w:rPr>
          <w:rFonts w:ascii="IRNazanin" w:hAnsi="IRNazanin" w:eastAsia="IRNazanin"/>
          <w:color w:val="111111"/>
          <w:sz w:val="28"/>
          <w:sz w:val="28"/>
          <w:szCs w:val="28"/>
          <w:rtl w:val="true"/>
          <w:lang w:bidi="fa-IR"/>
        </w:rPr>
        <w:t xml:space="preserve">شرح جمل العلم والعمل </w:t>
      </w:r>
      <w:r>
        <w:rPr>
          <w:rFonts w:eastAsia="IRNazanin" w:cs="IRNazanin"/>
          <w:color w:val="111111"/>
          <w:sz w:val="28"/>
          <w:szCs w:val="28"/>
          <w:lang w:bidi="fa-IR"/>
        </w:rPr>
        <w:t>308</w:t>
      </w:r>
    </w:p>
    <w:p>
      <w:pPr>
        <w:pStyle w:val="BookText"/>
        <w:rPr/>
      </w:pPr>
      <w:r>
        <w:rPr>
          <w:rFonts w:ascii="Amiri" w:hAnsi="Amiri" w:eastAsia="Amiri" w:cs="Amiri"/>
          <w:color w:val="111111"/>
          <w:sz w:val="28"/>
          <w:sz w:val="28"/>
          <w:szCs w:val="28"/>
          <w:rtl w:val="true"/>
          <w:lang w:bidi="ar-SA"/>
        </w:rPr>
        <w:t xml:space="preserve">شرح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جمل العلم</w:t>
      </w:r>
    </w:p>
    <w:p>
      <w:pPr>
        <w:pStyle w:val="BookText"/>
        <w:rPr/>
      </w:pPr>
      <w:r>
        <w:rPr>
          <w:rFonts w:ascii="IRNazanin" w:hAnsi="IRNazanin" w:eastAsia="IRNazanin"/>
          <w:color w:val="111111"/>
          <w:sz w:val="28"/>
          <w:sz w:val="28"/>
          <w:szCs w:val="28"/>
          <w:rtl w:val="true"/>
          <w:lang w:bidi="fa-IR"/>
        </w:rPr>
        <w:t>والعمل</w:t>
      </w:r>
    </w:p>
    <w:p>
      <w:pPr>
        <w:pStyle w:val="BookText"/>
        <w:rPr/>
      </w:pP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الشرائع</w:t>
      </w:r>
    </w:p>
    <w:p>
      <w:pPr>
        <w:pStyle w:val="BookText"/>
        <w:rPr/>
      </w:pP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العيون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عيون أخبار الرضا علیه السلام</w:t>
      </w:r>
    </w:p>
    <w:p>
      <w:pPr>
        <w:pStyle w:val="BookText"/>
        <w:rPr/>
      </w:pPr>
      <w:r>
        <w:rPr>
          <w:rFonts w:ascii="IRNazanin" w:hAnsi="IRNazanin" w:eastAsia="IRNazanin"/>
          <w:color w:val="111111"/>
          <w:sz w:val="28"/>
          <w:sz w:val="28"/>
          <w:szCs w:val="28"/>
          <w:rtl w:val="true"/>
          <w:lang w:bidi="fa-IR"/>
        </w:rPr>
        <w:t xml:space="preserve">عيون أخبار الرضا علیه السلام </w:t>
      </w:r>
      <w:r>
        <w:rPr>
          <w:rFonts w:eastAsia="IRNazanin" w:cs="IRNazanin"/>
          <w:color w:val="111111"/>
          <w:sz w:val="28"/>
          <w:szCs w:val="28"/>
          <w:lang w:bidi="fa-IR"/>
        </w:rPr>
        <w:t>387</w:t>
      </w:r>
    </w:p>
    <w:p>
      <w:pPr>
        <w:pStyle w:val="BookText"/>
        <w:rPr/>
      </w:pPr>
      <w:r>
        <w:rPr>
          <w:rFonts w:ascii="Amiri" w:hAnsi="Amiri" w:eastAsia="Amiri" w:cs="Amiri"/>
          <w:color w:val="111111"/>
          <w:sz w:val="28"/>
          <w:sz w:val="28"/>
          <w:szCs w:val="28"/>
          <w:rtl w:val="true"/>
          <w:lang w:bidi="ar-SA"/>
        </w:rPr>
        <w:t xml:space="preserve">الغنية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غنية النزوع</w:t>
      </w:r>
    </w:p>
    <w:p>
      <w:pPr>
        <w:pStyle w:val="BookText"/>
        <w:rPr/>
      </w:pPr>
      <w:r>
        <w:rPr>
          <w:rFonts w:ascii="Amiri" w:hAnsi="Amiri" w:eastAsia="Amiri" w:cs="Amiri"/>
          <w:color w:val="111111"/>
          <w:sz w:val="28"/>
          <w:sz w:val="28"/>
          <w:szCs w:val="28"/>
          <w:rtl w:val="true"/>
          <w:lang w:bidi="ar-SA"/>
        </w:rPr>
        <w:t xml:space="preserve">غنية النزوع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 المنسوب للإمام</w:t>
      </w:r>
    </w:p>
    <w:p>
      <w:pPr>
        <w:pStyle w:val="BookText"/>
        <w:rPr/>
      </w:pPr>
      <w:r>
        <w:rPr>
          <w:rFonts w:ascii="IRNazanin" w:hAnsi="IRNazanin" w:eastAsia="IRNazanin"/>
          <w:color w:val="111111"/>
          <w:sz w:val="28"/>
          <w:sz w:val="28"/>
          <w:szCs w:val="28"/>
          <w:rtl w:val="true"/>
          <w:lang w:bidi="fa-IR"/>
        </w:rPr>
        <w:t>الرضا علیه السلام</w:t>
      </w:r>
    </w:p>
    <w:p>
      <w:pPr>
        <w:pStyle w:val="BookText"/>
        <w:rPr/>
      </w:pPr>
      <w:r>
        <w:rPr>
          <w:rFonts w:ascii="IRNazanin" w:hAnsi="IRNazanin" w:eastAsia="IRNazanin"/>
          <w:color w:val="111111"/>
          <w:sz w:val="28"/>
          <w:sz w:val="28"/>
          <w:szCs w:val="28"/>
          <w:rtl w:val="true"/>
          <w:lang w:bidi="fa-IR"/>
        </w:rPr>
        <w:t xml:space="preserve">الفقه الرضوى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 المنسوب للإمام</w:t>
      </w:r>
    </w:p>
    <w:p>
      <w:pPr>
        <w:pStyle w:val="BookText"/>
        <w:rPr/>
      </w:pPr>
      <w:r>
        <w:rPr>
          <w:rFonts w:ascii="IRNazanin" w:hAnsi="IRNazanin" w:eastAsia="IRNazanin"/>
          <w:color w:val="111111"/>
          <w:sz w:val="28"/>
          <w:sz w:val="28"/>
          <w:szCs w:val="28"/>
          <w:rtl w:val="true"/>
          <w:lang w:bidi="fa-IR"/>
        </w:rPr>
        <w:t>الرضا علیه السلام</w:t>
      </w:r>
    </w:p>
    <w:p>
      <w:pPr>
        <w:pStyle w:val="BookText"/>
        <w:rPr/>
      </w:pPr>
      <w:r>
        <w:rPr>
          <w:rFonts w:ascii="IRNazanin" w:hAnsi="IRNazanin" w:eastAsia="IRNazanin"/>
          <w:color w:val="111111"/>
          <w:sz w:val="28"/>
          <w:sz w:val="28"/>
          <w:szCs w:val="28"/>
          <w:rtl w:val="true"/>
          <w:lang w:bidi="fa-IR"/>
        </w:rPr>
        <w:t xml:space="preserve">الفقه المنسوب للإمام الرضا علیه السلام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لايحضره الفقيه</w:t>
      </w:r>
    </w:p>
    <w:p>
      <w:pPr>
        <w:pStyle w:val="BookText"/>
        <w:rPr/>
      </w:pPr>
      <w:r>
        <w:rPr>
          <w:rFonts w:ascii="Amiri" w:hAnsi="Amiri" w:eastAsia="Amiri" w:cs="Amiri"/>
          <w:color w:val="111111"/>
          <w:sz w:val="28"/>
          <w:sz w:val="28"/>
          <w:szCs w:val="28"/>
          <w:rtl w:val="true"/>
          <w:lang w:bidi="ar-SA"/>
        </w:rPr>
        <w:t xml:space="preserve">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قواعد الأحكام</w:t>
      </w:r>
    </w:p>
    <w:p>
      <w:pPr>
        <w:pStyle w:val="BookText"/>
        <w:rPr/>
      </w:pPr>
      <w:r>
        <w:rPr>
          <w:rFonts w:ascii="Amiri" w:hAnsi="Amiri" w:eastAsia="Amiri" w:cs="Amiri"/>
          <w:color w:val="111111"/>
          <w:sz w:val="28"/>
          <w:sz w:val="28"/>
          <w:szCs w:val="28"/>
          <w:rtl w:val="true"/>
          <w:lang w:bidi="ar-SA"/>
        </w:rPr>
        <w:t xml:space="preserve">قواعد الأحكام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كتاب علي بن جعفر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كشف الالتباس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كشف الحقّ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كشف الرموز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الفقه</w:t>
      </w:r>
    </w:p>
    <w:p>
      <w:pPr>
        <w:pStyle w:val="BookText"/>
        <w:rPr/>
      </w:pPr>
      <w:r>
        <w:rPr>
          <w:rFonts w:ascii="Amiri" w:hAnsi="Amiri" w:eastAsia="Amiri" w:cs="Amiri"/>
          <w:color w:val="111111"/>
          <w:sz w:val="28"/>
          <w:sz w:val="28"/>
          <w:szCs w:val="28"/>
          <w:rtl w:val="true"/>
          <w:lang w:bidi="ar-SA"/>
        </w:rPr>
        <w:t xml:space="preserve">كفاية 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المبسوط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w:t>
      </w:r>
    </w:p>
    <w:p>
      <w:pPr>
        <w:pStyle w:val="BookText"/>
        <w:rPr/>
      </w:pPr>
      <w:r>
        <w:rPr>
          <w:rFonts w:ascii="Amiri" w:hAnsi="Amiri" w:eastAsia="Amiri" w:cs="Amiri"/>
          <w:color w:val="111111"/>
          <w:sz w:val="28"/>
          <w:sz w:val="28"/>
          <w:szCs w:val="28"/>
          <w:rtl w:val="true"/>
          <w:lang w:bidi="ar-SA"/>
        </w:rPr>
        <w:t xml:space="preserve">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الفائدة والبرهان</w:t>
      </w:r>
    </w:p>
    <w:p>
      <w:pPr>
        <w:pStyle w:val="BookText"/>
        <w:rPr/>
      </w:pP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مجمع الفائدة والبرهان </w:t>
      </w:r>
      <w:r>
        <w:rPr>
          <w:rFonts w:eastAsia="Amiri" w:cs="Amiri" w:ascii="Amiri" w:hAnsi="Amiri"/>
          <w:color w:val="111111"/>
          <w:sz w:val="28"/>
          <w:szCs w:val="28"/>
          <w:lang w:bidi="ar-SA"/>
        </w:rPr>
        <w:t>216</w:t>
      </w:r>
    </w:p>
    <w:p>
      <w:pPr>
        <w:pStyle w:val="BookText"/>
        <w:rPr/>
      </w:pPr>
      <w:r>
        <w:rPr>
          <w:rFonts w:ascii="IRNazanin" w:hAnsi="IRNazanin" w:eastAsia="IRNazanin"/>
          <w:color w:val="111111"/>
          <w:sz w:val="28"/>
          <w:sz w:val="28"/>
          <w:szCs w:val="28"/>
          <w:rtl w:val="true"/>
          <w:lang w:bidi="fa-IR"/>
        </w:rPr>
        <w:t xml:space="preserve">المختصر النافع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 xml:space="preserve">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 الشيعة</w:t>
      </w:r>
    </w:p>
    <w:p>
      <w:pPr>
        <w:pStyle w:val="BookText"/>
        <w:rPr/>
      </w:pPr>
      <w:r>
        <w:rPr>
          <w:rFonts w:ascii="Amiri" w:hAnsi="Amiri" w:eastAsia="Amiri" w:cs="Amiri"/>
          <w:color w:val="111111"/>
          <w:sz w:val="28"/>
          <w:sz w:val="28"/>
          <w:szCs w:val="28"/>
          <w:rtl w:val="true"/>
          <w:lang w:bidi="ar-SA"/>
        </w:rPr>
        <w:t xml:space="preserve">مختلف الشيعة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مدارك الأحكام</w:t>
      </w:r>
    </w:p>
    <w:p>
      <w:pPr>
        <w:pStyle w:val="BookText"/>
        <w:rPr/>
      </w:pPr>
      <w:r>
        <w:rPr>
          <w:rFonts w:ascii="Amiri" w:hAnsi="Amiri" w:eastAsia="Amiri" w:cs="Amiri"/>
          <w:color w:val="111111"/>
          <w:sz w:val="28"/>
          <w:sz w:val="28"/>
          <w:szCs w:val="28"/>
          <w:rtl w:val="true"/>
          <w:lang w:bidi="ar-SA"/>
        </w:rPr>
        <w:t xml:space="preserve">مدارك الأحكام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396</w:t>
      </w:r>
    </w:p>
    <w:p>
      <w:pPr>
        <w:pStyle w:val="BookText"/>
        <w:rPr/>
      </w:pPr>
      <w:r>
        <w:rPr>
          <w:rFonts w:ascii="Amiri" w:hAnsi="Amiri" w:eastAsia="Amiri" w:cs="Amiri"/>
          <w:color w:val="111111"/>
          <w:sz w:val="28"/>
          <w:sz w:val="28"/>
          <w:szCs w:val="28"/>
          <w:rtl w:val="true"/>
          <w:lang w:bidi="ar-SA"/>
        </w:rPr>
        <w:t xml:space="preserve">مرآة العقول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IRNazanin" w:hAnsi="IRNazanin" w:eastAsia="IRNazanin"/>
          <w:color w:val="111111"/>
          <w:sz w:val="28"/>
          <w:sz w:val="28"/>
          <w:szCs w:val="28"/>
          <w:rtl w:val="true"/>
          <w:lang w:bidi="fa-IR"/>
        </w:rPr>
        <w:t xml:space="preserve">المراسم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 xml:space="preserve">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مسالك الأفهام</w:t>
      </w:r>
    </w:p>
    <w:p>
      <w:pPr>
        <w:pStyle w:val="BookText"/>
        <w:rPr/>
      </w:pPr>
      <w:r>
        <w:rPr>
          <w:rFonts w:ascii="Amiri" w:hAnsi="Amiri" w:eastAsia="Amiri" w:cs="Amiri"/>
          <w:color w:val="111111"/>
          <w:sz w:val="28"/>
          <w:sz w:val="28"/>
          <w:szCs w:val="28"/>
          <w:rtl w:val="true"/>
          <w:lang w:bidi="ar-SA"/>
        </w:rPr>
        <w:t xml:space="preserve">مسالك الأفهام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IRNazanin" w:hAnsi="IRNazanin" w:eastAsia="IRNazanin"/>
          <w:color w:val="111111"/>
          <w:sz w:val="28"/>
          <w:sz w:val="28"/>
          <w:szCs w:val="28"/>
          <w:rtl w:val="true"/>
          <w:lang w:bidi="fa-IR"/>
        </w:rPr>
        <w:t xml:space="preserve">مستطرفات السرائر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 xml:space="preserve">المصابيح في الفقه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مصابيح الظلام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مصباح الفقيه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المعالم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معالم الدين</w:t>
      </w:r>
    </w:p>
    <w:p>
      <w:pPr>
        <w:pStyle w:val="BookText"/>
        <w:rPr/>
      </w:pPr>
      <w:r>
        <w:rPr>
          <w:rFonts w:ascii="Amiri" w:hAnsi="Amiri" w:eastAsia="Amiri" w:cs="Amiri"/>
          <w:color w:val="111111"/>
          <w:sz w:val="28"/>
          <w:sz w:val="28"/>
          <w:szCs w:val="28"/>
          <w:rtl w:val="true"/>
          <w:lang w:bidi="ar-SA"/>
        </w:rPr>
        <w:t xml:space="preserve">معالم الدين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 xml:space="preserve">المعتبر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p>
    <w:p>
      <w:pPr>
        <w:pStyle w:val="BookText"/>
        <w:rPr/>
      </w:pPr>
      <w:r>
        <w:rPr>
          <w:rFonts w:ascii="Amiri" w:hAnsi="Amiri" w:eastAsia="Amiri" w:cs="Amiri"/>
          <w:color w:val="111111"/>
          <w:sz w:val="28"/>
          <w:sz w:val="28"/>
          <w:szCs w:val="28"/>
          <w:rtl w:val="true"/>
          <w:lang w:bidi="ar-SA"/>
        </w:rPr>
        <w:t xml:space="preserve">المفاتيح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مفاتيح الشرائع</w:t>
      </w:r>
    </w:p>
    <w:p>
      <w:pPr>
        <w:pStyle w:val="BookText"/>
        <w:rPr/>
      </w:pPr>
      <w:r>
        <w:rPr>
          <w:rFonts w:ascii="Amiri" w:hAnsi="Amiri" w:eastAsia="Amiri" w:cs="Amiri"/>
          <w:color w:val="111111"/>
          <w:sz w:val="28"/>
          <w:sz w:val="28"/>
          <w:szCs w:val="28"/>
          <w:rtl w:val="true"/>
          <w:lang w:bidi="ar-SA"/>
        </w:rPr>
        <w:t xml:space="preserve">مفاتيح الشرائع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مفتاح الكرامة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المنتهى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منتهى المطلب</w:t>
      </w:r>
    </w:p>
    <w:p>
      <w:pPr>
        <w:pStyle w:val="BookText"/>
        <w:rPr/>
      </w:pPr>
      <w:r>
        <w:rPr>
          <w:rFonts w:ascii="IRNazanin" w:hAnsi="IRNazanin" w:eastAsia="IRNazanin"/>
          <w:color w:val="111111"/>
          <w:sz w:val="28"/>
          <w:sz w:val="28"/>
          <w:szCs w:val="28"/>
          <w:rtl w:val="true"/>
          <w:lang w:bidi="fa-IR"/>
        </w:rPr>
        <w:t xml:space="preserve">منتهى المطلب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p>
    <w:p>
      <w:pPr>
        <w:pStyle w:val="BookText"/>
        <w:rPr/>
      </w:pPr>
      <w:r>
        <w:rPr>
          <w:rFonts w:ascii="Amiri" w:hAnsi="Amiri" w:eastAsia="Amiri" w:cs="Amiri"/>
          <w:color w:val="111111"/>
          <w:sz w:val="28"/>
          <w:sz w:val="28"/>
          <w:szCs w:val="28"/>
          <w:rtl w:val="true"/>
          <w:lang w:bidi="ar-SA"/>
        </w:rPr>
        <w:t xml:space="preserve">من لايحضره الفقيه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الناصريات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179</w:t>
      </w:r>
    </w:p>
    <w:p>
      <w:pPr>
        <w:pStyle w:val="BookText"/>
        <w:rPr/>
      </w:pPr>
      <w:r>
        <w:rPr>
          <w:rFonts w:ascii="IRNazanin" w:hAnsi="IRNazanin" w:eastAsia="IRNazanin"/>
          <w:color w:val="111111"/>
          <w:sz w:val="28"/>
          <w:sz w:val="28"/>
          <w:szCs w:val="28"/>
          <w:rtl w:val="true"/>
          <w:lang w:bidi="fa-IR"/>
        </w:rPr>
        <w:t xml:space="preserve">النافع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المختصر النافع</w:t>
      </w:r>
    </w:p>
    <w:p>
      <w:pPr>
        <w:pStyle w:val="BookText"/>
        <w:rPr/>
      </w:pP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الإحكام</w:t>
      </w:r>
    </w:p>
    <w:p>
      <w:pPr>
        <w:pStyle w:val="BookText"/>
        <w:rPr/>
      </w:pP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النهاية في مجرّد الفقه</w:t>
      </w:r>
    </w:p>
    <w:p>
      <w:pPr>
        <w:pStyle w:val="BookText"/>
        <w:rPr/>
      </w:pPr>
      <w:r>
        <w:rPr>
          <w:rFonts w:ascii="IRNazanin" w:hAnsi="IRNazanin" w:eastAsia="IRNazanin"/>
          <w:color w:val="111111"/>
          <w:sz w:val="28"/>
          <w:sz w:val="28"/>
          <w:szCs w:val="28"/>
          <w:rtl w:val="true"/>
          <w:lang w:bidi="fa-IR"/>
        </w:rPr>
        <w:t>والفتاوى</w:t>
      </w:r>
    </w:p>
    <w:p>
      <w:pPr>
        <w:pStyle w:val="BookText"/>
        <w:rPr/>
      </w:pPr>
      <w:r>
        <w:rPr>
          <w:rFonts w:ascii="Amiri" w:hAnsi="Amiri" w:eastAsia="Amiri" w:cs="Amiri"/>
          <w:color w:val="111111"/>
          <w:sz w:val="28"/>
          <w:sz w:val="28"/>
          <w:szCs w:val="28"/>
          <w:rtl w:val="true"/>
          <w:lang w:bidi="ar-SA"/>
        </w:rPr>
        <w:t xml:space="preserve">النهاية في مجرّد الفقه والفتاوى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p>
    <w:p>
      <w:pPr>
        <w:pStyle w:val="BookText"/>
        <w:rPr/>
      </w:pPr>
      <w:r>
        <w:rPr>
          <w:rFonts w:ascii="Amiri" w:hAnsi="Amiri" w:eastAsia="Amiri" w:cs="Amiri"/>
          <w:color w:val="111111"/>
          <w:sz w:val="28"/>
          <w:sz w:val="28"/>
          <w:szCs w:val="28"/>
          <w:rtl w:val="true"/>
          <w:lang w:bidi="ar-SA"/>
        </w:rPr>
        <w:t xml:space="preserve">نهاية الإحكام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الوافي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p>
    <w:p>
      <w:pPr>
        <w:pStyle w:val="BookText"/>
        <w:rPr/>
      </w:pP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w:t>
      </w:r>
    </w:p>
    <w:p>
      <w:pPr>
        <w:pStyle w:val="BookText"/>
        <w:rPr/>
      </w:pP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p>
    <w:p>
      <w:pPr>
        <w:pStyle w:val="BookText"/>
        <w:rPr/>
      </w:pPr>
      <w:r>
        <w:rPr>
          <w:rFonts w:ascii="Amiri" w:hAnsi="Amiri" w:eastAsia="Amiri" w:cs="Amiri"/>
          <w:color w:val="111111"/>
          <w:sz w:val="28"/>
          <w:sz w:val="28"/>
          <w:szCs w:val="28"/>
          <w:rtl w:val="true"/>
          <w:lang w:bidi="ar-SA"/>
        </w:rPr>
        <w:t xml:space="preserve">الوسيلة إلى نيل الفضيلة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 xml:space="preserve"> </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2" w:name="pg15030_143414"/>
      <w:bookmarkStart w:id="533" w:name="pg15030_143414"/>
      <w:bookmarkEnd w:id="533"/>
    </w:p>
    <w:p>
      <w:pPr>
        <w:pStyle w:val="Heading3"/>
        <w:numPr>
          <w:ilvl w:val="2"/>
          <w:numId w:val="1"/>
        </w:numPr>
        <w:rPr/>
      </w:pPr>
      <w:bookmarkStart w:id="534" w:name="pg15030_143414"/>
      <w:bookmarkStart w:id="535" w:name="__RefHeading___Toc212994_2142443653"/>
      <w:bookmarkStart w:id="536" w:name="_Toc189"/>
      <w:bookmarkEnd w:id="534"/>
      <w:bookmarkEnd w:id="535"/>
      <w:r>
        <w:rPr/>
        <w:t>6</w:t>
      </w:r>
      <w:r>
        <w:rPr>
          <w:rtl w:val="true"/>
        </w:rPr>
        <w:t xml:space="preserve"> - </w:t>
      </w:r>
      <w:r>
        <w:rPr>
          <w:rtl w:val="true"/>
        </w:rPr>
        <w:t>فهرس مصادر التحقيق</w:t>
      </w:r>
      <w:bookmarkEnd w:id="5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أحكام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أحمد بن علي الجصّاص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الاُولى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بيروت ، نشر دار الكتاب العربي ،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اختيار معرفة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شيخ الطائفة محمّد بن الحسن المعروف بالشيخ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حسن المصطفوي ، جامعة مشهد ،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الاستبصار فيما اختلف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شيخ الطائفة محمّد بن الحسن المعروف بالشيخ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السيّد حسن الموسوي الخرسان ، الطبعة الثالثة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طهران ، دار الكتب الإسلامية ،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الاستصحاب ،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إصباح الشيعة بمصباح الشريعة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الدين محمّد بن الحسين الكيدرى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القرن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الشيخ إبراهيم البهادري ، الطبعة الاُولى ، قم ، مؤسّسة الإمام الصادق علیه السلام ،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أقرب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الخوري الشرتوني اللبناني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مكتبة آية اللّه المرعشي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محمّد بن إدريس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محمّد زهري النجّار ، بيروت ، نشر دار المعرفة للطباعة والنشر ،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المرتضى علم الهدى أبو القاسم علي بن الحسين الموسوي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 مؤسّسة النشر الإسلامي ،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أنوار الهداية في التعليقة على الكفاية ،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إيضاح الفوائد في شرح إشكالات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المحقّقين الشيخ أبو طالب محمّد بن الحسن بن يوسف بن المطهّر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عدّة من العلماء ، الطبعة الاُولى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المطبعة العلمية ،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الجامعة لدُرر أخبار الأئمّة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محمّد باقر بن محمّدتقيّ المجلسي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الثانية ، إعداد عدّة من العلماء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من المجلّد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المدخل ، بيروت ، دار إحياء التراث العربي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بدائع الصنائع في ترتيب الشرائع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الدين أبو بكر بن مسعود الكاشاني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الاُولى ، پاكستان ، المكتبة الحبيبية ،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بداية المجتهد ونهاية المقتصد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رشد القرطبي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الاُولى ، مجلّدان ، قم ، منشورات الشريف الرضيّ ،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البرهان القاطع في شرح المختصر النافع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آل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الطبعة الحجرية </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البرهان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بن سليمان بن إسماعيل بن عبدالجواد الحسيني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قسم الدراسات الإسلامية ، مؤسّسة البعثة ، الطبعة الاُولى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بيروت ، مؤسّسة البعثة ،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الأوّل شمس الدين محمّد بن مكّي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الشيخ محمّد الحسّون ، الطبعة الاُولى ، قم ،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تبصرة المتعلّمين في أحكام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جمال الدين الحسن بن يوسف بن المطهّر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السيّد أحمد الحسينى والشيخ هادي اليوسفي ، قم ، مجمع الذخائر الإسلامية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تحرير الأحكام الشرعية على مذهب الإمامية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الحلّي جمال الدين الحسن بن يوسف بن المطهّر </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الشيخ إبراهيم البهادري ، الطبعة الاُولى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 ، قم ، مؤسّسة الإمام الصادق علیه السلام ،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تذكرة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الدين الحسن بن يوسف بن المطهّر ، العلاّمة الحلّي </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تحقيق مؤسّسة آل البيت علیهم السلام لإحياء التراث ، الطبعة الاُولى ، صدر منه حتّى</w:t>
      </w:r>
    </w:p>
    <w:p>
      <w:pPr>
        <w:pStyle w:val="BookText"/>
        <w:rPr/>
      </w:pPr>
      <w:r>
        <w:rPr>
          <w:rFonts w:ascii="IRNazanin" w:hAnsi="IRNazanin" w:eastAsia="IRNazanin"/>
          <w:color w:val="111111"/>
          <w:sz w:val="28"/>
          <w:sz w:val="28"/>
          <w:szCs w:val="28"/>
          <w:rtl w:val="true"/>
          <w:lang w:bidi="fa-IR"/>
        </w:rPr>
        <w:t xml:space="preserve">الآن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 قم ، مؤسّسة آل البيت علیهم السلام لإحياء التراث ، </w:t>
      </w:r>
      <w:r>
        <w:rPr>
          <w:rFonts w:eastAsia="IRNazanin" w:cs="IRNazanin"/>
          <w:color w:val="111111"/>
          <w:sz w:val="28"/>
          <w:szCs w:val="28"/>
          <w:lang w:bidi="fa-IR"/>
        </w:rPr>
        <w:t>1414</w:t>
      </w:r>
      <w:r>
        <w:rPr>
          <w:rFonts w:eastAsia="IRNazanin" w:cs="IRNazanin"/>
          <w:color w:val="111111"/>
          <w:sz w:val="28"/>
          <w:szCs w:val="28"/>
          <w:rtl w:val="true"/>
          <w:lang w:bidi="fa-IR"/>
        </w:rPr>
        <w:t xml:space="preserve"> -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التعادل والترجيح ،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النضر محمّد بن مسعود بن محمّد بن عيّاش السمرقندي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أواخر قرن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السيّد هاشم الرسولي المحلاّتي ، مجلّدان ، طهران ، المكتبة العلمية الإسلامية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التفسير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عمر الخطيب فخرالدين الرازي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الثالثة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جزءاً 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 قم ، مكتب الإعلام الإسلامي ،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تقرير سماحة آية اللّه العظمى السيّد البروجردي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علي پناه الاشتهاردي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تحقيق مؤسّسة النشر الإسلامي ، الطبعة الاُولى ، مجلّدان ، قم ، مؤسّسة</w:t>
      </w:r>
    </w:p>
    <w:p>
      <w:pPr>
        <w:pStyle w:val="BookText"/>
        <w:rPr/>
      </w:pPr>
      <w:r>
        <w:rPr>
          <w:rFonts w:ascii="Amiri" w:hAnsi="Amiri" w:eastAsia="Amiri" w:cs="Amiri"/>
          <w:color w:val="111111"/>
          <w:sz w:val="28"/>
          <w:sz w:val="28"/>
          <w:szCs w:val="28"/>
          <w:rtl w:val="true"/>
          <w:lang w:bidi="ar-SA"/>
        </w:rPr>
        <w:t xml:space="preserve">النشر الإسلامي ،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تلخيص المرام في معرفة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جمال الدين الحسن بن يوسف بن </w:t>
      </w:r>
    </w:p>
    <w:p>
      <w:pPr>
        <w:pStyle w:val="BookText"/>
        <w:rPr/>
      </w:pPr>
      <w:r>
        <w:rPr>
          <w:rFonts w:ascii="Amiri" w:hAnsi="Amiri" w:eastAsia="Amiri" w:cs="Amiri"/>
          <w:color w:val="111111"/>
          <w:sz w:val="28"/>
          <w:sz w:val="28"/>
          <w:szCs w:val="28"/>
          <w:rtl w:val="true"/>
          <w:lang w:bidi="ar-SA"/>
        </w:rPr>
        <w:t xml:space="preserve">المطهّر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هادي القبيسي ، الطبعة الاُولى ، قم ، مكتب الإعلام</w:t>
      </w:r>
    </w:p>
    <w:p>
      <w:pPr>
        <w:pStyle w:val="BookText"/>
        <w:rPr/>
      </w:pPr>
      <w:r>
        <w:rPr>
          <w:rFonts w:ascii="Amiri" w:hAnsi="Amiri" w:eastAsia="Amiri" w:cs="Amiri"/>
          <w:color w:val="111111"/>
          <w:sz w:val="28"/>
          <w:sz w:val="28"/>
          <w:szCs w:val="28"/>
          <w:rtl w:val="true"/>
          <w:lang w:bidi="ar-SA"/>
        </w:rPr>
        <w:t xml:space="preserve">الإسلامي ،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التنقيح الرائع لمختصر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مقداد بن عبداللّه السيوري الحلّي المعروف بالفاضل المقداد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السيّد عبداللطيف الكوه‌كمري ، الطبعة الاُولى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مكتبة آية اللّه المرعشي ،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تنقيح المقال في علم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عبداللّه بن محمّد حسن المامقاني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الثانية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 ، قم ، بالاُفست عن طبعة النجف الأشرف ، المطبعة</w:t>
      </w:r>
    </w:p>
    <w:p>
      <w:pPr>
        <w:pStyle w:val="BookText"/>
        <w:rPr/>
      </w:pPr>
      <w:r>
        <w:rPr>
          <w:rFonts w:ascii="Amiri" w:hAnsi="Amiri" w:eastAsia="Amiri" w:cs="Amiri"/>
          <w:color w:val="111111"/>
          <w:sz w:val="28"/>
          <w:sz w:val="28"/>
          <w:szCs w:val="28"/>
          <w:rtl w:val="true"/>
          <w:lang w:bidi="ar-SA"/>
        </w:rPr>
        <w:t xml:space="preserve">المرتضوية ،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الحسن ، 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السيّد حسن الموسوي الخرسان ، الطبعة الرابعة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طهران ، دار الكتب الإسلامية ،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أحاديث الشيعة ، الذي اُلّف تحت إشراف آية اللّه العظمى الحاج آقا حسين الطباطبائي البروجردي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الشيخ إسماعيل المعزّي الملايري ، الطبعة الثانيه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 مطبعة مهر ،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الشواهد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ميرزا محمّد باقر بن المولى عليرضا الأردكاني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حدود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جزءان في مجلّد واحد ، أصفهان ، مؤسّسة المطبوعات الأدبية ،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المقاصد في شرح القواعد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 الثاني علي بن الحسين بن عبدالعالي الكركي </w:t>
      </w:r>
      <w:r>
        <w:rPr>
          <w:rFonts w:eastAsia="IRNazanin" w:cs="IRNazanin"/>
          <w:color w:val="111111"/>
          <w:sz w:val="28"/>
          <w:szCs w:val="28"/>
          <w:rtl w:val="true"/>
          <w:lang w:bidi="fa-IR"/>
        </w:rPr>
        <w:t>(</w:t>
      </w:r>
      <w:r>
        <w:rPr>
          <w:rFonts w:eastAsia="IRNazanin" w:cs="IRNazanin"/>
          <w:color w:val="111111"/>
          <w:sz w:val="28"/>
          <w:szCs w:val="28"/>
          <w:lang w:bidi="fa-IR"/>
        </w:rPr>
        <w:t>868</w:t>
      </w:r>
      <w:r>
        <w:rPr>
          <w:rFonts w:eastAsia="IRNazanin" w:cs="IRNazanin"/>
          <w:color w:val="111111"/>
          <w:sz w:val="28"/>
          <w:szCs w:val="28"/>
          <w:rtl w:val="true"/>
          <w:lang w:bidi="fa-IR"/>
        </w:rPr>
        <w:t xml:space="preserve"> -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مؤسّسة آل البيت علیهم السلام لإحياء التراث ، الطبعة الاُولى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 قم ، مؤسّسة آل البيت علیهم السلام لإحياء التراث ، </w:t>
      </w:r>
      <w:r>
        <w:rPr>
          <w:rFonts w:eastAsia="IRNazanin" w:cs="IRNazanin"/>
          <w:color w:val="111111"/>
          <w:sz w:val="28"/>
          <w:szCs w:val="28"/>
          <w:lang w:bidi="fa-IR"/>
        </w:rPr>
        <w:t>1408</w:t>
      </w:r>
      <w:r>
        <w:rPr>
          <w:rFonts w:eastAsia="IRNazanin" w:cs="IRNazanin"/>
          <w:color w:val="111111"/>
          <w:sz w:val="28"/>
          <w:szCs w:val="28"/>
          <w:rtl w:val="true"/>
          <w:lang w:bidi="fa-IR"/>
        </w:rPr>
        <w:t xml:space="preserve"> -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الجامع للشرائع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نجيب الدين يحيى بن أحمد بن سعيد الحلّي الهذلي </w:t>
      </w:r>
      <w:r>
        <w:rPr>
          <w:rFonts w:eastAsia="IRNazanin" w:cs="IRNazanin"/>
          <w:color w:val="111111"/>
          <w:sz w:val="28"/>
          <w:szCs w:val="28"/>
          <w:rtl w:val="true"/>
          <w:lang w:bidi="fa-IR"/>
        </w:rPr>
        <w:t>(</w:t>
      </w:r>
      <w:r>
        <w:rPr>
          <w:rFonts w:eastAsia="IRNazanin" w:cs="IRNazanin"/>
          <w:color w:val="111111"/>
          <w:sz w:val="28"/>
          <w:szCs w:val="28"/>
          <w:lang w:bidi="fa-IR"/>
        </w:rPr>
        <w:t>601</w:t>
      </w:r>
      <w:r>
        <w:rPr>
          <w:rFonts w:eastAsia="IRNazanin" w:cs="IRNazanin"/>
          <w:color w:val="111111"/>
          <w:sz w:val="28"/>
          <w:szCs w:val="28"/>
          <w:rtl w:val="true"/>
          <w:lang w:bidi="fa-IR"/>
        </w:rPr>
        <w:t xml:space="preserve"> - </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جمع من الفضلاء ، قم ، مؤسّسة سيّد الشهداء علیه السلام ،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الجعفريات أو الأشعثيات المطبوع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على محمّد بن محمّد الأشعث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القرن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طهران ، مكتبة نينوى الحديثة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الجوامع 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من الأركان وعدّة من الأعيان ، الطبع الحجري ، قم ، منشورات مكتبة آية اللّه العظمى المرعشي النجفي ،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عبد العزيز بن البرّاج الطرابلسي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إبراهيم البهادري ، الطبعة الاُولى ، قم ، مؤسّسة النشر الإسلامي ،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جواهر الكلام في شرح شرائع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حسن بن باقر النجفي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الشيخ عبّاس القوچاني ، الطبعة الثالثة ،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 طهران ، دار الكتب الإسلامية ،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فرائد الاُصول أو الفوائد الرضوية على الفرائد المرتضوية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آقا رضا بن محمّد هادي الهمداني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محمّد رضا الأنصاري القميّ ، الطبعة الاُولى ، قم ، مهدي موعود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الحبل المتين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بهاء الدين محمّد بن الحسين بن عبد الصمد الحارثي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 مكتبة بصيرتي ،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الحدائق الناضرة في أحكام العترة الطاهرة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يوسف بن أحمد البحراني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محمّد تقيّ الإيرواني ، الطبعة الاُولى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 ، قم ، مؤسّسة النشر</w:t>
      </w:r>
    </w:p>
    <w:p>
      <w:pPr>
        <w:pStyle w:val="BookText"/>
        <w:rPr/>
      </w:pPr>
      <w:r>
        <w:rPr>
          <w:rFonts w:ascii="Amiri" w:hAnsi="Amiri" w:eastAsia="Amiri" w:cs="Amiri"/>
          <w:color w:val="111111"/>
          <w:sz w:val="28"/>
          <w:sz w:val="28"/>
          <w:szCs w:val="28"/>
          <w:rtl w:val="true"/>
          <w:lang w:bidi="ar-SA"/>
        </w:rPr>
        <w:t xml:space="preserve">الإسلامي ،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أبوجعفر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تصحيح علي أكبر الغفّاري ، الطبعة الثانية ، جزءان في مجلّد واحد ،</w:t>
      </w:r>
    </w:p>
    <w:p>
      <w:pPr>
        <w:pStyle w:val="BookText"/>
        <w:rPr/>
      </w:pPr>
      <w:r>
        <w:rPr>
          <w:rFonts w:ascii="Amiri" w:hAnsi="Amiri" w:eastAsia="Amiri" w:cs="Amiri"/>
          <w:color w:val="111111"/>
          <w:sz w:val="28"/>
          <w:sz w:val="28"/>
          <w:szCs w:val="28"/>
          <w:rtl w:val="true"/>
          <w:lang w:bidi="ar-SA"/>
        </w:rPr>
        <w:t xml:space="preserve">قم ، مؤسّسة النشر الإسلامي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خلاصة الأقوال في معرفة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جمال الدين الحسن بن يوسف بن </w:t>
      </w:r>
    </w:p>
    <w:p>
      <w:pPr>
        <w:pStyle w:val="BookText"/>
        <w:rPr/>
      </w:pPr>
      <w:r>
        <w:rPr>
          <w:rFonts w:ascii="Amiri" w:hAnsi="Amiri" w:eastAsia="Amiri" w:cs="Amiri"/>
          <w:color w:val="111111"/>
          <w:sz w:val="28"/>
          <w:sz w:val="28"/>
          <w:szCs w:val="28"/>
          <w:rtl w:val="true"/>
          <w:lang w:bidi="ar-SA"/>
        </w:rPr>
        <w:t xml:space="preserve">المطهّر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جواد القيّومي ، الطبعة الاُولى ، قم ، مؤسّسة نشر الفقاهة ،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شيخ الطائفة محمّد بن الحسن المعروف بالشيخ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جماعة من المحقّقين ، الطبعة الاُولى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 ، قم ، مؤسّسة النشر</w:t>
      </w:r>
    </w:p>
    <w:p>
      <w:pPr>
        <w:pStyle w:val="BookText"/>
        <w:rPr/>
      </w:pPr>
      <w:r>
        <w:rPr>
          <w:rFonts w:ascii="Amiri" w:hAnsi="Amiri" w:eastAsia="Amiri" w:cs="Amiri"/>
          <w:color w:val="111111"/>
          <w:sz w:val="28"/>
          <w:sz w:val="28"/>
          <w:szCs w:val="28"/>
          <w:rtl w:val="true"/>
          <w:lang w:bidi="ar-SA"/>
        </w:rPr>
        <w:t xml:space="preserve">الإسلامي ،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الخلل في الصلاة ،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درر الفوائد في الحاشية على الفرائد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الآخوند محمّد كاظم الهروي الخراساني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السيّد مهدي شمس الدين ، الطبعة الاُولى ، طهران ، مؤسّسة الطبع والنشر التابعة لوزارة الثقافة والإرشاد الإسلامي ،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الدروس الشرعية في فقه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الأوّل شمس الدين محمّد بن مكّي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مؤسّسة النشر الإسلامي ، الطبعة الاُولى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 ، قم ، مؤسّسة</w:t>
      </w:r>
    </w:p>
    <w:p>
      <w:pPr>
        <w:pStyle w:val="BookText"/>
        <w:rPr/>
      </w:pPr>
      <w:r>
        <w:rPr>
          <w:rFonts w:ascii="Amiri" w:hAnsi="Amiri" w:eastAsia="Amiri" w:cs="Amiri"/>
          <w:color w:val="111111"/>
          <w:sz w:val="28"/>
          <w:sz w:val="28"/>
          <w:szCs w:val="28"/>
          <w:rtl w:val="true"/>
          <w:lang w:bidi="ar-SA"/>
        </w:rPr>
        <w:t xml:space="preserve">النشر الإسلامي ،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حنيفة القاضي النعمان بن محمّد بن منصور بن أحمد بن حيّون التميمي المغربي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آصف بن علي أصغر فيضي ، مجلّدان ، القاهرة ، دار المعارف ،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ذخيرة المعاد في شرح الإرشاد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 السبزواري محمّد باقر بن محمّد مؤمن </w:t>
      </w:r>
      <w:r>
        <w:rPr>
          <w:rFonts w:eastAsia="IRNazanin" w:cs="IRNazanin"/>
          <w:color w:val="111111"/>
          <w:sz w:val="28"/>
          <w:szCs w:val="28"/>
          <w:rtl w:val="true"/>
          <w:lang w:bidi="fa-IR"/>
        </w:rPr>
        <w:t>(</w:t>
      </w:r>
      <w:r>
        <w:rPr>
          <w:rFonts w:eastAsia="IRNazanin" w:cs="IRNazanin"/>
          <w:color w:val="111111"/>
          <w:sz w:val="28"/>
          <w:szCs w:val="28"/>
          <w:lang w:bidi="fa-IR"/>
        </w:rPr>
        <w:t>1017</w:t>
      </w:r>
      <w:r>
        <w:rPr>
          <w:rFonts w:eastAsia="IRNazanin" w:cs="IRNazanin"/>
          <w:color w:val="111111"/>
          <w:sz w:val="28"/>
          <w:szCs w:val="28"/>
          <w:rtl w:val="true"/>
          <w:lang w:bidi="fa-IR"/>
        </w:rPr>
        <w:t xml:space="preserve"> -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الحجرية ، قم ، مؤسّسة آل البيت علیهم السلام لإحياء التراث </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ذكرى الشيعة في أحكام الشريعة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الشهيد الأوّل شمس الدين محمّد بن مكّي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مؤسّسة آل البيت علیهم السلام لإحياء التراث ، الطبعة الاُولى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 ، قم ، مؤسّسة آل البيت علیهم السلام لإحياء التراث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البرقي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جعفر أحمد بن محمّد بن خالد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جواد القيّومي الأصفهاني ، الطبعة الاُولى ، نشر مؤسّسة القيّوم ،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أحمد بن علي بن أحمد بن العبّاس النجاشي الأسدي الكوفي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السيّد موسى الشبيري الزنجاني ، الطبعة الاُولى ، قم ، مؤسّسة النشر الإسلامي ،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الرسائل العشر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الحسن بن علي الطوسي المعروف بشيخ الطائفة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مؤسّسة النشر الإسلامي ، الطبعة الاُولى ، قم ، مؤسّسة النشر الإسلامي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 الجنان في شرح إرشاد الأذهان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زين الدين بن علي بن أحمد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مركز الأبحاث والآثار الإسلامية ، الطبعة الاُولى ، مجلّدان ، قم ، مكتب الإعلام الإسلامي ،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الروضة البهيّة في شرح اللمعة الدمشقية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زين الدين بن علي بن أحمد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مجمع الفكر الإسلامي ، الطبعة الاُولى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مجمع الفكر الإسلامي ،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رياض المسائل في بيان أحكام الشرع بالدلائل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بن محمّد علي الطباطبائي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مؤسّسة النشر الإسلامي ، الطبعة الاُولى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 ، قم ،</w:t>
      </w:r>
    </w:p>
    <w:p>
      <w:pPr>
        <w:pStyle w:val="BookText"/>
        <w:rPr/>
      </w:pPr>
      <w:r>
        <w:rPr>
          <w:rFonts w:ascii="Amiri" w:hAnsi="Amiri" w:eastAsia="Amiri" w:cs="Amiri"/>
          <w:color w:val="111111"/>
          <w:sz w:val="28"/>
          <w:sz w:val="28"/>
          <w:szCs w:val="28"/>
          <w:rtl w:val="true"/>
          <w:lang w:bidi="ar-SA"/>
        </w:rPr>
        <w:t xml:space="preserve">مؤسّسة النشر الإسلامي ،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السرائر الحاوي لتحرير الفتاوي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منصور بن أحمد بن إدريس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مؤسّسة النشر الإسلامي ، الطبعة الثانية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مؤسّسة النشر الإسلامي ،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محمّد بن يزيد بن ماجة القزويني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محمّد فؤاد عبدالباقي ، مجلّدان ، بيروت ، دار الكتب العلمية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أبي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داود سليمان بن الأشعث السجستاني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كمال يوسف الحوت ، الطبعة الاُولى ، مجلّدان ، بيروت ، دار الجنان ،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عيسى محمّد بن عيسى بن سورة الترمذي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عبدالوهّاب عبداللطيف ، الطبعة الثانية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بيروت ، دار الفكر للطباعة والنشر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الدارمي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عبداللّه بن عبدالرحمن السمرقندي الدارمي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مجلّدان ، بيروت ، دار الفكر ،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شرائع الإسلام في مسائل الحلال والحرام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الحلّي نجم الدين جعفر بن الحسن ابن يحيى بن سعيد الهذلي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عبدالحسين محمّد علي بقّال ، الطبعة الثالثة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في مجلّدين ، قم ، مؤسّسة إسماعيليان ،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جمل العلم والعمل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القاضي ابن البرّاج أبو القاسم عبدالعزيز بن نحرير بن عبدالعزيز </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كاظم مدير شانه‌چى ، الطبعة الاُولى ، مشهد ، جامعة مشهد ،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اللغة وصحاح العربية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حمّاد 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أحمد عبدالغفور عطّار ، الطبعة الرابعة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 ، بيروت ، دار العلم للملايين ،</w:t>
      </w:r>
    </w:p>
    <w:p>
      <w:pPr>
        <w:pStyle w:val="BookText"/>
        <w:rPr/>
      </w:pP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محمّد بن إسماعيل البخاري الجعفي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وشرح الشيخ قاسم الشمّاعي الرفاعي ، الطبعة الاُولى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بيروت ، دار القلم ،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مسلم بن الحجّاج القشيري النيسابوري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وتعليق الدكتور موسى شاهين لاشين والدكتور أحمد عمر هاشم ، الطبعة الاُولى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بيروت ، مؤسّسة عزّ الدين ،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 مكتب الإعلام الإسلامي ،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المحقق النائيني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تقي الآملى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مؤسّسة آل البيت للطباعة والنشر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الطهارة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تقريرات الإمام الخميني قدّس سرّه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محمّد الفاضل اللنكراني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الاُولى ، قم ، مؤسّسة تنظيم ونشر آثار الإمام الخميني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الطهارة ،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تراث الشيخ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الأعظم مرتضى بن محمّد أمين الأنصاري الدزفولي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لجنة تحقيق تراث الشيخ الأعظم ، الطبعة الاُولى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المكتبة الفقهية ،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كاظم الطباطبائي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 تعليقات عدّة من الفقهاء العظام ، إعداد أحمد المحسني السبزواري ، الطبعة الثانية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 ، قم ،</w:t>
      </w:r>
    </w:p>
    <w:p>
      <w:pPr>
        <w:pStyle w:val="BookText"/>
        <w:rPr/>
      </w:pPr>
      <w:r>
        <w:rPr>
          <w:rFonts w:ascii="Amiri" w:hAnsi="Amiri" w:eastAsia="Amiri" w:cs="Amiri"/>
          <w:color w:val="111111"/>
          <w:sz w:val="28"/>
          <w:sz w:val="28"/>
          <w:szCs w:val="28"/>
          <w:rtl w:val="true"/>
          <w:lang w:bidi="ar-SA"/>
        </w:rPr>
        <w:t xml:space="preserve">مؤسّسة النشر الإسلامي ،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الاُولى ، النجف الأشرف ، المكتبة الحيدرية ،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عوالي اللآلي العزيزية في الأحاديث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إبراهيم الأحسائي المعروف بابن أبي جمهور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أوائل القرن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مجتبى العراقي ، الطبعة الاُولى ، قم ، مطبعة سيّدالشهداء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عيون أخبار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محمّد بن علي بن الحسين بن بابويه القمّي ، 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تصحيح السيّد مهدي الحسيني اللاجوردي ، الطبعة الثانية ، منشورات جهان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غنائم الأيّام في مسائل الحلال والحرام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أبو القاسم بن الحسن الجيلاني </w:t>
      </w:r>
    </w:p>
    <w:p>
      <w:pPr>
        <w:pStyle w:val="BookText"/>
        <w:rPr/>
      </w:pPr>
      <w:r>
        <w:rPr>
          <w:rFonts w:ascii="Amiri" w:hAnsi="Amiri" w:eastAsia="Amiri" w:cs="Amiri"/>
          <w:color w:val="111111"/>
          <w:sz w:val="28"/>
          <w:sz w:val="28"/>
          <w:szCs w:val="28"/>
          <w:rtl w:val="true"/>
          <w:lang w:bidi="ar-SA"/>
        </w:rPr>
        <w:t xml:space="preserve">المعروف بالمحقّق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مكتب الإعلام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w:t>
      </w:r>
    </w:p>
    <w:p>
      <w:pPr>
        <w:pStyle w:val="BookText"/>
        <w:rPr/>
      </w:pPr>
      <w:r>
        <w:rPr>
          <w:rFonts w:ascii="Amiri" w:hAnsi="Amiri" w:eastAsia="Amiri" w:cs="Amiri"/>
          <w:color w:val="111111"/>
          <w:sz w:val="28"/>
          <w:sz w:val="28"/>
          <w:szCs w:val="28"/>
          <w:rtl w:val="true"/>
          <w:lang w:bidi="ar-SA"/>
        </w:rPr>
        <w:t xml:space="preserve">خراسان ، الطبعة الاُولى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مركز النشر التابع لمكتب الإعلام الإسلامي ،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غنية النزوع إلى علمي الاُصول والفروع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المكارم السيّد حمزة بن علي بن زهرة الحلبي المعروف بابن زهرة </w:t>
      </w:r>
      <w:r>
        <w:rPr>
          <w:rFonts w:eastAsia="IRNazanin" w:cs="IRNazanin"/>
          <w:color w:val="111111"/>
          <w:sz w:val="28"/>
          <w:szCs w:val="28"/>
          <w:rtl w:val="true"/>
          <w:lang w:bidi="fa-IR"/>
        </w:rPr>
        <w:t>(</w:t>
      </w:r>
      <w:r>
        <w:rPr>
          <w:rFonts w:eastAsia="IRNazanin" w:cs="IRNazanin"/>
          <w:color w:val="111111"/>
          <w:sz w:val="28"/>
          <w:szCs w:val="28"/>
          <w:lang w:bidi="fa-IR"/>
        </w:rPr>
        <w:t>511</w:t>
      </w:r>
      <w:r>
        <w:rPr>
          <w:rFonts w:eastAsia="IRNazanin" w:cs="IRNazanin"/>
          <w:color w:val="111111"/>
          <w:sz w:val="28"/>
          <w:szCs w:val="28"/>
          <w:rtl w:val="true"/>
          <w:lang w:bidi="fa-IR"/>
        </w:rPr>
        <w:t xml:space="preserve"> -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الشيخ إبراهيم البهادري ، الطبعة الاُولى ، مجلّدان، قم ، مؤسّسة الإمام الصادق علیه السلام ،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 العزيز شرح الوجيز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المجموع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المهذّب</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فرائد الاُصول ،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تراث الشيخ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الأعظم مرتضى بن محمّد أمين الأنصاري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لجنة تحقيق تراث الشيخ الأعظم ، الطبعة الاُولى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مجمع الفكر الإسلامي ،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الفقه المنسوب للإمام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مؤسّسة آل البيت علیهم السلام لإحياء التراث ، الطبعة الاُولى ، مشهد المقدّس ، المؤتمر العالمي للإمام الرضا علیه السلام ،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بن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السيّد حسن الموسوي الخرسان ، الطبعة الرابعة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النجف الأشرف ، دار الكتب الإسلامية ،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فوائد الاُصول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المحقّق النائيني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علي الكاظمي الخراساني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الاُولى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مؤسّسة النشر الإسلامي ،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الحسن المعروف بالشيخ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الشيخ جواد القيّومي ، الطبعة الاُولى ، قم ، مؤسّسة نشر الفقاهة ،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القاموس المحيط والقابوس الوسيط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طاهر مجد الدين محمّد بن يعقوب الفيروزآبادي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بيروت ، دار الجيل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العبّاس عبداللّه بن جعفر الحميري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مؤسّسة آل البيت علیهم السلام لإحياء التراث ، الطبعة الاُولى ، قم ، مؤسّسة آل البيت علیهم السلام لإحياء التراث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قواعد الأحكام في مسائل الحلال والحرام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الحسن بن يوسف بن علي بن المطهّر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مؤسّسة النشر الإسلامي ، الطبعة الاُولى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مؤسّسة النشر الإسلامي ،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الإسلام أبو جعفر محمّد بن يعقوب بن إسحاق الكليني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علي أكبر الغفّاري ، الطبعة الخامسة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طهران ، دار الكتب الإسلامية ،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في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تقيّ الدين بن نجم أبو الصلاح الحلبي </w:t>
      </w:r>
      <w:r>
        <w:rPr>
          <w:rFonts w:eastAsia="IRNazanin" w:cs="IRNazanin"/>
          <w:color w:val="111111"/>
          <w:sz w:val="28"/>
          <w:szCs w:val="28"/>
          <w:rtl w:val="true"/>
          <w:lang w:bidi="fa-IR"/>
        </w:rPr>
        <w:t>(</w:t>
      </w:r>
      <w:r>
        <w:rPr>
          <w:rFonts w:eastAsia="IRNazanin" w:cs="IRNazanin"/>
          <w:color w:val="111111"/>
          <w:sz w:val="28"/>
          <w:szCs w:val="28"/>
          <w:lang w:bidi="fa-IR"/>
        </w:rPr>
        <w:t>374</w:t>
      </w:r>
      <w:r>
        <w:rPr>
          <w:rFonts w:eastAsia="IRNazanin" w:cs="IRNazanin"/>
          <w:color w:val="111111"/>
          <w:sz w:val="28"/>
          <w:szCs w:val="28"/>
          <w:rtl w:val="true"/>
          <w:lang w:bidi="fa-IR"/>
        </w:rPr>
        <w:t xml:space="preserve"> -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رضا الاُستادي ، أصفهان ، مكتبة الإمام أمير المؤمنين علیه السلام ،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الالتباس عن موجز أبي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مفلح بن الحسن بن رشيد بن صلاح الصيمري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حدود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مؤسّسة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قم ، مؤسّسة صاحب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كشف الرموز في شرح المختصر النافع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 الدين أبو علي الحسن بن أبيطالب بن أبيالمجد اليوسفي المعروف بالفاضل والمحقّق الآبي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تحقيق علي پناه الاشتهاردي وحسين اليزدي ، الطبعة الاُولى ، مجلّدان ، قم ، مؤسّسة النشر الإسلامي ،</w:t>
      </w:r>
    </w:p>
    <w:p>
      <w:pPr>
        <w:pStyle w:val="BookText"/>
        <w:rPr/>
      </w:pP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الغطاء عن مبهمات الشريعة الغرّاء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جعفر بن خضر المعروف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كاشف الغطاء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مكتب الإعلام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 خراسان ، الطبعة الاُولى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 قم ، مركز النشر التابع لمكتب الإعلام الإسلامي ،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اللّثام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بن محمّد الأصفهاني المعروف بالفاضل الهندي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 تحقيق مؤسّسة النشر الإسلامي ، الطبعة الاُولى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 قم ، مؤسّسة النشر الإسلامي ،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كفاية الفقه المشتهر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كفاية الأحكام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باقر بن محمّد مؤمن الشريف الخراساني السبزواري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الشيخ مرتضى الواعظي الأراكي ، الطبعة الاُولى ، مجلّدان ، قم ، مؤسّسة النشر الإسلامي ،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الفضل جمال الدين محمّد بن مكرم بن منظور المصري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الاُولى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 ، بيروت ، دار إحياء التراث العربي ،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محمّد بن أحمد بن أبي سهل السرخسي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جزءاً في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 بيروت ، دار المعرفة ،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المبسوط في فقه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شيخ الطائفة محمّد بن الحسن المعروف بالشيخ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السيّد محمّد تقيّ الكشفي ، الطبعة الثانية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طهران ، المكتبة المرتضوية لإحياء الآثار الجعفرية ،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البحرين ومطلع النيّرين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الطريحي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الاُولى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بيروت ، دار ومكتبة الهلال ،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الفائدة والبرهان في شرح إرشاد الأذهان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المعروف بالمقدّس الأردبيلي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مجتبى العراقي وعلي پناه الاشتهاردي وحسين اليزدي ، الطبعة الاُولى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 قم ، مؤسّسة النشر الإسلامي ، </w:t>
      </w:r>
      <w:r>
        <w:rPr>
          <w:rFonts w:eastAsia="IRNazanin" w:cs="IRNazanin"/>
          <w:color w:val="111111"/>
          <w:sz w:val="28"/>
          <w:szCs w:val="28"/>
          <w:lang w:bidi="fa-IR"/>
        </w:rPr>
        <w:t>1402</w:t>
      </w:r>
      <w:r>
        <w:rPr>
          <w:rFonts w:eastAsia="IRNazanin" w:cs="IRNazanin"/>
          <w:color w:val="111111"/>
          <w:sz w:val="28"/>
          <w:szCs w:val="28"/>
          <w:rtl w:val="true"/>
          <w:lang w:bidi="fa-IR"/>
        </w:rPr>
        <w:t xml:space="preserve">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المجموع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المهذّب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ويليه فتح العزيز ويليه التلخيص الحبير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زكريّا يحيى بن شرف النووي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 بيروت ، دار الفكر </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أحمد بن محمّد بن خالد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p>
    <w:p>
      <w:pPr>
        <w:pStyle w:val="BookText"/>
        <w:rPr/>
      </w:pPr>
      <w:r>
        <w:rPr>
          <w:rFonts w:ascii="Amiri" w:hAnsi="Amiri" w:eastAsia="Amiri" w:cs="Amiri"/>
          <w:color w:val="111111"/>
          <w:sz w:val="28"/>
          <w:sz w:val="28"/>
          <w:szCs w:val="28"/>
          <w:rtl w:val="true"/>
          <w:lang w:bidi="ar-SA"/>
        </w:rPr>
        <w:t xml:space="preserve">جلال الدين الحسيني الاُرموي ، الطبعة الثانية ، قم ، دار الكتب الإسلامية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المحلّى بالآثار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علي بن أحمد بن سعيد بن حزم الأندلسي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الدكتور عبدالغفّار سليمان البنداري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 بيروت ، دار الفكر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المختصر النافع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نجم الدين جعفر بن الحسن بن يحيى بن سعيد الهُذَلي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الثانية ، قم ، منشورات مؤسّسة المطبوعات الديني ،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مختلف الشيعة في أحكام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جمال الدين الحسن بن يوسف بن المطهّر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مركز الأبحاث والدراسات الإسلامية ، الطبعة الاُولى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 ، قم ، مكتب الإعلام الإسلامي ،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مدارك الأحكام في شرح شرائع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محمّد بن علي الموسوي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مؤسّسة آل البيت علیهم السلام لإحياء التراث ، الطبعة الاُولى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 ، قم ، مؤسّسة آل البيت علیهم السلام لإحياء التراث ،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المراسم في الفقه الإمامي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بن عبد العزيز الديلمي الملقّب بسلاّر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محمود البستاني ، قم ، منشورات حرمين ،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مرآة العقول في شرح أخبار آل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محمّد باقر بن محمّد تقيّ المجلسي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السيّد هاشم الرسولي والسيّد جعفر الحسيني والشيخ علي الآخوندي ، الطبعة الثانية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 طهران ، دار الكتب الإسلامية ،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مسائل الناصريات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علي بن الحسين الموسوي المعروف بالشريف المرتضى وعلم الهدى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مركز البحوث والدراسات العلمية ، قم ، مؤسّسة الهدى ،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مسائل علي بن جعفر ومستدركاتها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مؤسّسة آل البيت علیهم السلام لإحياء التراث ، الطبعة الاُولى ، بيروت ، مؤسّسة آل البيت علیهم السلام لإحياء التراث ،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مسالك الأفهام إلى آيات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الفاضل الجواد الكاظمي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أواسط القرن</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السيّد محمّد تقيّ الكشفي والشيخ محمّد باقر شريف‌زاده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أجزاء في مجلّدان ، طهران ، المكتبة المرتضوية لآثار الجعفرية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مستدرك الوسائل ومستنبط المسائل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الحاج الميرزا حسين المحدّث النوري الطبرسي ، </w:t>
      </w:r>
      <w:r>
        <w:rPr>
          <w:rFonts w:eastAsia="IRNazanin" w:cs="IRNazanin"/>
          <w:color w:val="111111"/>
          <w:sz w:val="28"/>
          <w:szCs w:val="28"/>
          <w:rtl w:val="true"/>
          <w:lang w:bidi="fa-IR"/>
        </w:rPr>
        <w:t>(</w:t>
      </w:r>
      <w:r>
        <w:rPr>
          <w:rFonts w:eastAsia="IRNazanin" w:cs="IRNazanin"/>
          <w:color w:val="111111"/>
          <w:sz w:val="28"/>
          <w:szCs w:val="28"/>
          <w:lang w:bidi="fa-IR"/>
        </w:rPr>
        <w:t>1254</w:t>
      </w:r>
      <w:r>
        <w:rPr>
          <w:rFonts w:eastAsia="IRNazanin" w:cs="IRNazanin"/>
          <w:color w:val="111111"/>
          <w:sz w:val="28"/>
          <w:szCs w:val="28"/>
          <w:rtl w:val="true"/>
          <w:lang w:bidi="fa-IR"/>
        </w:rPr>
        <w:t xml:space="preserve"> -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مؤسّسة آل البيت علیهم السلام لإحياء التراث ، الطبعة الاُولى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 قم ، مؤسّسة آل البيت علیهم السلام لإحياء التراث ،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الحافظ أبو عبداللّه الحاكم النيسابوري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تحت إشراف يوسف عبدالرحمن المرعشلي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 ، بيروت ، دار المعرفة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مستمسك العروة الوثقى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محسن الطباطبائي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الاُولى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 قم ، مؤسّسة دار التفسير ،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مستند الشيعة في أحكام الشريعة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مهدي النراقي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مؤسّسة آل البيت علیهم السلام لإحياء التراث ، الطبعة الاُولى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 قم ، مؤسّسة آل البيت علیهم السلام لإحياء التراث ، </w:t>
      </w:r>
      <w:r>
        <w:rPr>
          <w:rFonts w:eastAsia="IRNazanin" w:cs="IRNazanin"/>
          <w:color w:val="111111"/>
          <w:sz w:val="28"/>
          <w:szCs w:val="28"/>
          <w:lang w:bidi="fa-IR"/>
        </w:rPr>
        <w:t>1415</w:t>
      </w:r>
      <w:r>
        <w:rPr>
          <w:rFonts w:eastAsia="IRNazanin" w:cs="IRNazanin"/>
          <w:color w:val="111111"/>
          <w:sz w:val="28"/>
          <w:szCs w:val="28"/>
          <w:rtl w:val="true"/>
          <w:lang w:bidi="fa-IR"/>
        </w:rPr>
        <w:t xml:space="preserve"> -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مشارق الشموس في شرح الدروس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حسين بن جمال الدين محمّد الخوانساري </w:t>
      </w:r>
      <w:r>
        <w:rPr>
          <w:rFonts w:eastAsia="IRNazanin" w:cs="IRNazanin"/>
          <w:color w:val="111111"/>
          <w:sz w:val="28"/>
          <w:szCs w:val="28"/>
          <w:rtl w:val="true"/>
          <w:lang w:bidi="fa-IR"/>
        </w:rPr>
        <w:t>(</w:t>
      </w:r>
      <w:r>
        <w:rPr>
          <w:rFonts w:eastAsia="IRNazanin" w:cs="IRNazanin"/>
          <w:color w:val="111111"/>
          <w:sz w:val="28"/>
          <w:szCs w:val="28"/>
          <w:lang w:bidi="fa-IR"/>
        </w:rPr>
        <w:t>1019</w:t>
      </w:r>
      <w:r>
        <w:rPr>
          <w:rFonts w:eastAsia="IRNazanin" w:cs="IRNazanin"/>
          <w:color w:val="111111"/>
          <w:sz w:val="28"/>
          <w:szCs w:val="28"/>
          <w:rtl w:val="true"/>
          <w:lang w:bidi="fa-IR"/>
        </w:rPr>
        <w:t xml:space="preserve"> -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 مؤسّسة آل البيت علیهم السلام لإحياء التراث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مصابيح الظلام في شرح مفاتيح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محمّد باقر بن محمّد الوحيد البهبهاني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مؤسّسة العلاّمة المجدّد الوحيد البهبهاني ، الطبعة الاُولى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 قم ، مؤسّسة علاّمة المجدّد الوحيد البهبهاني ،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المصابيح في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مهدي بن مرتضى بن محمّد الطباطبائي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مخطوط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مصباح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الطهارة ، الصلاة ، الزكاة ، الخمس ، الصوم ، الرهن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الحاج آقا رضا بن محمّد هادي الهمداني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الاُولى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الطهارة والصلاة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المؤسّسة الجعفرية لإحياء التراث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قم ، مؤسّسة مهديّ الموعود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الزكاة والخمس والصوم والرهن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حسب ترتيب 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مؤسّسة النشر الإسلامي ،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مصباح المتهجّد وسلاح المتعبّد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شيخ الطائفة محمّد بن الحسن المعروف بالشيخ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الشيخ حسين الأعلمي ، الطبعة الاُولى ، بيروت ، مؤسّسة الأعلمي للمطبوعات ،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المصباح المنير في غريب الشرح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علي المقري الفيّومي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الاُولى ، جزءان في مجلّد واحد ، قم ، دار الهجرة ،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معالم الدين وملاذ المجتهدين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الاُصول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منصور جمال الدين الحسن بن زين‌الدين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لجنة التحقيق ، الطبعة الحادي عشر ، قم ، مؤسّسة النشر الإسلامي ،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علي أكبر الغفّاري ، قم ، مؤسّسة النشر الإسلامي ،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المعتبر في شرح المختصر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 الحلّي نجم الدين جعفر بن الحسن بن يحيى بن سعيد الهُذلي </w:t>
      </w:r>
      <w:r>
        <w:rPr>
          <w:rFonts w:eastAsia="IRNazanin" w:cs="IRNazanin"/>
          <w:color w:val="111111"/>
          <w:sz w:val="28"/>
          <w:szCs w:val="28"/>
          <w:rtl w:val="true"/>
          <w:lang w:bidi="fa-IR"/>
        </w:rPr>
        <w:t>(</w:t>
      </w:r>
      <w:r>
        <w:rPr>
          <w:rFonts w:eastAsia="IRNazanin" w:cs="IRNazanin"/>
          <w:color w:val="111111"/>
          <w:sz w:val="28"/>
          <w:szCs w:val="28"/>
          <w:lang w:bidi="fa-IR"/>
        </w:rPr>
        <w:t>602</w:t>
      </w:r>
      <w:r>
        <w:rPr>
          <w:rFonts w:eastAsia="IRNazanin" w:cs="IRNazanin"/>
          <w:color w:val="111111"/>
          <w:sz w:val="28"/>
          <w:szCs w:val="28"/>
          <w:rtl w:val="true"/>
          <w:lang w:bidi="fa-IR"/>
        </w:rPr>
        <w:t xml:space="preserve"> -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عدّة من الأفاضل ، الطبعة الاُولى ، مجلّدان ، قم ، مؤسّسة سيّد الشهداء علیه السلام ،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مغني اللبيب عن كتب الأعاريب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هشام أبو محمّد عبداللّه بن يوسف بن هشام الأنصاري </w:t>
      </w:r>
      <w:r>
        <w:rPr>
          <w:rFonts w:eastAsia="IRNazanin" w:cs="IRNazanin"/>
          <w:color w:val="111111"/>
          <w:sz w:val="28"/>
          <w:szCs w:val="28"/>
          <w:rtl w:val="true"/>
          <w:lang w:bidi="fa-IR"/>
        </w:rPr>
        <w:t>(</w:t>
      </w:r>
      <w:r>
        <w:rPr>
          <w:rFonts w:eastAsia="IRNazanin" w:cs="IRNazanin"/>
          <w:color w:val="111111"/>
          <w:sz w:val="28"/>
          <w:szCs w:val="28"/>
          <w:lang w:bidi="fa-IR"/>
        </w:rPr>
        <w:t>708</w:t>
      </w:r>
      <w:r>
        <w:rPr>
          <w:rFonts w:eastAsia="IRNazanin" w:cs="IRNazanin"/>
          <w:color w:val="111111"/>
          <w:sz w:val="28"/>
          <w:szCs w:val="28"/>
          <w:rtl w:val="true"/>
          <w:lang w:bidi="fa-IR"/>
        </w:rPr>
        <w:t xml:space="preserve"> - </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عدّة من العلماء ، الطبعة الخامسة ، قم ، مكتبة سيّد الشهداء علیه السلام ،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المغني ويليه الشرح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عبداللّه بن أحمد بن محمّد بن قدامة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وأبو الفرج عبدالرحمان بن أبي عمر محمّد بن أحمد بن قدامة المقدسي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الاُولى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 بيروت ، دار الكتب العربي </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مفاتيح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محسن الفيض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السيّد مهدي </w:t>
      </w:r>
    </w:p>
    <w:p>
      <w:pPr>
        <w:pStyle w:val="BookText"/>
        <w:rPr/>
      </w:pPr>
      <w:r>
        <w:rPr>
          <w:rFonts w:ascii="Amiri" w:hAnsi="Amiri" w:eastAsia="Amiri" w:cs="Amiri"/>
          <w:color w:val="111111"/>
          <w:sz w:val="28"/>
          <w:sz w:val="28"/>
          <w:szCs w:val="28"/>
          <w:rtl w:val="true"/>
          <w:lang w:bidi="ar-SA"/>
        </w:rPr>
        <w:t xml:space="preserve">الرجائي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مطبعة الخيّام ،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مفتاح الكرامة في شرح قواعد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جواد الحسيني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محمّد باقر الخالصي ، الطبعة الاُولى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 ، قم ، مؤسّسة النشر</w:t>
      </w:r>
    </w:p>
    <w:p>
      <w:pPr>
        <w:pStyle w:val="BookText"/>
        <w:rPr/>
      </w:pPr>
      <w:r>
        <w:rPr>
          <w:rFonts w:ascii="Amiri" w:hAnsi="Amiri" w:eastAsia="Amiri" w:cs="Amiri"/>
          <w:color w:val="111111"/>
          <w:sz w:val="28"/>
          <w:sz w:val="28"/>
          <w:szCs w:val="28"/>
          <w:rtl w:val="true"/>
          <w:lang w:bidi="ar-SA"/>
        </w:rPr>
        <w:t xml:space="preserve">الإسلامي ،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محمّد بن علي بن الحسين بن بابويه القمّي المعروف بالشيخ الصدوق </w:t>
      </w: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لجنة التحقيق التابعة لمؤسّسة الإمام الهادي علیه السلام ، قم ، مؤسّسة الإمام الهادي علیه السلام ،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محمّد بن محمّد بن النعمان العكبري البغدادي المعروف بالشيخ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مؤسّسة النشر الإسلامي ، الطبعة الثانية ، قم ، مؤسّسة النشر</w:t>
      </w:r>
    </w:p>
    <w:p>
      <w:pPr>
        <w:pStyle w:val="BookText"/>
        <w:rPr/>
      </w:pPr>
      <w:r>
        <w:rPr>
          <w:rFonts w:ascii="Amiri" w:hAnsi="Amiri" w:eastAsia="Amiri" w:cs="Amiri"/>
          <w:color w:val="111111"/>
          <w:sz w:val="28"/>
          <w:sz w:val="28"/>
          <w:szCs w:val="28"/>
          <w:rtl w:val="true"/>
          <w:lang w:bidi="ar-SA"/>
        </w:rPr>
        <w:t xml:space="preserve">الإسلامي ،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مكارم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نصر رضيّ الدين الحسن بن الفضل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القرن السادس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علاء آل جعفر ، مجلّدان ، الطبعة الاُولى ، قم ، مؤسّسة النشر الإسلامي ،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مناهج الوصول إلى علم الاُصول ،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موسوعة</w:t>
      </w:r>
    </w:p>
    <w:p>
      <w:pPr>
        <w:pStyle w:val="BookText"/>
        <w:rPr/>
      </w:pPr>
      <w:r>
        <w:rPr>
          <w:rFonts w:ascii="Amiri" w:hAnsi="Amiri" w:eastAsia="Amiri" w:cs="Amiri"/>
          <w:color w:val="111111"/>
          <w:sz w:val="28"/>
          <w:sz w:val="28"/>
          <w:szCs w:val="28"/>
          <w:rtl w:val="true"/>
          <w:lang w:bidi="ar-SA"/>
        </w:rPr>
        <w:t xml:space="preserve">الإمام الخميني قدّس سرّه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منتهى المطلب في تحقيق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جمال الدين الحسن بن يوسف بن المطهّر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قسم الفقه في مجمع البحوث الإسلامية ، الطبعة الاُولى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 مشهد ، مجمع البحوث الإسلامية ،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المنجد في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لوئيس معلوف وعدّة من الأساتذة ، الطبعة الثالثة والثلاثون ، بيروت ، دار المشرق ،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مؤسّسة تنظيم ونشر آثار الإمام الخميني قدّس سرّه ، الطبعة الاُولى ، قم ، مؤسّسة تنظيم ونشر آثار الإمام الخميني قدّس سرّه ،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المهذّب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عبدالعزيز بن نحرير بن عبدالعزيز القاضي ابن البرّاج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lang w:val="en-US" w:bidi="en-US"/>
        </w:rPr>
        <w:t>481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 إعداد مؤسّسة سيّدالشهداء ، الطبعة الاُولى ، مجلّدان ، قم ، مؤسّسة النشر الإسلامي ،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المهذّب البارع في شرح المختصر النافع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أبو العبّاس أحمد بن محمّد بن فهد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مجتبى العراقي ، الطبعة الاُولى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مؤسّسة النشر الإسلامي ،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نهاية الإحكام في معرفة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جمال الدين الحسن بن يوسف بن المطهّر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السيّد مهدي الرجائي ، الطبعة الثانية ، مجلّدان ، قم ،</w:t>
      </w:r>
    </w:p>
    <w:p>
      <w:pPr>
        <w:pStyle w:val="BookText"/>
        <w:rPr/>
      </w:pPr>
      <w:r>
        <w:rPr>
          <w:rFonts w:ascii="Amiri" w:hAnsi="Amiri" w:eastAsia="Amiri" w:cs="Amiri"/>
          <w:color w:val="111111"/>
          <w:sz w:val="28"/>
          <w:sz w:val="28"/>
          <w:szCs w:val="28"/>
          <w:rtl w:val="true"/>
          <w:lang w:bidi="ar-SA"/>
        </w:rPr>
        <w:t xml:space="preserve">مؤسّسة إسماعيليان ،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نهاية الاُصول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المحقّق البروجردي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حسينعلي المنتظري ، الطبعة الاُولى ، قم ، نشر تفكّر ،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النهاية في مجرّد الفقه والفتاوى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شيخ الطائفة محمّد بن الحسن المعروف بالشيخ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 انتشارات قدس محمّدي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الحقّ وكشف 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جمال الدين الحسن بن يوسف بن المطهّر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الشيخ عين اللّه الحسيني الاُرموي ، الطبعة الرابعة ، قم ، دار الهجرة ،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المرتضى المولى محسن المعروف بالفيض الكاشاني </w:t>
      </w:r>
      <w:r>
        <w:rPr>
          <w:rFonts w:eastAsia="IRNazanin" w:cs="IRNazanin"/>
          <w:color w:val="111111"/>
          <w:sz w:val="28"/>
          <w:szCs w:val="28"/>
          <w:rtl w:val="true"/>
          <w:lang w:bidi="fa-IR"/>
        </w:rPr>
        <w:t>(</w:t>
      </w:r>
      <w:r>
        <w:rPr>
          <w:rFonts w:eastAsia="IRNazanin" w:cs="IRNazanin"/>
          <w:color w:val="111111"/>
          <w:sz w:val="28"/>
          <w:szCs w:val="28"/>
          <w:lang w:bidi="fa-IR"/>
        </w:rPr>
        <w:t>1006</w:t>
      </w:r>
      <w:r>
        <w:rPr>
          <w:rFonts w:eastAsia="IRNazanin" w:cs="IRNazanin"/>
          <w:color w:val="111111"/>
          <w:sz w:val="28"/>
          <w:szCs w:val="28"/>
          <w:rtl w:val="true"/>
          <w:lang w:bidi="fa-IR"/>
        </w:rPr>
        <w:t xml:space="preserve"> -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إعداد ضياء الدين الحسيني ، الطبعة الاُولى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 أصفهان ، مكتبة الإمام أمير المؤمنين علیه السلام ،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والطبع الحجري منه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منشورات مكتبة آية اللّه العظمى المرعشي النجفي ،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إلى تحصيل مسائل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الحسن الحرّ العاملي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1033</w:t>
      </w:r>
      <w:r>
        <w:rPr>
          <w:rFonts w:eastAsia="IRNazanin" w:cs="IRNazanin"/>
          <w:color w:val="111111"/>
          <w:sz w:val="28"/>
          <w:szCs w:val="28"/>
          <w:rtl w:val="true"/>
          <w:lang w:bidi="fa-IR"/>
        </w:rPr>
        <w:t xml:space="preserve"> -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مؤسّسة آل البيت علیهم السلام لإحياء التراث ، الطبعة الاُولى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 قم ، مؤسّسة آل البيت علیهم السلام لإحياء التراث ،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الوسيلة إلى نيل الفضيلة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عماد الدين أبو جعفر محمّد بن علي الطوسي المعروف بابن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القرن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الشيخ محمّد الحسّون ، الطبعة الاُولى ، قم ، مكتبة آية</w:t>
      </w:r>
    </w:p>
    <w:p>
      <w:pPr>
        <w:pStyle w:val="BookText"/>
        <w:rPr/>
      </w:pPr>
      <w:r>
        <w:rPr>
          <w:rFonts w:ascii="Amiri" w:hAnsi="Amiri" w:eastAsia="Amiri" w:cs="Amiri"/>
          <w:color w:val="111111"/>
          <w:sz w:val="28"/>
          <w:sz w:val="28"/>
          <w:szCs w:val="28"/>
          <w:rtl w:val="true"/>
          <w:lang w:bidi="ar-SA"/>
        </w:rPr>
        <w:t xml:space="preserve">اللّه المرعشي ،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الهداية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الاُصول والفروع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جعفر محمّد بن علي بن الحسين بن بابويه القمّي المعروف بالشيخ الصدوق </w:t>
      </w: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تحقيق مؤسّسة الإمام الهادي علیه السلام ، الطبعة</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الاُولى ، قم ، مؤسّسة الإمام الهادي علیه السلام ،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bookmarkStart w:id="537" w:name="pg15030_143432"/>
    </w:p>
    <w:p>
      <w:pPr>
        <w:pStyle w:val="Heading3"/>
        <w:numPr>
          <w:ilvl w:val="2"/>
          <w:numId w:val="1"/>
        </w:numPr>
        <w:rPr/>
      </w:pPr>
      <w:bookmarkStart w:id="538" w:name="__RefHeading___Toc212996_2142443653"/>
      <w:bookmarkStart w:id="539" w:name="_Toc190"/>
      <w:bookmarkEnd w:id="537"/>
      <w:bookmarkEnd w:id="538"/>
      <w:r>
        <w:rPr/>
        <w:t>7</w:t>
      </w:r>
      <w:r>
        <w:rPr>
          <w:rtl w:val="true"/>
        </w:rPr>
        <w:t xml:space="preserve"> - </w:t>
      </w:r>
      <w:r>
        <w:rPr>
          <w:rtl w:val="true"/>
        </w:rPr>
        <w:t>فهرس الموضوعات</w:t>
      </w:r>
      <w:bookmarkEnd w:id="539"/>
    </w:p>
    <w:p>
      <w:pPr>
        <w:pStyle w:val="BookText"/>
        <w:rPr/>
      </w:pPr>
      <w:r>
        <w:rPr>
          <w:rFonts w:ascii="IRNazanin" w:hAnsi="IRNazanin" w:eastAsia="IRNazanin"/>
          <w:color w:val="111111"/>
          <w:sz w:val="28"/>
          <w:sz w:val="28"/>
          <w:szCs w:val="28"/>
          <w:rtl w:val="true"/>
          <w:lang w:bidi="fa-IR"/>
        </w:rPr>
        <w:t>الفصل</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أحكام النجاسات</w:t>
      </w:r>
    </w:p>
    <w:p>
      <w:pPr>
        <w:pStyle w:val="BookText"/>
        <w:rPr/>
      </w:pPr>
      <w:r>
        <w:rPr>
          <w:rFonts w:ascii="Amiri" w:hAnsi="Amiri" w:eastAsia="Amiri" w:cs="Amiri"/>
          <w:color w:val="111111"/>
          <w:sz w:val="28"/>
          <w:sz w:val="28"/>
          <w:szCs w:val="28"/>
          <w:rtl w:val="true"/>
          <w:lang w:bidi="ar-SA"/>
        </w:rPr>
        <w:t xml:space="preserve">وفيه مطالب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المطلب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سراية النجاسة إلى الملاقيات</w:t>
      </w:r>
    </w:p>
    <w:p>
      <w:pPr>
        <w:pStyle w:val="BookText"/>
        <w:rPr/>
      </w:pPr>
      <w:r>
        <w:rPr>
          <w:rFonts w:ascii="IRNazanin" w:hAnsi="IRNazanin" w:eastAsia="IRNazanin"/>
          <w:color w:val="111111"/>
          <w:sz w:val="28"/>
          <w:sz w:val="28"/>
          <w:szCs w:val="28"/>
          <w:rtl w:val="true"/>
          <w:lang w:bidi="fa-IR"/>
        </w:rPr>
        <w:t xml:space="preserve">فهاهنا جهات من البحث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الجهة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سراية النجاسة من الأعيان النجسة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فيما استدلّ به لعدم سراية النجاسة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التحقيق في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أصل سراية النجاسة من المتنجّس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تنجّس الوسائط الكثيرة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بيان حال الإجماعات المنقولة في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الشواهد الداخلية والخارجية في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المطلب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إزالة النجاسة للصلاة</w:t>
      </w:r>
    </w:p>
    <w:p>
      <w:pPr>
        <w:pStyle w:val="BookText"/>
        <w:rPr/>
      </w:pPr>
      <w:r>
        <w:rPr>
          <w:rFonts w:ascii="Amiri" w:hAnsi="Amiri" w:eastAsia="Amiri" w:cs="Amiri"/>
          <w:color w:val="111111"/>
          <w:sz w:val="28"/>
          <w:sz w:val="28"/>
          <w:szCs w:val="28"/>
          <w:rtl w:val="true"/>
          <w:lang w:bidi="ar-SA"/>
        </w:rPr>
        <w:t xml:space="preserve">في الوجوب الشرطي لإزالة النجاسة عن الثوب والبدن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الفرق بين الشرطية والمانعية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امتناع الجمع بين شرطية شيء ومانعية ضدّه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المأخوذ في الصلاة مانعية النجاسة لا شرطية الطهارة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حول الروايات الظاهرة في شرطية الطهارة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جواز الصلاة مع المحمول النجس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جواز الصلاة فيما لا تتمّ فيه الصلاة منفرداً مع نجاسته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 xml:space="preserve">فروع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تحقيق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تجوز الصلاة فيه وحده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كون العمامة ممّا لا تتمّ الصلاة فيها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اعتبار كون الملابس المعفوّ عنها في محالّها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المحمول الذي لا تتمّ فيه بناءً على عدم جواز حمل المتنجّس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جواز الصلاة فيما لا تتمّ فيه مهما كان جنسه ونجاسته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العفو عن دم الجروح والقروح في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هل المانع صِرف وجود النجاسة أو الطبيعة السارية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المحتملات في العفو عن دم القروح والجروح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في احتمال اختصاص العفو بصورة حرجية الغسل نوعاً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في احتمال اعتبار الاستمرار وتحديده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حكم الدم المشكوك كونه من القروح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العفو عن الدم القليل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إلحاق البدن بالثوب في العفو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هل الدرهم غاية للرخصة أو للمنع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حكم الدم المتفرّق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عدم الفرق في الدم المتفرّق بين المتفاحش وغيره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حول ما استثني من أدلّة العفو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الدماء الثلاثة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 نجس العين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 غير المأكول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تعيين سعة الدرهم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المطلب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إدخال النجاسات في المساجد</w:t>
      </w:r>
    </w:p>
    <w:p>
      <w:pPr>
        <w:pStyle w:val="BookText"/>
        <w:rPr/>
      </w:pPr>
      <w:r>
        <w:rPr>
          <w:rFonts w:ascii="Amiri" w:hAnsi="Amiri" w:eastAsia="Amiri" w:cs="Amiri"/>
          <w:color w:val="111111"/>
          <w:sz w:val="28"/>
          <w:sz w:val="28"/>
          <w:szCs w:val="28"/>
          <w:rtl w:val="true"/>
          <w:lang w:bidi="ar-SA"/>
        </w:rPr>
        <w:t xml:space="preserve">حكم النجاسات غير المتعدّية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حرمة إدخال النجاسات السارية لأجل استلزامه تنجيس المساجد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وجوب إزالة النجاسة عن المساجد وما يلحق 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المطلب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اعتبار انفصال الغسالة</w:t>
      </w:r>
    </w:p>
    <w:p>
      <w:pPr>
        <w:pStyle w:val="BookText"/>
        <w:rPr/>
      </w:pPr>
      <w:r>
        <w:rPr>
          <w:rFonts w:ascii="Amiri" w:hAnsi="Amiri" w:eastAsia="Amiri" w:cs="Amiri"/>
          <w:color w:val="111111"/>
          <w:sz w:val="28"/>
          <w:sz w:val="28"/>
          <w:szCs w:val="28"/>
          <w:rtl w:val="true"/>
          <w:lang w:bidi="ar-SA"/>
        </w:rPr>
        <w:t xml:space="preserve">اعتبار انفصال الغسالة في التطهير بالقليل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اعتبار انفصال الغسالة حتّى مع القول بعدم انفعال الغسالة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المراد بالغسل والصبّ في الأخبار الواردة في غسل البول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اعتبار انفصال الغسالة في التطهير بالجاري ونحوه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كفاية صبّ الماء على بول الصبيّ وعدم لزوم غسله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حول إلحاق الصبيّة بالصبيّ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موضوع الحكم هو الصبيّ الذي لم يطعم أو لم يأكل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عدم كفاية النضح والرشّ عن الصبّ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عدم لزوم إخراج غسالة بول الصبيّ وطهارتُها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كيفية تطهير ظاهر الفراش وباطنه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كيفية تطهير ما لا ينفذ فيها الماء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لزوم إمرار الماء على الأرض وإخراج الغسالة في تطهيرها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المطلب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اعتبار التعدّد في التطهير</w:t>
      </w:r>
    </w:p>
    <w:p>
      <w:pPr>
        <w:pStyle w:val="BookText"/>
        <w:rPr/>
      </w:pPr>
      <w:r>
        <w:rPr>
          <w:rFonts w:ascii="Amiri" w:hAnsi="Amiri" w:eastAsia="Amiri" w:cs="Amiri"/>
          <w:color w:val="111111"/>
          <w:sz w:val="28"/>
          <w:sz w:val="28"/>
          <w:szCs w:val="28"/>
          <w:rtl w:val="true"/>
          <w:lang w:bidi="ar-SA"/>
        </w:rPr>
        <w:t xml:space="preserve">لزوم الغسل مرّتين في تطهير البول بالماء القليل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لزوم إخراج الغسالة في كلّ غسلة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عدم اعتبار تعدّد الصبّ في تطهير بول الصبيّ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كفاية المرّة في تطهير البول بالماء الجاري لا الكرّ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عدم الفرق بين بول الإنسان وغيره من الحيوانات غير المأكولة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لزوم التعدّد فيما زالت عين البول بغير الغسل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عدم كفاية الغسل المستمرّ بقدر الغسلتين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اعتبار التعدّد في تطهير غير البول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اعتبار جريان الماء على المتنجّس بعد زوال عين النجاسة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عدم العبرة ببقاء لون النجاسة أو ريحها في التطهير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كيفية تطهير الأواني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وفيه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كيفية تطهير الأواني من ولوغ الكلب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تنبيهات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 التعفير بالولوغ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اختصاص التعفير بالإناء دون غيره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مزج التراب بالماء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قيام غير التراب مقامه في التعفير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عدم سقوط التعفير عند فقد التراب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 العجز عن التعفير وأحكامها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سقوط التعفير والعدد عند الغسل بالماء الكثير والجاري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تطهير إناء الخنزير أو الخمر أو ما مات فيه جُرَذ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لزوم غسل الأواني ثلاث مرّات من سائر النجاسات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لزوم التعدّد حتّى مع الغسل بالكثير والجاري والمطر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فائدة استطرادية في أحكام الأواني والجلود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وفيها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استعمال آنية الذهب والفضّة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في التمسّك بالروايات لإثبات حرمة الأكل والشرب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بيان حكم سائر الاستعمالات على ضوء الأخبار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حكم الاستعمالات غير المتعارفة والتزيين والاقتناء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في التمسّك بالإجماع على حرمة الأكل والشرب وسائر الاستعمالات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المختار في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عدم حرمة الأكل والشرب من الآنية المفضّضة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المحرّم هو الأكل والشرب ونحوهما أو عنوان الاستعمال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سراية الحرمة إلى المأكول والمشروب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الوضوء والغسل بأواني الذهب والفضّة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مرجعية العرف في تشخيص الإناء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 التذكية في جواز استعمال الجلود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حكم الحيوان مشكوك التذكية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حول جريان أصالة عدم التذكية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دلالة الأخبار على توقّف حلّية الأكل على إحراز التذكية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الكلام في مقدار ما يستفاد من الأخبار السابقة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حكم الصلاة في مشكوك التذكية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الأخبار الواردة في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وجوه الجمع بين الطوائف السابقة من الأخبار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أمارية سوق المسلمين على التذكية وإن كانوا مستحلّين لغير المذكّى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أمارية سوق المسلمين ومجتمعهم وإن كان البائع كافراً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أمارية سوق المسلمين على التذكية بلا وسط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حول أمارية يد المسلم على التذكية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اعتبار السوق واليد لأجل التوسعة على العباد لا الأمارية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المطلب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ثبوت الطهارة والنجاسة بالعلم وما قام مقامه</w:t>
      </w:r>
    </w:p>
    <w:p>
      <w:pPr>
        <w:pStyle w:val="BookText"/>
        <w:rPr/>
      </w:pPr>
      <w:r>
        <w:rPr>
          <w:rFonts w:ascii="Amiri" w:hAnsi="Amiri" w:eastAsia="Amiri" w:cs="Amiri"/>
          <w:color w:val="111111"/>
          <w:sz w:val="28"/>
          <w:sz w:val="28"/>
          <w:szCs w:val="28"/>
          <w:rtl w:val="true"/>
          <w:lang w:bidi="ar-SA"/>
        </w:rPr>
        <w:t xml:space="preserve">في ثبوت النجاسة وسائر الموضوعات بالبيّنة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في عدم ثبوت النجاسة وسائر الموضوعات بخبر الثقة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في ثبوت النجاسة وسائر الموضوعات بإخبار ذي اليد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المطلب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بطلان الصلاة الواقعة في النجس</w:t>
      </w:r>
    </w:p>
    <w:p>
      <w:pPr>
        <w:pStyle w:val="BookText"/>
        <w:rPr/>
      </w:pPr>
      <w:r>
        <w:rPr>
          <w:rFonts w:ascii="Amiri" w:hAnsi="Amiri" w:eastAsia="Amiri" w:cs="Amiri"/>
          <w:color w:val="111111"/>
          <w:sz w:val="28"/>
          <w:sz w:val="28"/>
          <w:szCs w:val="28"/>
          <w:rtl w:val="true"/>
          <w:lang w:bidi="ar-SA"/>
        </w:rPr>
        <w:t xml:space="preserve">حكم الصلاة في النجس مع الجهل بالحكم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حكم الصلاة في النجس مع الجهل بالموضوع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في التفصيل بين التذكّر في الوقت وخارجه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في التفصيل بين المتذكّر الذي لم يتفحّص وغيره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حكم الصلاة فيما لو رأى النجاسة في أثنائها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القول بتصحيح الصلاة في هذه الصورة وما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مقتضى القاعدة والروايات بطلان الصلاة في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حكم الصلاة مع نسيان النجاسة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بيان مقتضى القواعد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مقتضى الروايات وتعارضها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وجوه الجمع بين الروايات السابقة وإبطالها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ترجيح الروايات الدالّة على وجوب الإعادة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بطلان الصلاة مع العلم بالنجاسة وما يستثنى منه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ثوب المربّية المتنجّس ببول المولود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من علم إجمالاً بنجاسة أحد الثوبين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حكم صورة كثرة الثياب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حكم عدم التمكّن إلاّ من الإتيان بصلاة واحدة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عدم سقوط القضاء عند العمل على وفق حكم العقل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من لم يجد إلاّ ثوباً نجساً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تعيّن الصلاة عارياً وردّ القول بجواز الصلاة في النجس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خاتمة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باقي المطهّرات</w:t>
      </w:r>
    </w:p>
    <w:p>
      <w:pPr>
        <w:pStyle w:val="BookText"/>
        <w:rPr/>
      </w:pPr>
      <w:r>
        <w:rPr>
          <w:rFonts w:ascii="Amiri" w:hAnsi="Amiri" w:eastAsia="Amiri" w:cs="Amiri"/>
          <w:color w:val="111111"/>
          <w:sz w:val="28"/>
          <w:sz w:val="28"/>
          <w:szCs w:val="28"/>
          <w:rtl w:val="true"/>
          <w:lang w:bidi="ar-SA"/>
        </w:rPr>
        <w:t xml:space="preserve">وهو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مطهّرية المطر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اعتصام المطر وكيفية التطهير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أدلّة الحكمين السابقين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عدم اعتبار الجريان في التطهير بالمطر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توقّف التطهير بالمطر على صدق رؤية مائه للمتنجّس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مطهّرية الشمس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فيما يدلّ على مطهّرية الشمس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فيما يدلّ على تعميم موضوع الحكم لغير السطح والمصلّى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فيما يدلّ على تعميم الحكم بالنسبة إلى غير البول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اشتراط تحقّق اليبوسة واستقلال الشمس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مطهّرية النار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الكلام فيها يقع في مقامين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أنّها هل هي مطهّرة كمطهّرية الشمس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تطهيرها كلّ ما أحالته دخاناً أو رماداً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حكم الانتقال على ضوء القاعدة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طهارة دم البقّ والبرغوث دون العلق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طهارة الخمر بانقلابها خلاًّ ولو بعلاج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الكلام في مطهّرية الإسلام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طهارة من أسلم عن الارتداد الملّي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قبول توبة المرتدّ الفطري باطناً وظاهراً وطهارته بعدها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الأمر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مطهّرية الأرض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الروايات الدالّة على مطهّرية الأرض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عموم مطهّرية الأرض لجميع النجاسات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اعتبار كون النجاسة من الأرض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مطهّرية الأرض لأسفل القدم وباطن النعل والخفّ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اعتبار كون المطهّر أرضاً لا حصيراً مثلاً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عدم الفرق بين أجزاء الأرض في التطهير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اعتبار جفاف الأرض ويبوستها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اعتبار طهارة الأرض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عدم الفرق بين المشي والمسح في حصول الطهارة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تعيّن المسح على الأرض وعدم الاجتزاء بمسح التراب على الموضع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في حصول الطهارة بذهاب عين النجاسة وأثرها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عدم لزوم إزالة النجاسة بالمشي أو المسح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الفهارس العامّة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 الآيات الكريمة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 الأحاديث الشريفة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 أسماء المعصومين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 الأعلام </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 الكتب الواردة في المتن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 مصادر التحقيق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 الموضوعات </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8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8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 الطهارة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الجزء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الناصريات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الفقيه ، الطهارة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الطهارة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تخريجها في الصفحة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الكليني ، عن محمّد بن إسماعيل ، عن الفضل بن شاذان ، عن صفوان ، عن إسحاق بن عمّار ، عن محمّد الحلبي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والترديد لوقوع إسحاق بن عمّار في السند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أحكام الخلوة ،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الماء المضاف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الماء المطلق ،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الطهارة ، أبواب النجاسات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نواقض الوضوء ،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ذيل الحديث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نواقض الوضوء ،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أحكام الخلوة ،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النجاسات ،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أحكام الخلوة ،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أبواب النجاسات ، الباب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أحكام الخلوة ،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الطهارة ، أبواب الماء المطلق ، الباب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الماء المضاف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الجزء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مستمسك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مستند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جواهر الكلام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الأسآر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 الطهارة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الأسآر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الأسآر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الكليني ، عن علي بن إبراهيم ، عن أبيه ، عن ابن أبي عمير ، عن جميل بن درّاج ، عن المعلّى بن خنيس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حسنة بالمعلّى بن خنيس، فإنّه قد اختلفت الأنظار والأخبار الواردة في شأنه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اختيار معرفة الرج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الميم</w:t>
      </w:r>
      <w:r>
        <w:rPr>
          <w:rFonts w:eastAsia="IRNazanin" w:cs="IRNazanin"/>
          <w:b w:val="false"/>
          <w:bCs w:val="false"/>
          <w:i w:val="false"/>
          <w:iCs w:val="false"/>
          <w:color w:val="333333"/>
          <w:sz w:val="20"/>
          <w:szCs w:val="20"/>
          <w:rtl w:val="true"/>
        </w:rPr>
        <w:t>)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الأطعمة والأشربة ، أبواب الأطعمة المحرّمة ،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الأطعمة والأشربة ، أبواب الأشربة المحرّمة ،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الأطعمة والأشربة ، أبواب الأشربة المحرّمة ،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الماء المطلق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الطهارة ، أبواب الماء المضاف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الماء المطلق ،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الماء المطلق ،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الماء المطلق ،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الماء المطلق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الطهارة ، أبواب النجاسات ، الباب</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مفتاح الكرامة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غنائم الأيّام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مستند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الطهارة ، ضمن تراث الشيخ الأعظم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مستمسك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القاطع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الماء المطلق ،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الماء المطلق ،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الماء المطلق ،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الماء المطلق ،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الطهارة ، أبواب الماء المضاف</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المحلّى بالآثار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العزيز ، ذيل المجموع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 السرخسي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المغني ، ابن قدامة</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أحكام القرآن ، الجصّاص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التفسير الكبير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التفسير الكبير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أحكام القرآن ، الجصّاص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التفسير الكبير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المحلّى بالآثار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المغني ، ابن قدامة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 السرخسي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المغني ، ابن قدامة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 ابن قدامة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 السرخسي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المغني ، ابن قدامة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المغني ، ابن قدامة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المغني ، 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بدائع الصنائع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المغني ، ابن قدامة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المغني ، ابن قدامة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مصباح الفقيه ، الطهارة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لباس المصلّي ،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أحكام الخلوة ،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الوضوء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الطهارة ، أبواب الوضوء ، الباب</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كصحيحة زرارة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جعفر عليه‌السلام عن الفرض في الصلاة ، فقال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الوقت</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جواهر الكلام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نواقض الوضوء ،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أحكام الخلوة ،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أحكام الخلوة ،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علي بن جعفر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الأطعمة والأشربة ، أبواب الأشربة المحرّمة ،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وجه الترديد في الجزء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الطهارة ، أبواب النجاسات ، الباب</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لباس المصلّي ،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لباس المصلّي ، 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لباس المصلّي ، 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لباس المصلّي ،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لباس المصلّي ،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لباس المصلّي ،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لباس المصلّي ،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الجزء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لباس المصلّي ،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لباس المصلّي ،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رواها الشيخ الطوسي بإسناده، عن محمّد بن أحمد بن يحيى، عن أبيه، عن وهب بن وهب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والرواية ضعيفة بوهب بن وهب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1155</w:t>
      </w:r>
      <w:r>
        <w:rPr>
          <w:rFonts w:ascii="IRNazanin" w:hAnsi="IRNazanin" w:eastAsia="IRNazanin"/>
          <w:b w:val="false"/>
          <w:b w:val="false"/>
          <w:bCs w:val="false"/>
          <w:i w:val="false"/>
          <w:i w:val="false"/>
          <w:iCs w:val="false"/>
          <w:color w:val="333333"/>
          <w:sz w:val="20"/>
          <w:sz w:val="20"/>
          <w:szCs w:val="20"/>
          <w:rtl w:val="true"/>
        </w:rPr>
        <w:t>؛ الفهرست،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علي بن جعفر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 الطهارة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الوضوء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تقرير بحث سماحة آية اللّه العظمى السيّد البروجردي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قواطع الصلاة ،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الجزء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قواطع الصلاة ،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جواهر الكلام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مصابيح الظلام</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الشيخ الطوسي بإسناده ، عن محمّد بن علي بن محبوب ، عن محمّد بن الحسين ، عن علي بن أسباط ، عن علي بن عقبة ، عن زرارة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والترديد لوقوع علي بن أسباط في السند؛ لأ نّه اختلف في رجوعه عن الفطحية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اختيار 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العين</w:t>
      </w:r>
      <w:r>
        <w:rPr>
          <w:rFonts w:eastAsia="IRNazanin" w:cs="IRNazanin"/>
          <w:b w:val="false"/>
          <w:bCs w:val="false"/>
          <w:i w:val="false"/>
          <w:iCs w:val="false"/>
          <w:color w:val="333333"/>
          <w:sz w:val="20"/>
          <w:szCs w:val="20"/>
          <w:rtl w:val="true"/>
        </w:rPr>
        <w:t>)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جواهر الكلام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الصفحة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مصباح الفقيه، الطهارة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الطهارة ، ضمن تراث الشيخ الأعظم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 الطهارة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لباس المصلّي ،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ما تقدّم أيضاً في الصفحة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الكليني ، عن محمّد بن أحمد ، عن السيّاري ، عن أبي يزيد القسمي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ضعيفة بالسيّاري وأبي يزيد القسمي ؛ فإنّ الأوّل منهما ضعيف الحديث وفاسد المذهب عند الشيخ والنجاشي ، والثاني منهما مجهول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الطهارة ، أبواب النجاسات ، الباب</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الظلام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الوضوء ،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مسلم ، عن أحدهما عليهماالسلام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عن الرجل تخرج به القروح فلا تزال تدمي ، كيف يصلّي ؟ فقال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يصلّي وإن كانت الدماء تسيل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عمّار ، عن أبي عبداللّه عليه‌السلام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عن الدمّل يكون بالرجل فينفجر وهو في الصلاة ؟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يمسحه ويمسح يده بالحائط أو بالأرض ، ولا يقطع الصلاة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الاستصحاب ، الإمام الخميني قدس‌سره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مفتاح الكرامة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ما عن عبداللّه بن أبي يعفور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عبداللّه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يكون في ثوبه نقط الدم لا يعلم به ، ثمّ يعلم فينسي أن يغسله فيصلّي ثمّ يذكر بعد ما صلّى أيعيد صلاته ؟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يغسله ولا يعيد صلاته إلاّ أن يكون مقدار الدرهم مجتمعاً فيغسله ويعيد الصلاة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ضعيفة بالحسن بن الحسين اللؤلؤي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 ضمن تراث الشيخ الأعظم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الجزء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الحدائق الناضرة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الحدائق الناضرة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أحاديث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الطهارة ، أبواب</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الكليني ، عن أحمد بن إدريس ، عن محمّد بن أحمد ، عن محمّد بن عيسى ، عن النضر بن سويد ، عن أبي سعيد المكاري ، عن أبي بصير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ضعيفة السند بأبي سعيد المكاري ، كما يأتي التصريح به من المصنّف قدس‌سره في الصفحة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الهداية ،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مفتاح الكرامة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الطهارة، ضمن تراث الشيخ الأعظم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الفقيه ، الطهارة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الالتباس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مسالك الأفهام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 السرخسي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الروايات في الصفحة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صحيحة ابن أبي يعفور ، تقدّمت في الصفحة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جواهر الكلام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الفائدة والبرهان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عني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عن المتفرّق على رأي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ذخيرة 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الوسيلة إلى نيل الفضيلة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الالتباس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ذخيرة 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مستند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مغني اللبيب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وجه ضعف سندها بعلي بن حديد في الصفحة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مصباح الفقيه ، الطهارة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ما عن الباقر والصادق عليهماالسلام أ نّهما قالا في الدم يصيب الثوب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يغسل كما تغسل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ورخّصا في النضح اليسير منه ومن سائر النجاسات ، مثل دم البراغيث وأشباهه ، قالا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تفاحش غسل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إلى نيل الفضيلة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الحقّ وكشف الصدق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مسالك الأفهام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البهية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وكشف الصدق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الجزء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مفتاح الكرامة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الجزء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الجزء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الاستحاضة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تبصرة المتعلّمين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مسالك الأفهام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رياض المسائل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إلى نيل الفضيلة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مفتاح الكرامة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الالتباس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مصباح الفقيه ، الطهارة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 الطهارة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جواهر الكلام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الغطاء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مصباح الفقيه ، الطهارة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بكير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 زرارة أبا عبداللّه عليه‌السلام عن الصلاة في الثعالب والفنك والسنجاب وغيره من الوبر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قال عليه‌السلام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وإن كان غير ذلك ممّا قد نهيت عن أكله وحرم عليك أكله فالصلاة في كلّ شيء منه فاسد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لباس المصلّي،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مستمسك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مصباح الفقيه ، الطهارة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الفقيه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الديات ، أبواب ديات الأعضاء ،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رياض المسائل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وكشف الصدق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 ضمن تراث الشيخ الأعظم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الجزء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أبواب الطواف ،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أبواب الطواف ،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أبواب الطواف ،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وسائل الشيعة</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وَعَهِدْنَا إِلَى إِبراهِيمَ وإِسمَاعِيلَ أَنْ طَهِّرا بَيْتِى لِلطَّائِفِينَ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أحكام المساجد ،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الجنابة ،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الجنابة ،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الاستحاضة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 ضمن تراث الشيخ الأعظم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الفقيه ، الطهارة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الجنابة ،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علي بن جعفر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أحكام المساجد ،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الميم</w:t>
      </w:r>
      <w:r>
        <w:rPr>
          <w:rFonts w:eastAsia="IRNazanin" w:cs="IRNazanin"/>
          <w:b w:val="false"/>
          <w:bCs w:val="false"/>
          <w:i w:val="false"/>
          <w:iCs w:val="false"/>
          <w:color w:val="333333"/>
          <w:sz w:val="20"/>
          <w:szCs w:val="20"/>
          <w:rtl w:val="true"/>
        </w:rPr>
        <w:t>)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أحكام المساجد ،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الفائدة والبرهان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أحكام المساجد ،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مصباح الفقيه ، الطهارة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مستند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الطهارة ، ضمن تراث الشيخ الأعظم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الفقيه ، الطهارة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وتمامه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علفتها تبناً وماء بارداً حتّى شتت همّالة عيناها اُنظر جامع الشواهد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تمام الرواية في الصفحة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غنائم الأيّام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 الطهارة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الإمام الخميني قدس‌سره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الفاضل اللنكراني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أبي العلاء الخفّاف هو أبو علي الأعور وأخواه علي وعبد الحميد وكان الحسين أوجههم ، ولا ريب في كونه إمامياً ولكن اختلفوا في وثاقته ، فمنهم من عدّه ثقة ومنهم من توقّف في حاله ، ولكنّ المصنّف قدس‌سره رجّح جانب الوثاقة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 الطهارة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الماء المطلق ،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مصباح الفقيه ، الطهارة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الماء المطلق ،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مصباح الفقيه ، الطهارة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الناصريات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ذخيرة 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مفاتيح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 ضمن 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 ضمن 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تقدّم في الصفحة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مسائل الناصريات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صاحب مفتاح الكرامة ، لكن لم نعثر عليه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قاله صاحب الجواهر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مفتاح الكرامة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ذخيرة 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الهداية ، ضمن الجوامع الفقهية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نصّ عبارة الرضوي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كان بول الغلام الرضيع فتصبّ عليه الماء صبّاً وإن كان قد أكل الطعام فاغسله ، والغلام والجارية سواء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الناصريات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جواهر الكلام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مستمسك العروة الوثقى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الناصريات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تقدّمتا في الصفحة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الإمام الخميني قدس‌سره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الفاضل اللنكراني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 الطهارة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الفقيه ، الطهارة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علي بن جعفر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منه قدس‌سره</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مصباح الفقيه ، الطهارة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الأطعمة والأشربة ، أبواب الأطعمة المحرّمة ،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 الطهارة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الطهارة ، ضمن تراث الشيخ الأعظم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الماء المطلق ،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الماء المطلق ،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 الطهارة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أحكام الخلوة ،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 الطهارة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الطهارة ، ضمن تراث الشيخ الأعظم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 الطهارة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هريرة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 أعرابي فبال في المسجد فتناوله الناس فقال لهم النبي صلى‌الله‌عليه‌و‌آله‌وسلم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دَعوه وأهريقوا على بوله سَجلاً من ماء أو ذَ نُوباً من ماء فإنّما بعثتم ميَسِّرين ولم تبعثوا معسِّرين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السطر</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ذكرى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الطهارة ، أبواب النجاسات ،</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الفقيه ، الطهارة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 الطهارة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مصباح الفقيه ، الطهارة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الماء المطلق ،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الماء المطلق ،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 الطهارة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الروايات في الصفحة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حمله الشيخ الطوسي ، اُنظر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ذيل الحديث</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تخريجهما في الصفحة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مصباح الفقيه ، الطهارة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مصباح الفقيه ، الطهارة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جواهر الكلام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ذكرى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الفقيه ، الطهارة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جواهر الكلام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الفقيه ، الطهارة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 الطهارة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ما ورد في الكلب والخنزير والكافر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الفقيه ، الطهارة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الجزء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مستمسك العروة الوثقى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الماء المطلق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الطهارة ، أبواب النجاسات ، الباب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الماء المضاف ،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الماء المطلق ،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الماء المضاف ،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ذيل الحديث</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الفقيه ، الطهارة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الجنابة ،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مستمسك العروة الوثقى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الرضا عليه‌السلام عن الرجل يطأ في الحمّام وفي رجله الشقاق فيطأ البول والنورة فيدخل الشقاق أثر أسود ممّا وطئ من القذر وقد غسله ، كيف يصنع به وبرجله ، التي وطئ بهما ؟ أيجزيه الغسل أم يخلّل أظفاره بأظفاره ويستنجي فيجد الريح من أظفاره ولا يرى شيئاً ؟ فقال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شيء عليه من الريح والشقاق بعد غسله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الطين الأحمر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قدس‌سره</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لوقوع علي بن أبي حمزة البطائني في السند، وقد مرّ الكلام فيه من المصنِّف في الجزء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وجه الضعف في الصفحة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مفتاح الكرامة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مستند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الناصريات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صحيحة الفضل أبي العبّاس ، تأتي بعد أسطر </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الحبل المتين ، وكذا في نسخة غير نقيّة من المعتبر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والصحيح أحمد بن محمّد بن أبي نصر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قدس‌سره</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المحلّى بالآثار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الأطعمة والأشربة ، أبواب الأشربة المحرّمة ،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إلى نيل الفضيلة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مفتاح الكرامة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القاموس المحيط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الناصريات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 ضمن تراث الشيخ الأعظم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الوسيلة إلى نيل الفضيلة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مفتاح الكرامة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فقه الرضا عليه‌السلام 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وقع كلب في الماء ، أو شرب منه ، اُهريق الماء ، وغسل الإناء ثلاث مرّات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مرّة بالتراب ومرّتين بالماء ، ثمّ يجفف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 الطهارة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 الطهارة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جواهر الكلام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مستمسك العروة الوثقى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تقدّم في الصفحة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ذكرى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مستمسك العروة الوثقى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 ضمن تراث الشيخ الأعظم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تحرير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مفتاح الكرامة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إحياء الموات ،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وتقدّمت في الصفحة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الصفحة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نظير موثّقة ابن أبي يعفور ، وصحيحة الفضل أبي العبّاس ، تقدّمتا في الصفحة</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صحيحة البقباق التي تقدّمت في الصفحة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 الطهارة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مرسلة الكاهلي التي تقدّمت في الصفحة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الفقيه ، الطهارة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ذيل رواية الكليني على ما رواها الشيخ الطوسي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والشيخ الحرّ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هذا الذيل غير موجود في النسخ الموجودة لدينا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الأسآر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النجاسات ،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الوسيلة إلى نيل الفضيلة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تأتي في الصفحة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الرموز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الأطعمة والأشربة ، أبواب الأشربة المحرّمة ،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الرموز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الأطعمة والأشربة ، أبواب الأشربة المحرّمة ،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عمّار عن أبي عبداللّه عليه‌السلام في حديث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اغسل الإناء الذي تصيب فيه الجرذ ميتاً ، سبع مرّات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تأتي بعد أسطر </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الأطعمة والأشربة ، أبواب الأشربة المحرّمة ،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الوسيلة إلى نيل الفضيلة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مفتاح الكرامة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الرسائل العشر للشيخ الطوسي ، الجمل والعقود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مفتاح الكرامة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إصباح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تقدّمتا في الصفحة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الفائدة والبرهان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الرموز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الصفحة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الكليني ، عن عدّة من أصحابنا ، عن سهل بن زياد ، عن ابن محبوب ، عن العلاء بن رزين ، عن محمّد بن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 السند من يتأمّل فيه إلاّ سهل بن زياد، وهو ثقة عند المصنّف قدس‌سره؛ لكثرة رواياته وقدمه الراسخ في جميع أبواب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الميم</w:t>
      </w:r>
      <w:r>
        <w:rPr>
          <w:rFonts w:eastAsia="IRNazanin" w:cs="IRNazanin"/>
          <w:b w:val="false"/>
          <w:bCs w:val="false"/>
          <w:i w:val="false"/>
          <w:iCs w:val="false"/>
          <w:color w:val="333333"/>
          <w:sz w:val="20"/>
          <w:szCs w:val="20"/>
          <w:rtl w:val="true"/>
        </w:rPr>
        <w:t>) .</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الطهارة ، أبواب النجاسات ،</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الطهارة ، أبواب النجاسات ،</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الطهارة ،</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علي بن جعفر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الحبل المتين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ذخيرة 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ذكرى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الرموز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الرموز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إيضاح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ذكرى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مفتاح الكرامة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 ابن قدامة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 ابن قدامة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نهى عن الشرب في آنية الفضّة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نهى عن استعمال أواني الذهب والفضّة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تقدّمتا في الصفحة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رياض المسائل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تقدّم في الصفحة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 الطهارة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المقنعة ، اُنظر ذكرى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القضاء ، أبواب صفات القاضي ،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 الطهارة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 الطهارة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الفقيه ، الطهارة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الجزء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مكان المصلّي ،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الغطاء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مستمسك العروة الوثقى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الطهارة ، ضمن تراث الشيخ الأعظم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مختلف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ضمن تراث الشيخ الأعظم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 المحقّق الخراساني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 الطهارة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حاشية فرائد الاُصول ، المحقّ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الهمداني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الهداية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الاستصحاب ، الإمام الخميني قدس‌سره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الصفحة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الصيد والذبائح ، أبواب الصيد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الصيد والذبائح ، أبواب الصيد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الصيد والذبائح ، أبواب الصيد ،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الصيد والذبائح ، أبواب الصيد ،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الصيد والذبائح ، أبواب الصيد ،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الكليني ، عن علي بن إبراهيم ، عن أبيه ، عن أبي هاشم الجعفري ، عن أبيه ، عن حمران بن أعين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 الرواية حسنة بالقاسم بن إسحاق وهو والد داود بن القاسم المعروف بأبي هاشم الجعفري </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الصيد والذبائح ، أبواب الذبائح ،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الصيد والذبائح ، الباب</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 الطهارة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الصلاة ، أبواب لباس المصلّي ،</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لباس المصلّي ، 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الطهارة ، أبواب النجاسات ، الباب</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الطهارة ، أبواب النجاسات ،</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لباس المصلّي ،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الصلاة ، أبواب لباس المصلّي ،</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الصلاة ، أبواب لباس المصلّي ،</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الفقيه ، الطهارة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مستمسك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 الطهارة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لباس المصلّي ،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الصفحة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لباس المصلّي ،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وتقدّمت في الصفحة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الطهارة ، أبواب النجاسات ، الباب</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الشيخ بإسناده عن أحمد بن محمّد ، عن سعد بن إسماعيل ، عن أبيه إسماعيل بن عيسى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ضعيفة بسعد بن إسماعيل وأبيه؛ فإنّهما غير مذكورين في كتب الرجال </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أبواب الذبح ،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أبواب الذبح ،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الاستصحاب ، الإمام الخميني قدس‌سره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مستند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المغني ، 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المغني، 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الصيد والذبائح ، أبواب الذبائح ،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الصيد والذبائح ، أبواب الذبائح ، الباب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الأطعمة والأشربة ، أبواب الأطعمة المباحة ،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مصباح الفقيه ، الطهارة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إيضاح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مصباح الفقيه ، الطهارة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الاستصحاب ، الإمام الخميني قدس‌سره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الفقيه ، الطهارة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مستمسك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القضاء ، أبواب كيفية الحكم ،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الشهادات ،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الحدود والتعزيرات ، أبواب حدّ اللواط ،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حدّ السرقة ،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حدّ المسكر ،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الأطعمة والأشربة ، أبواب الأطعمة المباحة ،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الأطعمة والأشربة ، أبواب الأطعمة المباحة ،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 الطهارة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الوكالة ، الباب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الوصايا ، الباب</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أبواب عقد النكاح ،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الأذان والإقامة ،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النكاح ، أبواب نكاح العبيد والإماء ، الباب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الطهارة ، أبواب الجنابة ، الباب</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 الطهارة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مستمسك العروة الوثقى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ستأتي في الصفحة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 الطهارة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الوصايا ، الباب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مسالك الأفهام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الوصايا ، الباب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أبواب عقد النكاح ،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الصفحة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 الطهارة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مستمسك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الأطعمة والأشربة ، أبواب الأشربة المحرّمة ، الباب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الأطعمة والأشربة ، أبواب الأشربة المحرّمة ،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الأطعمة والأشربة ، أبواب الأشربة المحرّمة ،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الأطعمة والأشربة ، أبواب الأشربة المحرّمة ، الباب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الأطعمة والأشربة ، أبواب الأشربة المحرّمة ، الباب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الأطعمة والأشربة ، أبواب الأطعمة المباحة ،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الطهارة ، أبواب النجاسات ،</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الصفحة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الحجّ ، أبواب الذبح ، الباب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أحكام الخلوة ،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الوضوء ،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أنوار الهداية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 الطهارة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الفقيه ، الطهارة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الفقيه ، الطهارة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ذكرى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الفقيه ، الطهارة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يعيد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جواهر الكلام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الفقيه ، الطهارة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التعادل والترجيح ، الإمام الخميني قدس‌سره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جواهر الكلام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حكى عنه صاحب الجواهر رحمه‌الله ولكن صريح عبارته خلاف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مسالك الأفهام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أحكام الخلوة ،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الوضوء ،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مرآة العقول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الطهارة عن الخبث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الحجري</w:t>
      </w:r>
      <w:r>
        <w:rPr>
          <w:rFonts w:eastAsia="IRNazanin" w:cs="IRNazanin"/>
          <w:b w:val="false"/>
          <w:bCs w:val="false"/>
          <w:i w:val="false"/>
          <w:iCs w:val="false"/>
          <w:color w:val="333333"/>
          <w:sz w:val="20"/>
          <w:szCs w:val="20"/>
          <w:rtl w:val="true"/>
        </w:rPr>
        <w:t>) .</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الحدائق الناضرة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رياض المسائل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مستند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الحدائق الناضرة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مستمسك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نصّها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روي في المنيّ أ نّه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كان الرجل جنباً حيث قام نظر وطلب فلم يجد شيئاً فلا شيء عليه ، فإن كان لم ينظر ولم يطلب فعليه أن يغسله ويعيد صلاته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عبداللّه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آمر الجارية فتغسل ثوبي من المنيّ فلا تبالغ في غسله ، فاُصلّي فيه فإذا هو يابس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أعد صلاتك ، أمّا أ نّك لو كنت غسلت أنت لم يكن عليك شيء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الصفحة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قواطع الصلاة ،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قواطع الصلاة ،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 الطهارة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مصباح الفقيه ، الطهارة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أحكام الخلوة ،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مصباح الفقيه ، الطهارة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قواطع الصلاة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مصباح الفقيه ، الطهارة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مرآة العقول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الفقيه ، الطهارة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 الطهارة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الفقيه ، الطهارة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أيضاً ما تقدّم في الصفحة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الالتباس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ذخيرة 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الرموز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جمل العلم والعمل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مستمسك العروة الوثقى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 المحقّق الحائري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الخلل الواقع في الصلاة ،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مستمسك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الجهاد ، أبواب جهاد النفس ،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الخلل في الصلاة ، الإمام الخميني قدس‌سره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أحكام الخلوة ،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نواقض الوضوء ،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أحكام الخلوة ،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أحكام الخلوة ،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أحكام الخلوة ،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الحدائق الناضرة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الفقيه ، الطهارة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ذيل الحديث</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ذيل الحديث</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الطهارة ، أبواب أحكام</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المغني ، ابن قدامة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العزيز ، ذيل المجموع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عبداللّه عليه‌السلام ، في الرجل يتوضّأ وينسى أن يغسل ذكره وقد بال ، فقال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يغسل ذكره ولا يعيد الصلاة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أحكام الخلوة ،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الشيخ الطوسي بإسناده ، عن سعد ، عن موسى بن الحسن والحسن بن علي ، عن أحمد بن هلال ، عن محمّد بن أبي عمير ، عن هشام بن سالم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ضعيفة بأحمد بن هلال </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مصباح الفقيه ، الطهارة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مصباح الفقيه ، الطهارة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الاستحاضة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مستمسك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جواهر الكلام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مستمسك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ذخيرة 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مفتاح الكرامة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الاُصول، ضمن تراث الشيخ الأعظم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 الطهارة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مصباح الفقيه ، الطهارة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مصباح الفقيه ، الطهارة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مستمسك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لباس المصلّي ،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قضاء الصلوات ،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قضاء الصلوات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مفتاح الكرامة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 xml:space="preserve"> .</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مفتاح الكرامة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مسالك الأفهام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مسالك الأفهام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 السرخسي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 السرخسي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ذيل الحديث</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 xml:space="preserve"> .</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الفقيه ، الطهارة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الفقيه ، الطهارة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الماء المطلق ،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مشارق الشموس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مستند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الصفحة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الماء المطلق ،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الماء المطلق ،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الماء المطلق ،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الطبع الحجري ، ولكن في الطبع الجديد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المثعب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الجوامع الفقهية ، الوسيلة إلى نيل الفضيلة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إلى نيل الفضيلة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أقرب الموارد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علي بن جعفر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الماء المطلق ،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ومياه الموازيب الجارية من المطر حكمها حكم الماء الجاري سواء</w:t>
      </w:r>
      <w:r>
        <w:rPr>
          <w:rFonts w:eastAsia="IRNazanin" w:cs="IRNazanin"/>
          <w:b w:val="false"/>
          <w:bCs w:val="false"/>
          <w:i w:val="false"/>
          <w:iCs w:val="false"/>
          <w:color w:val="333333"/>
          <w:sz w:val="20"/>
          <w:szCs w:val="20"/>
          <w:rtl w:val="true"/>
        </w:rPr>
        <w:t>» .</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المصابيح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الماء المطلق ،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الماء المطلق ،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علي بن جعفر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الماء المطلق ،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علي بن جعفر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الماء المطلق ،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الرضا عليه‌السلام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ماء البئر واسع لا يفسده شيء إلاّ أن يتغيّر ريحه أو طعمه ، فينزح حتّى يذهب الريح ويطيب طعمه لأنّ له مادّة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الماء المطلق ،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الماء المطلق ،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الماء المطلق ،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أحكام الخلوة ،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جواهر الكلام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الوسيلة إلى نيل الفضيلة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وكشف الصدق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البارع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مفاتيح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البارع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مستند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مستمسك العروة الوثقى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الجزء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 الطهارة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جواهر الكلام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جواهر الكلام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مستمسك العروة الوثقى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 الطهارة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مستند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مستمسك العروة الوثقى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كرواية فقه الرضا عليه‌السلام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وما وقعت الشمس عليه من الأماكن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أصابها شيء من النجاسة مثل البول وغيره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طهّرتها ، وأمّا الثياب فلا تطهر إلاّ بالغسل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 الطهارة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مستمسك العروة الوثقى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 الطهارة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مستمسك العروة الوثقى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تخريجها في الصفحة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تقدّمتا في الصفحة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رياض المسائل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تأتي في الصفحة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الجزء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نواقض الوضوء ،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أحكام الخلوة ،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النجاسات ،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الماء المطلق ،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الأسآر ،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الأسآر ،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الشيخ الطوسي بإسناده ، عن محمّد بن أحمد بن يحيى ، عن يعقوب بن يزيد ، عن الحسن بن المبارك ، عن زكريّا بن آدم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ضعيفة؛ لوقوع الحسن بن المبارك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المطبوعة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الحسين بن المبارك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بعض النسخ المعتبرة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سندها؛ فإنّه مجهول أو مهمل لم يرد بشأنه شيء من الجرح أو التعديل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الطهارة ، أبواب النجاسات ، الباب</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التنقيح الرائع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الفائدة والبرهان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مستند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الأطعمة والأشربة ، أبواب الأشربة المحرّمة ،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الأطعمة والأشربة ، أبواب الأشربة المحرّمة ،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الأطعمة والأشربة ، أبواب الأشربة المحرّمة ،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الأطعمة والأشربة ، أبواب الأشربة المحرّمة ،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الشيخ الطوسي بإسناده ، عن محمّد بن أحمد بن يحيى ، عن محمّد بن عيسى بن عبيد ، عن عبد العزيز بن المهتدي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 السند من يتأمّل فيه غير محمّد بن عيسى ابن عبيد ، فإنّه وثّقه النجاشي وضعّفه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عند المصنّف قدس‌سره فهو ثقة على الأصحّ كما صرّح به في الجزء الأوّل أيضاً في الصفحة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فراجع </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الأطعمة والأشربة ، أبواب الأشربة المحرّمة ،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الأطعمة</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الشيخ الطوسي بإسناده ، عن الحسين بن سعيد ، عن محمّد بن أبي عمير ، عن حسين الأحمسي ، عن محمّد بن مسلم وأبي بصير وعلي عن أبي بصير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 السند من يناقش فيه إلاّ علي بن أبي حمزة البطائني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اختيار 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العين</w:t>
      </w:r>
      <w:r>
        <w:rPr>
          <w:rFonts w:eastAsia="IRNazanin" w:cs="IRNazanin"/>
          <w:b w:val="false"/>
          <w:bCs w:val="false"/>
          <w:i w:val="false"/>
          <w:iCs w:val="false"/>
          <w:color w:val="333333"/>
          <w:sz w:val="20"/>
          <w:szCs w:val="20"/>
          <w:rtl w:val="true"/>
        </w:rPr>
        <w:t>) .</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الأطعمة والأشربة ، أبواب الأشربة المحرّمة ،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الأطعمة والأشربة ، أبواب الأشربة المحرّمة ،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الفقيه ، الطهارة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 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 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 الطهارة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الجزء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مستمسك العروة الوثقى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ذكرى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الحدود والتعزيرات ، أبواب حدّ المرتدّ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الحدود والتعزيرات ، أبواب حدّ المرتدّ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الحدود والتعزيرات ، أبواب حدّ المرتدّ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الفقيه ، الطهارة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مستمسك العروة الوثقى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 الطهارة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مقدّمة العبادات ،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زرارة عن أبي جعفر عليه‌السلام</w:t>
      </w:r>
      <w:r>
        <w:rPr>
          <w:rFonts w:eastAsia="IRNazanin" w:cs="IRNazanin"/>
          <w:b w:val="false"/>
          <w:bCs w:val="false"/>
          <w:i w:val="false"/>
          <w:iCs w:val="false"/>
          <w:color w:val="333333"/>
          <w:sz w:val="20"/>
          <w:szCs w:val="20"/>
          <w:rtl w:val="true"/>
        </w:rPr>
        <w:t>» ) .</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مفتاح الكرامة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ذخيرة 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غنائم الأيّام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وجهها في الصفحة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الطهارة ، أبواب النجاسات ، الباب</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تقدّم متنه في الصفحة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صحيحة زرارة الآتية في الصفحة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صحيحة الأحول الآتية في الصفحة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 الطهارة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تقدّما في الصفحة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 الطهارة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الفقيه ، الطهارة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مستمسك العروة الوثقى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مصباح الفقيه ، الطهارة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مستمسك العروة الوثقى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مفتاح الكرامة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غنائم الأيّام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جواهر الكلام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رياض المسائل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مستمسك العروة الوثقى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image" Target="media/image2.jpeg"/><Relationship Id="rId482" Type="http://schemas.openxmlformats.org/officeDocument/2006/relationships/image" Target="media/image2.jpeg"/><Relationship Id="rId483" Type="http://schemas.openxmlformats.org/officeDocument/2006/relationships/footer" Target="footer476.xml"/><Relationship Id="rId484" Type="http://schemas.openxmlformats.org/officeDocument/2006/relationships/footnotes" Target="footnotes.xml"/><Relationship Id="rId485" Type="http://schemas.openxmlformats.org/officeDocument/2006/relationships/numbering" Target="numbering.xml"/><Relationship Id="rId486" Type="http://schemas.openxmlformats.org/officeDocument/2006/relationships/fontTable" Target="fontTable.xml"/><Relationship Id="rId487" Type="http://schemas.openxmlformats.org/officeDocument/2006/relationships/settings" Target="settings.xml"/><Relationship Id="rId48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494</Pages>
  <Words>66392</Words>
  <Characters>260239</Characters>
  <CharactersWithSpaces>323833</CharactersWithSpaces>
  <Paragraphs>3141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2026-08-24T20:27:17Z</dcterms:created>
  <dc:creator>ghaemiyeh.com</dc:creator>
  <dc:description/>
  <dc:language>en-US</dc:language>
  <cp:lastModifiedBy/>
  <dcterms:modified xsi:type="dcterms:W3CDTF">2026-08-24T23:57:33Z</dcterms:modified>
  <cp:revision>1</cp:revision>
  <dc:subject/>
  <dc:title>موسوعة الامام الخمینی قدس سرة الشریف المجلدات 8 - 11 کتاب الطهارة جلد 4</dc:title>
</cp:coreProperties>
</file>

<file path=docProps/custom.xml><?xml version="1.0" encoding="utf-8"?>
<Properties xmlns="http://schemas.openxmlformats.org/officeDocument/2006/custom-properties" xmlns:vt="http://schemas.openxmlformats.org/officeDocument/2006/docPropsVTypes"/>
</file>