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القضاء و الشهادات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445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53447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53449_730472459">
            <w:r>
              <w:rPr>
                <w:webHidden/>
                <w:rStyle w:val="IndexLink"/>
                <w:rtl w:val="true"/>
              </w:rPr>
              <w:t>كتابُ الشهادات</w:t>
            </w:r>
            <w:r>
              <w:rPr>
                <w:rStyle w:val="IndexLink"/>
                <w:rtl w:val="true"/>
              </w:rPr>
              <w:tab/>
            </w:r>
            <w:r>
              <w:rPr>
                <w:rStyle w:val="IndexLink"/>
              </w:rPr>
              <w:t>10</w:t>
            </w:r>
          </w:hyperlink>
        </w:p>
        <w:p>
          <w:pPr>
            <w:pStyle w:val="Contents3"/>
            <w:tabs>
              <w:tab w:val="clear" w:pos="8459"/>
              <w:tab w:val="right" w:pos="9026" w:leader="dot"/>
            </w:tabs>
            <w:rPr/>
          </w:pPr>
          <w:hyperlink w:anchor="__RefHeading___Toc553451_73047245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53453_730472459">
            <w:r>
              <w:rPr>
                <w:webHidden/>
                <w:rStyle w:val="IndexLink"/>
                <w:rtl w:val="true"/>
              </w:rPr>
              <w:t>حدّ الشهادة لغةً و شرعًا</w:t>
            </w:r>
            <w:r>
              <w:rPr>
                <w:rStyle w:val="IndexLink"/>
                <w:rtl w:val="true"/>
              </w:rPr>
              <w:tab/>
            </w:r>
            <w:r>
              <w:rPr>
                <w:rStyle w:val="IndexLink"/>
              </w:rPr>
              <w:t>12</w:t>
            </w:r>
          </w:hyperlink>
        </w:p>
        <w:p>
          <w:pPr>
            <w:pStyle w:val="Contents3"/>
            <w:tabs>
              <w:tab w:val="clear" w:pos="8459"/>
              <w:tab w:val="right" w:pos="9026" w:leader="dot"/>
            </w:tabs>
            <w:rPr/>
          </w:pPr>
          <w:hyperlink w:anchor="__RefHeading___Toc553455_730472459">
            <w:r>
              <w:rPr>
                <w:webHidden/>
                <w:rStyle w:val="IndexLink"/>
                <w:rtl w:val="true"/>
              </w:rPr>
              <w:t>حدّ الشهادة ليس بجامع و لا مانع</w:t>
            </w:r>
            <w:r>
              <w:rPr>
                <w:rStyle w:val="IndexLink"/>
                <w:rtl w:val="true"/>
              </w:rPr>
              <w:tab/>
            </w:r>
            <w:r>
              <w:rPr>
                <w:rStyle w:val="IndexLink"/>
              </w:rPr>
              <w:t>14</w:t>
            </w:r>
          </w:hyperlink>
        </w:p>
        <w:p>
          <w:pPr>
            <w:pStyle w:val="Contents3"/>
            <w:tabs>
              <w:tab w:val="clear" w:pos="8459"/>
              <w:tab w:val="right" w:pos="9026" w:leader="dot"/>
            </w:tabs>
            <w:rPr/>
          </w:pPr>
          <w:hyperlink w:anchor="__RefHeading___Toc553457_730472459">
            <w:r>
              <w:rPr>
                <w:webHidden/>
                <w:rStyle w:val="IndexLink"/>
                <w:rtl w:val="true"/>
              </w:rPr>
              <w:t>الفرق بين الشاهد و الشهيد</w:t>
            </w:r>
            <w:r>
              <w:rPr>
                <w:rStyle w:val="IndexLink"/>
                <w:rtl w:val="true"/>
              </w:rPr>
              <w:tab/>
            </w:r>
            <w:r>
              <w:rPr>
                <w:rStyle w:val="IndexLink"/>
              </w:rPr>
              <w:t>15</w:t>
            </w:r>
          </w:hyperlink>
        </w:p>
        <w:p>
          <w:pPr>
            <w:pStyle w:val="Contents3"/>
            <w:tabs>
              <w:tab w:val="clear" w:pos="8459"/>
              <w:tab w:val="right" w:pos="9026" w:leader="dot"/>
            </w:tabs>
            <w:rPr/>
          </w:pPr>
          <w:hyperlink w:anchor="__RefHeading___Toc553459_730472459">
            <w:r>
              <w:rPr>
                <w:webHidden/>
                <w:rStyle w:val="IndexLink"/>
                <w:rtl w:val="true"/>
              </w:rPr>
              <w:t>يشترط البلوغ في سماع الشهادة</w:t>
            </w:r>
            <w:r>
              <w:rPr>
                <w:rStyle w:val="IndexLink"/>
                <w:rtl w:val="true"/>
              </w:rPr>
              <w:tab/>
            </w:r>
            <w:r>
              <w:rPr>
                <w:rStyle w:val="IndexLink"/>
              </w:rPr>
              <w:t>16</w:t>
            </w:r>
          </w:hyperlink>
        </w:p>
        <w:p>
          <w:pPr>
            <w:pStyle w:val="Contents2"/>
            <w:tabs>
              <w:tab w:val="clear" w:pos="8743"/>
              <w:tab w:val="right" w:pos="9026" w:leader="dot"/>
            </w:tabs>
            <w:rPr/>
          </w:pPr>
          <w:hyperlink w:anchor="__RefHeading___Toc553461_730472459">
            <w:r>
              <w:rPr>
                <w:webHidden/>
                <w:rStyle w:val="IndexLink"/>
              </w:rPr>
              <w:t>1</w:t>
            </w:r>
            <w:r>
              <w:rPr>
                <w:rStyle w:val="IndexLink"/>
                <w:rtl w:val="true"/>
              </w:rPr>
              <w:t xml:space="preserve">- </w:t>
            </w:r>
            <w:r>
              <w:rPr>
                <w:rStyle w:val="IndexLink"/>
                <w:rtl w:val="true"/>
              </w:rPr>
              <w:t>مسألة</w:t>
            </w:r>
            <w:r>
              <w:rPr>
                <w:rStyle w:val="IndexLink"/>
                <w:rtl w:val="true"/>
              </w:rPr>
              <w:tab/>
            </w:r>
            <w:r>
              <w:rPr>
                <w:rStyle w:val="IndexLink"/>
              </w:rPr>
              <w:t>16</w:t>
            </w:r>
          </w:hyperlink>
        </w:p>
        <w:p>
          <w:pPr>
            <w:pStyle w:val="Contents3"/>
            <w:tabs>
              <w:tab w:val="clear" w:pos="8459"/>
              <w:tab w:val="right" w:pos="9026" w:leader="dot"/>
            </w:tabs>
            <w:rPr/>
          </w:pPr>
          <w:hyperlink w:anchor="__RefHeading___Toc553463_73047245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53465_730472459">
            <w:r>
              <w:rPr>
                <w:webHidden/>
                <w:rStyle w:val="IndexLink"/>
                <w:rtl w:val="true"/>
              </w:rPr>
              <w:t>المستند في المسألة</w:t>
            </w:r>
            <w:r>
              <w:rPr>
                <w:rStyle w:val="IndexLink"/>
                <w:rtl w:val="true"/>
              </w:rPr>
              <w:tab/>
            </w:r>
            <w:r>
              <w:rPr>
                <w:rStyle w:val="IndexLink"/>
              </w:rPr>
              <w:t>22</w:t>
            </w:r>
          </w:hyperlink>
        </w:p>
        <w:p>
          <w:pPr>
            <w:pStyle w:val="Contents4"/>
            <w:tabs>
              <w:tab w:val="clear" w:pos="8176"/>
              <w:tab w:val="right" w:pos="9026" w:leader="dot"/>
            </w:tabs>
            <w:rPr/>
          </w:pPr>
          <w:hyperlink w:anchor="__RefHeading___Toc553467_73047245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53469_730472459">
            <w:r>
              <w:rPr>
                <w:webHidden/>
                <w:rStyle w:val="IndexLink"/>
                <w:rtl w:val="true"/>
              </w:rPr>
              <w:t>الوجه الأوّل</w:t>
            </w:r>
            <w:r>
              <w:rPr>
                <w:rStyle w:val="IndexLink"/>
                <w:rtl w:val="true"/>
              </w:rPr>
              <w:tab/>
            </w:r>
            <w:r>
              <w:rPr>
                <w:rStyle w:val="IndexLink"/>
              </w:rPr>
              <w:t>22</w:t>
            </w:r>
          </w:hyperlink>
        </w:p>
        <w:p>
          <w:pPr>
            <w:pStyle w:val="Contents4"/>
            <w:tabs>
              <w:tab w:val="clear" w:pos="8176"/>
              <w:tab w:val="right" w:pos="9026" w:leader="dot"/>
            </w:tabs>
            <w:rPr/>
          </w:pPr>
          <w:hyperlink w:anchor="__RefHeading___Toc553471_730472459">
            <w:r>
              <w:rPr>
                <w:webHidden/>
                <w:rStyle w:val="IndexLink"/>
                <w:rtl w:val="true"/>
              </w:rPr>
              <w:t>الوجه الثاني</w:t>
            </w:r>
            <w:r>
              <w:rPr>
                <w:rStyle w:val="IndexLink"/>
                <w:rtl w:val="true"/>
              </w:rPr>
              <w:tab/>
            </w:r>
            <w:r>
              <w:rPr>
                <w:rStyle w:val="IndexLink"/>
              </w:rPr>
              <w:t>22</w:t>
            </w:r>
          </w:hyperlink>
        </w:p>
        <w:p>
          <w:pPr>
            <w:pStyle w:val="Contents4"/>
            <w:tabs>
              <w:tab w:val="clear" w:pos="8176"/>
              <w:tab w:val="right" w:pos="9026" w:leader="dot"/>
            </w:tabs>
            <w:rPr/>
          </w:pPr>
          <w:hyperlink w:anchor="__RefHeading___Toc553473_730472459">
            <w:r>
              <w:rPr>
                <w:webHidden/>
                <w:rStyle w:val="IndexLink"/>
                <w:rtl w:val="true"/>
              </w:rPr>
              <w:t>الوجه الثالث</w:t>
            </w:r>
            <w:r>
              <w:rPr>
                <w:rStyle w:val="IndexLink"/>
                <w:rtl w:val="true"/>
              </w:rPr>
              <w:tab/>
            </w:r>
            <w:r>
              <w:rPr>
                <w:rStyle w:val="IndexLink"/>
              </w:rPr>
              <w:t>22</w:t>
            </w:r>
          </w:hyperlink>
        </w:p>
        <w:p>
          <w:pPr>
            <w:pStyle w:val="Contents4"/>
            <w:tabs>
              <w:tab w:val="clear" w:pos="8176"/>
              <w:tab w:val="right" w:pos="9026" w:leader="dot"/>
            </w:tabs>
            <w:rPr/>
          </w:pPr>
          <w:hyperlink w:anchor="__RefHeading___Toc553475_730472459">
            <w:r>
              <w:rPr>
                <w:webHidden/>
                <w:rStyle w:val="IndexLink"/>
                <w:rtl w:val="true"/>
              </w:rPr>
              <w:t>الوجه الرابع</w:t>
            </w:r>
            <w:r>
              <w:rPr>
                <w:rStyle w:val="IndexLink"/>
                <w:rtl w:val="true"/>
              </w:rPr>
              <w:tab/>
            </w:r>
            <w:r>
              <w:rPr>
                <w:rStyle w:val="IndexLink"/>
              </w:rPr>
              <w:t>24</w:t>
            </w:r>
          </w:hyperlink>
        </w:p>
        <w:p>
          <w:pPr>
            <w:pStyle w:val="Contents3"/>
            <w:tabs>
              <w:tab w:val="clear" w:pos="8459"/>
              <w:tab w:val="right" w:pos="9026" w:leader="dot"/>
            </w:tabs>
            <w:rPr/>
          </w:pPr>
          <w:hyperlink w:anchor="__RefHeading___Toc553477_730472459">
            <w:r>
              <w:rPr>
                <w:webHidden/>
                <w:rStyle w:val="IndexLink"/>
                <w:rtl w:val="true"/>
              </w:rPr>
              <w:t>قولان في المسألة</w:t>
            </w:r>
            <w:r>
              <w:rPr>
                <w:rStyle w:val="IndexLink"/>
                <w:rtl w:val="true"/>
              </w:rPr>
              <w:tab/>
            </w:r>
            <w:r>
              <w:rPr>
                <w:rStyle w:val="IndexLink"/>
              </w:rPr>
              <w:t>32</w:t>
            </w:r>
          </w:hyperlink>
        </w:p>
        <w:p>
          <w:pPr>
            <w:pStyle w:val="Contents4"/>
            <w:tabs>
              <w:tab w:val="clear" w:pos="8176"/>
              <w:tab w:val="right" w:pos="9026" w:leader="dot"/>
            </w:tabs>
            <w:rPr/>
          </w:pPr>
          <w:hyperlink w:anchor="__RefHeading___Toc553479_730472459">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53481_730472459">
            <w:r>
              <w:rPr>
                <w:webHidden/>
                <w:rStyle w:val="IndexLink"/>
                <w:rtl w:val="true"/>
              </w:rPr>
              <w:t>القول الأوّل</w:t>
            </w:r>
            <w:r>
              <w:rPr>
                <w:rStyle w:val="IndexLink"/>
                <w:rtl w:val="true"/>
              </w:rPr>
              <w:tab/>
            </w:r>
            <w:r>
              <w:rPr>
                <w:rStyle w:val="IndexLink"/>
              </w:rPr>
              <w:t>32</w:t>
            </w:r>
          </w:hyperlink>
        </w:p>
        <w:p>
          <w:pPr>
            <w:pStyle w:val="Contents4"/>
            <w:tabs>
              <w:tab w:val="clear" w:pos="8176"/>
              <w:tab w:val="right" w:pos="9026" w:leader="dot"/>
            </w:tabs>
            <w:rPr/>
          </w:pPr>
          <w:hyperlink w:anchor="__RefHeading___Toc553483_730472459">
            <w:r>
              <w:rPr>
                <w:webHidden/>
                <w:rStyle w:val="IndexLink"/>
                <w:rtl w:val="true"/>
              </w:rPr>
              <w:t>القول الثاني</w:t>
            </w:r>
            <w:r>
              <w:rPr>
                <w:rStyle w:val="IndexLink"/>
                <w:rtl w:val="true"/>
              </w:rPr>
              <w:tab/>
            </w:r>
            <w:r>
              <w:rPr>
                <w:rStyle w:val="IndexLink"/>
              </w:rPr>
              <w:t>33</w:t>
            </w:r>
          </w:hyperlink>
        </w:p>
        <w:p>
          <w:pPr>
            <w:pStyle w:val="Contents3"/>
            <w:tabs>
              <w:tab w:val="clear" w:pos="8459"/>
              <w:tab w:val="right" w:pos="9026" w:leader="dot"/>
            </w:tabs>
            <w:rPr/>
          </w:pPr>
          <w:hyperlink w:anchor="__RefHeading___Toc553485_730472459">
            <w:r>
              <w:rPr>
                <w:webHidden/>
                <w:rStyle w:val="IndexLink"/>
                <w:rtl w:val="true"/>
              </w:rPr>
              <w:t>يشترط العقل في سماع الشهادة</w:t>
            </w:r>
            <w:r>
              <w:rPr>
                <w:rStyle w:val="IndexLink"/>
                <w:rtl w:val="true"/>
              </w:rPr>
              <w:tab/>
            </w:r>
            <w:r>
              <w:rPr>
                <w:rStyle w:val="IndexLink"/>
              </w:rPr>
              <w:t>35</w:t>
            </w:r>
          </w:hyperlink>
        </w:p>
        <w:p>
          <w:pPr>
            <w:pStyle w:val="Contents2"/>
            <w:tabs>
              <w:tab w:val="clear" w:pos="8743"/>
              <w:tab w:val="right" w:pos="9026" w:leader="dot"/>
            </w:tabs>
            <w:rPr/>
          </w:pPr>
          <w:hyperlink w:anchor="__RefHeading___Toc553487_730472459">
            <w:r>
              <w:rPr>
                <w:webHidden/>
                <w:rStyle w:val="IndexLink"/>
              </w:rPr>
              <w:t>2</w:t>
            </w:r>
            <w:r>
              <w:rPr>
                <w:rStyle w:val="IndexLink"/>
                <w:rtl w:val="true"/>
              </w:rPr>
              <w:t xml:space="preserve">- </w:t>
            </w:r>
            <w:r>
              <w:rPr>
                <w:rStyle w:val="IndexLink"/>
                <w:rtl w:val="true"/>
              </w:rPr>
              <w:t>مسألة</w:t>
            </w:r>
            <w:r>
              <w:rPr>
                <w:rStyle w:val="IndexLink"/>
                <w:rtl w:val="true"/>
              </w:rPr>
              <w:tab/>
            </w:r>
            <w:r>
              <w:rPr>
                <w:rStyle w:val="IndexLink"/>
              </w:rPr>
              <w:t>35</w:t>
            </w:r>
          </w:hyperlink>
        </w:p>
        <w:p>
          <w:pPr>
            <w:pStyle w:val="Contents3"/>
            <w:tabs>
              <w:tab w:val="clear" w:pos="8459"/>
              <w:tab w:val="right" w:pos="9026" w:leader="dot"/>
            </w:tabs>
            <w:rPr/>
          </w:pPr>
          <w:hyperlink w:anchor="__RefHeading___Toc553489_73047245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53491_730472459">
            <w:r>
              <w:rPr>
                <w:webHidden/>
                <w:rStyle w:val="IndexLink"/>
                <w:rtl w:val="true"/>
              </w:rPr>
              <w:t>يشترط الإيمان في سماع الشهادة</w:t>
            </w:r>
            <w:r>
              <w:rPr>
                <w:rStyle w:val="IndexLink"/>
                <w:rtl w:val="true"/>
              </w:rPr>
              <w:tab/>
            </w:r>
            <w:r>
              <w:rPr>
                <w:rStyle w:val="IndexLink"/>
              </w:rPr>
              <w:t>37</w:t>
            </w:r>
          </w:hyperlink>
        </w:p>
        <w:p>
          <w:pPr>
            <w:pStyle w:val="Contents2"/>
            <w:tabs>
              <w:tab w:val="clear" w:pos="8743"/>
              <w:tab w:val="right" w:pos="9026" w:leader="dot"/>
            </w:tabs>
            <w:rPr/>
          </w:pPr>
          <w:hyperlink w:anchor="__RefHeading___Toc553493_730472459">
            <w:r>
              <w:rPr>
                <w:webHidden/>
                <w:rStyle w:val="IndexLink"/>
              </w:rPr>
              <w:t>3</w:t>
            </w:r>
            <w:r>
              <w:rPr>
                <w:rStyle w:val="IndexLink"/>
                <w:rtl w:val="true"/>
              </w:rPr>
              <w:t xml:space="preserve">- </w:t>
            </w:r>
            <w:r>
              <w:rPr>
                <w:rStyle w:val="IndexLink"/>
                <w:rtl w:val="true"/>
              </w:rPr>
              <w:t>مسألة</w:t>
            </w:r>
            <w:r>
              <w:rPr>
                <w:rStyle w:val="IndexLink"/>
                <w:rtl w:val="true"/>
              </w:rPr>
              <w:tab/>
            </w:r>
            <w:r>
              <w:rPr>
                <w:rStyle w:val="IndexLink"/>
              </w:rPr>
              <w:t>37</w:t>
            </w:r>
          </w:hyperlink>
        </w:p>
        <w:p>
          <w:pPr>
            <w:pStyle w:val="Contents3"/>
            <w:tabs>
              <w:tab w:val="clear" w:pos="8459"/>
              <w:tab w:val="right" w:pos="9026" w:leader="dot"/>
            </w:tabs>
            <w:rPr/>
          </w:pPr>
          <w:hyperlink w:anchor="__RefHeading___Toc553495_730472459">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53497_730472459">
            <w:r>
              <w:rPr>
                <w:webHidden/>
                <w:rStyle w:val="IndexLink"/>
                <w:rtl w:val="true"/>
              </w:rPr>
              <w:t>تقبل شهادة الذمّيّ على المسلم في الوصيّة</w:t>
            </w:r>
            <w:r>
              <w:rPr>
                <w:rStyle w:val="IndexLink"/>
                <w:rtl w:val="true"/>
              </w:rPr>
              <w:tab/>
            </w:r>
            <w:r>
              <w:rPr>
                <w:rStyle w:val="IndexLink"/>
              </w:rPr>
              <w:t>45</w:t>
            </w:r>
          </w:hyperlink>
        </w:p>
        <w:p>
          <w:pPr>
            <w:pStyle w:val="Contents3"/>
            <w:tabs>
              <w:tab w:val="clear" w:pos="8459"/>
              <w:tab w:val="right" w:pos="9026" w:leader="dot"/>
            </w:tabs>
            <w:rPr/>
          </w:pPr>
          <w:hyperlink w:anchor="__RefHeading___Toc553499_730472459">
            <w:r>
              <w:rPr>
                <w:webHidden/>
                <w:rStyle w:val="IndexLink"/>
                <w:rtl w:val="true"/>
              </w:rPr>
              <w:t>فروع</w:t>
            </w:r>
            <w:r>
              <w:rPr>
                <w:rStyle w:val="IndexLink"/>
                <w:rtl w:val="true"/>
              </w:rPr>
              <w:tab/>
            </w:r>
            <w:r>
              <w:rPr>
                <w:rStyle w:val="IndexLink"/>
              </w:rPr>
              <w:t>48</w:t>
            </w:r>
          </w:hyperlink>
        </w:p>
        <w:p>
          <w:pPr>
            <w:pStyle w:val="Contents4"/>
            <w:tabs>
              <w:tab w:val="clear" w:pos="8176"/>
              <w:tab w:val="right" w:pos="9026" w:leader="dot"/>
            </w:tabs>
            <w:rPr/>
          </w:pPr>
          <w:hyperlink w:anchor="__RefHeading___Toc553501_730472459">
            <w:r>
              <w:rPr>
                <w:webHidden/>
                <w:rStyle w:val="IndexLink"/>
                <w:rtl w:val="true"/>
              </w:rPr>
              <w:t>الفرع الأوّل</w:t>
            </w:r>
            <w:r>
              <w:rPr>
                <w:rStyle w:val="IndexLink"/>
                <w:rtl w:val="true"/>
              </w:rPr>
              <w:tab/>
            </w:r>
            <w:r>
              <w:rPr>
                <w:rStyle w:val="IndexLink"/>
              </w:rPr>
              <w:t>48</w:t>
            </w:r>
          </w:hyperlink>
        </w:p>
        <w:p>
          <w:pPr>
            <w:pStyle w:val="Contents4"/>
            <w:tabs>
              <w:tab w:val="clear" w:pos="8176"/>
              <w:tab w:val="right" w:pos="9026" w:leader="dot"/>
            </w:tabs>
            <w:rPr/>
          </w:pPr>
          <w:hyperlink w:anchor="__RefHeading___Toc553503_730472459">
            <w:r>
              <w:rPr>
                <w:webHidden/>
                <w:rStyle w:val="IndexLink"/>
                <w:rtl w:val="true"/>
              </w:rPr>
              <w:t>الفرع الثاني</w:t>
            </w:r>
            <w:r>
              <w:rPr>
                <w:rStyle w:val="IndexLink"/>
                <w:rtl w:val="true"/>
              </w:rPr>
              <w:tab/>
            </w:r>
            <w:r>
              <w:rPr>
                <w:rStyle w:val="IndexLink"/>
              </w:rPr>
              <w:t>48</w:t>
            </w:r>
          </w:hyperlink>
        </w:p>
        <w:p>
          <w:pPr>
            <w:pStyle w:val="Contents4"/>
            <w:tabs>
              <w:tab w:val="clear" w:pos="8176"/>
              <w:tab w:val="right" w:pos="9026" w:leader="dot"/>
            </w:tabs>
            <w:rPr/>
          </w:pPr>
          <w:hyperlink w:anchor="__RefHeading___Toc553505_730472459">
            <w:r>
              <w:rPr>
                <w:webHidden/>
                <w:rStyle w:val="IndexLink"/>
                <w:rtl w:val="true"/>
              </w:rPr>
              <w:t>الفرع الثالث</w:t>
            </w:r>
            <w:r>
              <w:rPr>
                <w:rStyle w:val="IndexLink"/>
                <w:rtl w:val="true"/>
              </w:rPr>
              <w:tab/>
            </w:r>
            <w:r>
              <w:rPr>
                <w:rStyle w:val="IndexLink"/>
              </w:rPr>
              <w:t>49</w:t>
            </w:r>
          </w:hyperlink>
        </w:p>
        <w:p>
          <w:pPr>
            <w:pStyle w:val="Contents4"/>
            <w:tabs>
              <w:tab w:val="clear" w:pos="8176"/>
              <w:tab w:val="right" w:pos="9026" w:leader="dot"/>
            </w:tabs>
            <w:rPr/>
          </w:pPr>
          <w:hyperlink w:anchor="__RefHeading___Toc553507_730472459">
            <w:r>
              <w:rPr>
                <w:webHidden/>
                <w:rStyle w:val="IndexLink"/>
                <w:rtl w:val="true"/>
              </w:rPr>
              <w:t>الفرع الرابع</w:t>
            </w:r>
            <w:r>
              <w:rPr>
                <w:rStyle w:val="IndexLink"/>
                <w:rtl w:val="true"/>
              </w:rPr>
              <w:tab/>
            </w:r>
            <w:r>
              <w:rPr>
                <w:rStyle w:val="IndexLink"/>
              </w:rPr>
              <w:t>52</w:t>
            </w:r>
          </w:hyperlink>
        </w:p>
        <w:p>
          <w:pPr>
            <w:pStyle w:val="Contents4"/>
            <w:tabs>
              <w:tab w:val="clear" w:pos="8176"/>
              <w:tab w:val="right" w:pos="9026" w:leader="dot"/>
            </w:tabs>
            <w:rPr/>
          </w:pPr>
          <w:hyperlink w:anchor="__RefHeading___Toc553509_730472459">
            <w:r>
              <w:rPr>
                <w:webHidden/>
                <w:rStyle w:val="IndexLink"/>
                <w:rtl w:val="true"/>
              </w:rPr>
              <w:t>الفرع الخامس</w:t>
            </w:r>
            <w:r>
              <w:rPr>
                <w:rStyle w:val="IndexLink"/>
                <w:rtl w:val="true"/>
              </w:rPr>
              <w:tab/>
            </w:r>
            <w:r>
              <w:rPr>
                <w:rStyle w:val="IndexLink"/>
              </w:rPr>
              <w:t>52</w:t>
            </w:r>
          </w:hyperlink>
        </w:p>
        <w:p>
          <w:pPr>
            <w:pStyle w:val="Contents4"/>
            <w:tabs>
              <w:tab w:val="clear" w:pos="8176"/>
              <w:tab w:val="right" w:pos="9026" w:leader="dot"/>
            </w:tabs>
            <w:rPr/>
          </w:pPr>
          <w:hyperlink w:anchor="__RefHeading___Toc553511_730472459">
            <w:r>
              <w:rPr>
                <w:webHidden/>
                <w:rStyle w:val="IndexLink"/>
                <w:rtl w:val="true"/>
              </w:rPr>
              <w:t>الفرع السادس</w:t>
            </w:r>
            <w:r>
              <w:rPr>
                <w:rStyle w:val="IndexLink"/>
                <w:rtl w:val="true"/>
              </w:rPr>
              <w:tab/>
            </w:r>
            <w:r>
              <w:rPr>
                <w:rStyle w:val="IndexLink"/>
              </w:rPr>
              <w:t>58</w:t>
            </w:r>
          </w:hyperlink>
        </w:p>
        <w:p>
          <w:pPr>
            <w:pStyle w:val="Contents5"/>
            <w:tabs>
              <w:tab w:val="clear" w:pos="7892"/>
              <w:tab w:val="right" w:pos="9026" w:leader="dot"/>
            </w:tabs>
            <w:rPr/>
          </w:pPr>
          <w:hyperlink w:anchor="__RefHeading___Toc553513_730472459">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53515_730472459">
            <w:r>
              <w:rPr>
                <w:webHidden/>
                <w:rStyle w:val="IndexLink"/>
                <w:rtl w:val="true"/>
              </w:rPr>
              <w:t>الحكم فيما إذا كانت شهادة الذمّيّ على أهل ملّته</w:t>
            </w:r>
            <w:r>
              <w:rPr>
                <w:rStyle w:val="IndexLink"/>
                <w:rtl w:val="true"/>
              </w:rPr>
              <w:tab/>
            </w:r>
            <w:r>
              <w:rPr>
                <w:rStyle w:val="IndexLink"/>
              </w:rPr>
              <w:t>59</w:t>
            </w:r>
          </w:hyperlink>
        </w:p>
        <w:p>
          <w:pPr>
            <w:pStyle w:val="Contents5"/>
            <w:tabs>
              <w:tab w:val="clear" w:pos="7892"/>
              <w:tab w:val="right" w:pos="9026" w:leader="dot"/>
            </w:tabs>
            <w:rPr/>
          </w:pPr>
          <w:hyperlink w:anchor="__RefHeading___Toc553517_730472459">
            <w:r>
              <w:rPr>
                <w:webHidden/>
                <w:rStyle w:val="IndexLink"/>
                <w:rtl w:val="true"/>
              </w:rPr>
              <w:t xml:space="preserve">المختار عند المصنّف </w:t>
            </w:r>
            <w:r>
              <w:rPr>
                <w:rStyle w:val="IndexLink"/>
                <w:rtl w:val="true"/>
              </w:rPr>
              <w:t>(</w:t>
            </w:r>
            <w:r>
              <w:rPr>
                <w:rStyle w:val="IndexLink"/>
                <w:rtl w:val="true"/>
              </w:rPr>
              <w:t>قدس سره</w:t>
            </w:r>
            <w:r>
              <w:rPr>
                <w:rStyle w:val="IndexLink"/>
                <w:rtl w:val="true"/>
              </w:rPr>
              <w:t>)</w:t>
              <w:tab/>
            </w:r>
            <w:r>
              <w:rPr>
                <w:rStyle w:val="IndexLink"/>
              </w:rPr>
              <w:t>60</w:t>
            </w:r>
          </w:hyperlink>
        </w:p>
        <w:p>
          <w:pPr>
            <w:pStyle w:val="Contents5"/>
            <w:tabs>
              <w:tab w:val="clear" w:pos="7892"/>
              <w:tab w:val="right" w:pos="9026" w:leader="dot"/>
            </w:tabs>
            <w:rPr/>
          </w:pPr>
          <w:hyperlink w:anchor="__RefHeading___Toc553519_730472459">
            <w:r>
              <w:rPr>
                <w:webHidden/>
                <w:rStyle w:val="IndexLink"/>
                <w:rtl w:val="true"/>
              </w:rPr>
              <w:t>قولٌ آخر في المسألة</w:t>
            </w:r>
            <w:r>
              <w:rPr>
                <w:rStyle w:val="IndexLink"/>
                <w:rtl w:val="true"/>
              </w:rPr>
              <w:tab/>
            </w:r>
            <w:r>
              <w:rPr>
                <w:rStyle w:val="IndexLink"/>
              </w:rPr>
              <w:t>61</w:t>
            </w:r>
          </w:hyperlink>
        </w:p>
        <w:p>
          <w:pPr>
            <w:pStyle w:val="Contents5"/>
            <w:tabs>
              <w:tab w:val="clear" w:pos="7892"/>
              <w:tab w:val="right" w:pos="9026" w:leader="dot"/>
            </w:tabs>
            <w:rPr/>
          </w:pPr>
          <w:hyperlink w:anchor="__RefHeading___Toc553521_730472459">
            <w:r>
              <w:rPr>
                <w:webHidden/>
                <w:rStyle w:val="IndexLink"/>
                <w:rtl w:val="true"/>
              </w:rPr>
              <w:t>الحكم فيما إذا كانت شهادة الذمّيّ على غير أهل ملّته</w:t>
            </w:r>
            <w:r>
              <w:rPr>
                <w:rStyle w:val="IndexLink"/>
                <w:rtl w:val="true"/>
              </w:rPr>
              <w:tab/>
            </w:r>
            <w:r>
              <w:rPr>
                <w:rStyle w:val="IndexLink"/>
              </w:rPr>
              <w:t>62</w:t>
            </w:r>
          </w:hyperlink>
        </w:p>
        <w:p>
          <w:pPr>
            <w:pStyle w:val="Contents5"/>
            <w:tabs>
              <w:tab w:val="clear" w:pos="7892"/>
              <w:tab w:val="right" w:pos="9026" w:leader="dot"/>
            </w:tabs>
            <w:rPr/>
          </w:pPr>
          <w:hyperlink w:anchor="__RefHeading___Toc553523_730472459">
            <w:r>
              <w:rPr>
                <w:webHidden/>
                <w:rStyle w:val="IndexLink"/>
                <w:rtl w:val="true"/>
              </w:rPr>
              <w:t>اعتبار العدالة في الشاهد</w:t>
            </w:r>
            <w:r>
              <w:rPr>
                <w:rStyle w:val="IndexLink"/>
                <w:rtl w:val="true"/>
              </w:rPr>
              <w:tab/>
            </w:r>
            <w:r>
              <w:rPr>
                <w:rStyle w:val="IndexLink"/>
              </w:rPr>
              <w:t>66</w:t>
            </w:r>
          </w:hyperlink>
        </w:p>
        <w:p>
          <w:pPr>
            <w:pStyle w:val="Contents2"/>
            <w:tabs>
              <w:tab w:val="clear" w:pos="8743"/>
              <w:tab w:val="right" w:pos="9026" w:leader="dot"/>
            </w:tabs>
            <w:rPr/>
          </w:pPr>
          <w:hyperlink w:anchor="__RefHeading___Toc553525_730472459">
            <w:r>
              <w:rPr>
                <w:webHidden/>
                <w:rStyle w:val="IndexLink"/>
              </w:rPr>
              <w:t>4</w:t>
            </w:r>
            <w:r>
              <w:rPr>
                <w:rStyle w:val="IndexLink"/>
                <w:rtl w:val="true"/>
              </w:rPr>
              <w:t xml:space="preserve">- </w:t>
            </w:r>
            <w:r>
              <w:rPr>
                <w:rStyle w:val="IndexLink"/>
                <w:rtl w:val="true"/>
              </w:rPr>
              <w:t>مسألة</w:t>
            </w:r>
            <w:r>
              <w:rPr>
                <w:rStyle w:val="IndexLink"/>
                <w:rtl w:val="true"/>
              </w:rPr>
              <w:tab/>
            </w:r>
            <w:r>
              <w:rPr>
                <w:rStyle w:val="IndexLink"/>
              </w:rPr>
              <w:t>66</w:t>
            </w:r>
          </w:hyperlink>
        </w:p>
        <w:p>
          <w:pPr>
            <w:pStyle w:val="Contents3"/>
            <w:tabs>
              <w:tab w:val="clear" w:pos="8459"/>
              <w:tab w:val="right" w:pos="9026" w:leader="dot"/>
            </w:tabs>
            <w:rPr/>
          </w:pPr>
          <w:hyperlink w:anchor="__RefHeading___Toc553527_730472459">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553529_730472459">
            <w:r>
              <w:rPr>
                <w:webHidden/>
                <w:rStyle w:val="IndexLink"/>
                <w:rtl w:val="true"/>
              </w:rPr>
              <w:t>ذكر الآيات الدالّة على اعتبار العدالة في الشاهد</w:t>
            </w:r>
            <w:r>
              <w:rPr>
                <w:rStyle w:val="IndexLink"/>
                <w:rtl w:val="true"/>
              </w:rPr>
              <w:tab/>
            </w:r>
            <w:r>
              <w:rPr>
                <w:rStyle w:val="IndexLink"/>
              </w:rPr>
              <w:t>66</w:t>
            </w:r>
          </w:hyperlink>
        </w:p>
        <w:p>
          <w:pPr>
            <w:pStyle w:val="Contents3"/>
            <w:tabs>
              <w:tab w:val="clear" w:pos="8459"/>
              <w:tab w:val="right" w:pos="9026" w:leader="dot"/>
            </w:tabs>
            <w:rPr/>
          </w:pPr>
          <w:hyperlink w:anchor="__RefHeading___Toc553531_730472459">
            <w:r>
              <w:rPr>
                <w:webHidden/>
                <w:rStyle w:val="IndexLink"/>
                <w:rtl w:val="true"/>
              </w:rPr>
              <w:t>الجواب عمّا يدلّ عليه الآية من تحليف الشاهد</w:t>
            </w:r>
            <w:r>
              <w:rPr>
                <w:rStyle w:val="IndexLink"/>
                <w:rtl w:val="true"/>
              </w:rPr>
              <w:tab/>
            </w:r>
            <w:r>
              <w:rPr>
                <w:rStyle w:val="IndexLink"/>
              </w:rPr>
              <w:t>67</w:t>
            </w:r>
          </w:hyperlink>
        </w:p>
        <w:p>
          <w:pPr>
            <w:pStyle w:val="Contents3"/>
            <w:tabs>
              <w:tab w:val="clear" w:pos="8459"/>
              <w:tab w:val="right" w:pos="9026" w:leader="dot"/>
            </w:tabs>
            <w:rPr/>
          </w:pPr>
          <w:hyperlink w:anchor="__RefHeading___Toc553533_730472459">
            <w:r>
              <w:rPr>
                <w:webHidden/>
                <w:rStyle w:val="IndexLink"/>
                <w:rtl w:val="true"/>
              </w:rPr>
              <w:t>الدليل من السنّة على اعتبار العدالة في الشاهد</w:t>
            </w:r>
            <w:r>
              <w:rPr>
                <w:rStyle w:val="IndexLink"/>
                <w:rtl w:val="true"/>
              </w:rPr>
              <w:tab/>
            </w:r>
            <w:r>
              <w:rPr>
                <w:rStyle w:val="IndexLink"/>
              </w:rPr>
              <w:t>70</w:t>
            </w:r>
          </w:hyperlink>
        </w:p>
        <w:p>
          <w:pPr>
            <w:pStyle w:val="Contents3"/>
            <w:tabs>
              <w:tab w:val="clear" w:pos="8459"/>
              <w:tab w:val="right" w:pos="9026" w:leader="dot"/>
            </w:tabs>
            <w:rPr/>
          </w:pPr>
          <w:hyperlink w:anchor="__RefHeading___Toc553535_730472459">
            <w:r>
              <w:rPr>
                <w:webHidden/>
                <w:rStyle w:val="IndexLink"/>
                <w:rtl w:val="true"/>
              </w:rPr>
              <w:t>بيان العدالة</w:t>
            </w:r>
            <w:r>
              <w:rPr>
                <w:rStyle w:val="IndexLink"/>
                <w:rtl w:val="true"/>
              </w:rPr>
              <w:tab/>
            </w:r>
            <w:r>
              <w:rPr>
                <w:rStyle w:val="IndexLink"/>
              </w:rPr>
              <w:t>71</w:t>
            </w:r>
          </w:hyperlink>
        </w:p>
        <w:p>
          <w:pPr>
            <w:pStyle w:val="Contents3"/>
            <w:tabs>
              <w:tab w:val="clear" w:pos="8459"/>
              <w:tab w:val="right" w:pos="9026" w:leader="dot"/>
            </w:tabs>
            <w:rPr/>
          </w:pPr>
          <w:hyperlink w:anchor="__RefHeading___Toc553537_730472459">
            <w:r>
              <w:rPr>
                <w:webHidden/>
                <w:rStyle w:val="IndexLink"/>
                <w:rtl w:val="true"/>
              </w:rPr>
              <w:t>القول بأنّ العدالة هي ظاهر الإسلام</w:t>
            </w:r>
            <w:r>
              <w:rPr>
                <w:rStyle w:val="IndexLink"/>
                <w:rtl w:val="true"/>
              </w:rPr>
              <w:tab/>
            </w:r>
            <w:r>
              <w:rPr>
                <w:rStyle w:val="IndexLink"/>
              </w:rPr>
              <w:t>77</w:t>
            </w:r>
          </w:hyperlink>
        </w:p>
        <w:p>
          <w:pPr>
            <w:pStyle w:val="Contents3"/>
            <w:tabs>
              <w:tab w:val="clear" w:pos="8459"/>
              <w:tab w:val="right" w:pos="9026" w:leader="dot"/>
            </w:tabs>
            <w:rPr/>
          </w:pPr>
          <w:hyperlink w:anchor="__RefHeading___Toc553539_730472459">
            <w:r>
              <w:rPr>
                <w:webHidden/>
                <w:rStyle w:val="IndexLink"/>
                <w:rtl w:val="true"/>
              </w:rPr>
              <w:t>الاستدلال بجملة من النصوص للقول بأنّ العدالة هي ظاهر الإسلام</w:t>
            </w:r>
            <w:r>
              <w:rPr>
                <w:rStyle w:val="IndexLink"/>
                <w:rtl w:val="true"/>
              </w:rPr>
              <w:tab/>
            </w:r>
            <w:r>
              <w:rPr>
                <w:rStyle w:val="IndexLink"/>
              </w:rPr>
              <w:t>79</w:t>
            </w:r>
          </w:hyperlink>
        </w:p>
        <w:p>
          <w:pPr>
            <w:pStyle w:val="Contents3"/>
            <w:tabs>
              <w:tab w:val="clear" w:pos="8459"/>
              <w:tab w:val="right" w:pos="9026" w:leader="dot"/>
            </w:tabs>
            <w:rPr/>
          </w:pPr>
          <w:hyperlink w:anchor="__RefHeading___Toc553541_730472459">
            <w:r>
              <w:rPr>
                <w:webHidden/>
                <w:rStyle w:val="IndexLink"/>
                <w:rtl w:val="true"/>
              </w:rPr>
              <w:t>الجواب عن النصوص</w:t>
            </w:r>
            <w:r>
              <w:rPr>
                <w:rStyle w:val="IndexLink"/>
                <w:rtl w:val="true"/>
              </w:rPr>
              <w:tab/>
            </w:r>
            <w:r>
              <w:rPr>
                <w:rStyle w:val="IndexLink"/>
              </w:rPr>
              <w:t>81</w:t>
            </w:r>
          </w:hyperlink>
        </w:p>
        <w:p>
          <w:pPr>
            <w:pStyle w:val="Contents3"/>
            <w:tabs>
              <w:tab w:val="clear" w:pos="8459"/>
              <w:tab w:val="right" w:pos="9026" w:leader="dot"/>
            </w:tabs>
            <w:rPr/>
          </w:pPr>
          <w:hyperlink w:anchor="__RefHeading___Toc553543_730472459">
            <w:r>
              <w:rPr>
                <w:webHidden/>
                <w:rStyle w:val="IndexLink"/>
                <w:rtl w:val="true"/>
              </w:rPr>
              <w:t>يجب الفحص عن المجهول الحال</w:t>
            </w:r>
            <w:r>
              <w:rPr>
                <w:rStyle w:val="IndexLink"/>
                <w:rtl w:val="true"/>
              </w:rPr>
              <w:tab/>
            </w:r>
            <w:r>
              <w:rPr>
                <w:rStyle w:val="IndexLink"/>
              </w:rPr>
              <w:t>89</w:t>
            </w:r>
          </w:hyperlink>
        </w:p>
        <w:p>
          <w:pPr>
            <w:pStyle w:val="Contents3"/>
            <w:tabs>
              <w:tab w:val="clear" w:pos="8459"/>
              <w:tab w:val="right" w:pos="9026" w:leader="dot"/>
            </w:tabs>
            <w:rPr/>
          </w:pPr>
          <w:hyperlink w:anchor="__RefHeading___Toc553545_730472459">
            <w:r>
              <w:rPr>
                <w:webHidden/>
                <w:rStyle w:val="IndexLink"/>
                <w:rtl w:val="true"/>
              </w:rPr>
              <w:t>في بيان ما يعرف به العدالة الّتي عبارة عن الملكة</w:t>
            </w:r>
            <w:r>
              <w:rPr>
                <w:rStyle w:val="IndexLink"/>
                <w:rtl w:val="true"/>
              </w:rPr>
              <w:tab/>
            </w:r>
            <w:r>
              <w:rPr>
                <w:rStyle w:val="IndexLink"/>
              </w:rPr>
              <w:t>92</w:t>
            </w:r>
          </w:hyperlink>
        </w:p>
        <w:p>
          <w:pPr>
            <w:pStyle w:val="Contents3"/>
            <w:tabs>
              <w:tab w:val="clear" w:pos="8459"/>
              <w:tab w:val="right" w:pos="9026" w:leader="dot"/>
            </w:tabs>
            <w:rPr/>
          </w:pPr>
          <w:hyperlink w:anchor="__RefHeading___Toc553547_730472459">
            <w:r>
              <w:rPr>
                <w:webHidden/>
                <w:rStyle w:val="IndexLink"/>
                <w:rtl w:val="true"/>
              </w:rPr>
              <w:t>فروع</w:t>
            </w:r>
            <w:r>
              <w:rPr>
                <w:rStyle w:val="IndexLink"/>
                <w:rtl w:val="true"/>
              </w:rPr>
              <w:tab/>
            </w:r>
            <w:r>
              <w:rPr>
                <w:rStyle w:val="IndexLink"/>
              </w:rPr>
              <w:t>98</w:t>
            </w:r>
          </w:hyperlink>
        </w:p>
        <w:p>
          <w:pPr>
            <w:pStyle w:val="Contents4"/>
            <w:tabs>
              <w:tab w:val="clear" w:pos="8176"/>
              <w:tab w:val="right" w:pos="9026" w:leader="dot"/>
            </w:tabs>
            <w:rPr/>
          </w:pPr>
          <w:hyperlink w:anchor="__RefHeading___Toc553549_730472459">
            <w:r>
              <w:rPr>
                <w:webHidden/>
                <w:rStyle w:val="IndexLink"/>
                <w:rtl w:val="true"/>
              </w:rPr>
              <w:t>الفرعُ الأوّل</w:t>
            </w:r>
            <w:r>
              <w:rPr>
                <w:rStyle w:val="IndexLink"/>
                <w:rtl w:val="true"/>
              </w:rPr>
              <w:tab/>
            </w:r>
            <w:r>
              <w:rPr>
                <w:rStyle w:val="IndexLink"/>
              </w:rPr>
              <w:t>98</w:t>
            </w:r>
          </w:hyperlink>
        </w:p>
        <w:p>
          <w:pPr>
            <w:pStyle w:val="Contents5"/>
            <w:tabs>
              <w:tab w:val="clear" w:pos="7892"/>
              <w:tab w:val="right" w:pos="9026" w:leader="dot"/>
            </w:tabs>
            <w:rPr/>
          </w:pPr>
          <w:hyperlink w:anchor="__RefHeading___Toc553551_730472459">
            <w:r>
              <w:rPr>
                <w:webHidden/>
                <w:rStyle w:val="IndexLink"/>
                <w:rtl w:val="true"/>
              </w:rPr>
              <w:t>هل في الذنوب صغيرة أم لا ؟</w:t>
            </w:r>
            <w:r>
              <w:rPr>
                <w:rStyle w:val="IndexLink"/>
                <w:rtl w:val="true"/>
              </w:rPr>
              <w:tab/>
            </w:r>
            <w:r>
              <w:rPr>
                <w:rStyle w:val="IndexLink"/>
              </w:rPr>
              <w:t>98</w:t>
            </w:r>
          </w:hyperlink>
        </w:p>
        <w:p>
          <w:pPr>
            <w:pStyle w:val="Contents5"/>
            <w:tabs>
              <w:tab w:val="clear" w:pos="7892"/>
              <w:tab w:val="right" w:pos="9026" w:leader="dot"/>
            </w:tabs>
            <w:rPr/>
          </w:pPr>
          <w:hyperlink w:anchor="__RefHeading___Toc553553_730472459">
            <w:r>
              <w:rPr>
                <w:webHidden/>
                <w:rStyle w:val="IndexLink"/>
                <w:rtl w:val="true"/>
              </w:rPr>
              <w:t xml:space="preserve">الذنوب على قسمين </w:t>
            </w:r>
            <w:r>
              <w:rPr>
                <w:rStyle w:val="IndexLink"/>
                <w:rtl w:val="true"/>
              </w:rPr>
              <w:t xml:space="preserve">: </w:t>
            </w:r>
            <w:r>
              <w:rPr>
                <w:rStyle w:val="IndexLink"/>
                <w:rtl w:val="true"/>
              </w:rPr>
              <w:t>كبيرة و صغيرة</w:t>
            </w:r>
            <w:r>
              <w:rPr>
                <w:rStyle w:val="IndexLink"/>
                <w:rtl w:val="true"/>
              </w:rPr>
              <w:tab/>
            </w:r>
            <w:r>
              <w:rPr>
                <w:rStyle w:val="IndexLink"/>
              </w:rPr>
              <w:t>100</w:t>
            </w:r>
          </w:hyperlink>
        </w:p>
        <w:p>
          <w:pPr>
            <w:pStyle w:val="Contents5"/>
            <w:tabs>
              <w:tab w:val="clear" w:pos="7892"/>
              <w:tab w:val="right" w:pos="9026" w:leader="dot"/>
            </w:tabs>
            <w:rPr/>
          </w:pPr>
          <w:hyperlink w:anchor="__RefHeading___Toc553555_730472459">
            <w:r>
              <w:rPr>
                <w:webHidden/>
                <w:rStyle w:val="IndexLink"/>
                <w:rtl w:val="true"/>
              </w:rPr>
              <w:t>الحقّ في المسألة</w:t>
            </w:r>
            <w:r>
              <w:rPr>
                <w:rStyle w:val="IndexLink"/>
                <w:rtl w:val="true"/>
              </w:rPr>
              <w:tab/>
            </w:r>
            <w:r>
              <w:rPr>
                <w:rStyle w:val="IndexLink"/>
              </w:rPr>
              <w:t>101</w:t>
            </w:r>
          </w:hyperlink>
        </w:p>
        <w:p>
          <w:pPr>
            <w:pStyle w:val="Contents5"/>
            <w:tabs>
              <w:tab w:val="clear" w:pos="7892"/>
              <w:tab w:val="right" w:pos="9026" w:leader="dot"/>
            </w:tabs>
            <w:rPr/>
          </w:pPr>
          <w:hyperlink w:anchor="__RefHeading___Toc553557_730472459">
            <w:r>
              <w:rPr>
                <w:webHidden/>
                <w:rStyle w:val="IndexLink"/>
                <w:rtl w:val="true"/>
              </w:rPr>
              <w:t>مستند القول بأنّ المعاصي كلّها كبيرة، مع الجواب عنه</w:t>
            </w:r>
            <w:r>
              <w:rPr>
                <w:rStyle w:val="IndexLink"/>
                <w:rtl w:val="true"/>
              </w:rPr>
              <w:tab/>
            </w:r>
            <w:r>
              <w:rPr>
                <w:rStyle w:val="IndexLink"/>
              </w:rPr>
              <w:t>105</w:t>
            </w:r>
          </w:hyperlink>
        </w:p>
        <w:p>
          <w:pPr>
            <w:pStyle w:val="Contents5"/>
            <w:tabs>
              <w:tab w:val="clear" w:pos="7892"/>
              <w:tab w:val="right" w:pos="9026" w:leader="dot"/>
            </w:tabs>
            <w:rPr/>
          </w:pPr>
          <w:hyperlink w:anchor="__RefHeading___Toc553559_730472459">
            <w:r>
              <w:rPr>
                <w:webHidden/>
                <w:rStyle w:val="IndexLink"/>
                <w:rtl w:val="true"/>
              </w:rPr>
              <w:t>معنى تكفير الصغائر باجتناب الكبائر</w:t>
            </w:r>
            <w:r>
              <w:rPr>
                <w:rStyle w:val="IndexLink"/>
                <w:rtl w:val="true"/>
              </w:rPr>
              <w:tab/>
            </w:r>
            <w:r>
              <w:rPr>
                <w:rStyle w:val="IndexLink"/>
              </w:rPr>
              <w:t>107</w:t>
            </w:r>
          </w:hyperlink>
        </w:p>
        <w:p>
          <w:pPr>
            <w:pStyle w:val="Contents4"/>
            <w:tabs>
              <w:tab w:val="clear" w:pos="8176"/>
              <w:tab w:val="right" w:pos="9026" w:leader="dot"/>
            </w:tabs>
            <w:rPr/>
          </w:pPr>
          <w:hyperlink w:anchor="__RefHeading___Toc553561_730472459">
            <w:r>
              <w:rPr>
                <w:webHidden/>
                <w:rStyle w:val="IndexLink"/>
                <w:rtl w:val="true"/>
              </w:rPr>
              <w:t>الفرع الثاني</w:t>
            </w:r>
            <w:r>
              <w:rPr>
                <w:rStyle w:val="IndexLink"/>
                <w:rtl w:val="true"/>
              </w:rPr>
              <w:tab/>
            </w:r>
            <w:r>
              <w:rPr>
                <w:rStyle w:val="IndexLink"/>
              </w:rPr>
              <w:t>110</w:t>
            </w:r>
          </w:hyperlink>
        </w:p>
        <w:p>
          <w:pPr>
            <w:pStyle w:val="Contents5"/>
            <w:tabs>
              <w:tab w:val="clear" w:pos="7892"/>
              <w:tab w:val="right" w:pos="9026" w:leader="dot"/>
            </w:tabs>
            <w:rPr/>
          </w:pPr>
          <w:hyperlink w:anchor="__RefHeading___Toc553563_730472459">
            <w:r>
              <w:rPr>
                <w:webHidden/>
                <w:rStyle w:val="IndexLink"/>
                <w:rtl w:val="true"/>
              </w:rPr>
              <w:t>في بيان الكبائر من الذنوب</w:t>
            </w:r>
            <w:r>
              <w:rPr>
                <w:rStyle w:val="IndexLink"/>
                <w:rtl w:val="true"/>
              </w:rPr>
              <w:tab/>
            </w:r>
            <w:r>
              <w:rPr>
                <w:rStyle w:val="IndexLink"/>
              </w:rPr>
              <w:t>110</w:t>
            </w:r>
          </w:hyperlink>
        </w:p>
        <w:p>
          <w:pPr>
            <w:pStyle w:val="Contents5"/>
            <w:tabs>
              <w:tab w:val="clear" w:pos="7892"/>
              <w:tab w:val="right" w:pos="9026" w:leader="dot"/>
            </w:tabs>
            <w:rPr/>
          </w:pPr>
          <w:hyperlink w:anchor="__RefHeading___Toc553565_730472459">
            <w:r>
              <w:rPr>
                <w:webHidden/>
                <w:rStyle w:val="IndexLink"/>
                <w:rtl w:val="true"/>
              </w:rPr>
              <w:t>ذكر اختلاف الأصحاب في بيان الكبائر</w:t>
            </w:r>
            <w:r>
              <w:rPr>
                <w:rStyle w:val="IndexLink"/>
                <w:rtl w:val="true"/>
              </w:rPr>
              <w:tab/>
            </w:r>
            <w:r>
              <w:rPr>
                <w:rStyle w:val="IndexLink"/>
              </w:rPr>
              <w:t>110</w:t>
            </w:r>
          </w:hyperlink>
        </w:p>
        <w:p>
          <w:pPr>
            <w:pStyle w:val="Contents5"/>
            <w:tabs>
              <w:tab w:val="clear" w:pos="7892"/>
              <w:tab w:val="right" w:pos="9026" w:leader="dot"/>
            </w:tabs>
            <w:rPr/>
          </w:pPr>
          <w:hyperlink w:anchor="__RefHeading___Toc553567_730472459">
            <w:r>
              <w:rPr>
                <w:webHidden/>
                <w:rStyle w:val="IndexLink"/>
                <w:rtl w:val="true"/>
              </w:rPr>
              <w:t>ذكر اختلاف النصوص في بيان الكبائر</w:t>
            </w:r>
            <w:r>
              <w:rPr>
                <w:rStyle w:val="IndexLink"/>
                <w:rtl w:val="true"/>
              </w:rPr>
              <w:tab/>
            </w:r>
            <w:r>
              <w:rPr>
                <w:rStyle w:val="IndexLink"/>
              </w:rPr>
              <w:t>115</w:t>
            </w:r>
          </w:hyperlink>
        </w:p>
        <w:p>
          <w:pPr>
            <w:pStyle w:val="Contents5"/>
            <w:tabs>
              <w:tab w:val="clear" w:pos="7892"/>
              <w:tab w:val="right" w:pos="9026" w:leader="dot"/>
            </w:tabs>
            <w:rPr/>
          </w:pPr>
          <w:hyperlink w:anchor="__RefHeading___Toc553569_730472459">
            <w:r>
              <w:rPr>
                <w:webHidden/>
                <w:rStyle w:val="IndexLink"/>
                <w:rtl w:val="true"/>
              </w:rPr>
              <w:t>الجواب عن اختلاف النصوص في بيان الكبائر</w:t>
            </w:r>
            <w:r>
              <w:rPr>
                <w:rStyle w:val="IndexLink"/>
                <w:rtl w:val="true"/>
              </w:rPr>
              <w:tab/>
            </w:r>
            <w:r>
              <w:rPr>
                <w:rStyle w:val="IndexLink"/>
              </w:rPr>
              <w:t>128</w:t>
            </w:r>
          </w:hyperlink>
        </w:p>
        <w:p>
          <w:pPr>
            <w:pStyle w:val="Contents4"/>
            <w:tabs>
              <w:tab w:val="clear" w:pos="8176"/>
              <w:tab w:val="right" w:pos="9026" w:leader="dot"/>
            </w:tabs>
            <w:rPr/>
          </w:pPr>
          <w:hyperlink w:anchor="__RefHeading___Toc553571_730472459">
            <w:r>
              <w:rPr>
                <w:webHidden/>
                <w:rStyle w:val="IndexLink"/>
                <w:rtl w:val="true"/>
              </w:rPr>
              <w:t>الفرع الثالث</w:t>
            </w:r>
            <w:r>
              <w:rPr>
                <w:rStyle w:val="IndexLink"/>
                <w:rtl w:val="true"/>
              </w:rPr>
              <w:tab/>
            </w:r>
            <w:r>
              <w:rPr>
                <w:rStyle w:val="IndexLink"/>
              </w:rPr>
              <w:t>130</w:t>
            </w:r>
          </w:hyperlink>
        </w:p>
        <w:p>
          <w:pPr>
            <w:pStyle w:val="Contents5"/>
            <w:tabs>
              <w:tab w:val="clear" w:pos="7892"/>
              <w:tab w:val="right" w:pos="9026" w:leader="dot"/>
            </w:tabs>
            <w:rPr/>
          </w:pPr>
          <w:hyperlink w:anchor="__RefHeading___Toc553573_730472459">
            <w:r>
              <w:rPr>
                <w:webHidden/>
                <w:rStyle w:val="IndexLink"/>
                <w:rtl w:val="true"/>
              </w:rPr>
              <w:t>معنى إصرار الصغائر</w:t>
            </w:r>
            <w:r>
              <w:rPr>
                <w:rStyle w:val="IndexLink"/>
                <w:rtl w:val="true"/>
              </w:rPr>
              <w:tab/>
            </w:r>
            <w:r>
              <w:rPr>
                <w:rStyle w:val="IndexLink"/>
              </w:rPr>
              <w:t>130</w:t>
            </w:r>
          </w:hyperlink>
        </w:p>
        <w:p>
          <w:pPr>
            <w:pStyle w:val="Contents5"/>
            <w:tabs>
              <w:tab w:val="clear" w:pos="7892"/>
              <w:tab w:val="right" w:pos="9026" w:leader="dot"/>
            </w:tabs>
            <w:rPr/>
          </w:pPr>
          <w:hyperlink w:anchor="__RefHeading___Toc553575_730472459">
            <w:r>
              <w:rPr>
                <w:webHidden/>
                <w:rStyle w:val="IndexLink"/>
                <w:rtl w:val="true"/>
              </w:rPr>
              <w:t>ذكر الأقوال في معنى الإصرار</w:t>
            </w:r>
            <w:r>
              <w:rPr>
                <w:rStyle w:val="IndexLink"/>
                <w:rtl w:val="true"/>
              </w:rPr>
              <w:tab/>
            </w:r>
            <w:r>
              <w:rPr>
                <w:rStyle w:val="IndexLink"/>
              </w:rPr>
              <w:t>131</w:t>
            </w:r>
          </w:hyperlink>
        </w:p>
        <w:p>
          <w:pPr>
            <w:pStyle w:val="Contents4"/>
            <w:tabs>
              <w:tab w:val="clear" w:pos="8176"/>
              <w:tab w:val="right" w:pos="9026" w:leader="dot"/>
            </w:tabs>
            <w:rPr/>
          </w:pPr>
          <w:hyperlink w:anchor="__RefHeading___Toc553577_730472459">
            <w:r>
              <w:rPr>
                <w:webHidden/>
                <w:rStyle w:val="IndexLink"/>
                <w:rtl w:val="true"/>
              </w:rPr>
              <w:t>الفرع الرابع</w:t>
            </w:r>
            <w:r>
              <w:rPr>
                <w:rStyle w:val="IndexLink"/>
                <w:rtl w:val="true"/>
              </w:rPr>
              <w:tab/>
            </w:r>
            <w:r>
              <w:rPr>
                <w:rStyle w:val="IndexLink"/>
              </w:rPr>
              <w:t>137</w:t>
            </w:r>
          </w:hyperlink>
        </w:p>
        <w:p>
          <w:pPr>
            <w:pStyle w:val="Contents5"/>
            <w:tabs>
              <w:tab w:val="clear" w:pos="7892"/>
              <w:tab w:val="right" w:pos="9026" w:leader="dot"/>
            </w:tabs>
            <w:rPr/>
          </w:pPr>
          <w:hyperlink w:anchor="__RefHeading___Toc553579_730472459">
            <w:r>
              <w:rPr>
                <w:webHidden/>
                <w:rStyle w:val="IndexLink"/>
                <w:rtl w:val="true"/>
              </w:rPr>
              <w:t>في بيان الرحم و صلته و قطعه</w:t>
            </w:r>
            <w:r>
              <w:rPr>
                <w:rStyle w:val="IndexLink"/>
                <w:rtl w:val="true"/>
              </w:rPr>
              <w:tab/>
            </w:r>
            <w:r>
              <w:rPr>
                <w:rStyle w:val="IndexLink"/>
              </w:rPr>
              <w:t>137</w:t>
            </w:r>
          </w:hyperlink>
        </w:p>
        <w:p>
          <w:pPr>
            <w:pStyle w:val="Contents5"/>
            <w:tabs>
              <w:tab w:val="clear" w:pos="7892"/>
              <w:tab w:val="right" w:pos="9026" w:leader="dot"/>
            </w:tabs>
            <w:rPr/>
          </w:pPr>
          <w:hyperlink w:anchor="__RefHeading___Toc553581_730472459">
            <w:r>
              <w:rPr>
                <w:webHidden/>
                <w:rStyle w:val="IndexLink"/>
                <w:rtl w:val="true"/>
              </w:rPr>
              <w:t>حكم شهادة القاذف</w:t>
            </w:r>
            <w:r>
              <w:rPr>
                <w:rStyle w:val="IndexLink"/>
                <w:rtl w:val="true"/>
              </w:rPr>
              <w:tab/>
            </w:r>
            <w:r>
              <w:rPr>
                <w:rStyle w:val="IndexLink"/>
              </w:rPr>
              <w:t>139</w:t>
            </w:r>
          </w:hyperlink>
        </w:p>
        <w:p>
          <w:pPr>
            <w:pStyle w:val="Contents2"/>
            <w:tabs>
              <w:tab w:val="clear" w:pos="8743"/>
              <w:tab w:val="right" w:pos="9026" w:leader="dot"/>
            </w:tabs>
            <w:rPr/>
          </w:pPr>
          <w:hyperlink w:anchor="__RefHeading___Toc553583_730472459">
            <w:r>
              <w:rPr>
                <w:webHidden/>
                <w:rStyle w:val="IndexLink"/>
              </w:rPr>
              <w:t>5</w:t>
            </w:r>
            <w:r>
              <w:rPr>
                <w:rStyle w:val="IndexLink"/>
                <w:rtl w:val="true"/>
              </w:rPr>
              <w:t xml:space="preserve">- </w:t>
            </w:r>
            <w:r>
              <w:rPr>
                <w:rStyle w:val="IndexLink"/>
                <w:rtl w:val="true"/>
              </w:rPr>
              <w:t>مسألة</w:t>
            </w:r>
            <w:r>
              <w:rPr>
                <w:rStyle w:val="IndexLink"/>
                <w:rtl w:val="true"/>
              </w:rPr>
              <w:tab/>
            </w:r>
            <w:r>
              <w:rPr>
                <w:rStyle w:val="IndexLink"/>
              </w:rPr>
              <w:t>139</w:t>
            </w:r>
          </w:hyperlink>
        </w:p>
        <w:p>
          <w:pPr>
            <w:pStyle w:val="Contents3"/>
            <w:tabs>
              <w:tab w:val="clear" w:pos="8459"/>
              <w:tab w:val="right" w:pos="9026" w:leader="dot"/>
            </w:tabs>
            <w:rPr/>
          </w:pPr>
          <w:hyperlink w:anchor="__RefHeading___Toc553585_730472459">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553587_730472459">
            <w:r>
              <w:rPr>
                <w:webHidden/>
                <w:rStyle w:val="IndexLink"/>
                <w:rtl w:val="true"/>
              </w:rPr>
              <w:t>حدّ توبة القاذف</w:t>
            </w:r>
            <w:r>
              <w:rPr>
                <w:rStyle w:val="IndexLink"/>
                <w:rtl w:val="true"/>
              </w:rPr>
              <w:tab/>
            </w:r>
            <w:r>
              <w:rPr>
                <w:rStyle w:val="IndexLink"/>
              </w:rPr>
              <w:t>142</w:t>
            </w:r>
          </w:hyperlink>
        </w:p>
        <w:p>
          <w:pPr>
            <w:pStyle w:val="Contents4"/>
            <w:tabs>
              <w:tab w:val="clear" w:pos="8176"/>
              <w:tab w:val="right" w:pos="9026" w:leader="dot"/>
            </w:tabs>
            <w:rPr/>
          </w:pPr>
          <w:hyperlink w:anchor="__RefHeading___Toc553589_730472459">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53591_730472459">
            <w:r>
              <w:rPr>
                <w:webHidden/>
                <w:rStyle w:val="IndexLink"/>
                <w:rtl w:val="true"/>
              </w:rPr>
              <w:t>القول الأوّل</w:t>
            </w:r>
            <w:r>
              <w:rPr>
                <w:rStyle w:val="IndexLink"/>
                <w:rtl w:val="true"/>
              </w:rPr>
              <w:tab/>
            </w:r>
            <w:r>
              <w:rPr>
                <w:rStyle w:val="IndexLink"/>
              </w:rPr>
              <w:t>142</w:t>
            </w:r>
          </w:hyperlink>
        </w:p>
        <w:p>
          <w:pPr>
            <w:pStyle w:val="Contents4"/>
            <w:tabs>
              <w:tab w:val="clear" w:pos="8176"/>
              <w:tab w:val="right" w:pos="9026" w:leader="dot"/>
            </w:tabs>
            <w:rPr/>
          </w:pPr>
          <w:hyperlink w:anchor="__RefHeading___Toc553593_730472459">
            <w:r>
              <w:rPr>
                <w:webHidden/>
                <w:rStyle w:val="IndexLink"/>
                <w:rtl w:val="true"/>
              </w:rPr>
              <w:t>القول الثاني</w:t>
            </w:r>
            <w:r>
              <w:rPr>
                <w:rStyle w:val="IndexLink"/>
                <w:rtl w:val="true"/>
              </w:rPr>
              <w:tab/>
            </w:r>
            <w:r>
              <w:rPr>
                <w:rStyle w:val="IndexLink"/>
              </w:rPr>
              <w:t>145</w:t>
            </w:r>
          </w:hyperlink>
        </w:p>
        <w:p>
          <w:pPr>
            <w:pStyle w:val="Contents4"/>
            <w:tabs>
              <w:tab w:val="clear" w:pos="8176"/>
              <w:tab w:val="right" w:pos="9026" w:leader="dot"/>
            </w:tabs>
            <w:rPr/>
          </w:pPr>
          <w:hyperlink w:anchor="__RefHeading___Toc553595_730472459">
            <w:r>
              <w:rPr>
                <w:webHidden/>
                <w:rStyle w:val="IndexLink"/>
                <w:rtl w:val="true"/>
              </w:rPr>
              <w:t>القول الثالث</w:t>
            </w:r>
            <w:r>
              <w:rPr>
                <w:rStyle w:val="IndexLink"/>
                <w:rtl w:val="true"/>
              </w:rPr>
              <w:tab/>
            </w:r>
            <w:r>
              <w:rPr>
                <w:rStyle w:val="IndexLink"/>
              </w:rPr>
              <w:t>147</w:t>
            </w:r>
          </w:hyperlink>
        </w:p>
        <w:p>
          <w:pPr>
            <w:pStyle w:val="Contents3"/>
            <w:tabs>
              <w:tab w:val="clear" w:pos="8459"/>
              <w:tab w:val="right" w:pos="9026" w:leader="dot"/>
            </w:tabs>
            <w:rPr/>
          </w:pPr>
          <w:hyperlink w:anchor="__RefHeading___Toc553597_730472459">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في المسألة</w:t>
            </w:r>
            <w:r>
              <w:rPr>
                <w:rStyle w:val="IndexLink"/>
                <w:rtl w:val="true"/>
              </w:rPr>
              <w:tab/>
            </w:r>
            <w:r>
              <w:rPr>
                <w:rStyle w:val="IndexLink"/>
              </w:rPr>
              <w:t>149</w:t>
            </w:r>
          </w:hyperlink>
        </w:p>
        <w:p>
          <w:pPr>
            <w:pStyle w:val="Contents3"/>
            <w:tabs>
              <w:tab w:val="clear" w:pos="8459"/>
              <w:tab w:val="right" w:pos="9026" w:leader="dot"/>
            </w:tabs>
            <w:rPr/>
          </w:pPr>
          <w:hyperlink w:anchor="__RefHeading___Toc553599_730472459">
            <w:r>
              <w:rPr>
                <w:webHidden/>
                <w:rStyle w:val="IndexLink"/>
                <w:rtl w:val="true"/>
              </w:rPr>
              <w:t>إيرادٌ في المقام</w:t>
            </w:r>
            <w:r>
              <w:rPr>
                <w:rStyle w:val="IndexLink"/>
                <w:rtl w:val="true"/>
              </w:rPr>
              <w:tab/>
            </w:r>
            <w:r>
              <w:rPr>
                <w:rStyle w:val="IndexLink"/>
              </w:rPr>
              <w:t>149</w:t>
            </w:r>
          </w:hyperlink>
        </w:p>
        <w:p>
          <w:pPr>
            <w:pStyle w:val="Contents3"/>
            <w:tabs>
              <w:tab w:val="clear" w:pos="8459"/>
              <w:tab w:val="right" w:pos="9026" w:leader="dot"/>
            </w:tabs>
            <w:rPr/>
          </w:pPr>
          <w:hyperlink w:anchor="__RefHeading___Toc553601_730472459">
            <w:r>
              <w:rPr>
                <w:webHidden/>
                <w:rStyle w:val="IndexLink"/>
                <w:rtl w:val="true"/>
              </w:rPr>
              <w:t>الجواب عن الإيراد</w:t>
            </w:r>
            <w:r>
              <w:rPr>
                <w:rStyle w:val="IndexLink"/>
                <w:rtl w:val="true"/>
              </w:rPr>
              <w:tab/>
            </w:r>
            <w:r>
              <w:rPr>
                <w:rStyle w:val="IndexLink"/>
              </w:rPr>
              <w:t>150</w:t>
            </w:r>
          </w:hyperlink>
        </w:p>
        <w:p>
          <w:pPr>
            <w:pStyle w:val="Contents3"/>
            <w:tabs>
              <w:tab w:val="clear" w:pos="8459"/>
              <w:tab w:val="right" w:pos="9026" w:leader="dot"/>
            </w:tabs>
            <w:rPr/>
          </w:pPr>
          <w:hyperlink w:anchor="__RefHeading___Toc553603_730472459">
            <w:r>
              <w:rPr>
                <w:webHidden/>
                <w:rStyle w:val="IndexLink"/>
                <w:rtl w:val="true"/>
              </w:rPr>
              <w:t>اللّاعب بآلات القمار لا تقبل شهادته</w:t>
            </w:r>
            <w:r>
              <w:rPr>
                <w:rStyle w:val="IndexLink"/>
                <w:rtl w:val="true"/>
              </w:rPr>
              <w:tab/>
            </w:r>
            <w:r>
              <w:rPr>
                <w:rStyle w:val="IndexLink"/>
              </w:rPr>
              <w:t>154</w:t>
            </w:r>
          </w:hyperlink>
        </w:p>
        <w:p>
          <w:pPr>
            <w:pStyle w:val="Contents2"/>
            <w:tabs>
              <w:tab w:val="clear" w:pos="8743"/>
              <w:tab w:val="right" w:pos="9026" w:leader="dot"/>
            </w:tabs>
            <w:rPr/>
          </w:pPr>
          <w:hyperlink w:anchor="__RefHeading___Toc553605_730472459">
            <w:r>
              <w:rPr>
                <w:webHidden/>
                <w:rStyle w:val="IndexLink"/>
              </w:rPr>
              <w:t>6</w:t>
            </w:r>
            <w:r>
              <w:rPr>
                <w:rStyle w:val="IndexLink"/>
                <w:rtl w:val="true"/>
              </w:rPr>
              <w:t xml:space="preserve">- </w:t>
            </w:r>
            <w:r>
              <w:rPr>
                <w:rStyle w:val="IndexLink"/>
                <w:rtl w:val="true"/>
              </w:rPr>
              <w:t>مسألة</w:t>
            </w:r>
            <w:r>
              <w:rPr>
                <w:rStyle w:val="IndexLink"/>
                <w:rtl w:val="true"/>
              </w:rPr>
              <w:tab/>
            </w:r>
            <w:r>
              <w:rPr>
                <w:rStyle w:val="IndexLink"/>
              </w:rPr>
              <w:t>154</w:t>
            </w:r>
          </w:hyperlink>
        </w:p>
        <w:p>
          <w:pPr>
            <w:pStyle w:val="Contents3"/>
            <w:tabs>
              <w:tab w:val="clear" w:pos="8459"/>
              <w:tab w:val="right" w:pos="9026" w:leader="dot"/>
            </w:tabs>
            <w:rPr/>
          </w:pPr>
          <w:hyperlink w:anchor="__RefHeading___Toc553607_73047245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553609_730472459">
            <w:r>
              <w:rPr>
                <w:webHidden/>
                <w:rStyle w:val="IndexLink"/>
                <w:rtl w:val="true"/>
              </w:rPr>
              <w:t>الوجه الأوّل</w:t>
            </w:r>
            <w:r>
              <w:rPr>
                <w:rStyle w:val="IndexLink"/>
                <w:rtl w:val="true"/>
              </w:rPr>
              <w:tab/>
            </w:r>
            <w:r>
              <w:rPr>
                <w:rStyle w:val="IndexLink"/>
              </w:rPr>
              <w:t>155</w:t>
            </w:r>
          </w:hyperlink>
        </w:p>
        <w:p>
          <w:pPr>
            <w:pStyle w:val="Contents3"/>
            <w:tabs>
              <w:tab w:val="clear" w:pos="8459"/>
              <w:tab w:val="right" w:pos="9026" w:leader="dot"/>
            </w:tabs>
            <w:rPr/>
          </w:pPr>
          <w:hyperlink w:anchor="__RefHeading___Toc553611_730472459">
            <w:r>
              <w:rPr>
                <w:webHidden/>
                <w:rStyle w:val="IndexLink"/>
                <w:rtl w:val="true"/>
              </w:rPr>
              <w:t>الوجه الثاني</w:t>
            </w:r>
            <w:r>
              <w:rPr>
                <w:rStyle w:val="IndexLink"/>
                <w:rtl w:val="true"/>
              </w:rPr>
              <w:tab/>
            </w:r>
            <w:r>
              <w:rPr>
                <w:rStyle w:val="IndexLink"/>
              </w:rPr>
              <w:t>155</w:t>
            </w:r>
          </w:hyperlink>
        </w:p>
        <w:p>
          <w:pPr>
            <w:pStyle w:val="Contents3"/>
            <w:tabs>
              <w:tab w:val="clear" w:pos="8459"/>
              <w:tab w:val="right" w:pos="9026" w:leader="dot"/>
            </w:tabs>
            <w:rPr/>
          </w:pPr>
          <w:hyperlink w:anchor="__RefHeading___Toc553613_730472459">
            <w:r>
              <w:rPr>
                <w:webHidden/>
                <w:rStyle w:val="IndexLink"/>
                <w:rtl w:val="true"/>
              </w:rPr>
              <w:t>الوجه الثالث</w:t>
            </w:r>
            <w:r>
              <w:rPr>
                <w:rStyle w:val="IndexLink"/>
                <w:rtl w:val="true"/>
              </w:rPr>
              <w:tab/>
            </w:r>
            <w:r>
              <w:rPr>
                <w:rStyle w:val="IndexLink"/>
              </w:rPr>
              <w:t>157</w:t>
            </w:r>
          </w:hyperlink>
        </w:p>
        <w:p>
          <w:pPr>
            <w:pStyle w:val="Contents3"/>
            <w:tabs>
              <w:tab w:val="clear" w:pos="8459"/>
              <w:tab w:val="right" w:pos="9026" w:leader="dot"/>
            </w:tabs>
            <w:rPr/>
          </w:pPr>
          <w:hyperlink w:anchor="__RefHeading___Toc553615_730472459">
            <w:r>
              <w:rPr>
                <w:webHidden/>
                <w:rStyle w:val="IndexLink"/>
                <w:rtl w:val="true"/>
              </w:rPr>
              <w:t>الوجه الرابع</w:t>
            </w:r>
            <w:r>
              <w:rPr>
                <w:rStyle w:val="IndexLink"/>
                <w:rtl w:val="true"/>
              </w:rPr>
              <w:tab/>
            </w:r>
            <w:r>
              <w:rPr>
                <w:rStyle w:val="IndexLink"/>
              </w:rPr>
              <w:t>158</w:t>
            </w:r>
          </w:hyperlink>
        </w:p>
        <w:p>
          <w:pPr>
            <w:pStyle w:val="Contents3"/>
            <w:tabs>
              <w:tab w:val="clear" w:pos="8459"/>
              <w:tab w:val="right" w:pos="9026" w:leader="dot"/>
            </w:tabs>
            <w:rPr/>
          </w:pPr>
          <w:hyperlink w:anchor="__RefHeading___Toc553617_730472459">
            <w:r>
              <w:rPr>
                <w:webHidden/>
                <w:rStyle w:val="IndexLink"/>
                <w:rtl w:val="true"/>
              </w:rPr>
              <w:t>الكلام في الغناء و حكمه</w:t>
            </w:r>
            <w:r>
              <w:rPr>
                <w:rStyle w:val="IndexLink"/>
                <w:rtl w:val="true"/>
              </w:rPr>
              <w:tab/>
            </w:r>
            <w:r>
              <w:rPr>
                <w:rStyle w:val="IndexLink"/>
              </w:rPr>
              <w:t>163</w:t>
            </w:r>
          </w:hyperlink>
        </w:p>
        <w:p>
          <w:pPr>
            <w:pStyle w:val="Contents2"/>
            <w:tabs>
              <w:tab w:val="clear" w:pos="8743"/>
              <w:tab w:val="right" w:pos="9026" w:leader="dot"/>
            </w:tabs>
            <w:rPr/>
          </w:pPr>
          <w:hyperlink w:anchor="__RefHeading___Toc553619_730472459">
            <w:r>
              <w:rPr>
                <w:webHidden/>
                <w:rStyle w:val="IndexLink"/>
              </w:rPr>
              <w:t>7</w:t>
            </w:r>
            <w:r>
              <w:rPr>
                <w:rStyle w:val="IndexLink"/>
                <w:rtl w:val="true"/>
              </w:rPr>
              <w:t xml:space="preserve">- </w:t>
            </w:r>
            <w:r>
              <w:rPr>
                <w:rStyle w:val="IndexLink"/>
                <w:rtl w:val="true"/>
              </w:rPr>
              <w:t>مسألة</w:t>
            </w:r>
            <w:r>
              <w:rPr>
                <w:rStyle w:val="IndexLink"/>
                <w:rtl w:val="true"/>
              </w:rPr>
              <w:tab/>
            </w:r>
            <w:r>
              <w:rPr>
                <w:rStyle w:val="IndexLink"/>
              </w:rPr>
              <w:t>163</w:t>
            </w:r>
          </w:hyperlink>
        </w:p>
        <w:p>
          <w:pPr>
            <w:pStyle w:val="Contents3"/>
            <w:tabs>
              <w:tab w:val="clear" w:pos="8459"/>
              <w:tab w:val="right" w:pos="9026" w:leader="dot"/>
            </w:tabs>
            <w:rPr/>
          </w:pPr>
          <w:hyperlink w:anchor="__RefHeading___Toc553621_73047245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553623_730472459">
            <w:r>
              <w:rPr>
                <w:webHidden/>
                <w:rStyle w:val="IndexLink"/>
                <w:rtl w:val="true"/>
              </w:rPr>
              <w:t>حقيقة الغناء و ماهيّته</w:t>
            </w:r>
            <w:r>
              <w:rPr>
                <w:rStyle w:val="IndexLink"/>
                <w:rtl w:val="true"/>
              </w:rPr>
              <w:tab/>
            </w:r>
            <w:r>
              <w:rPr>
                <w:rStyle w:val="IndexLink"/>
              </w:rPr>
              <w:t>164</w:t>
            </w:r>
          </w:hyperlink>
        </w:p>
        <w:p>
          <w:pPr>
            <w:pStyle w:val="Contents3"/>
            <w:tabs>
              <w:tab w:val="clear" w:pos="8459"/>
              <w:tab w:val="right" w:pos="9026" w:leader="dot"/>
            </w:tabs>
            <w:rPr/>
          </w:pPr>
          <w:hyperlink w:anchor="__RefHeading___Toc553625_730472459">
            <w:r>
              <w:rPr>
                <w:webHidden/>
                <w:rStyle w:val="IndexLink"/>
                <w:rtl w:val="true"/>
              </w:rPr>
              <w:t>حكم الغناء</w:t>
            </w:r>
            <w:r>
              <w:rPr>
                <w:rStyle w:val="IndexLink"/>
                <w:rtl w:val="true"/>
              </w:rPr>
              <w:tab/>
            </w:r>
            <w:r>
              <w:rPr>
                <w:rStyle w:val="IndexLink"/>
              </w:rPr>
              <w:t>166</w:t>
            </w:r>
          </w:hyperlink>
        </w:p>
        <w:p>
          <w:pPr>
            <w:pStyle w:val="Contents3"/>
            <w:tabs>
              <w:tab w:val="clear" w:pos="8459"/>
              <w:tab w:val="right" w:pos="9026" w:leader="dot"/>
            </w:tabs>
            <w:rPr/>
          </w:pPr>
          <w:hyperlink w:anchor="__RefHeading___Toc553627_730472459">
            <w:r>
              <w:rPr>
                <w:webHidden/>
                <w:rStyle w:val="IndexLink"/>
                <w:rtl w:val="true"/>
              </w:rPr>
              <w:t>النصوص الدالّة على تحريم الغناء مطلقًا</w:t>
            </w:r>
            <w:r>
              <w:rPr>
                <w:rStyle w:val="IndexLink"/>
                <w:rtl w:val="true"/>
              </w:rPr>
              <w:tab/>
            </w:r>
            <w:r>
              <w:rPr>
                <w:rStyle w:val="IndexLink"/>
              </w:rPr>
              <w:t>167</w:t>
            </w:r>
          </w:hyperlink>
        </w:p>
        <w:p>
          <w:pPr>
            <w:pStyle w:val="Contents3"/>
            <w:tabs>
              <w:tab w:val="clear" w:pos="8459"/>
              <w:tab w:val="right" w:pos="9026" w:leader="dot"/>
            </w:tabs>
            <w:rPr/>
          </w:pPr>
          <w:hyperlink w:anchor="__RefHeading___Toc553629_730472459">
            <w:r>
              <w:rPr>
                <w:webHidden/>
                <w:rStyle w:val="IndexLink"/>
                <w:rtl w:val="true"/>
              </w:rPr>
              <w:t>النصوص الّتي استدلّ بها لجواز الغناء في القرآن</w:t>
            </w:r>
            <w:r>
              <w:rPr>
                <w:rStyle w:val="IndexLink"/>
                <w:rtl w:val="true"/>
              </w:rPr>
              <w:tab/>
            </w:r>
            <w:r>
              <w:rPr>
                <w:rStyle w:val="IndexLink"/>
              </w:rPr>
              <w:t>176</w:t>
            </w:r>
          </w:hyperlink>
        </w:p>
        <w:p>
          <w:pPr>
            <w:pStyle w:val="Contents3"/>
            <w:tabs>
              <w:tab w:val="clear" w:pos="8459"/>
              <w:tab w:val="right" w:pos="9026" w:leader="dot"/>
            </w:tabs>
            <w:rPr/>
          </w:pPr>
          <w:hyperlink w:anchor="__RefHeading___Toc553631_730472459">
            <w:r>
              <w:rPr>
                <w:webHidden/>
                <w:rStyle w:val="IndexLink"/>
                <w:rtl w:val="true"/>
              </w:rPr>
              <w:t>ذكر مواضع الخلاف في جواز التغنّي أو عدمه</w:t>
            </w:r>
            <w:r>
              <w:rPr>
                <w:rStyle w:val="IndexLink"/>
                <w:rtl w:val="true"/>
              </w:rPr>
              <w:tab/>
            </w:r>
            <w:r>
              <w:rPr>
                <w:rStyle w:val="IndexLink"/>
              </w:rPr>
              <w:t>186</w:t>
            </w:r>
          </w:hyperlink>
        </w:p>
        <w:p>
          <w:pPr>
            <w:pStyle w:val="Contents3"/>
            <w:tabs>
              <w:tab w:val="clear" w:pos="8459"/>
              <w:tab w:val="right" w:pos="9026" w:leader="dot"/>
            </w:tabs>
            <w:rPr/>
          </w:pPr>
          <w:hyperlink w:anchor="__RefHeading___Toc553633_730472459">
            <w:r>
              <w:rPr>
                <w:webHidden/>
                <w:rStyle w:val="IndexLink"/>
                <w:rtl w:val="true"/>
              </w:rPr>
              <w:t>التغنّي في العرائس جائز أم لا ؟</w:t>
            </w:r>
            <w:r>
              <w:rPr>
                <w:rStyle w:val="IndexLink"/>
                <w:rtl w:val="true"/>
              </w:rPr>
              <w:tab/>
            </w:r>
            <w:r>
              <w:rPr>
                <w:rStyle w:val="IndexLink"/>
              </w:rPr>
              <w:t>186</w:t>
            </w:r>
          </w:hyperlink>
        </w:p>
        <w:p>
          <w:pPr>
            <w:pStyle w:val="Contents4"/>
            <w:tabs>
              <w:tab w:val="clear" w:pos="8176"/>
              <w:tab w:val="right" w:pos="9026" w:leader="dot"/>
            </w:tabs>
            <w:rPr/>
          </w:pPr>
          <w:hyperlink w:anchor="__RefHeading___Toc553635_730472459">
            <w:r>
              <w:rPr>
                <w:webHidden/>
                <w:rStyle w:val="IndexLink"/>
                <w:rtl w:val="true"/>
              </w:rPr>
              <w:t xml:space="preserve">الموضع الأوّل </w:t>
            </w:r>
            <w:r>
              <w:rPr>
                <w:rStyle w:val="IndexLink"/>
                <w:rtl w:val="true"/>
              </w:rPr>
              <w:t xml:space="preserve">: </w:t>
            </w:r>
            <w:r>
              <w:rPr>
                <w:rStyle w:val="IndexLink"/>
                <w:rtl w:val="true"/>
              </w:rPr>
              <w:t>في تغنّي المرأة في العرائس</w:t>
            </w:r>
            <w:r>
              <w:rPr>
                <w:rStyle w:val="IndexLink"/>
                <w:rtl w:val="true"/>
              </w:rPr>
              <w:tab/>
            </w:r>
            <w:r>
              <w:rPr>
                <w:rStyle w:val="IndexLink"/>
              </w:rPr>
              <w:t>186</w:t>
            </w:r>
          </w:hyperlink>
        </w:p>
        <w:p>
          <w:pPr>
            <w:pStyle w:val="Contents5"/>
            <w:tabs>
              <w:tab w:val="clear" w:pos="7892"/>
              <w:tab w:val="right" w:pos="9026" w:leader="dot"/>
            </w:tabs>
            <w:rPr/>
          </w:pPr>
          <w:hyperlink w:anchor="__RefHeading___Toc553637_73047245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53639_730472459">
            <w:r>
              <w:rPr>
                <w:webHidden/>
                <w:rStyle w:val="IndexLink"/>
                <w:rtl w:val="true"/>
              </w:rPr>
              <w:t>التغنّي في الحُداء جائز أم لا ؟</w:t>
            </w:r>
            <w:r>
              <w:rPr>
                <w:rStyle w:val="IndexLink"/>
                <w:rtl w:val="true"/>
              </w:rPr>
              <w:tab/>
            </w:r>
            <w:r>
              <w:rPr>
                <w:rStyle w:val="IndexLink"/>
              </w:rPr>
              <w:t>188</w:t>
            </w:r>
          </w:hyperlink>
        </w:p>
        <w:p>
          <w:pPr>
            <w:pStyle w:val="Contents4"/>
            <w:tabs>
              <w:tab w:val="clear" w:pos="8176"/>
              <w:tab w:val="right" w:pos="9026" w:leader="dot"/>
            </w:tabs>
            <w:rPr/>
          </w:pPr>
          <w:hyperlink w:anchor="__RefHeading___Toc553641_730472459">
            <w:r>
              <w:rPr>
                <w:webHidden/>
                <w:rStyle w:val="IndexLink"/>
                <w:rtl w:val="true"/>
              </w:rPr>
              <w:t xml:space="preserve">الموضع الثاني </w:t>
            </w:r>
            <w:r>
              <w:rPr>
                <w:rStyle w:val="IndexLink"/>
                <w:rtl w:val="true"/>
              </w:rPr>
              <w:t xml:space="preserve">: </w:t>
            </w:r>
            <w:r>
              <w:rPr>
                <w:rStyle w:val="IndexLink"/>
                <w:rtl w:val="true"/>
              </w:rPr>
              <w:t>في الحُدَاء</w:t>
            </w:r>
            <w:r>
              <w:rPr>
                <w:rStyle w:val="IndexLink"/>
                <w:rtl w:val="true"/>
              </w:rPr>
              <w:tab/>
            </w:r>
            <w:r>
              <w:rPr>
                <w:rStyle w:val="IndexLink"/>
              </w:rPr>
              <w:t>188</w:t>
            </w:r>
          </w:hyperlink>
        </w:p>
        <w:p>
          <w:pPr>
            <w:pStyle w:val="Contents4"/>
            <w:tabs>
              <w:tab w:val="clear" w:pos="8176"/>
              <w:tab w:val="right" w:pos="9026" w:leader="dot"/>
            </w:tabs>
            <w:rPr/>
          </w:pPr>
          <w:hyperlink w:anchor="__RefHeading___Toc553643_730472459">
            <w:r>
              <w:rPr>
                <w:webHidden/>
                <w:rStyle w:val="IndexLink"/>
                <w:rtl w:val="true"/>
              </w:rPr>
              <w:t xml:space="preserve">الموضع الثالث </w:t>
            </w:r>
            <w:r>
              <w:rPr>
                <w:rStyle w:val="IndexLink"/>
                <w:rtl w:val="true"/>
              </w:rPr>
              <w:t xml:space="preserve">: </w:t>
            </w:r>
            <w:r>
              <w:rPr>
                <w:rStyle w:val="IndexLink"/>
                <w:rtl w:val="true"/>
              </w:rPr>
              <w:t xml:space="preserve">مراثي الحسين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553645_730472459">
            <w:r>
              <w:rPr>
                <w:webHidden/>
                <w:rStyle w:val="IndexLink"/>
                <w:rtl w:val="true"/>
              </w:rPr>
              <w:t>الغناء من الكبائر</w:t>
            </w:r>
            <w:r>
              <w:rPr>
                <w:rStyle w:val="IndexLink"/>
                <w:rtl w:val="true"/>
              </w:rPr>
              <w:tab/>
            </w:r>
            <w:r>
              <w:rPr>
                <w:rStyle w:val="IndexLink"/>
              </w:rPr>
              <w:t>191</w:t>
            </w:r>
          </w:hyperlink>
        </w:p>
        <w:p>
          <w:pPr>
            <w:pStyle w:val="Contents3"/>
            <w:tabs>
              <w:tab w:val="clear" w:pos="8459"/>
              <w:tab w:val="right" w:pos="9026" w:leader="dot"/>
            </w:tabs>
            <w:rPr/>
          </w:pPr>
          <w:hyperlink w:anchor="__RefHeading___Toc553647_730472459">
            <w:r>
              <w:rPr>
                <w:webHidden/>
                <w:rStyle w:val="IndexLink"/>
                <w:rtl w:val="true"/>
              </w:rPr>
              <w:t>استماع الغناء من الكبائر أم لا ؟</w:t>
            </w:r>
            <w:r>
              <w:rPr>
                <w:rStyle w:val="IndexLink"/>
                <w:rtl w:val="true"/>
              </w:rPr>
              <w:tab/>
            </w:r>
            <w:r>
              <w:rPr>
                <w:rStyle w:val="IndexLink"/>
              </w:rPr>
              <w:t>193</w:t>
            </w:r>
          </w:hyperlink>
        </w:p>
        <w:p>
          <w:pPr>
            <w:pStyle w:val="Contents3"/>
            <w:tabs>
              <w:tab w:val="clear" w:pos="8459"/>
              <w:tab w:val="right" w:pos="9026" w:leader="dot"/>
            </w:tabs>
            <w:rPr/>
          </w:pPr>
          <w:hyperlink w:anchor="__RefHeading___Toc553649_730472459">
            <w:r>
              <w:rPr>
                <w:webHidden/>
                <w:rStyle w:val="IndexLink"/>
                <w:rtl w:val="true"/>
              </w:rPr>
              <w:t>الاشتغال بآلات اللهو حرامٌ</w:t>
            </w:r>
            <w:r>
              <w:rPr>
                <w:rStyle w:val="IndexLink"/>
                <w:rtl w:val="true"/>
              </w:rPr>
              <w:tab/>
            </w:r>
            <w:r>
              <w:rPr>
                <w:rStyle w:val="IndexLink"/>
              </w:rPr>
              <w:t>194</w:t>
            </w:r>
          </w:hyperlink>
        </w:p>
        <w:p>
          <w:pPr>
            <w:pStyle w:val="Contents2"/>
            <w:tabs>
              <w:tab w:val="clear" w:pos="8743"/>
              <w:tab w:val="right" w:pos="9026" w:leader="dot"/>
            </w:tabs>
            <w:rPr/>
          </w:pPr>
          <w:hyperlink w:anchor="__RefHeading___Toc553651_730472459">
            <w:r>
              <w:rPr>
                <w:webHidden/>
                <w:rStyle w:val="IndexLink"/>
              </w:rPr>
              <w:t>8</w:t>
            </w:r>
            <w:r>
              <w:rPr>
                <w:rStyle w:val="IndexLink"/>
                <w:rtl w:val="true"/>
              </w:rPr>
              <w:t xml:space="preserve">- </w:t>
            </w:r>
            <w:r>
              <w:rPr>
                <w:rStyle w:val="IndexLink"/>
                <w:rtl w:val="true"/>
              </w:rPr>
              <w:t>مسألة</w:t>
            </w:r>
            <w:r>
              <w:rPr>
                <w:rStyle w:val="IndexLink"/>
                <w:rtl w:val="true"/>
              </w:rPr>
              <w:tab/>
            </w:r>
            <w:r>
              <w:rPr>
                <w:rStyle w:val="IndexLink"/>
              </w:rPr>
              <w:t>194</w:t>
            </w:r>
          </w:hyperlink>
        </w:p>
        <w:p>
          <w:pPr>
            <w:pStyle w:val="Contents3"/>
            <w:tabs>
              <w:tab w:val="clear" w:pos="8459"/>
              <w:tab w:val="right" w:pos="9026" w:leader="dot"/>
            </w:tabs>
            <w:rPr/>
          </w:pPr>
          <w:hyperlink w:anchor="__RefHeading___Toc553653_730472459">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553655_730472459">
            <w:r>
              <w:rPr>
                <w:webHidden/>
                <w:rStyle w:val="IndexLink"/>
                <w:rtl w:val="true"/>
              </w:rPr>
              <w:t>الدفّ في العرائس جائز أم لا ؟</w:t>
            </w:r>
            <w:r>
              <w:rPr>
                <w:rStyle w:val="IndexLink"/>
                <w:rtl w:val="true"/>
              </w:rPr>
              <w:tab/>
            </w:r>
            <w:r>
              <w:rPr>
                <w:rStyle w:val="IndexLink"/>
              </w:rPr>
              <w:t>197</w:t>
            </w:r>
          </w:hyperlink>
        </w:p>
        <w:p>
          <w:pPr>
            <w:pStyle w:val="Contents2"/>
            <w:tabs>
              <w:tab w:val="clear" w:pos="8743"/>
              <w:tab w:val="right" w:pos="9026" w:leader="dot"/>
            </w:tabs>
            <w:rPr/>
          </w:pPr>
          <w:hyperlink w:anchor="__RefHeading___Toc553657_730472459">
            <w:r>
              <w:rPr>
                <w:webHidden/>
                <w:rStyle w:val="IndexLink"/>
              </w:rPr>
              <w:t>9</w:t>
            </w:r>
            <w:r>
              <w:rPr>
                <w:rStyle w:val="IndexLink"/>
                <w:rtl w:val="true"/>
              </w:rPr>
              <w:t xml:space="preserve">- </w:t>
            </w:r>
            <w:r>
              <w:rPr>
                <w:rStyle w:val="IndexLink"/>
                <w:rtl w:val="true"/>
              </w:rPr>
              <w:t>مسألة</w:t>
            </w:r>
            <w:r>
              <w:rPr>
                <w:rStyle w:val="IndexLink"/>
                <w:rtl w:val="true"/>
              </w:rPr>
              <w:tab/>
            </w:r>
            <w:r>
              <w:rPr>
                <w:rStyle w:val="IndexLink"/>
              </w:rPr>
              <w:t>201</w:t>
            </w:r>
          </w:hyperlink>
        </w:p>
        <w:p>
          <w:pPr>
            <w:pStyle w:val="Contents3"/>
            <w:tabs>
              <w:tab w:val="clear" w:pos="8459"/>
              <w:tab w:val="right" w:pos="9026" w:leader="dot"/>
            </w:tabs>
            <w:rPr/>
          </w:pPr>
          <w:hyperlink w:anchor="__RefHeading___Toc553659_73047245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553661_730472459">
            <w:r>
              <w:rPr>
                <w:webHidden/>
                <w:rStyle w:val="IndexLink"/>
                <w:rtl w:val="true"/>
              </w:rPr>
              <w:t>لبس الذهب و التختّم به حرام على الرجال</w:t>
            </w:r>
            <w:r>
              <w:rPr>
                <w:rStyle w:val="IndexLink"/>
                <w:rtl w:val="true"/>
              </w:rPr>
              <w:tab/>
            </w:r>
            <w:r>
              <w:rPr>
                <w:rStyle w:val="IndexLink"/>
              </w:rPr>
              <w:t>205</w:t>
            </w:r>
          </w:hyperlink>
        </w:p>
        <w:p>
          <w:pPr>
            <w:pStyle w:val="Contents2"/>
            <w:tabs>
              <w:tab w:val="clear" w:pos="8743"/>
              <w:tab w:val="right" w:pos="9026" w:leader="dot"/>
            </w:tabs>
            <w:rPr/>
          </w:pPr>
          <w:hyperlink w:anchor="__RefHeading___Toc553663_730472459">
            <w:r>
              <w:rPr>
                <w:webHidden/>
                <w:rStyle w:val="IndexLink"/>
              </w:rPr>
              <w:t>10</w:t>
            </w:r>
            <w:r>
              <w:rPr>
                <w:rStyle w:val="IndexLink"/>
                <w:rtl w:val="true"/>
              </w:rPr>
              <w:t xml:space="preserve">- </w:t>
            </w:r>
            <w:r>
              <w:rPr>
                <w:rStyle w:val="IndexLink"/>
                <w:rtl w:val="true"/>
              </w:rPr>
              <w:t>مسألة</w:t>
            </w:r>
            <w:r>
              <w:rPr>
                <w:rStyle w:val="IndexLink"/>
                <w:rtl w:val="true"/>
              </w:rPr>
              <w:tab/>
            </w:r>
            <w:r>
              <w:rPr>
                <w:rStyle w:val="IndexLink"/>
              </w:rPr>
              <w:t>205</w:t>
            </w:r>
          </w:hyperlink>
        </w:p>
        <w:p>
          <w:pPr>
            <w:pStyle w:val="Contents3"/>
            <w:tabs>
              <w:tab w:val="clear" w:pos="8459"/>
              <w:tab w:val="right" w:pos="9026" w:leader="dot"/>
            </w:tabs>
            <w:rPr/>
          </w:pPr>
          <w:hyperlink w:anchor="__RefHeading___Toc553665_730472459">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53667_730472459">
            <w:r>
              <w:rPr>
                <w:webHidden/>
                <w:rStyle w:val="IndexLink"/>
                <w:rtl w:val="true"/>
              </w:rPr>
              <w:t xml:space="preserve">من الأمور المحرّمة </w:t>
            </w:r>
            <w:r>
              <w:rPr>
                <w:rStyle w:val="IndexLink"/>
                <w:rtl w:val="true"/>
              </w:rPr>
              <w:t xml:space="preserve">: </w:t>
            </w:r>
            <w:r>
              <w:rPr>
                <w:rStyle w:val="IndexLink"/>
                <w:rtl w:val="true"/>
              </w:rPr>
              <w:t>الحسد</w:t>
            </w:r>
            <w:r>
              <w:rPr>
                <w:rStyle w:val="IndexLink"/>
                <w:rtl w:val="true"/>
              </w:rPr>
              <w:tab/>
            </w:r>
            <w:r>
              <w:rPr>
                <w:rStyle w:val="IndexLink"/>
              </w:rPr>
              <w:t>207</w:t>
            </w:r>
          </w:hyperlink>
        </w:p>
        <w:p>
          <w:pPr>
            <w:pStyle w:val="Contents2"/>
            <w:tabs>
              <w:tab w:val="clear" w:pos="8743"/>
              <w:tab w:val="right" w:pos="9026" w:leader="dot"/>
            </w:tabs>
            <w:rPr/>
          </w:pPr>
          <w:hyperlink w:anchor="__RefHeading___Toc553669_730472459">
            <w:r>
              <w:rPr>
                <w:webHidden/>
                <w:rStyle w:val="IndexLink"/>
              </w:rPr>
              <w:t>11</w:t>
            </w:r>
            <w:r>
              <w:rPr>
                <w:rStyle w:val="IndexLink"/>
                <w:rtl w:val="true"/>
              </w:rPr>
              <w:t xml:space="preserve">- </w:t>
            </w:r>
            <w:r>
              <w:rPr>
                <w:rStyle w:val="IndexLink"/>
                <w:rtl w:val="true"/>
              </w:rPr>
              <w:t>مسألة</w:t>
            </w:r>
            <w:r>
              <w:rPr>
                <w:rStyle w:val="IndexLink"/>
                <w:rtl w:val="true"/>
              </w:rPr>
              <w:tab/>
            </w:r>
            <w:r>
              <w:rPr>
                <w:rStyle w:val="IndexLink"/>
              </w:rPr>
              <w:t>207</w:t>
            </w:r>
          </w:hyperlink>
        </w:p>
        <w:p>
          <w:pPr>
            <w:pStyle w:val="Contents3"/>
            <w:tabs>
              <w:tab w:val="clear" w:pos="8459"/>
              <w:tab w:val="right" w:pos="9026" w:leader="dot"/>
            </w:tabs>
            <w:rPr/>
          </w:pPr>
          <w:hyperlink w:anchor="__RefHeading___Toc553671_730472459">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553673_730472459">
            <w:r>
              <w:rPr>
                <w:webHidden/>
                <w:rStyle w:val="IndexLink"/>
                <w:rtl w:val="true"/>
              </w:rPr>
              <w:t>الحسد من الكبائر أم لا ؟</w:t>
            </w:r>
            <w:r>
              <w:rPr>
                <w:rStyle w:val="IndexLink"/>
                <w:rtl w:val="true"/>
              </w:rPr>
              <w:tab/>
            </w:r>
            <w:r>
              <w:rPr>
                <w:rStyle w:val="IndexLink"/>
              </w:rPr>
              <w:t>209</w:t>
            </w:r>
          </w:hyperlink>
        </w:p>
        <w:p>
          <w:pPr>
            <w:pStyle w:val="Contents3"/>
            <w:tabs>
              <w:tab w:val="clear" w:pos="8459"/>
              <w:tab w:val="right" w:pos="9026" w:leader="dot"/>
            </w:tabs>
            <w:rPr/>
          </w:pPr>
          <w:hyperlink w:anchor="__RefHeading___Toc553675_730472459">
            <w:r>
              <w:rPr>
                <w:webHidden/>
                <w:rStyle w:val="IndexLink"/>
                <w:rtl w:val="true"/>
              </w:rPr>
              <w:t>في تحريم بُغض المؤمن</w:t>
            </w:r>
            <w:r>
              <w:rPr>
                <w:rStyle w:val="IndexLink"/>
                <w:rtl w:val="true"/>
              </w:rPr>
              <w:tab/>
            </w:r>
            <w:r>
              <w:rPr>
                <w:rStyle w:val="IndexLink"/>
              </w:rPr>
              <w:t>209</w:t>
            </w:r>
          </w:hyperlink>
        </w:p>
        <w:p>
          <w:pPr>
            <w:pStyle w:val="Contents3"/>
            <w:tabs>
              <w:tab w:val="clear" w:pos="8459"/>
              <w:tab w:val="right" w:pos="9026" w:leader="dot"/>
            </w:tabs>
            <w:rPr/>
          </w:pPr>
          <w:hyperlink w:anchor="__RefHeading___Toc553677_730472459">
            <w:r>
              <w:rPr>
                <w:webHidden/>
                <w:rStyle w:val="IndexLink"/>
                <w:rtl w:val="true"/>
              </w:rPr>
              <w:t>أذيّة المؤمنين و تحقيرهم من الكبائر</w:t>
            </w:r>
            <w:r>
              <w:rPr>
                <w:rStyle w:val="IndexLink"/>
                <w:rtl w:val="true"/>
              </w:rPr>
              <w:tab/>
            </w:r>
            <w:r>
              <w:rPr>
                <w:rStyle w:val="IndexLink"/>
              </w:rPr>
              <w:t>215</w:t>
            </w:r>
          </w:hyperlink>
        </w:p>
        <w:p>
          <w:pPr>
            <w:pStyle w:val="Contents3"/>
            <w:tabs>
              <w:tab w:val="clear" w:pos="8459"/>
              <w:tab w:val="right" w:pos="9026" w:leader="dot"/>
            </w:tabs>
            <w:rPr/>
          </w:pPr>
          <w:hyperlink w:anchor="__RefHeading___Toc553679_730472459">
            <w:r>
              <w:rPr>
                <w:webHidden/>
                <w:rStyle w:val="IndexLink"/>
                <w:rtl w:val="true"/>
              </w:rPr>
              <w:t>إخافة المؤمنين من الكبائر</w:t>
            </w:r>
            <w:r>
              <w:rPr>
                <w:rStyle w:val="IndexLink"/>
                <w:rtl w:val="true"/>
              </w:rPr>
              <w:tab/>
            </w:r>
            <w:r>
              <w:rPr>
                <w:rStyle w:val="IndexLink"/>
              </w:rPr>
              <w:t>216</w:t>
            </w:r>
          </w:hyperlink>
        </w:p>
        <w:p>
          <w:pPr>
            <w:pStyle w:val="Contents3"/>
            <w:tabs>
              <w:tab w:val="clear" w:pos="8459"/>
              <w:tab w:val="right" w:pos="9026" w:leader="dot"/>
            </w:tabs>
            <w:rPr/>
          </w:pPr>
          <w:hyperlink w:anchor="__RefHeading___Toc553681_730472459">
            <w:r>
              <w:rPr>
                <w:webHidden/>
                <w:rStyle w:val="IndexLink"/>
                <w:rtl w:val="true"/>
              </w:rPr>
              <w:t xml:space="preserve">من الأمور المحرّمة </w:t>
            </w:r>
            <w:r>
              <w:rPr>
                <w:rStyle w:val="IndexLink"/>
                <w:rtl w:val="true"/>
              </w:rPr>
              <w:t xml:space="preserve">: </w:t>
            </w:r>
            <w:r>
              <w:rPr>
                <w:rStyle w:val="IndexLink"/>
                <w:rtl w:val="true"/>
              </w:rPr>
              <w:t>النميمة</w:t>
            </w:r>
            <w:r>
              <w:rPr>
                <w:rStyle w:val="IndexLink"/>
                <w:rtl w:val="true"/>
              </w:rPr>
              <w:tab/>
            </w:r>
            <w:r>
              <w:rPr>
                <w:rStyle w:val="IndexLink"/>
              </w:rPr>
              <w:t>217</w:t>
            </w:r>
          </w:hyperlink>
        </w:p>
        <w:p>
          <w:pPr>
            <w:pStyle w:val="Contents3"/>
            <w:tabs>
              <w:tab w:val="clear" w:pos="8459"/>
              <w:tab w:val="right" w:pos="9026" w:leader="dot"/>
            </w:tabs>
            <w:rPr/>
          </w:pPr>
          <w:hyperlink w:anchor="__RefHeading___Toc553683_730472459">
            <w:r>
              <w:rPr>
                <w:webHidden/>
                <w:rStyle w:val="IndexLink"/>
                <w:rtl w:val="true"/>
              </w:rPr>
              <w:t xml:space="preserve">من الأمور المحرّمة </w:t>
            </w:r>
            <w:r>
              <w:rPr>
                <w:rStyle w:val="IndexLink"/>
                <w:rtl w:val="true"/>
              </w:rPr>
              <w:t xml:space="preserve">: </w:t>
            </w:r>
            <w:r>
              <w:rPr>
                <w:rStyle w:val="IndexLink"/>
                <w:rtl w:val="true"/>
              </w:rPr>
              <w:t>إطاعة المخلوق في معصية الخالق</w:t>
            </w:r>
            <w:r>
              <w:rPr>
                <w:rStyle w:val="IndexLink"/>
                <w:rtl w:val="true"/>
              </w:rPr>
              <w:tab/>
            </w:r>
            <w:r>
              <w:rPr>
                <w:rStyle w:val="IndexLink"/>
              </w:rPr>
              <w:t>219</w:t>
            </w:r>
          </w:hyperlink>
        </w:p>
        <w:p>
          <w:pPr>
            <w:pStyle w:val="Contents3"/>
            <w:tabs>
              <w:tab w:val="clear" w:pos="8459"/>
              <w:tab w:val="right" w:pos="9026" w:leader="dot"/>
            </w:tabs>
            <w:rPr/>
          </w:pPr>
          <w:hyperlink w:anchor="__RefHeading___Toc553685_730472459">
            <w:r>
              <w:rPr>
                <w:webHidden/>
                <w:rStyle w:val="IndexLink"/>
                <w:rtl w:val="true"/>
              </w:rPr>
              <w:t xml:space="preserve">من الأمور المحرّمة </w:t>
            </w:r>
            <w:r>
              <w:rPr>
                <w:rStyle w:val="IndexLink"/>
                <w:rtl w:val="true"/>
              </w:rPr>
              <w:t xml:space="preserve">: </w:t>
            </w:r>
            <w:r>
              <w:rPr>
                <w:rStyle w:val="IndexLink"/>
                <w:rtl w:val="true"/>
              </w:rPr>
              <w:t>مجالسة أهل المعاصي</w:t>
            </w:r>
            <w:r>
              <w:rPr>
                <w:rStyle w:val="IndexLink"/>
                <w:rtl w:val="true"/>
              </w:rPr>
              <w:tab/>
            </w:r>
            <w:r>
              <w:rPr>
                <w:rStyle w:val="IndexLink"/>
              </w:rPr>
              <w:t>219</w:t>
            </w:r>
          </w:hyperlink>
        </w:p>
        <w:p>
          <w:pPr>
            <w:pStyle w:val="Contents3"/>
            <w:tabs>
              <w:tab w:val="clear" w:pos="8459"/>
              <w:tab w:val="right" w:pos="9026" w:leader="dot"/>
            </w:tabs>
            <w:rPr/>
          </w:pPr>
          <w:hyperlink w:anchor="__RefHeading___Toc553687_730472459">
            <w:r>
              <w:rPr>
                <w:webHidden/>
                <w:rStyle w:val="IndexLink"/>
                <w:rtl w:val="true"/>
              </w:rPr>
              <w:t xml:space="preserve">من الأمور المحرّمة </w:t>
            </w:r>
            <w:r>
              <w:rPr>
                <w:rStyle w:val="IndexLink"/>
                <w:rtl w:val="true"/>
              </w:rPr>
              <w:t xml:space="preserve">: </w:t>
            </w:r>
            <w:r>
              <w:rPr>
                <w:rStyle w:val="IndexLink"/>
                <w:rtl w:val="true"/>
              </w:rPr>
              <w:t>الغيبة</w:t>
            </w:r>
            <w:r>
              <w:rPr>
                <w:rStyle w:val="IndexLink"/>
                <w:rtl w:val="true"/>
              </w:rPr>
              <w:tab/>
            </w:r>
            <w:r>
              <w:rPr>
                <w:rStyle w:val="IndexLink"/>
              </w:rPr>
              <w:t>223</w:t>
            </w:r>
          </w:hyperlink>
        </w:p>
        <w:p>
          <w:pPr>
            <w:pStyle w:val="Contents3"/>
            <w:tabs>
              <w:tab w:val="clear" w:pos="8459"/>
              <w:tab w:val="right" w:pos="9026" w:leader="dot"/>
            </w:tabs>
            <w:rPr/>
          </w:pPr>
          <w:hyperlink w:anchor="__RefHeading___Toc553689_730472459">
            <w:r>
              <w:rPr>
                <w:webHidden/>
                <w:rStyle w:val="IndexLink"/>
                <w:rtl w:val="true"/>
              </w:rPr>
              <w:t>الاستدلال بالكتاب و السنّة و الإجماع على حرمة الغيبة</w:t>
            </w:r>
            <w:r>
              <w:rPr>
                <w:rStyle w:val="IndexLink"/>
                <w:rtl w:val="true"/>
              </w:rPr>
              <w:tab/>
            </w:r>
            <w:r>
              <w:rPr>
                <w:rStyle w:val="IndexLink"/>
              </w:rPr>
              <w:t>224</w:t>
            </w:r>
          </w:hyperlink>
        </w:p>
        <w:p>
          <w:pPr>
            <w:pStyle w:val="Contents3"/>
            <w:tabs>
              <w:tab w:val="clear" w:pos="8459"/>
              <w:tab w:val="right" w:pos="9026" w:leader="dot"/>
            </w:tabs>
            <w:rPr/>
          </w:pPr>
          <w:hyperlink w:anchor="__RefHeading___Toc553691_730472459">
            <w:r>
              <w:rPr>
                <w:webHidden/>
                <w:rStyle w:val="IndexLink"/>
                <w:rtl w:val="true"/>
              </w:rPr>
              <w:t>تفسير الغيبة و حدّها</w:t>
            </w:r>
            <w:r>
              <w:rPr>
                <w:rStyle w:val="IndexLink"/>
                <w:rtl w:val="true"/>
              </w:rPr>
              <w:tab/>
            </w:r>
            <w:r>
              <w:rPr>
                <w:rStyle w:val="IndexLink"/>
              </w:rPr>
              <w:t>228</w:t>
            </w:r>
          </w:hyperlink>
        </w:p>
        <w:p>
          <w:pPr>
            <w:pStyle w:val="Contents3"/>
            <w:tabs>
              <w:tab w:val="clear" w:pos="8459"/>
              <w:tab w:val="right" w:pos="9026" w:leader="dot"/>
            </w:tabs>
            <w:rPr/>
          </w:pPr>
          <w:hyperlink w:anchor="__RefHeading___Toc553693_730472459">
            <w:r>
              <w:rPr>
                <w:webHidden/>
                <w:rStyle w:val="IndexLink"/>
                <w:rtl w:val="true"/>
              </w:rPr>
              <w:t>المواضع الّتي استثنيت الغيبة فيها</w:t>
            </w:r>
            <w:r>
              <w:rPr>
                <w:rStyle w:val="IndexLink"/>
                <w:rtl w:val="true"/>
              </w:rPr>
              <w:tab/>
            </w:r>
            <w:r>
              <w:rPr>
                <w:rStyle w:val="IndexLink"/>
              </w:rPr>
              <w:t>232</w:t>
            </w:r>
          </w:hyperlink>
        </w:p>
        <w:p>
          <w:pPr>
            <w:pStyle w:val="Contents4"/>
            <w:tabs>
              <w:tab w:val="clear" w:pos="8176"/>
              <w:tab w:val="right" w:pos="9026" w:leader="dot"/>
            </w:tabs>
            <w:rPr/>
          </w:pPr>
          <w:hyperlink w:anchor="__RefHeading___Toc553695_73047245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553697_730472459">
            <w:r>
              <w:rPr>
                <w:webHidden/>
                <w:rStyle w:val="IndexLink"/>
                <w:rtl w:val="true"/>
              </w:rPr>
              <w:t xml:space="preserve">الموضع الأوّل </w:t>
            </w:r>
            <w:r>
              <w:rPr>
                <w:rStyle w:val="IndexLink"/>
                <w:rtl w:val="true"/>
              </w:rPr>
              <w:t xml:space="preserve">: </w:t>
            </w:r>
            <w:r>
              <w:rPr>
                <w:rStyle w:val="IndexLink"/>
                <w:rtl w:val="true"/>
              </w:rPr>
              <w:t>إذا كان شخص معروفًا بوصف الغيبة</w:t>
            </w:r>
            <w:r>
              <w:rPr>
                <w:rStyle w:val="IndexLink"/>
                <w:rtl w:val="true"/>
              </w:rPr>
              <w:tab/>
            </w:r>
            <w:r>
              <w:rPr>
                <w:rStyle w:val="IndexLink"/>
              </w:rPr>
              <w:t>232</w:t>
            </w:r>
          </w:hyperlink>
        </w:p>
        <w:p>
          <w:pPr>
            <w:pStyle w:val="Contents4"/>
            <w:tabs>
              <w:tab w:val="clear" w:pos="8176"/>
              <w:tab w:val="right" w:pos="9026" w:leader="dot"/>
            </w:tabs>
            <w:rPr/>
          </w:pPr>
          <w:hyperlink w:anchor="__RefHeading___Toc553699_730472459">
            <w:r>
              <w:rPr>
                <w:webHidden/>
                <w:rStyle w:val="IndexLink"/>
                <w:rtl w:val="true"/>
              </w:rPr>
              <w:t xml:space="preserve">الموضع الثاني </w:t>
            </w:r>
            <w:r>
              <w:rPr>
                <w:rStyle w:val="IndexLink"/>
                <w:rtl w:val="true"/>
              </w:rPr>
              <w:t xml:space="preserve">: </w:t>
            </w:r>
            <w:r>
              <w:rPr>
                <w:rStyle w:val="IndexLink"/>
                <w:rtl w:val="true"/>
              </w:rPr>
              <w:t>أن يكون المغتاب متظاهرًا بالفسق</w:t>
            </w:r>
            <w:r>
              <w:rPr>
                <w:rStyle w:val="IndexLink"/>
                <w:rtl w:val="true"/>
              </w:rPr>
              <w:tab/>
            </w:r>
            <w:r>
              <w:rPr>
                <w:rStyle w:val="IndexLink"/>
              </w:rPr>
              <w:t>234</w:t>
            </w:r>
          </w:hyperlink>
        </w:p>
        <w:p>
          <w:pPr>
            <w:pStyle w:val="Contents4"/>
            <w:tabs>
              <w:tab w:val="clear" w:pos="8176"/>
              <w:tab w:val="right" w:pos="9026" w:leader="dot"/>
            </w:tabs>
            <w:rPr/>
          </w:pPr>
          <w:hyperlink w:anchor="__RefHeading___Toc553701_730472459">
            <w:r>
              <w:rPr>
                <w:webHidden/>
                <w:rStyle w:val="IndexLink"/>
                <w:rtl w:val="true"/>
              </w:rPr>
              <w:t xml:space="preserve">الموضع الثالث </w:t>
            </w:r>
            <w:r>
              <w:rPr>
                <w:rStyle w:val="IndexLink"/>
                <w:rtl w:val="true"/>
              </w:rPr>
              <w:t xml:space="preserve">: </w:t>
            </w:r>
            <w:r>
              <w:rPr>
                <w:rStyle w:val="IndexLink"/>
                <w:rtl w:val="true"/>
              </w:rPr>
              <w:t>غيبة المبتدعين في الدين</w:t>
            </w:r>
            <w:r>
              <w:rPr>
                <w:rStyle w:val="IndexLink"/>
                <w:rtl w:val="true"/>
              </w:rPr>
              <w:tab/>
            </w:r>
            <w:r>
              <w:rPr>
                <w:rStyle w:val="IndexLink"/>
              </w:rPr>
              <w:t>238</w:t>
            </w:r>
          </w:hyperlink>
        </w:p>
        <w:p>
          <w:pPr>
            <w:pStyle w:val="Contents4"/>
            <w:tabs>
              <w:tab w:val="clear" w:pos="8176"/>
              <w:tab w:val="right" w:pos="9026" w:leader="dot"/>
            </w:tabs>
            <w:rPr/>
          </w:pPr>
          <w:hyperlink w:anchor="__RefHeading___Toc553703_730472459">
            <w:r>
              <w:rPr>
                <w:webHidden/>
                <w:rStyle w:val="IndexLink"/>
                <w:rtl w:val="true"/>
              </w:rPr>
              <w:t xml:space="preserve">الموضع الرابع </w:t>
            </w:r>
            <w:r>
              <w:rPr>
                <w:rStyle w:val="IndexLink"/>
                <w:rtl w:val="true"/>
              </w:rPr>
              <w:t xml:space="preserve">: </w:t>
            </w:r>
            <w:r>
              <w:rPr>
                <w:rStyle w:val="IndexLink"/>
                <w:rtl w:val="true"/>
              </w:rPr>
              <w:t>بيان خطأ المجتهد</w:t>
            </w:r>
            <w:r>
              <w:rPr>
                <w:rStyle w:val="IndexLink"/>
                <w:rtl w:val="true"/>
              </w:rPr>
              <w:tab/>
            </w:r>
            <w:r>
              <w:rPr>
                <w:rStyle w:val="IndexLink"/>
              </w:rPr>
              <w:t>240</w:t>
            </w:r>
          </w:hyperlink>
        </w:p>
        <w:p>
          <w:pPr>
            <w:pStyle w:val="Contents4"/>
            <w:tabs>
              <w:tab w:val="clear" w:pos="8176"/>
              <w:tab w:val="right" w:pos="9026" w:leader="dot"/>
            </w:tabs>
            <w:rPr/>
          </w:pPr>
          <w:hyperlink w:anchor="__RefHeading___Toc553705_730472459">
            <w:r>
              <w:rPr>
                <w:webHidden/>
                <w:rStyle w:val="IndexLink"/>
                <w:rtl w:val="true"/>
              </w:rPr>
              <w:t xml:space="preserve">الموضع الخامس </w:t>
            </w:r>
            <w:r>
              <w:rPr>
                <w:rStyle w:val="IndexLink"/>
                <w:rtl w:val="true"/>
              </w:rPr>
              <w:t xml:space="preserve">: </w:t>
            </w:r>
            <w:r>
              <w:rPr>
                <w:rStyle w:val="IndexLink"/>
                <w:rtl w:val="true"/>
              </w:rPr>
              <w:t>في مقام النهي عن المنكر</w:t>
            </w:r>
            <w:r>
              <w:rPr>
                <w:rStyle w:val="IndexLink"/>
                <w:rtl w:val="true"/>
              </w:rPr>
              <w:tab/>
            </w:r>
            <w:r>
              <w:rPr>
                <w:rStyle w:val="IndexLink"/>
              </w:rPr>
              <w:t>241</w:t>
            </w:r>
          </w:hyperlink>
        </w:p>
        <w:p>
          <w:pPr>
            <w:pStyle w:val="Contents5"/>
            <w:tabs>
              <w:tab w:val="clear" w:pos="7892"/>
              <w:tab w:val="right" w:pos="9026" w:leader="dot"/>
            </w:tabs>
            <w:rPr/>
          </w:pPr>
          <w:hyperlink w:anchor="__RefHeading___Toc553707_73047245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553709_730472459">
            <w:r>
              <w:rPr>
                <w:webHidden/>
                <w:rStyle w:val="IndexLink"/>
                <w:rtl w:val="true"/>
              </w:rPr>
              <w:t>الشرط الأوّل</w:t>
            </w:r>
            <w:r>
              <w:rPr>
                <w:rStyle w:val="IndexLink"/>
                <w:rtl w:val="true"/>
              </w:rPr>
              <w:tab/>
            </w:r>
            <w:r>
              <w:rPr>
                <w:rStyle w:val="IndexLink"/>
              </w:rPr>
              <w:t>241</w:t>
            </w:r>
          </w:hyperlink>
        </w:p>
        <w:p>
          <w:pPr>
            <w:pStyle w:val="Contents5"/>
            <w:tabs>
              <w:tab w:val="clear" w:pos="7892"/>
              <w:tab w:val="right" w:pos="9026" w:leader="dot"/>
            </w:tabs>
            <w:rPr/>
          </w:pPr>
          <w:hyperlink w:anchor="__RefHeading___Toc553711_730472459">
            <w:r>
              <w:rPr>
                <w:webHidden/>
                <w:rStyle w:val="IndexLink"/>
                <w:rtl w:val="true"/>
              </w:rPr>
              <w:t>الشرط الثاني</w:t>
            </w:r>
            <w:r>
              <w:rPr>
                <w:rStyle w:val="IndexLink"/>
                <w:rtl w:val="true"/>
              </w:rPr>
              <w:tab/>
            </w:r>
            <w:r>
              <w:rPr>
                <w:rStyle w:val="IndexLink"/>
              </w:rPr>
              <w:t>242</w:t>
            </w:r>
          </w:hyperlink>
        </w:p>
        <w:p>
          <w:pPr>
            <w:pStyle w:val="Contents5"/>
            <w:tabs>
              <w:tab w:val="clear" w:pos="7892"/>
              <w:tab w:val="right" w:pos="9026" w:leader="dot"/>
            </w:tabs>
            <w:rPr/>
          </w:pPr>
          <w:hyperlink w:anchor="__RefHeading___Toc553713_730472459">
            <w:r>
              <w:rPr>
                <w:webHidden/>
                <w:rStyle w:val="IndexLink"/>
                <w:rtl w:val="true"/>
              </w:rPr>
              <w:t>الشرط الثالث</w:t>
            </w:r>
            <w:r>
              <w:rPr>
                <w:rStyle w:val="IndexLink"/>
                <w:rtl w:val="true"/>
              </w:rPr>
              <w:tab/>
            </w:r>
            <w:r>
              <w:rPr>
                <w:rStyle w:val="IndexLink"/>
              </w:rPr>
              <w:t>242</w:t>
            </w:r>
          </w:hyperlink>
        </w:p>
        <w:p>
          <w:pPr>
            <w:pStyle w:val="Contents5"/>
            <w:tabs>
              <w:tab w:val="clear" w:pos="7892"/>
              <w:tab w:val="right" w:pos="9026" w:leader="dot"/>
            </w:tabs>
            <w:rPr/>
          </w:pPr>
          <w:hyperlink w:anchor="__RefHeading___Toc553715_730472459">
            <w:r>
              <w:rPr>
                <w:webHidden/>
                <w:rStyle w:val="IndexLink"/>
                <w:rtl w:val="true"/>
              </w:rPr>
              <w:t>الشرط الرابع</w:t>
            </w:r>
            <w:r>
              <w:rPr>
                <w:rStyle w:val="IndexLink"/>
                <w:rtl w:val="true"/>
              </w:rPr>
              <w:tab/>
            </w:r>
            <w:r>
              <w:rPr>
                <w:rStyle w:val="IndexLink"/>
              </w:rPr>
              <w:t>242</w:t>
            </w:r>
          </w:hyperlink>
        </w:p>
        <w:p>
          <w:pPr>
            <w:pStyle w:val="Contents5"/>
            <w:tabs>
              <w:tab w:val="clear" w:pos="7892"/>
              <w:tab w:val="right" w:pos="9026" w:leader="dot"/>
            </w:tabs>
            <w:rPr/>
          </w:pPr>
          <w:hyperlink w:anchor="__RefHeading___Toc553717_730472459">
            <w:r>
              <w:rPr>
                <w:webHidden/>
                <w:rStyle w:val="IndexLink"/>
                <w:rtl w:val="true"/>
              </w:rPr>
              <w:t>الشرط الخامس</w:t>
            </w:r>
            <w:r>
              <w:rPr>
                <w:rStyle w:val="IndexLink"/>
                <w:rtl w:val="true"/>
              </w:rPr>
              <w:tab/>
            </w:r>
            <w:r>
              <w:rPr>
                <w:rStyle w:val="IndexLink"/>
              </w:rPr>
              <w:t>243</w:t>
            </w:r>
          </w:hyperlink>
        </w:p>
        <w:p>
          <w:pPr>
            <w:pStyle w:val="Contents4"/>
            <w:tabs>
              <w:tab w:val="clear" w:pos="8176"/>
              <w:tab w:val="right" w:pos="9026" w:leader="dot"/>
            </w:tabs>
            <w:rPr/>
          </w:pPr>
          <w:hyperlink w:anchor="__RefHeading___Toc553719_730472459">
            <w:r>
              <w:rPr>
                <w:webHidden/>
                <w:rStyle w:val="IndexLink"/>
                <w:rtl w:val="true"/>
              </w:rPr>
              <w:t xml:space="preserve">الموضع السادس </w:t>
            </w:r>
            <w:r>
              <w:rPr>
                <w:rStyle w:val="IndexLink"/>
                <w:rtl w:val="true"/>
              </w:rPr>
              <w:t xml:space="preserve">: </w:t>
            </w:r>
            <w:r>
              <w:rPr>
                <w:rStyle w:val="IndexLink"/>
                <w:rtl w:val="true"/>
              </w:rPr>
              <w:t>نصح المستشير</w:t>
            </w:r>
            <w:r>
              <w:rPr>
                <w:rStyle w:val="IndexLink"/>
                <w:rtl w:val="true"/>
              </w:rPr>
              <w:tab/>
            </w:r>
            <w:r>
              <w:rPr>
                <w:rStyle w:val="IndexLink"/>
              </w:rPr>
              <w:t>245</w:t>
            </w:r>
          </w:hyperlink>
        </w:p>
        <w:p>
          <w:pPr>
            <w:pStyle w:val="Contents4"/>
            <w:tabs>
              <w:tab w:val="clear" w:pos="8176"/>
              <w:tab w:val="right" w:pos="9026" w:leader="dot"/>
            </w:tabs>
            <w:rPr/>
          </w:pPr>
          <w:hyperlink w:anchor="__RefHeading___Toc553721_730472459">
            <w:r>
              <w:rPr>
                <w:webHidden/>
                <w:rStyle w:val="IndexLink"/>
                <w:rtl w:val="true"/>
              </w:rPr>
              <w:t xml:space="preserve">الموضع السابع </w:t>
            </w:r>
            <w:r>
              <w:rPr>
                <w:rStyle w:val="IndexLink"/>
                <w:rtl w:val="true"/>
              </w:rPr>
              <w:t xml:space="preserve">: </w:t>
            </w:r>
            <w:r>
              <w:rPr>
                <w:rStyle w:val="IndexLink"/>
                <w:rtl w:val="true"/>
              </w:rPr>
              <w:t>في مقام الاستفتاء</w:t>
            </w:r>
            <w:r>
              <w:rPr>
                <w:rStyle w:val="IndexLink"/>
                <w:rtl w:val="true"/>
              </w:rPr>
              <w:tab/>
            </w:r>
            <w:r>
              <w:rPr>
                <w:rStyle w:val="IndexLink"/>
              </w:rPr>
              <w:t>246</w:t>
            </w:r>
          </w:hyperlink>
        </w:p>
        <w:p>
          <w:pPr>
            <w:pStyle w:val="Contents4"/>
            <w:tabs>
              <w:tab w:val="clear" w:pos="8176"/>
              <w:tab w:val="right" w:pos="9026" w:leader="dot"/>
            </w:tabs>
            <w:rPr/>
          </w:pPr>
          <w:hyperlink w:anchor="__RefHeading___Toc553723_730472459">
            <w:r>
              <w:rPr>
                <w:webHidden/>
                <w:rStyle w:val="IndexLink"/>
                <w:rtl w:val="true"/>
              </w:rPr>
              <w:t xml:space="preserve">الموضع الثامن </w:t>
            </w:r>
            <w:r>
              <w:rPr>
                <w:rStyle w:val="IndexLink"/>
                <w:rtl w:val="true"/>
              </w:rPr>
              <w:t xml:space="preserve">: </w:t>
            </w:r>
            <w:r>
              <w:rPr>
                <w:rStyle w:val="IndexLink"/>
                <w:rtl w:val="true"/>
              </w:rPr>
              <w:t>تظلّم المظلوم عند مَن يرجو إزالة ظلمه</w:t>
            </w:r>
            <w:r>
              <w:rPr>
                <w:rStyle w:val="IndexLink"/>
                <w:rtl w:val="true"/>
              </w:rPr>
              <w:tab/>
            </w:r>
            <w:r>
              <w:rPr>
                <w:rStyle w:val="IndexLink"/>
              </w:rPr>
              <w:t>247</w:t>
            </w:r>
          </w:hyperlink>
        </w:p>
        <w:p>
          <w:pPr>
            <w:pStyle w:val="Contents4"/>
            <w:tabs>
              <w:tab w:val="clear" w:pos="8176"/>
              <w:tab w:val="right" w:pos="9026" w:leader="dot"/>
            </w:tabs>
            <w:rPr/>
          </w:pPr>
          <w:hyperlink w:anchor="__RefHeading___Toc553725_730472459">
            <w:r>
              <w:rPr>
                <w:webHidden/>
                <w:rStyle w:val="IndexLink"/>
                <w:rtl w:val="true"/>
              </w:rPr>
              <w:t xml:space="preserve">الموضع التاسع </w:t>
            </w:r>
            <w:r>
              <w:rPr>
                <w:rStyle w:val="IndexLink"/>
                <w:rtl w:val="true"/>
              </w:rPr>
              <w:t xml:space="preserve">: </w:t>
            </w:r>
            <w:r>
              <w:rPr>
                <w:rStyle w:val="IndexLink"/>
                <w:rtl w:val="true"/>
              </w:rPr>
              <w:t>جرح الرواة</w:t>
            </w:r>
            <w:r>
              <w:rPr>
                <w:rStyle w:val="IndexLink"/>
                <w:rtl w:val="true"/>
              </w:rPr>
              <w:tab/>
            </w:r>
            <w:r>
              <w:rPr>
                <w:rStyle w:val="IndexLink"/>
              </w:rPr>
              <w:t>248</w:t>
            </w:r>
          </w:hyperlink>
        </w:p>
        <w:p>
          <w:pPr>
            <w:pStyle w:val="Contents4"/>
            <w:tabs>
              <w:tab w:val="clear" w:pos="8176"/>
              <w:tab w:val="right" w:pos="9026" w:leader="dot"/>
            </w:tabs>
            <w:rPr/>
          </w:pPr>
          <w:hyperlink w:anchor="__RefHeading___Toc553727_730472459">
            <w:r>
              <w:rPr>
                <w:webHidden/>
                <w:rStyle w:val="IndexLink"/>
                <w:rtl w:val="true"/>
              </w:rPr>
              <w:t xml:space="preserve">الموضع العاشر </w:t>
            </w:r>
            <w:r>
              <w:rPr>
                <w:rStyle w:val="IndexLink"/>
                <w:rtl w:val="true"/>
              </w:rPr>
              <w:t xml:space="preserve">: </w:t>
            </w:r>
            <w:r>
              <w:rPr>
                <w:rStyle w:val="IndexLink"/>
                <w:rtl w:val="true"/>
              </w:rPr>
              <w:t>ما لو اطّلع جمعٌ على معصيةٍ توجب الحدّ</w:t>
            </w:r>
            <w:r>
              <w:rPr>
                <w:rStyle w:val="IndexLink"/>
                <w:rtl w:val="true"/>
              </w:rPr>
              <w:tab/>
            </w:r>
            <w:r>
              <w:rPr>
                <w:rStyle w:val="IndexLink"/>
              </w:rPr>
              <w:t>248</w:t>
            </w:r>
          </w:hyperlink>
        </w:p>
        <w:p>
          <w:pPr>
            <w:pStyle w:val="Contents3"/>
            <w:tabs>
              <w:tab w:val="clear" w:pos="8459"/>
              <w:tab w:val="right" w:pos="9026" w:leader="dot"/>
            </w:tabs>
            <w:rPr/>
          </w:pPr>
          <w:hyperlink w:anchor="__RefHeading___Toc553729_730472459">
            <w:r>
              <w:rPr>
                <w:webHidden/>
                <w:rStyle w:val="IndexLink"/>
                <w:rtl w:val="true"/>
              </w:rPr>
              <w:t>استماع الغيبة كالغيبة في الحرمة</w:t>
            </w:r>
            <w:r>
              <w:rPr>
                <w:rStyle w:val="IndexLink"/>
                <w:rtl w:val="true"/>
              </w:rPr>
              <w:tab/>
            </w:r>
            <w:r>
              <w:rPr>
                <w:rStyle w:val="IndexLink"/>
              </w:rPr>
              <w:t>249</w:t>
            </w:r>
          </w:hyperlink>
        </w:p>
        <w:p>
          <w:pPr>
            <w:pStyle w:val="Contents3"/>
            <w:tabs>
              <w:tab w:val="clear" w:pos="8459"/>
              <w:tab w:val="right" w:pos="9026" w:leader="dot"/>
            </w:tabs>
            <w:rPr/>
          </w:pPr>
          <w:hyperlink w:anchor="__RefHeading___Toc553731_730472459">
            <w:r>
              <w:rPr>
                <w:webHidden/>
                <w:rStyle w:val="IndexLink"/>
                <w:rtl w:val="true"/>
              </w:rPr>
              <w:t>بيان كفّارة الغيبة و توبتها</w:t>
            </w:r>
            <w:r>
              <w:rPr>
                <w:rStyle w:val="IndexLink"/>
                <w:rtl w:val="true"/>
              </w:rPr>
              <w:tab/>
            </w:r>
            <w:r>
              <w:rPr>
                <w:rStyle w:val="IndexLink"/>
              </w:rPr>
              <w:t>251</w:t>
            </w:r>
          </w:hyperlink>
        </w:p>
        <w:p>
          <w:pPr>
            <w:pStyle w:val="Contents3"/>
            <w:tabs>
              <w:tab w:val="clear" w:pos="8459"/>
              <w:tab w:val="right" w:pos="9026" w:leader="dot"/>
            </w:tabs>
            <w:rPr/>
          </w:pPr>
          <w:hyperlink w:anchor="__RefHeading___Toc553733_730472459">
            <w:r>
              <w:rPr>
                <w:webHidden/>
                <w:rStyle w:val="IndexLink"/>
                <w:rtl w:val="true"/>
              </w:rPr>
              <w:t>الكلام في قاطع الرحم</w:t>
            </w:r>
            <w:r>
              <w:rPr>
                <w:rStyle w:val="IndexLink"/>
                <w:rtl w:val="true"/>
              </w:rPr>
              <w:tab/>
            </w:r>
            <w:r>
              <w:rPr>
                <w:rStyle w:val="IndexLink"/>
              </w:rPr>
              <w:t>254</w:t>
            </w:r>
          </w:hyperlink>
        </w:p>
        <w:p>
          <w:pPr>
            <w:pStyle w:val="Contents2"/>
            <w:tabs>
              <w:tab w:val="clear" w:pos="8743"/>
              <w:tab w:val="right" w:pos="9026" w:leader="dot"/>
            </w:tabs>
            <w:rPr/>
          </w:pPr>
          <w:hyperlink w:anchor="__RefHeading___Toc553735_730472459">
            <w:r>
              <w:rPr>
                <w:webHidden/>
                <w:rStyle w:val="IndexLink"/>
              </w:rPr>
              <w:t>12</w:t>
            </w:r>
            <w:r>
              <w:rPr>
                <w:rStyle w:val="IndexLink"/>
                <w:rtl w:val="true"/>
              </w:rPr>
              <w:t xml:space="preserve">- </w:t>
            </w:r>
            <w:r>
              <w:rPr>
                <w:rStyle w:val="IndexLink"/>
                <w:rtl w:val="true"/>
              </w:rPr>
              <w:t>مسألة</w:t>
            </w:r>
            <w:r>
              <w:rPr>
                <w:rStyle w:val="IndexLink"/>
                <w:rtl w:val="true"/>
              </w:rPr>
              <w:tab/>
            </w:r>
            <w:r>
              <w:rPr>
                <w:rStyle w:val="IndexLink"/>
              </w:rPr>
              <w:t>254</w:t>
            </w:r>
          </w:hyperlink>
        </w:p>
        <w:p>
          <w:pPr>
            <w:pStyle w:val="Contents3"/>
            <w:tabs>
              <w:tab w:val="clear" w:pos="8459"/>
              <w:tab w:val="right" w:pos="9026" w:leader="dot"/>
            </w:tabs>
            <w:rPr/>
          </w:pPr>
          <w:hyperlink w:anchor="__RefHeading___Toc553737_73047245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53739_730472459">
            <w:r>
              <w:rPr>
                <w:webHidden/>
                <w:rStyle w:val="IndexLink"/>
                <w:rtl w:val="true"/>
              </w:rPr>
              <w:t>الكلام في تحريم الفخر و الكبر</w:t>
            </w:r>
            <w:r>
              <w:rPr>
                <w:rStyle w:val="IndexLink"/>
                <w:rtl w:val="true"/>
              </w:rPr>
              <w:tab/>
            </w:r>
            <w:r>
              <w:rPr>
                <w:rStyle w:val="IndexLink"/>
              </w:rPr>
              <w:t>258</w:t>
            </w:r>
          </w:hyperlink>
        </w:p>
        <w:p>
          <w:pPr>
            <w:pStyle w:val="Contents2"/>
            <w:tabs>
              <w:tab w:val="clear" w:pos="8743"/>
              <w:tab w:val="right" w:pos="9026" w:leader="dot"/>
            </w:tabs>
            <w:rPr/>
          </w:pPr>
          <w:hyperlink w:anchor="__RefHeading___Toc553741_730472459">
            <w:r>
              <w:rPr>
                <w:webHidden/>
                <w:rStyle w:val="IndexLink"/>
              </w:rPr>
              <w:t>13</w:t>
            </w:r>
            <w:r>
              <w:rPr>
                <w:rStyle w:val="IndexLink"/>
                <w:rtl w:val="true"/>
              </w:rPr>
              <w:t xml:space="preserve">- </w:t>
            </w:r>
            <w:r>
              <w:rPr>
                <w:rStyle w:val="IndexLink"/>
                <w:rtl w:val="true"/>
              </w:rPr>
              <w:t>مسألة</w:t>
            </w:r>
            <w:r>
              <w:rPr>
                <w:rStyle w:val="IndexLink"/>
                <w:rtl w:val="true"/>
              </w:rPr>
              <w:tab/>
            </w:r>
            <w:r>
              <w:rPr>
                <w:rStyle w:val="IndexLink"/>
              </w:rPr>
              <w:t>258</w:t>
            </w:r>
          </w:hyperlink>
        </w:p>
        <w:p>
          <w:pPr>
            <w:pStyle w:val="Contents3"/>
            <w:tabs>
              <w:tab w:val="clear" w:pos="8459"/>
              <w:tab w:val="right" w:pos="9026" w:leader="dot"/>
            </w:tabs>
            <w:rPr/>
          </w:pPr>
          <w:hyperlink w:anchor="__RefHeading___Toc553743_730472459">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553745_730472459">
            <w:r>
              <w:rPr>
                <w:webHidden/>
                <w:rStyle w:val="IndexLink"/>
                <w:rtl w:val="true"/>
              </w:rPr>
              <w:t>ترک المندوبات لا ينقدح في العدالة</w:t>
            </w:r>
            <w:r>
              <w:rPr>
                <w:rStyle w:val="IndexLink"/>
                <w:rtl w:val="true"/>
              </w:rPr>
              <w:tab/>
            </w:r>
            <w:r>
              <w:rPr>
                <w:rStyle w:val="IndexLink"/>
              </w:rPr>
              <w:t>260</w:t>
            </w:r>
          </w:hyperlink>
        </w:p>
        <w:p>
          <w:pPr>
            <w:pStyle w:val="Contents2"/>
            <w:tabs>
              <w:tab w:val="clear" w:pos="8743"/>
              <w:tab w:val="right" w:pos="9026" w:leader="dot"/>
            </w:tabs>
            <w:rPr/>
          </w:pPr>
          <w:hyperlink w:anchor="__RefHeading___Toc553747_730472459">
            <w:r>
              <w:rPr>
                <w:webHidden/>
                <w:rStyle w:val="IndexLink"/>
              </w:rPr>
              <w:t>14</w:t>
            </w:r>
            <w:r>
              <w:rPr>
                <w:rStyle w:val="IndexLink"/>
                <w:rtl w:val="true"/>
              </w:rPr>
              <w:t xml:space="preserve">- </w:t>
            </w:r>
            <w:r>
              <w:rPr>
                <w:rStyle w:val="IndexLink"/>
                <w:rtl w:val="true"/>
              </w:rPr>
              <w:t>مسألة</w:t>
            </w:r>
            <w:r>
              <w:rPr>
                <w:rStyle w:val="IndexLink"/>
                <w:rtl w:val="true"/>
              </w:rPr>
              <w:tab/>
            </w:r>
            <w:r>
              <w:rPr>
                <w:rStyle w:val="IndexLink"/>
              </w:rPr>
              <w:t>260</w:t>
            </w:r>
          </w:hyperlink>
        </w:p>
        <w:p>
          <w:pPr>
            <w:pStyle w:val="Contents3"/>
            <w:tabs>
              <w:tab w:val="clear" w:pos="8459"/>
              <w:tab w:val="right" w:pos="9026" w:leader="dot"/>
            </w:tabs>
            <w:rPr/>
          </w:pPr>
          <w:hyperlink w:anchor="__RefHeading___Toc553749_730472459">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553751_730472459">
            <w:r>
              <w:rPr>
                <w:webHidden/>
                <w:rStyle w:val="IndexLink"/>
                <w:rtl w:val="true"/>
              </w:rPr>
              <w:t>الاشتغال بالصنائع المباحةوالمكروهة والدنيّة غير قادح في العدالة</w:t>
            </w:r>
            <w:r>
              <w:rPr>
                <w:rStyle w:val="IndexLink"/>
                <w:rtl w:val="true"/>
              </w:rPr>
              <w:tab/>
            </w:r>
            <w:r>
              <w:rPr>
                <w:rStyle w:val="IndexLink"/>
              </w:rPr>
              <w:t>260</w:t>
            </w:r>
          </w:hyperlink>
        </w:p>
        <w:p>
          <w:pPr>
            <w:pStyle w:val="Contents2"/>
            <w:tabs>
              <w:tab w:val="clear" w:pos="8743"/>
              <w:tab w:val="right" w:pos="9026" w:leader="dot"/>
            </w:tabs>
            <w:rPr/>
          </w:pPr>
          <w:hyperlink w:anchor="__RefHeading___Toc553753_730472459">
            <w:r>
              <w:rPr>
                <w:webHidden/>
                <w:rStyle w:val="IndexLink"/>
              </w:rPr>
              <w:t>15</w:t>
            </w:r>
            <w:r>
              <w:rPr>
                <w:rStyle w:val="IndexLink"/>
                <w:rtl w:val="true"/>
              </w:rPr>
              <w:t xml:space="preserve">- </w:t>
            </w:r>
            <w:r>
              <w:rPr>
                <w:rStyle w:val="IndexLink"/>
                <w:rtl w:val="true"/>
              </w:rPr>
              <w:t>مسألة</w:t>
            </w:r>
            <w:r>
              <w:rPr>
                <w:rStyle w:val="IndexLink"/>
                <w:rtl w:val="true"/>
              </w:rPr>
              <w:tab/>
            </w:r>
            <w:r>
              <w:rPr>
                <w:rStyle w:val="IndexLink"/>
              </w:rPr>
              <w:t>260</w:t>
            </w:r>
          </w:hyperlink>
        </w:p>
        <w:p>
          <w:pPr>
            <w:pStyle w:val="Contents3"/>
            <w:tabs>
              <w:tab w:val="clear" w:pos="8459"/>
              <w:tab w:val="right" w:pos="9026" w:leader="dot"/>
            </w:tabs>
            <w:rPr/>
          </w:pPr>
          <w:hyperlink w:anchor="__RefHeading___Toc553755_730472459">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553757_730472459">
            <w:r>
              <w:rPr>
                <w:webHidden/>
                <w:rStyle w:val="IndexLink"/>
                <w:rtl w:val="true"/>
              </w:rPr>
              <w:t>حكم الحَمَام</w:t>
            </w:r>
            <w:r>
              <w:rPr>
                <w:rStyle w:val="IndexLink"/>
                <w:rtl w:val="true"/>
              </w:rPr>
              <w:tab/>
            </w:r>
            <w:r>
              <w:rPr>
                <w:rStyle w:val="IndexLink"/>
              </w:rPr>
              <w:t>262</w:t>
            </w:r>
          </w:hyperlink>
        </w:p>
        <w:p>
          <w:pPr>
            <w:pStyle w:val="Contents2"/>
            <w:tabs>
              <w:tab w:val="clear" w:pos="8743"/>
              <w:tab w:val="right" w:pos="9026" w:leader="dot"/>
            </w:tabs>
            <w:rPr/>
          </w:pPr>
          <w:hyperlink w:anchor="__RefHeading___Toc553759_730472459">
            <w:r>
              <w:rPr>
                <w:webHidden/>
                <w:rStyle w:val="IndexLink"/>
              </w:rPr>
              <w:t>16</w:t>
            </w:r>
            <w:r>
              <w:rPr>
                <w:rStyle w:val="IndexLink"/>
                <w:rtl w:val="true"/>
              </w:rPr>
              <w:t xml:space="preserve">- </w:t>
            </w:r>
            <w:r>
              <w:rPr>
                <w:rStyle w:val="IndexLink"/>
                <w:rtl w:val="true"/>
              </w:rPr>
              <w:t>مسألة</w:t>
            </w:r>
            <w:r>
              <w:rPr>
                <w:rStyle w:val="IndexLink"/>
                <w:rtl w:val="true"/>
              </w:rPr>
              <w:tab/>
            </w:r>
            <w:r>
              <w:rPr>
                <w:rStyle w:val="IndexLink"/>
              </w:rPr>
              <w:t>262</w:t>
            </w:r>
          </w:hyperlink>
        </w:p>
        <w:p>
          <w:pPr>
            <w:pStyle w:val="Contents3"/>
            <w:tabs>
              <w:tab w:val="clear" w:pos="8459"/>
              <w:tab w:val="right" w:pos="9026" w:leader="dot"/>
            </w:tabs>
            <w:rPr/>
          </w:pPr>
          <w:hyperlink w:anchor="__RefHeading___Toc553761_730472459">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553763_730472459">
            <w:r>
              <w:rPr>
                <w:webHidden/>
                <w:rStyle w:val="IndexLink"/>
                <w:rtl w:val="true"/>
              </w:rPr>
              <w:t>المقام الأوّل</w:t>
            </w:r>
            <w:r>
              <w:rPr>
                <w:rStyle w:val="IndexLink"/>
                <w:rtl w:val="true"/>
              </w:rPr>
              <w:t xml:space="preserve">: </w:t>
            </w:r>
            <w:r>
              <w:rPr>
                <w:rStyle w:val="IndexLink"/>
                <w:rtl w:val="true"/>
              </w:rPr>
              <w:t>في اتّخاذ الحمام لنحو الاُنس</w:t>
            </w:r>
            <w:r>
              <w:rPr>
                <w:rStyle w:val="IndexLink"/>
                <w:rtl w:val="true"/>
              </w:rPr>
              <w:tab/>
            </w:r>
            <w:r>
              <w:rPr>
                <w:rStyle w:val="IndexLink"/>
              </w:rPr>
              <w:t>262</w:t>
            </w:r>
          </w:hyperlink>
        </w:p>
        <w:p>
          <w:pPr>
            <w:pStyle w:val="Contents4"/>
            <w:tabs>
              <w:tab w:val="clear" w:pos="8176"/>
              <w:tab w:val="right" w:pos="9026" w:leader="dot"/>
            </w:tabs>
            <w:rPr/>
          </w:pPr>
          <w:hyperlink w:anchor="__RefHeading___Toc553765_730472459">
            <w:r>
              <w:rPr>
                <w:webHidden/>
                <w:rStyle w:val="IndexLink"/>
                <w:rtl w:val="true"/>
              </w:rPr>
              <w:t>والفرخ و إرسال الكتب إلى البلدان</w:t>
            </w:r>
            <w:r>
              <w:rPr>
                <w:rStyle w:val="IndexLink"/>
                <w:rtl w:val="true"/>
              </w:rPr>
              <w:tab/>
            </w:r>
            <w:r>
              <w:rPr>
                <w:rStyle w:val="IndexLink"/>
              </w:rPr>
              <w:t>262</w:t>
            </w:r>
          </w:hyperlink>
        </w:p>
        <w:p>
          <w:pPr>
            <w:pStyle w:val="Contents3"/>
            <w:tabs>
              <w:tab w:val="clear" w:pos="8459"/>
              <w:tab w:val="right" w:pos="9026" w:leader="dot"/>
            </w:tabs>
            <w:rPr/>
          </w:pPr>
          <w:hyperlink w:anchor="__RefHeading___Toc553767_730472459">
            <w:r>
              <w:rPr>
                <w:webHidden/>
                <w:rStyle w:val="IndexLink"/>
                <w:rtl w:val="true"/>
              </w:rPr>
              <w:t>المقام الثاني</w:t>
            </w:r>
            <w:r>
              <w:rPr>
                <w:rStyle w:val="IndexLink"/>
                <w:rtl w:val="true"/>
              </w:rPr>
              <w:t xml:space="preserve">: </w:t>
            </w:r>
            <w:r>
              <w:rPr>
                <w:rStyle w:val="IndexLink"/>
                <w:rtl w:val="true"/>
              </w:rPr>
              <w:t>في اقتنائها واتّخاذها للّعب بها من غير رهان</w:t>
            </w:r>
            <w:r>
              <w:rPr>
                <w:rStyle w:val="IndexLink"/>
                <w:rtl w:val="true"/>
              </w:rPr>
              <w:tab/>
            </w:r>
            <w:r>
              <w:rPr>
                <w:rStyle w:val="IndexLink"/>
              </w:rPr>
              <w:t>263</w:t>
            </w:r>
          </w:hyperlink>
        </w:p>
        <w:p>
          <w:pPr>
            <w:pStyle w:val="Contents3"/>
            <w:tabs>
              <w:tab w:val="clear" w:pos="8459"/>
              <w:tab w:val="right" w:pos="9026" w:leader="dot"/>
            </w:tabs>
            <w:rPr/>
          </w:pPr>
          <w:hyperlink w:anchor="__RefHeading___Toc553769_730472459">
            <w:r>
              <w:rPr>
                <w:webHidden/>
                <w:rStyle w:val="IndexLink"/>
                <w:rtl w:val="true"/>
              </w:rPr>
              <w:t>و المقام الثالث</w:t>
            </w:r>
            <w:r>
              <w:rPr>
                <w:rStyle w:val="IndexLink"/>
                <w:rtl w:val="true"/>
              </w:rPr>
              <w:t xml:space="preserve">: </w:t>
            </w:r>
            <w:r>
              <w:rPr>
                <w:rStyle w:val="IndexLink"/>
                <w:rtl w:val="true"/>
              </w:rPr>
              <w:t>في اتّخاذها للّعب بها مع الرهان</w:t>
            </w:r>
            <w:r>
              <w:rPr>
                <w:rStyle w:val="IndexLink"/>
                <w:rtl w:val="true"/>
              </w:rPr>
              <w:tab/>
            </w:r>
            <w:r>
              <w:rPr>
                <w:rStyle w:val="IndexLink"/>
              </w:rPr>
              <w:t>266</w:t>
            </w:r>
          </w:hyperlink>
        </w:p>
        <w:p>
          <w:pPr>
            <w:pStyle w:val="Contents3"/>
            <w:tabs>
              <w:tab w:val="clear" w:pos="8459"/>
              <w:tab w:val="right" w:pos="9026" w:leader="dot"/>
            </w:tabs>
            <w:rPr/>
          </w:pPr>
          <w:hyperlink w:anchor="__RefHeading___Toc553771_730472459">
            <w:r>
              <w:rPr>
                <w:webHidden/>
                <w:rStyle w:val="IndexLink"/>
                <w:rtl w:val="true"/>
              </w:rPr>
              <w:t>ولد الزنا شهادته غير مقبولة</w:t>
            </w:r>
            <w:r>
              <w:rPr>
                <w:rStyle w:val="IndexLink"/>
                <w:rtl w:val="true"/>
              </w:rPr>
              <w:tab/>
            </w:r>
            <w:r>
              <w:rPr>
                <w:rStyle w:val="IndexLink"/>
              </w:rPr>
              <w:t>270</w:t>
            </w:r>
          </w:hyperlink>
        </w:p>
        <w:p>
          <w:pPr>
            <w:pStyle w:val="Contents2"/>
            <w:tabs>
              <w:tab w:val="clear" w:pos="8743"/>
              <w:tab w:val="right" w:pos="9026" w:leader="dot"/>
            </w:tabs>
            <w:rPr/>
          </w:pPr>
          <w:hyperlink w:anchor="__RefHeading___Toc553773_730472459">
            <w:r>
              <w:rPr>
                <w:webHidden/>
                <w:rStyle w:val="IndexLink"/>
              </w:rPr>
              <w:t>17</w:t>
            </w:r>
            <w:r>
              <w:rPr>
                <w:rStyle w:val="IndexLink"/>
                <w:rtl w:val="true"/>
              </w:rPr>
              <w:t xml:space="preserve">- </w:t>
            </w:r>
            <w:r>
              <w:rPr>
                <w:rStyle w:val="IndexLink"/>
                <w:rtl w:val="true"/>
              </w:rPr>
              <w:t>مسألة</w:t>
            </w:r>
            <w:r>
              <w:rPr>
                <w:rStyle w:val="IndexLink"/>
                <w:rtl w:val="true"/>
              </w:rPr>
              <w:tab/>
            </w:r>
            <w:r>
              <w:rPr>
                <w:rStyle w:val="IndexLink"/>
              </w:rPr>
              <w:t>270</w:t>
            </w:r>
          </w:hyperlink>
        </w:p>
        <w:p>
          <w:pPr>
            <w:pStyle w:val="Contents3"/>
            <w:tabs>
              <w:tab w:val="clear" w:pos="8459"/>
              <w:tab w:val="right" w:pos="9026" w:leader="dot"/>
            </w:tabs>
            <w:rPr/>
          </w:pPr>
          <w:hyperlink w:anchor="__RefHeading___Toc553775_730472459">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53777_730472459">
            <w:r>
              <w:rPr>
                <w:webHidden/>
                <w:rStyle w:val="IndexLink"/>
                <w:rtl w:val="true"/>
              </w:rPr>
              <w:t>في الجواب عن الاعتراض الّذي أورده</w:t>
            </w:r>
            <w:r>
              <w:rPr>
                <w:rStyle w:val="IndexLink"/>
                <w:rtl w:val="true"/>
              </w:rPr>
              <w:tab/>
            </w:r>
            <w:r>
              <w:rPr>
                <w:rStyle w:val="IndexLink"/>
              </w:rPr>
              <w:t>274</w:t>
            </w:r>
          </w:hyperlink>
        </w:p>
        <w:p>
          <w:pPr>
            <w:pStyle w:val="Contents3"/>
            <w:tabs>
              <w:tab w:val="clear" w:pos="8459"/>
              <w:tab w:val="right" w:pos="9026" w:leader="dot"/>
            </w:tabs>
            <w:rPr/>
          </w:pPr>
          <w:hyperlink w:anchor="__RefHeading___Toc553779_730472459">
            <w:r>
              <w:rPr>
                <w:webHidden/>
                <w:rStyle w:val="IndexLink"/>
                <w:rtl w:val="true"/>
              </w:rPr>
              <w:t>العلّامة و الشهيد الثاني على السيّد المرتضى</w:t>
            </w:r>
            <w:r>
              <w:rPr>
                <w:rStyle w:val="IndexLink"/>
                <w:rtl w:val="true"/>
              </w:rPr>
              <w:tab/>
            </w:r>
            <w:r>
              <w:rPr>
                <w:rStyle w:val="IndexLink"/>
              </w:rPr>
              <w:t>274</w:t>
            </w:r>
          </w:hyperlink>
        </w:p>
        <w:p>
          <w:pPr>
            <w:pStyle w:val="Contents3"/>
            <w:tabs>
              <w:tab w:val="clear" w:pos="8459"/>
              <w:tab w:val="right" w:pos="9026" w:leader="dot"/>
            </w:tabs>
            <w:rPr/>
          </w:pPr>
          <w:hyperlink w:anchor="__RefHeading___Toc553781_730472459">
            <w:r>
              <w:rPr>
                <w:webHidden/>
                <w:rStyle w:val="IndexLink"/>
                <w:rtl w:val="true"/>
              </w:rPr>
              <w:t>ارتفاع التهمة شرطٌ في قبول الشهادة</w:t>
            </w:r>
            <w:r>
              <w:rPr>
                <w:rStyle w:val="IndexLink"/>
                <w:rtl w:val="true"/>
              </w:rPr>
              <w:tab/>
            </w:r>
            <w:r>
              <w:rPr>
                <w:rStyle w:val="IndexLink"/>
              </w:rPr>
              <w:t>281</w:t>
            </w:r>
          </w:hyperlink>
        </w:p>
        <w:p>
          <w:pPr>
            <w:pStyle w:val="Contents2"/>
            <w:tabs>
              <w:tab w:val="clear" w:pos="8743"/>
              <w:tab w:val="right" w:pos="9026" w:leader="dot"/>
            </w:tabs>
            <w:rPr/>
          </w:pPr>
          <w:hyperlink w:anchor="__RefHeading___Toc553783_730472459">
            <w:r>
              <w:rPr>
                <w:webHidden/>
                <w:rStyle w:val="IndexLink"/>
              </w:rPr>
              <w:t>18</w:t>
            </w:r>
            <w:r>
              <w:rPr>
                <w:rStyle w:val="IndexLink"/>
                <w:rtl w:val="true"/>
              </w:rPr>
              <w:t xml:space="preserve">- </w:t>
            </w:r>
            <w:r>
              <w:rPr>
                <w:rStyle w:val="IndexLink"/>
                <w:rtl w:val="true"/>
              </w:rPr>
              <w:t>مسألة</w:t>
            </w:r>
            <w:r>
              <w:rPr>
                <w:rStyle w:val="IndexLink"/>
                <w:rtl w:val="true"/>
              </w:rPr>
              <w:tab/>
            </w:r>
            <w:r>
              <w:rPr>
                <w:rStyle w:val="IndexLink"/>
              </w:rPr>
              <w:t>281</w:t>
            </w:r>
          </w:hyperlink>
        </w:p>
        <w:p>
          <w:pPr>
            <w:pStyle w:val="Contents3"/>
            <w:tabs>
              <w:tab w:val="clear" w:pos="8459"/>
              <w:tab w:val="right" w:pos="9026" w:leader="dot"/>
            </w:tabs>
            <w:rPr/>
          </w:pPr>
          <w:hyperlink w:anchor="__RefHeading___Toc553785_730472459">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553787_730472459">
            <w:r>
              <w:rPr>
                <w:webHidden/>
                <w:rStyle w:val="IndexLink"/>
                <w:rtl w:val="true"/>
              </w:rPr>
              <w:t>المواضع الّتي حكم فيها بقبول شهادة المتّهم</w:t>
            </w:r>
            <w:r>
              <w:rPr>
                <w:rStyle w:val="IndexLink"/>
                <w:rtl w:val="true"/>
              </w:rPr>
              <w:tab/>
            </w:r>
            <w:r>
              <w:rPr>
                <w:rStyle w:val="IndexLink"/>
              </w:rPr>
              <w:t>285</w:t>
            </w:r>
          </w:hyperlink>
        </w:p>
        <w:p>
          <w:pPr>
            <w:pStyle w:val="Contents3"/>
            <w:tabs>
              <w:tab w:val="clear" w:pos="8459"/>
              <w:tab w:val="right" w:pos="9026" w:leader="dot"/>
            </w:tabs>
            <w:rPr/>
          </w:pPr>
          <w:hyperlink w:anchor="__RefHeading___Toc553789_730472459">
            <w:r>
              <w:rPr>
                <w:webHidden/>
                <w:rStyle w:val="IndexLink"/>
                <w:rtl w:val="true"/>
              </w:rPr>
              <w:t>شهادة ذي الأقارب بعضهم لبعضهم مقبولة</w:t>
            </w:r>
            <w:r>
              <w:rPr>
                <w:rStyle w:val="IndexLink"/>
                <w:rtl w:val="true"/>
              </w:rPr>
              <w:tab/>
            </w:r>
            <w:r>
              <w:rPr>
                <w:rStyle w:val="IndexLink"/>
              </w:rPr>
              <w:t>285</w:t>
            </w:r>
          </w:hyperlink>
        </w:p>
        <w:p>
          <w:pPr>
            <w:pStyle w:val="Contents3"/>
            <w:tabs>
              <w:tab w:val="clear" w:pos="8459"/>
              <w:tab w:val="right" w:pos="9026" w:leader="dot"/>
            </w:tabs>
            <w:rPr/>
          </w:pPr>
          <w:hyperlink w:anchor="__RefHeading___Toc553791_730472459">
            <w:r>
              <w:rPr>
                <w:webHidden/>
                <w:rStyle w:val="IndexLink"/>
                <w:rtl w:val="true"/>
              </w:rPr>
              <w:t>تجوز شهادة الرجل لامرأته</w:t>
            </w:r>
            <w:r>
              <w:rPr>
                <w:rStyle w:val="IndexLink"/>
                <w:rtl w:val="true"/>
              </w:rPr>
              <w:tab/>
            </w:r>
            <w:r>
              <w:rPr>
                <w:rStyle w:val="IndexLink"/>
              </w:rPr>
              <w:t>288</w:t>
            </w:r>
          </w:hyperlink>
        </w:p>
        <w:p>
          <w:pPr>
            <w:pStyle w:val="Contents3"/>
            <w:tabs>
              <w:tab w:val="clear" w:pos="8459"/>
              <w:tab w:val="right" w:pos="9026" w:leader="dot"/>
            </w:tabs>
            <w:rPr/>
          </w:pPr>
          <w:hyperlink w:anchor="__RefHeading___Toc553793_730472459">
            <w:r>
              <w:rPr>
                <w:webHidden/>
                <w:rStyle w:val="IndexLink"/>
                <w:rtl w:val="true"/>
              </w:rPr>
              <w:t>شهادة الزوجة منفردة مقبولة في الوصيّة</w:t>
            </w:r>
            <w:r>
              <w:rPr>
                <w:rStyle w:val="IndexLink"/>
                <w:rtl w:val="true"/>
              </w:rPr>
              <w:tab/>
            </w:r>
            <w:r>
              <w:rPr>
                <w:rStyle w:val="IndexLink"/>
              </w:rPr>
              <w:t>292</w:t>
            </w:r>
          </w:hyperlink>
        </w:p>
        <w:p>
          <w:pPr>
            <w:pStyle w:val="Contents3"/>
            <w:tabs>
              <w:tab w:val="clear" w:pos="8459"/>
              <w:tab w:val="right" w:pos="9026" w:leader="dot"/>
            </w:tabs>
            <w:rPr/>
          </w:pPr>
          <w:hyperlink w:anchor="__RefHeading___Toc553795_730472459">
            <w:r>
              <w:rPr>
                <w:webHidden/>
                <w:rStyle w:val="IndexLink"/>
                <w:rtl w:val="true"/>
              </w:rPr>
              <w:t>شهادة الضيف للمضيف</w:t>
            </w:r>
            <w:r>
              <w:rPr>
                <w:rStyle w:val="IndexLink"/>
                <w:rtl w:val="true"/>
              </w:rPr>
              <w:tab/>
            </w:r>
            <w:r>
              <w:rPr>
                <w:rStyle w:val="IndexLink"/>
              </w:rPr>
              <w:t>294</w:t>
            </w:r>
          </w:hyperlink>
        </w:p>
        <w:p>
          <w:pPr>
            <w:pStyle w:val="Contents3"/>
            <w:tabs>
              <w:tab w:val="clear" w:pos="8459"/>
              <w:tab w:val="right" w:pos="9026" w:leader="dot"/>
            </w:tabs>
            <w:rPr/>
          </w:pPr>
          <w:hyperlink w:anchor="__RefHeading___Toc553797_730472459">
            <w:r>
              <w:rPr>
                <w:webHidden/>
                <w:rStyle w:val="IndexLink"/>
                <w:rtl w:val="true"/>
              </w:rPr>
              <w:t>شهادة الأجير</w:t>
            </w:r>
            <w:r>
              <w:rPr>
                <w:rStyle w:val="IndexLink"/>
                <w:rtl w:val="true"/>
              </w:rPr>
              <w:tab/>
            </w:r>
            <w:r>
              <w:rPr>
                <w:rStyle w:val="IndexLink"/>
              </w:rPr>
              <w:t>294</w:t>
            </w:r>
          </w:hyperlink>
        </w:p>
        <w:p>
          <w:pPr>
            <w:pStyle w:val="Contents3"/>
            <w:tabs>
              <w:tab w:val="clear" w:pos="8459"/>
              <w:tab w:val="right" w:pos="9026" w:leader="dot"/>
            </w:tabs>
            <w:rPr/>
          </w:pPr>
          <w:hyperlink w:anchor="__RefHeading___Toc553799_730472459">
            <w:r>
              <w:rPr>
                <w:webHidden/>
                <w:rStyle w:val="IndexLink"/>
                <w:rtl w:val="true"/>
              </w:rPr>
              <w:t>شهادة الصديق لصديقه مقبولة</w:t>
            </w:r>
            <w:r>
              <w:rPr>
                <w:rStyle w:val="IndexLink"/>
                <w:rtl w:val="true"/>
              </w:rPr>
              <w:tab/>
            </w:r>
            <w:r>
              <w:rPr>
                <w:rStyle w:val="IndexLink"/>
              </w:rPr>
              <w:t>302</w:t>
            </w:r>
          </w:hyperlink>
        </w:p>
        <w:p>
          <w:pPr>
            <w:pStyle w:val="Contents3"/>
            <w:tabs>
              <w:tab w:val="clear" w:pos="8459"/>
              <w:tab w:val="right" w:pos="9026" w:leader="dot"/>
            </w:tabs>
            <w:rPr/>
          </w:pPr>
          <w:hyperlink w:anchor="__RefHeading___Toc553801_730472459">
            <w:r>
              <w:rPr>
                <w:webHidden/>
                <w:rStyle w:val="IndexLink"/>
                <w:rtl w:val="true"/>
              </w:rPr>
              <w:t>شهادة العبد لمولاه مقبولة</w:t>
            </w:r>
            <w:r>
              <w:rPr>
                <w:rStyle w:val="IndexLink"/>
                <w:rtl w:val="true"/>
              </w:rPr>
              <w:tab/>
            </w:r>
            <w:r>
              <w:rPr>
                <w:rStyle w:val="IndexLink"/>
              </w:rPr>
              <w:t>305</w:t>
            </w:r>
          </w:hyperlink>
        </w:p>
        <w:p>
          <w:pPr>
            <w:pStyle w:val="Contents3"/>
            <w:tabs>
              <w:tab w:val="clear" w:pos="8459"/>
              <w:tab w:val="right" w:pos="9026" w:leader="dot"/>
            </w:tabs>
            <w:rPr/>
          </w:pPr>
          <w:hyperlink w:anchor="__RefHeading___Toc553803_730472459">
            <w:r>
              <w:rPr>
                <w:webHidden/>
                <w:rStyle w:val="IndexLink"/>
                <w:rtl w:val="true"/>
              </w:rPr>
              <w:t>ذكر الخلاف في حكم شهادة العبد لمولاه</w:t>
            </w:r>
            <w:r>
              <w:rPr>
                <w:rStyle w:val="IndexLink"/>
                <w:rtl w:val="true"/>
              </w:rPr>
              <w:tab/>
            </w:r>
            <w:r>
              <w:rPr>
                <w:rStyle w:val="IndexLink"/>
              </w:rPr>
              <w:t>306</w:t>
            </w:r>
          </w:hyperlink>
        </w:p>
        <w:p>
          <w:pPr>
            <w:pStyle w:val="Contents4"/>
            <w:tabs>
              <w:tab w:val="clear" w:pos="8176"/>
              <w:tab w:val="right" w:pos="9026" w:leader="dot"/>
            </w:tabs>
            <w:rPr/>
          </w:pPr>
          <w:hyperlink w:anchor="__RefHeading___Toc553805_73047245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53807_730472459">
            <w:r>
              <w:rPr>
                <w:webHidden/>
                <w:rStyle w:val="IndexLink"/>
                <w:rtl w:val="true"/>
              </w:rPr>
              <w:t>القول الأوّل</w:t>
            </w:r>
            <w:r>
              <w:rPr>
                <w:rStyle w:val="IndexLink"/>
                <w:rtl w:val="true"/>
              </w:rPr>
              <w:tab/>
            </w:r>
            <w:r>
              <w:rPr>
                <w:rStyle w:val="IndexLink"/>
              </w:rPr>
              <w:t>306</w:t>
            </w:r>
          </w:hyperlink>
        </w:p>
        <w:p>
          <w:pPr>
            <w:pStyle w:val="Contents5"/>
            <w:tabs>
              <w:tab w:val="clear" w:pos="7892"/>
              <w:tab w:val="right" w:pos="9026" w:leader="dot"/>
            </w:tabs>
            <w:rPr/>
          </w:pPr>
          <w:hyperlink w:anchor="__RefHeading___Toc553809_730472459">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53811_730472459">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في المسألة</w:t>
            </w:r>
            <w:r>
              <w:rPr>
                <w:rStyle w:val="IndexLink"/>
                <w:rtl w:val="true"/>
              </w:rPr>
              <w:tab/>
            </w:r>
            <w:r>
              <w:rPr>
                <w:rStyle w:val="IndexLink"/>
              </w:rPr>
              <w:t>307</w:t>
            </w:r>
          </w:hyperlink>
        </w:p>
        <w:p>
          <w:pPr>
            <w:pStyle w:val="Contents4"/>
            <w:tabs>
              <w:tab w:val="clear" w:pos="8176"/>
              <w:tab w:val="right" w:pos="9026" w:leader="dot"/>
            </w:tabs>
            <w:rPr/>
          </w:pPr>
          <w:hyperlink w:anchor="__RefHeading___Toc553813_730472459">
            <w:r>
              <w:rPr>
                <w:webHidden/>
                <w:rStyle w:val="IndexLink"/>
                <w:rtl w:val="true"/>
              </w:rPr>
              <w:t>القول الثاني</w:t>
            </w:r>
            <w:r>
              <w:rPr>
                <w:rStyle w:val="IndexLink"/>
                <w:rtl w:val="true"/>
              </w:rPr>
              <w:tab/>
            </w:r>
            <w:r>
              <w:rPr>
                <w:rStyle w:val="IndexLink"/>
              </w:rPr>
              <w:t>308</w:t>
            </w:r>
          </w:hyperlink>
        </w:p>
        <w:p>
          <w:pPr>
            <w:pStyle w:val="Contents4"/>
            <w:tabs>
              <w:tab w:val="clear" w:pos="8176"/>
              <w:tab w:val="right" w:pos="9026" w:leader="dot"/>
            </w:tabs>
            <w:rPr/>
          </w:pPr>
          <w:hyperlink w:anchor="__RefHeading___Toc553815_730472459">
            <w:r>
              <w:rPr>
                <w:webHidden/>
                <w:rStyle w:val="IndexLink"/>
                <w:rtl w:val="true"/>
              </w:rPr>
              <w:t>القول الثالث</w:t>
            </w:r>
            <w:r>
              <w:rPr>
                <w:rStyle w:val="IndexLink"/>
                <w:rtl w:val="true"/>
              </w:rPr>
              <w:tab/>
            </w:r>
            <w:r>
              <w:rPr>
                <w:rStyle w:val="IndexLink"/>
              </w:rPr>
              <w:t>312</w:t>
            </w:r>
          </w:hyperlink>
        </w:p>
        <w:p>
          <w:pPr>
            <w:pStyle w:val="Contents4"/>
            <w:tabs>
              <w:tab w:val="clear" w:pos="8176"/>
              <w:tab w:val="right" w:pos="9026" w:leader="dot"/>
            </w:tabs>
            <w:rPr/>
          </w:pPr>
          <w:hyperlink w:anchor="__RefHeading___Toc553817_730472459">
            <w:r>
              <w:rPr>
                <w:webHidden/>
                <w:rStyle w:val="IndexLink"/>
                <w:rtl w:val="true"/>
              </w:rPr>
              <w:t>القول الرابع</w:t>
            </w:r>
            <w:r>
              <w:rPr>
                <w:rStyle w:val="IndexLink"/>
                <w:rtl w:val="true"/>
              </w:rPr>
              <w:tab/>
            </w:r>
            <w:r>
              <w:rPr>
                <w:rStyle w:val="IndexLink"/>
              </w:rPr>
              <w:t>321</w:t>
            </w:r>
          </w:hyperlink>
        </w:p>
        <w:p>
          <w:pPr>
            <w:pStyle w:val="Contents4"/>
            <w:tabs>
              <w:tab w:val="clear" w:pos="8176"/>
              <w:tab w:val="right" w:pos="9026" w:leader="dot"/>
            </w:tabs>
            <w:rPr/>
          </w:pPr>
          <w:hyperlink w:anchor="__RefHeading___Toc553819_730472459">
            <w:r>
              <w:rPr>
                <w:webHidden/>
                <w:rStyle w:val="IndexLink"/>
                <w:rtl w:val="true"/>
              </w:rPr>
              <w:t>القول الخامس</w:t>
            </w:r>
            <w:r>
              <w:rPr>
                <w:rStyle w:val="IndexLink"/>
                <w:rtl w:val="true"/>
              </w:rPr>
              <w:tab/>
            </w:r>
            <w:r>
              <w:rPr>
                <w:rStyle w:val="IndexLink"/>
              </w:rPr>
              <w:t>322</w:t>
            </w:r>
          </w:hyperlink>
        </w:p>
        <w:p>
          <w:pPr>
            <w:pStyle w:val="Contents4"/>
            <w:tabs>
              <w:tab w:val="clear" w:pos="8176"/>
              <w:tab w:val="right" w:pos="9026" w:leader="dot"/>
            </w:tabs>
            <w:rPr/>
          </w:pPr>
          <w:hyperlink w:anchor="__RefHeading___Toc553821_730472459">
            <w:r>
              <w:rPr>
                <w:webHidden/>
                <w:rStyle w:val="IndexLink"/>
                <w:rtl w:val="true"/>
              </w:rPr>
              <w:t>القول السادس</w:t>
            </w:r>
            <w:r>
              <w:rPr>
                <w:rStyle w:val="IndexLink"/>
                <w:rtl w:val="true"/>
              </w:rPr>
              <w:tab/>
            </w:r>
            <w:r>
              <w:rPr>
                <w:rStyle w:val="IndexLink"/>
              </w:rPr>
              <w:t>322</w:t>
            </w:r>
          </w:hyperlink>
        </w:p>
        <w:p>
          <w:pPr>
            <w:pStyle w:val="Contents4"/>
            <w:tabs>
              <w:tab w:val="clear" w:pos="8176"/>
              <w:tab w:val="right" w:pos="9026" w:leader="dot"/>
            </w:tabs>
            <w:rPr/>
          </w:pPr>
          <w:hyperlink w:anchor="__RefHeading___Toc553823_730472459">
            <w:r>
              <w:rPr>
                <w:webHidden/>
                <w:rStyle w:val="IndexLink"/>
                <w:rtl w:val="true"/>
              </w:rPr>
              <w:t>القول السابع</w:t>
            </w:r>
            <w:r>
              <w:rPr>
                <w:rStyle w:val="IndexLink"/>
                <w:rtl w:val="true"/>
              </w:rPr>
              <w:tab/>
            </w:r>
            <w:r>
              <w:rPr>
                <w:rStyle w:val="IndexLink"/>
              </w:rPr>
              <w:t>323</w:t>
            </w:r>
          </w:hyperlink>
        </w:p>
        <w:p>
          <w:pPr>
            <w:pStyle w:val="Contents3"/>
            <w:tabs>
              <w:tab w:val="clear" w:pos="8459"/>
              <w:tab w:val="right" w:pos="9026" w:leader="dot"/>
            </w:tabs>
            <w:rPr/>
          </w:pPr>
          <w:hyperlink w:anchor="__RefHeading___Toc553825_730472459">
            <w:r>
              <w:rPr>
                <w:webHidden/>
                <w:rStyle w:val="IndexLink"/>
                <w:rtl w:val="true"/>
              </w:rPr>
              <w:t>أسباب التهمة المانعة من قبول الشهادة</w:t>
            </w:r>
            <w:r>
              <w:rPr>
                <w:rStyle w:val="IndexLink"/>
                <w:rtl w:val="true"/>
              </w:rPr>
              <w:tab/>
            </w:r>
            <w:r>
              <w:rPr>
                <w:rStyle w:val="IndexLink"/>
              </w:rPr>
              <w:t>330</w:t>
            </w:r>
          </w:hyperlink>
        </w:p>
        <w:p>
          <w:pPr>
            <w:pStyle w:val="Contents4"/>
            <w:tabs>
              <w:tab w:val="clear" w:pos="8176"/>
              <w:tab w:val="right" w:pos="9026" w:leader="dot"/>
            </w:tabs>
            <w:rPr/>
          </w:pPr>
          <w:hyperlink w:anchor="__RefHeading___Toc553827_730472459">
            <w:r>
              <w:rPr>
                <w:webHidden/>
                <w:rStyle w:val="IndexLink"/>
                <w:rtl w:val="true"/>
              </w:rPr>
              <w:t>السبب الأوّل</w:t>
            </w:r>
            <w:r>
              <w:rPr>
                <w:rStyle w:val="IndexLink"/>
                <w:rtl w:val="true"/>
              </w:rPr>
              <w:tab/>
            </w:r>
            <w:r>
              <w:rPr>
                <w:rStyle w:val="IndexLink"/>
              </w:rPr>
              <w:t>330</w:t>
            </w:r>
          </w:hyperlink>
        </w:p>
        <w:p>
          <w:pPr>
            <w:pStyle w:val="Contents5"/>
            <w:tabs>
              <w:tab w:val="clear" w:pos="7892"/>
              <w:tab w:val="right" w:pos="9026" w:leader="dot"/>
            </w:tabs>
            <w:rPr/>
          </w:pPr>
          <w:hyperlink w:anchor="__RefHeading___Toc553829_730472459">
            <w:r>
              <w:rPr>
                <w:webHidden/>
                <w:rStyle w:val="IndexLink"/>
                <w:rtl w:val="true"/>
              </w:rPr>
              <w:t>شهادة الشريک فيما هو شريک فيه غير مقبولة</w:t>
            </w:r>
            <w:r>
              <w:rPr>
                <w:rStyle w:val="IndexLink"/>
                <w:rtl w:val="true"/>
              </w:rPr>
              <w:tab/>
            </w:r>
            <w:r>
              <w:rPr>
                <w:rStyle w:val="IndexLink"/>
              </w:rPr>
              <w:t>330</w:t>
            </w:r>
          </w:hyperlink>
        </w:p>
        <w:p>
          <w:pPr>
            <w:pStyle w:val="Contents5"/>
            <w:tabs>
              <w:tab w:val="clear" w:pos="7892"/>
              <w:tab w:val="right" w:pos="9026" w:leader="dot"/>
            </w:tabs>
            <w:rPr/>
          </w:pPr>
          <w:hyperlink w:anchor="__RefHeading___Toc553831_730472459">
            <w:r>
              <w:rPr>
                <w:webHidden/>
                <w:rStyle w:val="IndexLink"/>
                <w:rtl w:val="true"/>
              </w:rPr>
              <w:t>شهادة الوصيّ فيما وصّى فيه غير مقبولة</w:t>
            </w:r>
            <w:r>
              <w:rPr>
                <w:rStyle w:val="IndexLink"/>
                <w:rtl w:val="true"/>
              </w:rPr>
              <w:tab/>
            </w:r>
            <w:r>
              <w:rPr>
                <w:rStyle w:val="IndexLink"/>
              </w:rPr>
              <w:t>333</w:t>
            </w:r>
          </w:hyperlink>
        </w:p>
        <w:p>
          <w:pPr>
            <w:pStyle w:val="Contents4"/>
            <w:tabs>
              <w:tab w:val="clear" w:pos="8176"/>
              <w:tab w:val="right" w:pos="9026" w:leader="dot"/>
            </w:tabs>
            <w:rPr/>
          </w:pPr>
          <w:hyperlink w:anchor="__RefHeading___Toc553833_730472459">
            <w:r>
              <w:rPr>
                <w:webHidden/>
                <w:rStyle w:val="IndexLink"/>
                <w:rtl w:val="true"/>
              </w:rPr>
              <w:t>السبب الثاني</w:t>
            </w:r>
            <w:r>
              <w:rPr>
                <w:rStyle w:val="IndexLink"/>
                <w:rtl w:val="true"/>
              </w:rPr>
              <w:tab/>
            </w:r>
            <w:r>
              <w:rPr>
                <w:rStyle w:val="IndexLink"/>
              </w:rPr>
              <w:t>336</w:t>
            </w:r>
          </w:hyperlink>
        </w:p>
        <w:p>
          <w:pPr>
            <w:pStyle w:val="Contents5"/>
            <w:tabs>
              <w:tab w:val="clear" w:pos="7892"/>
              <w:tab w:val="right" w:pos="9026" w:leader="dot"/>
            </w:tabs>
            <w:rPr/>
          </w:pPr>
          <w:hyperlink w:anchor="__RefHeading___Toc553835_730472459">
            <w:r>
              <w:rPr>
                <w:webHidden/>
                <w:rStyle w:val="IndexLink"/>
                <w:rtl w:val="true"/>
              </w:rPr>
              <w:t xml:space="preserve">من أسباب التهمة </w:t>
            </w:r>
            <w:r>
              <w:rPr>
                <w:rStyle w:val="IndexLink"/>
                <w:rtl w:val="true"/>
              </w:rPr>
              <w:t xml:space="preserve">: </w:t>
            </w:r>
            <w:r>
              <w:rPr>
                <w:rStyle w:val="IndexLink"/>
                <w:rtl w:val="true"/>
              </w:rPr>
              <w:t>العداوة</w:t>
            </w:r>
            <w:r>
              <w:rPr>
                <w:rStyle w:val="IndexLink"/>
                <w:rtl w:val="true"/>
              </w:rPr>
              <w:tab/>
            </w:r>
            <w:r>
              <w:rPr>
                <w:rStyle w:val="IndexLink"/>
              </w:rPr>
              <w:t>336</w:t>
            </w:r>
          </w:hyperlink>
        </w:p>
        <w:p>
          <w:pPr>
            <w:pStyle w:val="Contents6"/>
            <w:tabs>
              <w:tab w:val="clear" w:pos="7609"/>
              <w:tab w:val="right" w:pos="9026" w:leader="dot"/>
            </w:tabs>
            <w:rPr/>
          </w:pPr>
          <w:hyperlink w:anchor="__RefHeading___Toc553837_73047245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553839_730472459">
            <w:r>
              <w:rPr>
                <w:webHidden/>
                <w:rStyle w:val="IndexLink"/>
                <w:rtl w:val="true"/>
              </w:rPr>
              <w:t xml:space="preserve">الوجه الأوّل </w:t>
            </w:r>
            <w:r>
              <w:rPr>
                <w:rStyle w:val="IndexLink"/>
                <w:rtl w:val="true"/>
              </w:rPr>
              <w:t xml:space="preserve">: </w:t>
            </w:r>
            <w:r>
              <w:rPr>
                <w:rStyle w:val="IndexLink"/>
                <w:rtl w:val="true"/>
              </w:rPr>
              <w:t>في تفسير العداوة</w:t>
            </w:r>
            <w:r>
              <w:rPr>
                <w:rStyle w:val="IndexLink"/>
                <w:rtl w:val="true"/>
              </w:rPr>
              <w:tab/>
            </w:r>
            <w:r>
              <w:rPr>
                <w:rStyle w:val="IndexLink"/>
              </w:rPr>
              <w:t>336</w:t>
            </w:r>
          </w:hyperlink>
        </w:p>
        <w:p>
          <w:pPr>
            <w:pStyle w:val="Contents6"/>
            <w:tabs>
              <w:tab w:val="clear" w:pos="7609"/>
              <w:tab w:val="right" w:pos="9026" w:leader="dot"/>
            </w:tabs>
            <w:rPr/>
          </w:pPr>
          <w:hyperlink w:anchor="__RefHeading___Toc553841_730472459">
            <w:r>
              <w:rPr>
                <w:webHidden/>
                <w:rStyle w:val="IndexLink"/>
                <w:rtl w:val="true"/>
              </w:rPr>
              <w:t>الوجه الثاني</w:t>
            </w:r>
            <w:r>
              <w:rPr>
                <w:rStyle w:val="IndexLink"/>
                <w:rtl w:val="true"/>
              </w:rPr>
              <w:tab/>
            </w:r>
            <w:r>
              <w:rPr>
                <w:rStyle w:val="IndexLink"/>
              </w:rPr>
              <w:t>337</w:t>
            </w:r>
          </w:hyperlink>
        </w:p>
        <w:p>
          <w:pPr>
            <w:pStyle w:val="Contents6"/>
            <w:tabs>
              <w:tab w:val="clear" w:pos="7609"/>
              <w:tab w:val="right" w:pos="9026" w:leader="dot"/>
            </w:tabs>
            <w:rPr/>
          </w:pPr>
          <w:hyperlink w:anchor="__RefHeading___Toc553843_730472459">
            <w:r>
              <w:rPr>
                <w:webHidden/>
                <w:rStyle w:val="IndexLink"/>
                <w:rtl w:val="true"/>
              </w:rPr>
              <w:t>الوجه الثالث</w:t>
            </w:r>
            <w:r>
              <w:rPr>
                <w:rStyle w:val="IndexLink"/>
                <w:rtl w:val="true"/>
              </w:rPr>
              <w:tab/>
            </w:r>
            <w:r>
              <w:rPr>
                <w:rStyle w:val="IndexLink"/>
              </w:rPr>
              <w:t>339</w:t>
            </w:r>
          </w:hyperlink>
        </w:p>
        <w:p>
          <w:pPr>
            <w:pStyle w:val="Contents4"/>
            <w:tabs>
              <w:tab w:val="clear" w:pos="8176"/>
              <w:tab w:val="right" w:pos="9026" w:leader="dot"/>
            </w:tabs>
            <w:rPr/>
          </w:pPr>
          <w:hyperlink w:anchor="__RefHeading___Toc553845_730472459">
            <w:r>
              <w:rPr>
                <w:webHidden/>
                <w:rStyle w:val="IndexLink"/>
                <w:rtl w:val="true"/>
              </w:rPr>
              <w:t>السبب الثالث</w:t>
            </w:r>
            <w:r>
              <w:rPr>
                <w:rStyle w:val="IndexLink"/>
                <w:rtl w:val="true"/>
              </w:rPr>
              <w:tab/>
            </w:r>
            <w:r>
              <w:rPr>
                <w:rStyle w:val="IndexLink"/>
              </w:rPr>
              <w:t>340</w:t>
            </w:r>
          </w:hyperlink>
        </w:p>
        <w:p>
          <w:pPr>
            <w:pStyle w:val="Contents5"/>
            <w:tabs>
              <w:tab w:val="clear" w:pos="7892"/>
              <w:tab w:val="right" w:pos="9026" w:leader="dot"/>
            </w:tabs>
            <w:rPr/>
          </w:pPr>
          <w:hyperlink w:anchor="__RefHeading___Toc553847_730472459">
            <w:r>
              <w:rPr>
                <w:webHidden/>
                <w:rStyle w:val="IndexLink"/>
                <w:rtl w:val="true"/>
              </w:rPr>
              <w:t>الكلام في شهادة الولد على الوالد</w:t>
            </w:r>
            <w:r>
              <w:rPr>
                <w:rStyle w:val="IndexLink"/>
                <w:rtl w:val="true"/>
              </w:rPr>
              <w:tab/>
            </w:r>
            <w:r>
              <w:rPr>
                <w:rStyle w:val="IndexLink"/>
              </w:rPr>
              <w:t>340</w:t>
            </w:r>
          </w:hyperlink>
        </w:p>
        <w:p>
          <w:pPr>
            <w:pStyle w:val="Contents5"/>
            <w:tabs>
              <w:tab w:val="clear" w:pos="7892"/>
              <w:tab w:val="right" w:pos="9026" w:leader="dot"/>
            </w:tabs>
            <w:rPr/>
          </w:pPr>
          <w:hyperlink w:anchor="__RefHeading___Toc553849_730472459">
            <w:r>
              <w:rPr>
                <w:webHidden/>
                <w:rStyle w:val="IndexLink"/>
                <w:rtl w:val="true"/>
              </w:rPr>
              <w:t>الكلام في شهادة الولد على الوالد</w:t>
            </w:r>
            <w:r>
              <w:rPr>
                <w:rStyle w:val="IndexLink"/>
                <w:rtl w:val="true"/>
              </w:rPr>
              <w:tab/>
            </w:r>
            <w:r>
              <w:rPr>
                <w:rStyle w:val="IndexLink"/>
              </w:rPr>
              <w:t>346</w:t>
            </w:r>
          </w:hyperlink>
        </w:p>
        <w:p>
          <w:pPr>
            <w:pStyle w:val="Contents4"/>
            <w:tabs>
              <w:tab w:val="clear" w:pos="8176"/>
              <w:tab w:val="right" w:pos="9026" w:leader="dot"/>
            </w:tabs>
            <w:rPr/>
          </w:pPr>
          <w:hyperlink w:anchor="__RefHeading___Toc553851_730472459">
            <w:r>
              <w:rPr>
                <w:webHidden/>
                <w:rStyle w:val="IndexLink"/>
                <w:rtl w:val="true"/>
              </w:rPr>
              <w:t>السبب الرابع</w:t>
            </w:r>
            <w:r>
              <w:rPr>
                <w:rStyle w:val="IndexLink"/>
                <w:rtl w:val="true"/>
              </w:rPr>
              <w:tab/>
            </w:r>
            <w:r>
              <w:rPr>
                <w:rStyle w:val="IndexLink"/>
              </w:rPr>
              <w:t>347</w:t>
            </w:r>
          </w:hyperlink>
        </w:p>
        <w:p>
          <w:pPr>
            <w:pStyle w:val="Contents5"/>
            <w:tabs>
              <w:tab w:val="clear" w:pos="7892"/>
              <w:tab w:val="right" w:pos="9026" w:leader="dot"/>
            </w:tabs>
            <w:rPr/>
          </w:pPr>
          <w:hyperlink w:anchor="__RefHeading___Toc553853_730472459">
            <w:r>
              <w:rPr>
                <w:webHidden/>
                <w:rStyle w:val="IndexLink"/>
                <w:rtl w:val="true"/>
              </w:rPr>
              <w:t xml:space="preserve">من أسباب التهمة </w:t>
            </w:r>
            <w:r>
              <w:rPr>
                <w:rStyle w:val="IndexLink"/>
                <w:rtl w:val="true"/>
              </w:rPr>
              <w:t xml:space="preserve">: </w:t>
            </w:r>
            <w:r>
              <w:rPr>
                <w:rStyle w:val="IndexLink"/>
                <w:rtl w:val="true"/>
              </w:rPr>
              <w:t>كون الشاهد كثير الغفلة</w:t>
            </w:r>
            <w:r>
              <w:rPr>
                <w:rStyle w:val="IndexLink"/>
                <w:rtl w:val="true"/>
              </w:rPr>
              <w:tab/>
            </w:r>
            <w:r>
              <w:rPr>
                <w:rStyle w:val="IndexLink"/>
              </w:rPr>
              <w:t>347</w:t>
            </w:r>
          </w:hyperlink>
        </w:p>
        <w:p>
          <w:pPr>
            <w:pStyle w:val="Contents4"/>
            <w:tabs>
              <w:tab w:val="clear" w:pos="8176"/>
              <w:tab w:val="right" w:pos="9026" w:leader="dot"/>
            </w:tabs>
            <w:rPr/>
          </w:pPr>
          <w:hyperlink w:anchor="__RefHeading___Toc553855_730472459">
            <w:r>
              <w:rPr>
                <w:webHidden/>
                <w:rStyle w:val="IndexLink"/>
                <w:rtl w:val="true"/>
              </w:rPr>
              <w:t>السبب الخامس</w:t>
            </w:r>
            <w:r>
              <w:rPr>
                <w:rStyle w:val="IndexLink"/>
                <w:rtl w:val="true"/>
              </w:rPr>
              <w:tab/>
            </w:r>
            <w:r>
              <w:rPr>
                <w:rStyle w:val="IndexLink"/>
              </w:rPr>
              <w:t>349</w:t>
            </w:r>
          </w:hyperlink>
        </w:p>
        <w:p>
          <w:pPr>
            <w:pStyle w:val="Contents5"/>
            <w:tabs>
              <w:tab w:val="clear" w:pos="7892"/>
              <w:tab w:val="right" w:pos="9026" w:leader="dot"/>
            </w:tabs>
            <w:rPr/>
          </w:pPr>
          <w:hyperlink w:anchor="__RefHeading___Toc553857_730472459">
            <w:r>
              <w:rPr>
                <w:webHidden/>
                <w:rStyle w:val="IndexLink"/>
                <w:rtl w:val="true"/>
              </w:rPr>
              <w:t xml:space="preserve">من أسباب التهمة </w:t>
            </w:r>
            <w:r>
              <w:rPr>
                <w:rStyle w:val="IndexLink"/>
                <w:rtl w:val="true"/>
              </w:rPr>
              <w:t xml:space="preserve">: </w:t>
            </w:r>
            <w:r>
              <w:rPr>
                <w:rStyle w:val="IndexLink"/>
                <w:rtl w:val="true"/>
              </w:rPr>
              <w:t>دفع عار الكذب</w:t>
            </w:r>
            <w:r>
              <w:rPr>
                <w:rStyle w:val="IndexLink"/>
                <w:rtl w:val="true"/>
              </w:rPr>
              <w:tab/>
            </w:r>
            <w:r>
              <w:rPr>
                <w:rStyle w:val="IndexLink"/>
              </w:rPr>
              <w:t>349</w:t>
            </w:r>
          </w:hyperlink>
        </w:p>
        <w:p>
          <w:pPr>
            <w:pStyle w:val="Contents5"/>
            <w:tabs>
              <w:tab w:val="clear" w:pos="7892"/>
              <w:tab w:val="right" w:pos="9026" w:leader="dot"/>
            </w:tabs>
            <w:rPr/>
          </w:pPr>
          <w:hyperlink w:anchor="__RefHeading___Toc553859_730472459">
            <w:r>
              <w:rPr>
                <w:webHidden/>
                <w:rStyle w:val="IndexLink"/>
                <w:rtl w:val="true"/>
              </w:rPr>
              <w:t>المعتبر في ردّ الشهادة وجود المانع حال الأداء</w:t>
            </w:r>
            <w:r>
              <w:rPr>
                <w:rStyle w:val="IndexLink"/>
                <w:rtl w:val="true"/>
              </w:rPr>
              <w:tab/>
            </w:r>
            <w:r>
              <w:rPr>
                <w:rStyle w:val="IndexLink"/>
              </w:rPr>
              <w:t>353</w:t>
            </w:r>
          </w:hyperlink>
        </w:p>
        <w:p>
          <w:pPr>
            <w:pStyle w:val="Contents5"/>
            <w:tabs>
              <w:tab w:val="clear" w:pos="7892"/>
              <w:tab w:val="right" w:pos="9026" w:leader="dot"/>
            </w:tabs>
            <w:rPr/>
          </w:pPr>
          <w:hyperlink w:anchor="__RefHeading___Toc553861_730472459">
            <w:r>
              <w:rPr>
                <w:webHidden/>
                <w:rStyle w:val="IndexLink"/>
                <w:rtl w:val="true"/>
              </w:rPr>
              <w:t>بيان إشكال في المقام</w:t>
            </w:r>
            <w:r>
              <w:rPr>
                <w:rStyle w:val="IndexLink"/>
                <w:rtl w:val="true"/>
              </w:rPr>
              <w:tab/>
            </w:r>
            <w:r>
              <w:rPr>
                <w:rStyle w:val="IndexLink"/>
              </w:rPr>
              <w:t>357</w:t>
            </w:r>
          </w:hyperlink>
        </w:p>
        <w:p>
          <w:pPr>
            <w:pStyle w:val="Contents5"/>
            <w:tabs>
              <w:tab w:val="clear" w:pos="7892"/>
              <w:tab w:val="right" w:pos="9026" w:leader="dot"/>
            </w:tabs>
            <w:rPr/>
          </w:pPr>
          <w:hyperlink w:anchor="__RefHeading___Toc553863_730472459">
            <w:r>
              <w:rPr>
                <w:webHidden/>
                <w:rStyle w:val="IndexLink"/>
                <w:rtl w:val="true"/>
              </w:rPr>
              <w:t>الجواب عن الإشكال</w:t>
            </w:r>
            <w:r>
              <w:rPr>
                <w:rStyle w:val="IndexLink"/>
                <w:rtl w:val="true"/>
              </w:rPr>
              <w:tab/>
            </w:r>
            <w:r>
              <w:rPr>
                <w:rStyle w:val="IndexLink"/>
              </w:rPr>
              <w:t>358</w:t>
            </w:r>
          </w:hyperlink>
        </w:p>
        <w:p>
          <w:pPr>
            <w:pStyle w:val="Contents4"/>
            <w:tabs>
              <w:tab w:val="clear" w:pos="8176"/>
              <w:tab w:val="right" w:pos="9026" w:leader="dot"/>
            </w:tabs>
            <w:rPr/>
          </w:pPr>
          <w:hyperlink w:anchor="__RefHeading___Toc553865_730472459">
            <w:r>
              <w:rPr>
                <w:webHidden/>
                <w:rStyle w:val="IndexLink"/>
                <w:rtl w:val="true"/>
              </w:rPr>
              <w:t>السبب السادس</w:t>
            </w:r>
            <w:r>
              <w:rPr>
                <w:rStyle w:val="IndexLink"/>
                <w:rtl w:val="true"/>
              </w:rPr>
              <w:tab/>
            </w:r>
            <w:r>
              <w:rPr>
                <w:rStyle w:val="IndexLink"/>
              </w:rPr>
              <w:t>360</w:t>
            </w:r>
          </w:hyperlink>
        </w:p>
        <w:p>
          <w:pPr>
            <w:pStyle w:val="Contents5"/>
            <w:tabs>
              <w:tab w:val="clear" w:pos="7892"/>
              <w:tab w:val="right" w:pos="9026" w:leader="dot"/>
            </w:tabs>
            <w:rPr/>
          </w:pPr>
          <w:hyperlink w:anchor="__RefHeading___Toc553867_730472459">
            <w:r>
              <w:rPr>
                <w:webHidden/>
                <w:rStyle w:val="IndexLink"/>
                <w:rtl w:val="true"/>
              </w:rPr>
              <w:t>شهادة المتبرّع ليست بمقبولة</w:t>
            </w:r>
            <w:r>
              <w:rPr>
                <w:rStyle w:val="IndexLink"/>
                <w:rtl w:val="true"/>
              </w:rPr>
              <w:tab/>
            </w:r>
            <w:r>
              <w:rPr>
                <w:rStyle w:val="IndexLink"/>
              </w:rPr>
              <w:t>360</w:t>
            </w:r>
          </w:hyperlink>
        </w:p>
        <w:p>
          <w:pPr>
            <w:pStyle w:val="Contents5"/>
            <w:tabs>
              <w:tab w:val="clear" w:pos="7892"/>
              <w:tab w:val="right" w:pos="9026" w:leader="dot"/>
            </w:tabs>
            <w:rPr/>
          </w:pPr>
          <w:hyperlink w:anchor="__RefHeading___Toc553869_730472459">
            <w:r>
              <w:rPr>
                <w:webHidden/>
                <w:rStyle w:val="IndexLink"/>
                <w:rtl w:val="true"/>
              </w:rPr>
              <w:t>في العدد و الذكورة المعتبرين في الشهادة</w:t>
            </w:r>
            <w:r>
              <w:rPr>
                <w:rStyle w:val="IndexLink"/>
                <w:rtl w:val="true"/>
              </w:rPr>
              <w:tab/>
            </w:r>
            <w:r>
              <w:rPr>
                <w:rStyle w:val="IndexLink"/>
              </w:rPr>
              <w:t>364</w:t>
            </w:r>
          </w:hyperlink>
        </w:p>
        <w:p>
          <w:pPr>
            <w:pStyle w:val="Contents2"/>
            <w:tabs>
              <w:tab w:val="clear" w:pos="8743"/>
              <w:tab w:val="right" w:pos="9026" w:leader="dot"/>
            </w:tabs>
            <w:rPr/>
          </w:pPr>
          <w:hyperlink w:anchor="__RefHeading___Toc553871_730472459">
            <w:r>
              <w:rPr>
                <w:webHidden/>
                <w:rStyle w:val="IndexLink"/>
              </w:rPr>
              <w:t>19</w:t>
            </w:r>
            <w:r>
              <w:rPr>
                <w:rStyle w:val="IndexLink"/>
                <w:rtl w:val="true"/>
              </w:rPr>
              <w:t xml:space="preserve">- </w:t>
            </w:r>
            <w:r>
              <w:rPr>
                <w:rStyle w:val="IndexLink"/>
                <w:rtl w:val="true"/>
              </w:rPr>
              <w:t>مسألة</w:t>
            </w:r>
            <w:r>
              <w:rPr>
                <w:rStyle w:val="IndexLink"/>
                <w:rtl w:val="true"/>
              </w:rPr>
              <w:tab/>
            </w:r>
            <w:r>
              <w:rPr>
                <w:rStyle w:val="IndexLink"/>
              </w:rPr>
              <w:t>364</w:t>
            </w:r>
          </w:hyperlink>
        </w:p>
        <w:p>
          <w:pPr>
            <w:pStyle w:val="Contents3"/>
            <w:tabs>
              <w:tab w:val="clear" w:pos="8459"/>
              <w:tab w:val="right" w:pos="9026" w:leader="dot"/>
            </w:tabs>
            <w:rPr/>
          </w:pPr>
          <w:hyperlink w:anchor="__RefHeading___Toc553873_730472459">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553875_730472459">
            <w:r>
              <w:rPr>
                <w:webHidden/>
                <w:rStyle w:val="IndexLink"/>
                <w:rtl w:val="true"/>
              </w:rPr>
              <w:t>شهادة النساء في الهلال غير مقبولة</w:t>
            </w:r>
            <w:r>
              <w:rPr>
                <w:rStyle w:val="IndexLink"/>
                <w:rtl w:val="true"/>
              </w:rPr>
              <w:tab/>
            </w:r>
            <w:r>
              <w:rPr>
                <w:rStyle w:val="IndexLink"/>
              </w:rPr>
              <w:t>367</w:t>
            </w:r>
          </w:hyperlink>
        </w:p>
        <w:p>
          <w:pPr>
            <w:pStyle w:val="Contents2"/>
            <w:tabs>
              <w:tab w:val="clear" w:pos="8743"/>
              <w:tab w:val="right" w:pos="9026" w:leader="dot"/>
            </w:tabs>
            <w:rPr/>
          </w:pPr>
          <w:hyperlink w:anchor="__RefHeading___Toc553877_730472459">
            <w:r>
              <w:rPr>
                <w:webHidden/>
                <w:rStyle w:val="IndexLink"/>
              </w:rPr>
              <w:t>20</w:t>
            </w:r>
            <w:r>
              <w:rPr>
                <w:rStyle w:val="IndexLink"/>
                <w:rtl w:val="true"/>
              </w:rPr>
              <w:t xml:space="preserve">- </w:t>
            </w:r>
            <w:r>
              <w:rPr>
                <w:rStyle w:val="IndexLink"/>
                <w:rtl w:val="true"/>
              </w:rPr>
              <w:t>مسألة</w:t>
            </w:r>
            <w:r>
              <w:rPr>
                <w:rStyle w:val="IndexLink"/>
                <w:rtl w:val="true"/>
              </w:rPr>
              <w:tab/>
            </w:r>
            <w:r>
              <w:rPr>
                <w:rStyle w:val="IndexLink"/>
              </w:rPr>
              <w:t>367</w:t>
            </w:r>
          </w:hyperlink>
        </w:p>
        <w:p>
          <w:pPr>
            <w:pStyle w:val="Contents3"/>
            <w:tabs>
              <w:tab w:val="clear" w:pos="8459"/>
              <w:tab w:val="right" w:pos="9026" w:leader="dot"/>
            </w:tabs>
            <w:rPr/>
          </w:pPr>
          <w:hyperlink w:anchor="__RefHeading___Toc553879_730472459">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553881_730472459">
            <w:r>
              <w:rPr>
                <w:webHidden/>
                <w:rStyle w:val="IndexLink"/>
                <w:rtl w:val="true"/>
              </w:rPr>
              <w:t>شهادة النساء في الطلاق غير مقبولة</w:t>
            </w:r>
            <w:r>
              <w:rPr>
                <w:rStyle w:val="IndexLink"/>
                <w:rtl w:val="true"/>
              </w:rPr>
              <w:tab/>
            </w:r>
            <w:r>
              <w:rPr>
                <w:rStyle w:val="IndexLink"/>
              </w:rPr>
              <w:t>368</w:t>
            </w:r>
          </w:hyperlink>
        </w:p>
        <w:p>
          <w:pPr>
            <w:pStyle w:val="Contents3"/>
            <w:tabs>
              <w:tab w:val="clear" w:pos="8459"/>
              <w:tab w:val="right" w:pos="9026" w:leader="dot"/>
            </w:tabs>
            <w:rPr/>
          </w:pPr>
          <w:hyperlink w:anchor="__RefHeading___Toc553883_730472459">
            <w:r>
              <w:rPr>
                <w:webHidden/>
                <w:rStyle w:val="IndexLink"/>
                <w:rtl w:val="true"/>
              </w:rPr>
              <w:t>شهادة النساء في النكاح غير مقبولة</w:t>
            </w:r>
            <w:r>
              <w:rPr>
                <w:rStyle w:val="IndexLink"/>
                <w:rtl w:val="true"/>
              </w:rPr>
              <w:tab/>
            </w:r>
            <w:r>
              <w:rPr>
                <w:rStyle w:val="IndexLink"/>
              </w:rPr>
              <w:t>373</w:t>
            </w:r>
          </w:hyperlink>
        </w:p>
        <w:p>
          <w:pPr>
            <w:pStyle w:val="Contents3"/>
            <w:tabs>
              <w:tab w:val="clear" w:pos="8459"/>
              <w:tab w:val="right" w:pos="9026" w:leader="dot"/>
            </w:tabs>
            <w:rPr/>
          </w:pPr>
          <w:hyperlink w:anchor="__RefHeading___Toc553885_730472459">
            <w:r>
              <w:rPr>
                <w:webHidden/>
                <w:rStyle w:val="IndexLink"/>
                <w:rtl w:val="true"/>
              </w:rPr>
              <w:t>في المواضع الّتي يقدّم فيها قول المدّعي على قول المنكر</w:t>
            </w:r>
            <w:r>
              <w:rPr>
                <w:rStyle w:val="IndexLink"/>
                <w:rtl w:val="true"/>
              </w:rPr>
              <w:tab/>
            </w:r>
            <w:r>
              <w:rPr>
                <w:rStyle w:val="IndexLink"/>
              </w:rPr>
              <w:t>379</w:t>
            </w:r>
          </w:hyperlink>
        </w:p>
        <w:p>
          <w:pPr>
            <w:pStyle w:val="Contents2"/>
            <w:tabs>
              <w:tab w:val="clear" w:pos="8743"/>
              <w:tab w:val="right" w:pos="9026" w:leader="dot"/>
            </w:tabs>
            <w:rPr/>
          </w:pPr>
          <w:hyperlink w:anchor="__RefHeading___Toc553887_730472459">
            <w:r>
              <w:rPr>
                <w:webHidden/>
                <w:rStyle w:val="IndexLink"/>
                <w:rtl w:val="true"/>
              </w:rPr>
              <w:t>فهرس مصادر التحقيق</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9_186453"/>
      <w:bookmarkStart w:id="1" w:name="pg14719_186453"/>
      <w:bookmarkEnd w:id="1"/>
    </w:p>
    <w:p>
      <w:pPr>
        <w:pStyle w:val="Heading2"/>
        <w:numPr>
          <w:ilvl w:val="1"/>
          <w:numId w:val="1"/>
        </w:numPr>
        <w:rPr/>
      </w:pPr>
      <w:bookmarkStart w:id="2" w:name="pg14719_186453"/>
      <w:bookmarkStart w:id="3" w:name="__RefHeading___Toc55344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بیدآبادی ، محمد باقر بن محمد نقی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القضاء و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مهدي الشفتيّ</w:t>
      </w:r>
    </w:p>
    <w:p>
      <w:pPr>
        <w:pStyle w:val="BookText"/>
        <w:rPr/>
      </w:pPr>
      <w:r>
        <w:rPr>
          <w:rFonts w:ascii="IRNazanin" w:hAnsi="IRNazanin" w:eastAsia="IRNazanin"/>
          <w:color w:val="111111"/>
          <w:sz w:val="28"/>
          <w:sz w:val="28"/>
          <w:szCs w:val="28"/>
          <w:rtl w:val="true"/>
          <w:lang w:bidi="fa-IR"/>
        </w:rPr>
        <w:t>وضعیت 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بیدآبادی ، محمد باقر بن محمد نقی</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447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19_186455"/>
      <w:bookmarkStart w:id="8" w:name="pg14719_186455"/>
      <w:bookmarkEnd w:id="8"/>
    </w:p>
    <w:p>
      <w:pPr>
        <w:pStyle w:val="Heading2"/>
        <w:numPr>
          <w:ilvl w:val="1"/>
          <w:numId w:val="1"/>
        </w:numPr>
        <w:rPr/>
      </w:pPr>
      <w:bookmarkStart w:id="9" w:name="pg14719_186455"/>
      <w:bookmarkStart w:id="10" w:name="__RefHeading___Toc553449_730472459"/>
      <w:bookmarkStart w:id="11" w:name="_Toc3"/>
      <w:bookmarkEnd w:id="9"/>
      <w:bookmarkEnd w:id="10"/>
      <w:r>
        <w:rPr>
          <w:rtl w:val="true"/>
        </w:rPr>
        <w:t>كتابُ الشهادات</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553451_730472459"/>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719_186457"/>
      <w:bookmarkStart w:id="15" w:name="pg14719_186457"/>
      <w:bookmarkEnd w:id="15"/>
    </w:p>
    <w:p>
      <w:pPr>
        <w:pStyle w:val="Heading3"/>
        <w:numPr>
          <w:ilvl w:val="2"/>
          <w:numId w:val="1"/>
        </w:numPr>
        <w:rPr/>
      </w:pPr>
      <w:bookmarkStart w:id="16" w:name="pg14719_186457"/>
      <w:bookmarkStart w:id="17" w:name="__RefHeading___Toc553453_730472459"/>
      <w:bookmarkStart w:id="18" w:name="_Toc5"/>
      <w:bookmarkEnd w:id="16"/>
      <w:bookmarkEnd w:id="17"/>
      <w:r>
        <w:rPr>
          <w:rtl w:val="true"/>
        </w:rPr>
        <w:t>حدّ الشهادة لغةً و شرعًا</w:t>
      </w:r>
      <w:bookmarkEnd w:id="18"/>
    </w:p>
    <w:p>
      <w:pPr>
        <w:pStyle w:val="BookText"/>
        <w:rPr/>
      </w:pPr>
      <w:r>
        <w:rPr>
          <w:rFonts w:ascii="Amiri" w:hAnsi="Amiri" w:eastAsia="Amiri" w:cs="Amiri"/>
          <w:color w:val="111111"/>
          <w:sz w:val="28"/>
          <w:sz w:val="28"/>
          <w:szCs w:val="28"/>
          <w:rtl w:val="true"/>
          <w:lang w:bidi="ar-SA"/>
        </w:rPr>
        <w:t xml:space="preserve">الشهادة و هي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يشهد، كزهادة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يزهد ؛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لغةً إمّا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 و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w:t>
      </w:r>
    </w:p>
    <w:p>
      <w:pPr>
        <w:pStyle w:val="BookText"/>
        <w:rPr/>
      </w:pPr>
      <w:r>
        <w:rPr>
          <w:rFonts w:ascii="IRNazanin" w:hAnsi="IRNazanin" w:eastAsia="IRNazanin"/>
          <w:color w:val="111111"/>
          <w:sz w:val="28"/>
          <w:sz w:val="28"/>
          <w:szCs w:val="28"/>
          <w:rtl w:val="true"/>
          <w:lang w:bidi="fa-IR"/>
        </w:rPr>
        <w:t xml:space="preserve">وعلى ذلک سمّي تعالى شهيدًا،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الإخبار عن اليقين </w:t>
      </w:r>
      <w:r>
        <w:rPr>
          <w:rStyle w:val="FootnoteAnchor"/>
          <w:rtl w:val="true"/>
        </w:rPr>
        <w:footnoteReference w:id="4"/>
      </w:r>
      <w:r>
        <w:rPr>
          <w:rFonts w:ascii="Amiri" w:hAnsi="Amiri" w:eastAsia="Amiri" w:cs="Amiri"/>
          <w:color w:val="111111"/>
          <w:sz w:val="28"/>
          <w:sz w:val="28"/>
          <w:szCs w:val="28"/>
          <w:rtl w:val="true"/>
          <w:lang w:bidi="ar-SA"/>
        </w:rPr>
        <w:t xml:space="preserve">؛ 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جازم عن حقّ لازم لغيره، واقع من غير حاكم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الظانّ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حقّ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الجازم عن غير حقّ لازم، كما إذا أخبر مخبر جازم أنّ فلانًا مات، أو قال كذا، أو ورد في البلد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المدّعي، كما إذا ادّعى زيد على عمرو أنّ له عليه حقًّا، فإنّه يصدق عليه أنّه إخبار جازم عن حقّ لازم واقع من غير حاكم، لكن ليس لغيره ؛ و كثير من إخبار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إخبار جازم عن حقّ لازم، لكن ليس لغيره، كالإخبار بالصلاة و الصوم و الحجّ و غيرها من التكاليف الواجبة، فإنّ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منها إخبار جازم في حقّ 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من غير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إخبار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لازم للغير، كإخباره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بالخمس و الزكاة و مثلهما ؛ و إخبار الرسول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إخبارهم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كان إخبار جازم عن حقّ لازم لغيرهم، لكنّه واقع من حاكم، فالإخبار في جميع هذه المواضع لا يسمّى بشهادة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شَهِدَ آللهُ وَ الْمَلائِكَةُ وَ أُولُوا الْعِلْمِ أَنَّهُ لا إلهَ إلاّ هُوَ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ينافي ذلک، لأنّه لا يصدق عليه الحدّ المذكور بالنسبة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الشهادة إليه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المذكور ليس لمطلق الشهادة، بل للشهادة الاصطلاحيّ ، 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محمولٌ على الشهادة اللغويّ، و قد عرفت أنّها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اليقين على أحد معانيها، و هو متحقّق في الآية </w:t>
      </w:r>
      <w:r>
        <w:rPr>
          <w:rFonts w:eastAsia="Amiri" w:cs="Amiri" w:ascii="Amiri" w:hAnsi="Amiri"/>
          <w:color w:val="111111"/>
          <w:sz w:val="28"/>
          <w:szCs w:val="28"/>
          <w:rtl w:val="true"/>
          <w:lang w:bidi="ar-SA"/>
        </w:rPr>
        <w:t xml:space="preserve">. </w:t>
      </w:r>
      <w:bookmarkStart w:id="19" w:name="pg14719_186459"/>
    </w:p>
    <w:p>
      <w:pPr>
        <w:pStyle w:val="BookText"/>
        <w:rPr/>
      </w:pPr>
      <w:bookmarkEnd w:id="19"/>
      <w:r>
        <w:rPr>
          <w:rFonts w:ascii="Amiri" w:hAnsi="Amiri" w:eastAsia="Amiri" w:cs="Amiri"/>
          <w:color w:val="111111"/>
          <w:sz w:val="28"/>
          <w:sz w:val="28"/>
          <w:szCs w:val="28"/>
          <w:rtl w:val="true"/>
          <w:lang w:bidi="ar-SA"/>
        </w:rPr>
        <w:t xml:space="preserve">و الفرق بين المعنيين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اللغويّ أعمّ، فبينهما عمومٌ مطلق، لأنّ كلّ شهادة اصطلاحيّ فهو شهادة لغويّ، و بعض الشهادة اللغويّ ليس بشهادة اصطلاحيّ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53455_730472459"/>
      <w:bookmarkStart w:id="21" w:name="_Toc6"/>
      <w:bookmarkEnd w:id="20"/>
      <w:r>
        <w:rPr>
          <w:rtl w:val="true"/>
        </w:rPr>
        <w:t>حدّ الشهادة ليس بجامع و لا مانع</w:t>
      </w:r>
      <w:bookmarkEnd w:id="21"/>
    </w:p>
    <w:p>
      <w:pPr>
        <w:pStyle w:val="BookText"/>
        <w:rPr/>
      </w:pPr>
      <w:r>
        <w:rPr>
          <w:rFonts w:ascii="IRNazanin" w:hAnsi="IRNazanin" w:eastAsia="IRNazanin"/>
          <w:color w:val="111111"/>
          <w:sz w:val="28"/>
          <w:sz w:val="28"/>
          <w:szCs w:val="28"/>
          <w:rtl w:val="true"/>
          <w:lang w:bidi="fa-IR"/>
        </w:rPr>
        <w:t xml:space="preserve">لكن يرد في الحدّ شيئان عكسًا و طردًا، و 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أخبر حاكم حاكمًا عن حقّ لازم لغيره، الظاهر أنّه شهادة حقيقة، مع أنّ صريح الحدّ أنّه ليس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المذكور يصدق على الإقرار أيضًا في بعض المواضع، فإنّ من أقرّ لواحد بأنّ له عليه كذا يصدق عليه أنّه إخبار جازم عن حقّ لازم لغيره، مع أنّه لا يسمّى بالشهادة اصطلاحًا، بل هو إقرار على نفسه للغير بحقّ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عدم كون إخبار الأئمّة عن حقّ لازم لغيره شهادة غير مسلّم، بل الظاهر أنّه شهادة أيضًا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في كتاب القضاء </w:t>
      </w:r>
      <w:r>
        <w:rPr>
          <w:rStyle w:val="FootnoteAnchor"/>
          <w:rtl w:val="true"/>
        </w:rPr>
        <w:footnoteReference w:id="7"/>
      </w:r>
      <w:r>
        <w:rPr>
          <w:rFonts w:ascii="IRNazanin" w:hAnsi="IRNazanin" w:eastAsia="IRNazanin"/>
          <w:color w:val="111111"/>
          <w:sz w:val="28"/>
          <w:sz w:val="28"/>
          <w:szCs w:val="28"/>
          <w:rtl w:val="true"/>
          <w:lang w:bidi="fa-IR"/>
        </w:rPr>
        <w:t xml:space="preserve">أنّ مولانا الأمير لمّا طلب بالبيّنة عند ادّعائه درع طلحة أقام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فشهد بما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ذلک الحديث مخاطبًا على شريح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أتيتک بالحسن فشهد،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واحد و لا أقضي بشهادة واحد حتّى يكون معه آخر، و قد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bookmarkStart w:id="22" w:name="pg14719_186460"/>
    </w:p>
    <w:p>
      <w:pPr>
        <w:pStyle w:val="BookText"/>
        <w:rPr/>
      </w:pPr>
      <w:bookmarkEnd w:id="22"/>
      <w:r>
        <w:rPr>
          <w:rFonts w:ascii="Amiri" w:hAnsi="Amiri" w:eastAsia="Amiri" w:cs="Amiri"/>
          <w:color w:val="111111"/>
          <w:sz w:val="28"/>
          <w:sz w:val="28"/>
          <w:szCs w:val="28"/>
          <w:rtl w:val="true"/>
          <w:lang w:bidi="ar-SA"/>
        </w:rPr>
        <w:t xml:space="preserve">بشاهد واحد و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قيل في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إخبار مخلوق جازم عن حقّ لازم على غيره لغيره، سلم من جميع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و الأخبار في الشهادة و أحكامها مستفيضة،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تكتموا الشهادة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كونوا قوّامين بالقسط شهداء لله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السين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أطلبوا شهيدين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53457_730472459"/>
      <w:bookmarkStart w:id="24" w:name="_Toc7"/>
      <w:bookmarkEnd w:id="23"/>
      <w:r>
        <w:rPr>
          <w:rtl w:val="true"/>
        </w:rPr>
        <w:t>الفرق بين الشاهد و الشهيد</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الشاهد و الشهيد أنَّ الأوَّل بمعنى الحدوث، و الثاني بمعنى الثبوت، فإنّه إذا تحمّل الشهادة فهو شاهد باعتبار حدوث تحمّله ؛ و إذا ثبت تحمّله لها زمانين أو أكثر فهو شهيد </w:t>
      </w:r>
      <w:r>
        <w:rPr>
          <w:rFonts w:eastAsia="Amiri" w:cs="Amiri" w:ascii="Amiri" w:hAnsi="Amiri"/>
          <w:color w:val="111111"/>
          <w:sz w:val="28"/>
          <w:szCs w:val="28"/>
          <w:rtl w:val="true"/>
          <w:lang w:bidi="ar-SA"/>
        </w:rPr>
        <w:t xml:space="preserve">. </w:t>
      </w:r>
      <w:bookmarkStart w:id="25" w:name="pg14719_186461"/>
    </w:p>
    <w:p>
      <w:pPr>
        <w:pStyle w:val="BookText"/>
        <w:rPr/>
      </w:pPr>
      <w:bookmarkEnd w:id="25"/>
      <w:r>
        <w:rPr>
          <w:rFonts w:ascii="Amiri" w:hAnsi="Amiri" w:eastAsia="Amiri" w:cs="Amiri"/>
          <w:color w:val="111111"/>
          <w:sz w:val="28"/>
          <w:sz w:val="28"/>
          <w:szCs w:val="28"/>
          <w:rtl w:val="true"/>
          <w:lang w:bidi="ar-SA"/>
        </w:rPr>
        <w:t xml:space="preserve">ثمّ يطلق الشاهد عليه مجازًا، تسميةً للشيء بما كان عليه ؛ و سيجيء في تضاعيف المباحث إلى النصوص الإشارة بتوفيق الله سبحانه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53459_730472459"/>
      <w:bookmarkStart w:id="27" w:name="_Toc8"/>
      <w:bookmarkEnd w:id="26"/>
      <w:r>
        <w:rPr>
          <w:rtl w:val="true"/>
        </w:rPr>
        <w:t>يشترط البلوغ في سماع الشهادة</w:t>
      </w:r>
      <w:bookmarkEnd w:id="27"/>
    </w:p>
    <w:p>
      <w:pPr>
        <w:pStyle w:val="Heading2"/>
        <w:numPr>
          <w:ilvl w:val="1"/>
          <w:numId w:val="1"/>
        </w:numPr>
        <w:rPr/>
      </w:pPr>
      <w:bookmarkStart w:id="28" w:name="__RefHeading___Toc553461_730472459"/>
      <w:bookmarkStart w:id="29" w:name="_Toc9"/>
      <w:bookmarkEnd w:id="28"/>
      <w:r>
        <w:rPr/>
        <w:t>1</w:t>
      </w:r>
      <w:r>
        <w:rPr>
          <w:rtl w:val="true"/>
        </w:rPr>
        <w:t xml:space="preserve">- </w:t>
      </w:r>
      <w:r>
        <w:rPr>
          <w:rtl w:val="true"/>
        </w:rPr>
        <w:t>مسألة</w:t>
      </w:r>
      <w:bookmarkEnd w:id="29"/>
    </w:p>
    <w:p>
      <w:pPr>
        <w:pStyle w:val="Heading3"/>
        <w:numPr>
          <w:ilvl w:val="2"/>
          <w:numId w:val="1"/>
        </w:numPr>
        <w:rPr/>
      </w:pPr>
      <w:bookmarkStart w:id="30" w:name="__RefHeading___Toc553463_730472459"/>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يشترط في الشاهد البلوغ، فلا تسمع شهادة الصبيّ و إن كان مميّزًا، للأصل ؛ تقريره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على شخص بحقّ لآخر خلاف الأصل، لأصالة البراءة، وأيضًا تسليط شخص على آخر عقوبة، و الأصل براءة الذمّة عنها و عدم جواز تسليط واحد على آخر، فلا يتجرّي في إثبات ذلک بشهادة غير البالغ، اقتصارًا فيما خالف الأصل على القدر المتيقّن، و هو الشاهد البالغ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 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غير الصبيّ، و لا يطلق على الصبيّ إلّا مجازًا، و قضيّة الأصل في الاستعمال الحقيقة ؛ و عدم جواز استعمال اللفظ في استعمال واحد في المعنى الحقيقىّ و المجازيّ تعيّن 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على غير الصبيّ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مسلّم، لكن غاية ما يستفاد من الآية سماع شهادة الرجال، و هو لا يدلّ على عدم جواز شهادة الصبيان، لأنّ إثبات الشيء لا ينفي ما عداه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الأمر بالاستشهاد في الآية على الرجال، فلا يكتفى بشهادة غيرهم، لأنّ الأمر حقيقة في الوجوب، و حمله على التخييريّ مجاز، لا يصار إليه إلّا بدليل، و هو هنا منتف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 في الآية قرينةٌ على عدم جواز حمل الأمر فيها على الوجوب التخييريّ، لأنّه لو كان الاستشهاد بالتخيير بين الرجال و الصبيان لكان عند عدم التمكّن من الرجال الاستشهاد من الصبيان متعيّنًا إذا تمكّن منهم و مقدّمًا ذلک على الاستشهاد بالرجل و المرأتين، لأنّ الاستشهاد من الصبيان مساوٍ للاستشهاد من الرجال كما هو المفروض ؛ و الاستشهاد من الرجال مقدّم على الاستشهاد بالرجل والمرأتين، فيجب أن يكون مساويه أيضًا مقدّمًا، و إلّا لم يكن مساويًا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اسْتَشْهِدُوا شَهِيدَينِ مِنْ رِجَالِكُمْ فَإِنْ لَمْ يَكُونُوا فَرَجُلٌ وَامْرَأتَانِ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 هو أعمّ من التمكّن من الاستشهاد من الصبيان أم لا، فيعلم منه أنّ الأمر فيها محمولٌ على حقيقته من الوجوب العينيّ، على أنّ حمل اللفظ على الحقيقة غير محتاج إلى القرينة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الآية محمولٌ على الوجوب العينيّ، فلا يجوز الاكتفاء بشهادة الصبيان، إذ لو جاز ذلک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يَكُونُوا فَرَجُلٌ وَامْرَأتانِ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فلايجوز الاكتفاء بشهادتهم لا مخيّرًا و لا مرتّبًا كما عرفت، و هو المطلوب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أيضًا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شهادة الغلام قبل أن يحتلم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لا يقبل قول الصبيّ على نفسه، فعلى غيره بطريق أولى ؛ و لما سيجيء من اشتراط العدالة في الشاهد، و معلوم انتفائها في الصبيّ ؛ و لأنّ الصبيّ مأمونٌ من المؤاخذة، فلا يحترز من الكذب، فلا يسمع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ذكرناه من الأدلّة عامٌّ شاملٌ للمميّز و غيره و مَن بلغ عشر سنين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استفاض نقل الإجماع منهم على عدم قبول شهادة غير المميّز من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ممّن نقل الإجماع على ذلک هو فخر الدين في الإيضاح،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الصبيّ إمّا أن لا يكون مميّزًا، أو يكون ؛ و الأوّل لا تقبل شهادته إجماعًا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في المسالک </w:t>
      </w:r>
      <w:r>
        <w:rPr>
          <w:rStyle w:val="FootnoteAnchor"/>
          <w:rtl w:val="true"/>
        </w:rPr>
        <w:footnoteReference w:id="17"/>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عدم قبول شهادة مَن دون العشر، لكنّه في الإيضاح ادّعى الإجماع على عدم قبول شهادته في غير القصاص و القتل و الجراح،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يكون قد بلغ عشر سنين، أو يكون قد بلغ، و الأوّل لا تقبل شهادته في غير القصاص والقتل والجراح إجماعًا ؛ و أمّا في الجراح و الشِجَاج </w:t>
      </w:r>
      <w:r>
        <w:rPr>
          <w:rStyle w:val="FootnoteAnchor"/>
          <w:rtl w:val="true"/>
        </w:rPr>
        <w:footnoteReference w:id="18"/>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و هو الظاهر من كلام الشيخ في النهاية، و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و هو اختيار ابن الجنيد، إنتهى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كما ترى صريحٌ في وقوع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سماع شهادة الصبيان لا إشكال فيه، إلّا في الشِجَاج و الجراح، فتقبل شهادتهم فيهما، كما في الانتصار و عن المقنعة والمراسم والغنية والجامع </w:t>
      </w:r>
      <w:r>
        <w:rPr>
          <w:rStyle w:val="FootnoteAnchor"/>
          <w:rtl w:val="true"/>
        </w:rPr>
        <w:footnoteReference w:id="20"/>
      </w:r>
      <w:r>
        <w:rPr>
          <w:rFonts w:ascii="Amiri" w:hAnsi="Amiri" w:eastAsia="Amiri" w:cs="Amiri"/>
          <w:color w:val="111111"/>
          <w:sz w:val="28"/>
          <w:sz w:val="28"/>
          <w:szCs w:val="28"/>
          <w:rtl w:val="true"/>
          <w:lang w:bidi="ar-SA"/>
        </w:rPr>
        <w:t xml:space="preserve">؛ و في الأوّل و 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حيث 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يظنّ انفراد الإماميّة به و لها فيه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بقبول شهادة الصبيان في الشِجَاج و الجراح إذا كانوا يعقلون بما </w:t>
      </w:r>
      <w:r>
        <w:rPr>
          <w:rStyle w:val="FootnoteAnchor"/>
          <w:rtl w:val="true"/>
        </w:rPr>
        <w:footnoteReference w:id="21"/>
      </w:r>
      <w:r>
        <w:rPr>
          <w:rFonts w:ascii="Amiri" w:hAnsi="Amiri" w:eastAsia="Amiri" w:cs="Amiri"/>
          <w:color w:val="111111"/>
          <w:sz w:val="28"/>
          <w:sz w:val="28"/>
          <w:szCs w:val="28"/>
          <w:rtl w:val="true"/>
          <w:lang w:bidi="ar-SA"/>
        </w:rPr>
        <w:t xml:space="preserve">يشهدون به ويؤخذ بأوّل كلامهم و لا يؤخذ بآخره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وافق الإماميّة في ذلک عبد الله بن الزبير و عروة بن الزبير و عمر بن عبد العزيز و ابن أبي ليلى و الزهري و مالک و أبو الزياد </w:t>
      </w:r>
      <w:r>
        <w:rPr>
          <w:rStyle w:val="FootnoteAnchor"/>
          <w:rtl w:val="true"/>
        </w:rPr>
        <w:footnoteReference w:id="22"/>
      </w:r>
      <w:r>
        <w:rPr>
          <w:rFonts w:ascii="IRNazanin" w:hAnsi="IRNazanin" w:eastAsia="IRNazanin"/>
          <w:color w:val="111111"/>
          <w:sz w:val="28"/>
          <w:sz w:val="28"/>
          <w:szCs w:val="28"/>
          <w:rtl w:val="true"/>
          <w:lang w:bidi="fa-IR"/>
        </w:rPr>
        <w:t xml:space="preserve">، و خالف </w:t>
      </w:r>
    </w:p>
    <w:p>
      <w:pPr>
        <w:pStyle w:val="BookText"/>
        <w:rPr/>
      </w:pPr>
      <w:r>
        <w:rPr>
          <w:rFonts w:ascii="IRNazanin" w:hAnsi="IRNazanin" w:eastAsia="IRNazanin"/>
          <w:color w:val="111111"/>
          <w:sz w:val="28"/>
          <w:sz w:val="28"/>
          <w:szCs w:val="28"/>
          <w:rtl w:val="true"/>
          <w:lang w:bidi="fa-IR"/>
        </w:rPr>
        <w:t xml:space="preserve">باقي الفقهاء في ذلک و لم يجيزوا شهادة الصبيان في شيء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المعتمد في هذه المسألة على إطباق الطائفة، و هو مشهور من مذهب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روى ذلک عنه الخاصّ والعامّ و الشيعيّ و غير الشيعيّ، و هو موجود في كتب مخالفينا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ستّة </w:t>
      </w:r>
      <w:r>
        <w:rPr>
          <w:rStyle w:val="FootnoteAnchor"/>
          <w:rtl w:val="true"/>
        </w:rPr>
        <w:footnoteReference w:id="24"/>
      </w:r>
      <w:r>
        <w:rPr>
          <w:rFonts w:ascii="Amiri" w:hAnsi="Amiri" w:eastAsia="Amiri" w:cs="Amiri"/>
          <w:color w:val="111111"/>
          <w:sz w:val="28"/>
          <w:sz w:val="28"/>
          <w:szCs w:val="28"/>
          <w:rtl w:val="true"/>
          <w:lang w:bidi="ar-SA"/>
        </w:rPr>
        <w:t xml:space="preserve">وقعوا في الماء وغرق </w:t>
      </w:r>
      <w:r>
        <w:rPr>
          <w:rStyle w:val="FootnoteAnchor"/>
          <w:rtl w:val="true"/>
        </w:rPr>
        <w:footnoteReference w:id="25"/>
      </w:r>
      <w:r>
        <w:rPr>
          <w:rFonts w:ascii="Amiri" w:hAnsi="Amiri" w:eastAsia="Amiri" w:cs="Amiri"/>
          <w:color w:val="111111"/>
          <w:sz w:val="28"/>
          <w:sz w:val="28"/>
          <w:szCs w:val="28"/>
          <w:rtl w:val="true"/>
          <w:lang w:bidi="ar-SA"/>
        </w:rPr>
        <w:t xml:space="preserve">أحدهم، فشهد ثلاثة غلمان على غلامين أنّهما غرّقا الغلام وشهد الغلامان على الثلاثة أنّهم غرّقوه،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بدِيَةِ الغلام أخماسًا على الغلامين ثلاثة أخماس الدية لشهادة الثلاثة عليهما و على الثلاثة بخمسي الدية لشهادة الغلامين عليهم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قبلت شهادة الصبيان في بعض الأمور لقبلت في جميعها كسائر العدول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ممتنع أن توجب المصلحة قبول شهادة الصبيان في موضع دون موضع كما أنّها أوجبت قبول شهادة النساء في بعض المواضع دون بعض، و لم يلزم أن تكون النساء في كلّ المواضع مقبولات الشهادة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من حيث قبلت شهادتهنّ في بعضها ؛ 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مع طوله لما اشتمله من الفوائد الّتي سيجيء إلى بعضها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الخلاف </w:t>
      </w:r>
      <w:r>
        <w:rPr>
          <w:rStyle w:val="FootnoteAnchor"/>
          <w:rtl w:val="true"/>
        </w:rPr>
        <w:footnoteReference w:id="29"/>
      </w:r>
      <w:r>
        <w:rPr>
          <w:rFonts w:ascii="Amiri" w:hAnsi="Amiri" w:eastAsia="Amiri" w:cs="Amiri"/>
          <w:color w:val="111111"/>
          <w:sz w:val="28"/>
          <w:sz w:val="28"/>
          <w:szCs w:val="28"/>
          <w:rtl w:val="true"/>
          <w:lang w:bidi="ar-SA"/>
        </w:rPr>
        <w:t xml:space="preserve">الإجماع على قبول شهادة الصبيان في الجراح فقط، يحتمل أن يكون مراده بالجراح ما يعمّ الشِجَاج، لأنّ الشِجَاج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شَجَّة، و هي جرح في الرأس، قال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 و هو في الرأس خاصّة، و هو أن يَضرِبه بشيء فَيَجْرَحَه ويَشُقّه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النهاية و الوسيلة و السرائر قبول شهادتهم في الشِجَاج و القِصاص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 بين هذا و ما مرّ من المقنعة و الانتصار و المراسم و الغنية و الجامع </w:t>
      </w:r>
      <w:r>
        <w:rPr>
          <w:rStyle w:val="FootnoteAnchor"/>
          <w:rtl w:val="true"/>
        </w:rPr>
        <w:footnoteReference w:id="32"/>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القصاص يعمّ القتل و الجراحة، بخلاف الجراح، لكن قد عرفت من الانتصار حيث عنون المسألة بقبول شهادتهم في الشجاج و الجراح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عليه بالنصّ المنقول عن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شهادتهم في القتل، فيعلم منه عموم الشجاج أو الجراح للقتل أيضًا، و كذا حكي عن الغنية ؛ وعلى هذا يتّحد المراد </w:t>
      </w:r>
      <w:r>
        <w:rPr>
          <w:rFonts w:eastAsia="Amiri" w:cs="Amiri" w:ascii="Amiri" w:hAnsi="Amiri"/>
          <w:color w:val="111111"/>
          <w:sz w:val="28"/>
          <w:szCs w:val="28"/>
          <w:rtl w:val="true"/>
          <w:lang w:bidi="ar-SA"/>
        </w:rPr>
        <w:t xml:space="preserve">. </w:t>
      </w:r>
      <w:bookmarkStart w:id="32" w:name="pg14719_186467"/>
    </w:p>
    <w:p>
      <w:pPr>
        <w:pStyle w:val="Heading3"/>
        <w:numPr>
          <w:ilvl w:val="2"/>
          <w:numId w:val="1"/>
        </w:numPr>
        <w:rPr/>
      </w:pPr>
      <w:bookmarkStart w:id="33" w:name="__RefHeading___Toc553465_730472459"/>
      <w:bookmarkStart w:id="34" w:name="_Toc11"/>
      <w:bookmarkEnd w:id="32"/>
      <w:bookmarkEnd w:id="33"/>
      <w:r>
        <w:rPr>
          <w:rtl w:val="true"/>
        </w:rPr>
        <w:t>المستند في المسألة</w:t>
      </w:r>
      <w:bookmarkEnd w:id="34"/>
    </w:p>
    <w:p>
      <w:pPr>
        <w:pStyle w:val="Heading4"/>
        <w:numPr>
          <w:ilvl w:val="3"/>
          <w:numId w:val="1"/>
        </w:numPr>
        <w:rPr/>
      </w:pPr>
      <w:bookmarkStart w:id="35" w:name="__RefHeading___Toc553467_730472459"/>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ثمّ إنّ المستند في المسألة مضافًا إلى ما مرّ من الإجماعات المنقولة وجوه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53469_730472459"/>
      <w:bookmarkStart w:id="38" w:name="_Toc13"/>
      <w:bookmarkEnd w:id="37"/>
      <w:r>
        <w:rPr>
          <w:rtl w:val="true"/>
        </w:rPr>
        <w:t>الوجه الأوّل</w:t>
      </w:r>
      <w:bookmarkEnd w:id="38"/>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الخلاف من إجماع الصحابة على ذلک،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ابن أبي مليكة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الصبيان في الجراح، فخالفه ابن الزبير، فصار الناس إلى قول ابن الزبير، فثبت أنّهم أجمعوا على قوله و تركوا قول ابن عبّاس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553471_730472459"/>
      <w:bookmarkStart w:id="40" w:name="_Toc14"/>
      <w:bookmarkEnd w:id="39"/>
      <w:r>
        <w:rPr>
          <w:rtl w:val="true"/>
        </w:rPr>
        <w:t>الوجه الثاني</w:t>
      </w:r>
      <w:bookmarkEnd w:id="40"/>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جميل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الصبيان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القتل يؤخذ بأوّل كلامه و لا يؤخذ بالثاني منه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553473_730472459"/>
      <w:bookmarkStart w:id="42" w:name="_Toc15"/>
      <w:bookmarkEnd w:id="41"/>
      <w:r>
        <w:rPr>
          <w:rtl w:val="true"/>
        </w:rPr>
        <w:t>الوجه الثالث</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الصبيّ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في القتل، يؤخذ بأوّل كلامه و لا يؤخذ بالثاني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المسالک بعد ذكر الحديثين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الروايتين تضمّن القتل، فيمكن أن يدخل فيه الجراح بطريق أولى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مراد صاحب المفاتيح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الشاهد أن يكون بالغًا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في الجراح و القتل على المشهور،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الصبيان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القتل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تمام الحديث، ثمّ ذكر الحديث الآخر، إذ ليس فيهما إلّا لفظ القتل، فالاستدلال بهما للجراح أيضًا لعلّه مبنيّ على الأولويّة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نظر، لأنّه على فرض تسليم الأولويّة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انّما تكون حجّة إذا لم يمنع منها مانع ؛ و ليس في المقام كذلک، إذ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بعدم قبول شهادة الصبيان بعنوان العموم، ثمّ استثناء القتل منه يمنع من إرادة الأولويّة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بلا عامٌّ و يخصّص بالأولويّة المفهومة من الجواب </w:t>
      </w:r>
      <w:bookmarkStart w:id="43" w:name="pg14719_186469"/>
    </w:p>
    <w:p>
      <w:pPr>
        <w:pStyle w:val="BookText"/>
        <w:rPr/>
      </w:pPr>
      <w:bookmarkEnd w:id="43"/>
      <w:r>
        <w:rPr>
          <w:rFonts w:ascii="IRNazanin" w:hAnsi="IRNazanin" w:eastAsia="IRNazanin"/>
          <w:color w:val="111111"/>
          <w:sz w:val="28"/>
          <w:sz w:val="28"/>
          <w:szCs w:val="28"/>
          <w:rtl w:val="true"/>
          <w:lang w:bidi="fa-IR"/>
        </w:rPr>
        <w:t xml:space="preserve">ذلک العامّ بغير الجراح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كذلک، فلا يبقى للعامّ فرد، لوجود الأولويّة بالنسبة إلى جميع أفراد العامّ، فحينئذٍ يلزم أن يكون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بلا لغوًا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يجاب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الإيراد واردٌ في رواية محمّد بن حمران، لا في الحسن المتقدّم عليه، فالأولويّة مفهومة منه و لا يرد عليه ما ذكر، فعبارة المسالک </w:t>
      </w:r>
      <w:r>
        <w:rPr>
          <w:rStyle w:val="FootnoteAnchor"/>
          <w:rtl w:val="true"/>
        </w:rPr>
        <w:footnoteReference w:id="3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لفظ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ليس على ما ينبغي ؛ ولعلّه لهذا لم يورد الرواية الثانية بطريق الدليل على جواز قبول شهادة الصبيان في الجراح و القتل،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الحسن، فأورده دليلاً على الحكم المذكور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هذا كلّه على تقدير تسليم الأولويّة ؛ و لمانع أن يمنع ذلک، لاحتمال أن يكون وجه قبول شهادتهم في القتل هو الاهتمام في إخفاء القتل، فلو لم يسمع شهادتهم يطلّ دم امرئ مسلم، بخلاف الجراح، فإنّ الأمر فيه ليس بهذه المرتبة، هذا</w:t>
      </w:r>
      <w:r>
        <w:rPr>
          <w:rFonts w:eastAsia="IRNazanin" w:cs="IRNazanin"/>
          <w:color w:val="111111"/>
          <w:sz w:val="28"/>
          <w:szCs w:val="28"/>
          <w:rtl w:val="true"/>
          <w:lang w:bidi="fa-IR"/>
        </w:rPr>
        <w:t>.</w:t>
      </w:r>
    </w:p>
    <w:p>
      <w:pPr>
        <w:pStyle w:val="Heading4"/>
        <w:numPr>
          <w:ilvl w:val="3"/>
          <w:numId w:val="1"/>
        </w:numPr>
        <w:rPr/>
      </w:pPr>
      <w:bookmarkStart w:id="44" w:name="__RefHeading___Toc553475_730472459"/>
      <w:bookmarkStart w:id="45" w:name="_Toc16"/>
      <w:bookmarkEnd w:id="44"/>
      <w:r>
        <w:rPr>
          <w:rtl w:val="true"/>
        </w:rPr>
        <w:t>الوجه الرابع</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غلمان كانوا في الفرات، فغرق واحد منهم، فشهد ثلاثة منهم على </w:t>
      </w:r>
    </w:p>
    <w:p>
      <w:pPr>
        <w:pStyle w:val="BookText"/>
        <w:rPr/>
      </w:pPr>
      <w:r>
        <w:rPr>
          <w:rFonts w:ascii="Amiri" w:hAnsi="Amiri" w:eastAsia="Amiri" w:cs="Amiri"/>
          <w:color w:val="111111"/>
          <w:sz w:val="28"/>
          <w:sz w:val="28"/>
          <w:szCs w:val="28"/>
          <w:rtl w:val="true"/>
          <w:lang w:bidi="ar-SA"/>
        </w:rPr>
        <w:t xml:space="preserve">اثنين أنّهما غرقاه و شهد اثنان على الثلاثة أنّهم غرّقوه،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بالدية ثلاثة أخماس على الاثنين و خمسين على الثلاثة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مضى هذا الحديث في عبارة الانتصار بتغيير قليل في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الإغماض عن ضعفه ليس بصريح فيما نحن فيه ليخصّص به الأصول المتقدّمة في صدر المسألة، لاحتمال أن يكون الغلمان الّذين تضمّنه بالغًا ؛ و قد عرفت مرارًا فيما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وقائع الأحوال إذا تطرّق إليها الاحتمال كساها ثوب الإجمال، فلا تصلح للتمسّک في مقام الاستدلال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النصوص واردةٌ في القتل، فالجراح و الشجاج إمّا محمولٌ عليه من باب الأولى على ما عرفته في الجراح، أو من جهة الإجماعات المنقولة المتقدّمة، فصار الحقّ في المسألة عدم جواز قبول شهادة الصبيان إلّا في القتل و الجرح والشجاج، فالجواز لما ذكر من الأدّلة، و بها يخصّص ما تقدّم من الأدلّة في صدر المسألة على عدم جواز قبول شهادتهم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النصوص المذكورة و كلمات الأجلّة و كذا الإجماعات المنقولة جواز قبول شهادتهم فيما ذكر مطلقًا و لو تمكّن من شهادة الرجال مثلاً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غاية ما في هذه الأدلّة و كلمات الأجلّة الإطلاق، و من شرط انصرافه إلى جميع الأفراد عدم كون المقصود منه بيان حكم 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الظاهر من النصّ الأوّل و الثاني إثبات جواز سماع شهادتهم في الجملة، ردًّا لتوهّم عدم جوازه مطلقًا، كما يستفاد ذلک من السؤال في صدرهما ؛ و أمّا الثالث فلا ينفعنا في المقام لما عرفت، فيجب حملها على الفرد المتيقّن، و هو ما إذا لم يتمكّن من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الكلام في الإجماعات المنقولة، فبقيت الأصول و غيرها في غير الفرد المتيقّن سالمة عمّا يصلح للمعارضة، فيجب العمل عليها، فلا يجوز قبول شهادتهم عند التمكّن من غيرهم و لو في الثلاثة المذكورة، اقتصارًا على المتيقّن فيما خالف الأصول المتيقّنة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النصوص و إن كانت مطلقة شاملة لما إذا كان الصبيّ مميّزًا و غير مميّز، لكن يجب تقييده بالأوّل، لِما عرفت من الإجماعات المنقولةالمستفيضة على عدم جواز قبول شهادة غير المميّز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الكلام بالنسبة إلى المميّز الّذي لم يبلغ العشر إن ثبت ما نقله في المسالک من دعوى الإتفاق عن جماعة منهم على عدم جواز قبول شهادتهم حينئذ، لكنّ الشيخ فخر الدين نقل الخلاف في الإيضاح </w:t>
      </w:r>
      <w:r>
        <w:rPr>
          <w:rStyle w:val="FootnoteAnchor"/>
          <w:rtl w:val="true"/>
        </w:rPr>
        <w:footnoteReference w:id="41"/>
      </w:r>
      <w:r>
        <w:rPr>
          <w:rFonts w:ascii="Amiri" w:hAnsi="Amiri" w:eastAsia="Amiri" w:cs="Amiri"/>
          <w:color w:val="111111"/>
          <w:sz w:val="28"/>
          <w:sz w:val="28"/>
          <w:szCs w:val="28"/>
          <w:rtl w:val="true"/>
          <w:lang w:bidi="ar-SA"/>
        </w:rPr>
        <w:t xml:space="preserve">، حيث نقل عن الشيخ في الخلاف وابن الجنيد القول بجواز قبول شهادتهم في الجراح و الشجاج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ثبت نقل الإجماع على عدم جواز قبول شهادتهم إذا لم يبلغوا عشرًا في القتل و الجراح يخصّص به إطلاق النصّ في جواز قبول شهادة الصبيان </w:t>
      </w:r>
    </w:p>
    <w:p>
      <w:pPr>
        <w:pStyle w:val="BookText"/>
        <w:rPr/>
      </w:pPr>
      <w:r>
        <w:rPr>
          <w:rFonts w:ascii="IRNazanin" w:hAnsi="IRNazanin" w:eastAsia="IRNazanin"/>
          <w:color w:val="111111"/>
          <w:sz w:val="28"/>
          <w:sz w:val="28"/>
          <w:szCs w:val="28"/>
          <w:rtl w:val="true"/>
          <w:lang w:bidi="fa-IR"/>
        </w:rPr>
        <w:t xml:space="preserve">في القتل و الإجماعات المنقولة في جواز ذلک في الجراح، و إلّا فالحكم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يثبت نقل الإجماع على ذلک أيضًا القول بالإطلاق لا يخلو من إشكال، لما عرفت من عدم تحقّق شرط انصراف المطلق إلى جميع الأفراد في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يمكن أن يجاب عن ذلک هنا و ما تقدّم بأنّ النصّ في المقام ليس مطلقًا، لأنّ المعصوم بعد السؤال عن جواز شهادة الصبيان أجاب بالجواز من غير استفصال بين كون الصبيّ بالغًا لعشر سنين أم لا ؛ و كذا بالنسبة إلى التمكّن من غير الصبيّ أم لا، كما في حسنة جميل و رواية محمّد بن حُمْرَان ؛ و ترک الاستفصال في مقام السؤال مع قيام الاحتمال يفيد عموم الحكم في المقال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المقام رواية تدلّ على اشتراط بلوغ العشر في جواز قبول شهادتهم، وهي رواية أبي أيّوب الخزّاز حيث سأل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تجوز شهادة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عشر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أمره ؟ قال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بعائشة و هي بنت عشر سنين، و ليس يدخل بالجارية حتّى تكون امرأة، فإن كان للغلام عشر سنين جاز أمره و جازت شهادته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الحديث ما لا يخفى، فإنَّ حكم الرجل و المرأة لا يجب أن </w:t>
      </w:r>
    </w:p>
    <w:p>
      <w:pPr>
        <w:pStyle w:val="BookText"/>
        <w:rPr/>
      </w:pPr>
      <w:r>
        <w:rPr>
          <w:rFonts w:ascii="Amiri" w:hAnsi="Amiri" w:eastAsia="Amiri" w:cs="Amiri"/>
          <w:color w:val="111111"/>
          <w:sz w:val="28"/>
          <w:sz w:val="28"/>
          <w:szCs w:val="28"/>
          <w:rtl w:val="true"/>
          <w:lang w:bidi="ar-SA"/>
        </w:rPr>
        <w:t xml:space="preserve">يكون واحدًا في كلّ شيء ؛ ألا ترى إلى الأمر الّذي جعل جامعًا، فإنّ صاحب العشر سنين من الرجال لا يتأتى منه النكاح غالبًا، إلّا أنّ الأمر فيه سهل، لعدم اتّصال الحديث بالمعصوم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 موقوفة، و مع ذلک ضعيفة، لأنّ في طريقها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يونس، و متهافتة المتن، فلا يجوز التخصيص بها عموم ما تقدّم من الأدلّة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التميز في قبول شهادتهم ممّا لا ريب فيه، و هو لايحصل في غير العشر، فاشترط البلوغ إلى العشر تحصيلاً للشرط المتيقّن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ذكر التميز مغن عن ذلک ؛ و أمّا ثانيًا فلعدم تسليم عدم امكان التميز للصبيّ قبل العشر ؛ و أمّا ثالثًا فلإمكان عدم حصول التميز له مع بلوغه العشرة و التجاوز عنها، فلا وجه لاشتراط قبول شهادتهم بالبلوغ إلى العشرة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اشترط المحقّق في الشرائع </w:t>
      </w:r>
      <w:r>
        <w:rPr>
          <w:rStyle w:val="FootnoteAnchor"/>
          <w:rtl w:val="true"/>
        </w:rPr>
        <w:footnoteReference w:id="45"/>
      </w:r>
      <w:r>
        <w:rPr>
          <w:rFonts w:ascii="Amiri" w:hAnsi="Amiri" w:eastAsia="Amiri" w:cs="Amiri"/>
          <w:color w:val="111111"/>
          <w:sz w:val="28"/>
          <w:sz w:val="28"/>
          <w:szCs w:val="28"/>
          <w:rtl w:val="true"/>
          <w:lang w:bidi="ar-SA"/>
        </w:rPr>
        <w:t xml:space="preserve">، و العلّامة في الإرشاد و القواعد </w:t>
      </w:r>
      <w:r>
        <w:rPr>
          <w:rStyle w:val="FootnoteAnchor"/>
          <w:rtl w:val="true"/>
        </w:rPr>
        <w:footnoteReference w:id="46"/>
      </w:r>
      <w:r>
        <w:rPr>
          <w:rFonts w:ascii="Amiri" w:hAnsi="Amiri" w:eastAsia="Amiri" w:cs="Amiri"/>
          <w:color w:val="111111"/>
          <w:sz w:val="28"/>
          <w:sz w:val="28"/>
          <w:szCs w:val="28"/>
          <w:rtl w:val="true"/>
          <w:lang w:bidi="ar-SA"/>
        </w:rPr>
        <w:t xml:space="preserve">، وعن التحرير </w:t>
      </w:r>
      <w:r>
        <w:rPr>
          <w:rStyle w:val="FootnoteAnchor"/>
          <w:rtl w:val="true"/>
        </w:rPr>
        <w:footnoteReference w:id="47"/>
      </w:r>
      <w:r>
        <w:rPr>
          <w:rFonts w:ascii="Amiri" w:hAnsi="Amiri" w:eastAsia="Amiri" w:cs="Amiri"/>
          <w:color w:val="111111"/>
          <w:sz w:val="28"/>
          <w:sz w:val="28"/>
          <w:szCs w:val="28"/>
          <w:rtl w:val="true"/>
          <w:lang w:bidi="ar-SA"/>
        </w:rPr>
        <w:t xml:space="preserve">في قبول شهادتهم ثلاثة شروط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أي بلوغ سنّهم العشر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الكلام في أنّه لا دليل على ذلک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اجتماعهم حين التحمّل إلى الأداء على المباح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أنّه لا دليل على ذلک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غير مكلّفين، فجميع الأفعال مباحٌ بالنسبة إليهم، فلا معنى لهذا الاشتراط ؛ و إن أريد اجتماعهم على المباح بالنسبة إلى المكلّفين لم يكن لتخصيصه وجه، فينبغي اشتراط جميع شرائط قبول الشهادة بالنسبة إليهم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الاستدلال لذلک بما مرّ من الأصل، لكن يجاب بما تقدّم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تفرّقهم من حين التحمّل إلى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لا دليل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النافع </w:t>
      </w:r>
      <w:r>
        <w:rPr>
          <w:rStyle w:val="FootnoteAnchor"/>
          <w:rtl w:val="true"/>
        </w:rPr>
        <w:footnoteReference w:id="48"/>
      </w:r>
      <w:r>
        <w:rPr>
          <w:rFonts w:ascii="Amiri" w:hAnsi="Amiri" w:eastAsia="Amiri" w:cs="Amiri"/>
          <w:color w:val="111111"/>
          <w:sz w:val="28"/>
          <w:sz w:val="28"/>
          <w:szCs w:val="28"/>
          <w:rtl w:val="true"/>
          <w:lang w:bidi="ar-SA"/>
        </w:rPr>
        <w:t xml:space="preserve">نسب اشتراط عدم التفرّق إلى الشيخ في الخلاف </w:t>
      </w:r>
      <w:r>
        <w:rPr>
          <w:rStyle w:val="FootnoteAnchor"/>
          <w:rtl w:val="true"/>
        </w:rPr>
        <w:footnoteReference w:id="49"/>
      </w:r>
      <w:r>
        <w:rPr>
          <w:rFonts w:ascii="Amiri" w:hAnsi="Amiri" w:eastAsia="Amiri" w:cs="Amiri"/>
          <w:color w:val="111111"/>
          <w:sz w:val="28"/>
          <w:sz w:val="28"/>
          <w:szCs w:val="28"/>
          <w:rtl w:val="true"/>
          <w:lang w:bidi="ar-SA"/>
        </w:rPr>
        <w:t xml:space="preserve">، مؤذنًا بعدم ترجيحه ؛ و عذره واضح، لعدم الدليل المقتضي لاشتراطه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نظر، لأنّ دليل ذلک هو ما رواه في الفقيه في باب من يجب ردّ شهادته و من يجب قبول شهادته، باسناده عن طلحة بن زيد،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الصبيان جائزة بينهم ما </w:t>
      </w:r>
    </w:p>
    <w:p>
      <w:pPr>
        <w:pStyle w:val="BookText"/>
        <w:rPr/>
      </w:pPr>
      <w:r>
        <w:rPr>
          <w:rFonts w:ascii="Amiri" w:hAnsi="Amiri" w:eastAsia="Amiri" w:cs="Amiri"/>
          <w:color w:val="111111"/>
          <w:sz w:val="28"/>
          <w:sz w:val="28"/>
          <w:szCs w:val="28"/>
          <w:rtl w:val="true"/>
          <w:lang w:bidi="ar-SA"/>
        </w:rPr>
        <w:t xml:space="preserve">لم يتفرّقوا، أو يرجعوا إلى أهليهم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يصلح دليلاً على المسألة، لأنّ طريق الصدوق و إن كانت إليه صحيحة، لأنّه قال في المشيخة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فيه عن طلحة بن زيد فقد رويته عن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محمّد بن عيسى، عن محمّد بن يحيى الخزّاز و محمّد بن سنان جميعًا عن طلحة بن زيد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سنان و إن كان ضعيفًا، لكن ضعفه مع اجتماعه مع محمّد بن الخزّاز غير مضرّ، لكونه ثقة، و قد وثّقه النجاشي و العلّامة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ضعيف ؛ قيل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بُترِيّ </w:t>
      </w:r>
      <w:r>
        <w:rPr>
          <w:rStyle w:val="FootnoteAnchor"/>
          <w:rtl w:val="true"/>
        </w:rPr>
        <w:footnoteReference w:id="55"/>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عامّيّ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الحديث الضعيف كالعدم، و لهذا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دليل على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عبارات الأصحاب إلّا ما شذّ تعمّ شهادتهم بعضهم على بعض و على غيرهم ؛ و الحديث المذكور يدلّ على جواز شهادتهم بينهم إذا لم يتفرّقوا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أنّه متضمّن بما لم نجد القائل بذلک،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يرجعوا إلى أهليهم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ما يصلح دليلاً لهذه الشروط المذكورة، إلّا ما قدّمناه من الأصل على ما مرّ بيانه، لكن جوابه أيضًا قد مرّ، فعلى هذا الاشتراط بهذه الشروط لا وجه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دلّت الحسنة المتقدّمة و غيرها الاشتراط بشيء واحد غير ما ذكر من الشروط المذكورة، و هو الأخذ بأوّل كلامهم دون غيره إن اختلفت أقوالهم ؛ و هو الّذي صرّح به كثير من الأصحاب كالسيّد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w:t>
      </w:r>
      <w:r>
        <w:rPr>
          <w:rStyle w:val="FootnoteAnchor"/>
          <w:rtl w:val="true"/>
        </w:rPr>
        <w:footnoteReference w:id="57"/>
      </w:r>
      <w:r>
        <w:rPr>
          <w:rFonts w:ascii="Amiri" w:hAnsi="Amiri" w:eastAsia="Amiri" w:cs="Amiri"/>
          <w:color w:val="111111"/>
          <w:sz w:val="28"/>
          <w:sz w:val="28"/>
          <w:szCs w:val="28"/>
          <w:rtl w:val="true"/>
          <w:lang w:bidi="ar-SA"/>
        </w:rPr>
        <w:t xml:space="preserve">، ونقل عن المقنعة و النهاية و سلّار و بني زهرة و حمزة و إدريس </w:t>
      </w:r>
      <w:r>
        <w:rPr>
          <w:rStyle w:val="FootnoteAnchor"/>
          <w:rtl w:val="true"/>
        </w:rPr>
        <w:footnoteReference w:id="58"/>
      </w:r>
      <w:r>
        <w:rPr>
          <w:rFonts w:ascii="Amiri" w:hAnsi="Amiri" w:eastAsia="Amiri" w:cs="Amiri"/>
          <w:color w:val="111111"/>
          <w:sz w:val="28"/>
          <w:sz w:val="28"/>
          <w:szCs w:val="28"/>
          <w:rtl w:val="true"/>
          <w:lang w:bidi="ar-SA"/>
        </w:rPr>
        <w:t xml:space="preserve">، و هو مسلّم </w:t>
      </w:r>
      <w:bookmarkStart w:id="46" w:name="pg14719_186477"/>
    </w:p>
    <w:p>
      <w:pPr>
        <w:pStyle w:val="BookText"/>
        <w:rPr/>
      </w:pPr>
      <w:bookmarkEnd w:id="46"/>
      <w:r>
        <w:rPr>
          <w:rFonts w:ascii="Amiri" w:hAnsi="Amiri" w:eastAsia="Amiri" w:cs="Amiri"/>
          <w:color w:val="111111"/>
          <w:sz w:val="28"/>
          <w:sz w:val="28"/>
          <w:szCs w:val="28"/>
          <w:rtl w:val="true"/>
          <w:lang w:bidi="ar-SA"/>
        </w:rPr>
        <w:t xml:space="preserve">لوجود الدليل، و لما عرفت من قبول هؤلاء الأجلّة له ؛ هذا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53477_730472459"/>
      <w:bookmarkStart w:id="48" w:name="_Toc17"/>
      <w:bookmarkEnd w:id="47"/>
      <w:r>
        <w:rPr>
          <w:rtl w:val="true"/>
        </w:rPr>
        <w:t>قولان في المسألة</w:t>
      </w:r>
      <w:bookmarkEnd w:id="48"/>
    </w:p>
    <w:p>
      <w:pPr>
        <w:pStyle w:val="Heading4"/>
        <w:numPr>
          <w:ilvl w:val="3"/>
          <w:numId w:val="1"/>
        </w:numPr>
        <w:rPr/>
      </w:pPr>
      <w:bookmarkStart w:id="49" w:name="__RefHeading___Toc553479_730472459"/>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 في المسألة قولان غير ما تقدّم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53481_730472459"/>
      <w:bookmarkStart w:id="52" w:name="_Toc19"/>
      <w:bookmarkEnd w:id="51"/>
      <w:r>
        <w:rPr>
          <w:rtl w:val="true"/>
        </w:rPr>
        <w:t>القول الأوّل</w:t>
      </w:r>
      <w:bookmarkEnd w:id="52"/>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شهادتهم مطلقًا في الجراح و غيرها ؛ و هو الّذي ذكره في الشرائع و القواعد قولاً </w:t>
      </w:r>
      <w:r>
        <w:rPr>
          <w:rStyle w:val="FootnoteAnchor"/>
          <w:rtl w:val="true"/>
        </w:rPr>
        <w:footnoteReference w:id="59"/>
      </w:r>
      <w:r>
        <w:rPr>
          <w:rFonts w:ascii="IRNazanin" w:hAnsi="IRNazanin" w:eastAsia="IRNazanin"/>
          <w:color w:val="111111"/>
          <w:sz w:val="28"/>
          <w:sz w:val="28"/>
          <w:szCs w:val="28"/>
          <w:rtl w:val="true"/>
          <w:lang w:bidi="fa-IR"/>
        </w:rPr>
        <w:t xml:space="preserve">؛ و القائل به غير معلوم، و قد اعترف بذلک جماعة من المتأخّرين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رواية أبي أيّوب الخزّاز، و قد عرفت الجواب عنها، فلا نعيد ؛ والأدلّة المتقدّمة الدالّة على قبول شهادتهم في القتل، ففي غيره بطريق أولى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الأولويّة ممنوعة، لما أشرنا إليه سابقًا من اهتمام الناس في إخفاء القتل، ولعلّ المعصوم جوّز قبول شهادتهم في القتل لذلک بخلاف غيره، و لشدّة الحاجة إلى القصاص لئلّا يُطِلّ دم امرئ مسلم، كما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ذلک في بعض ما سيجيء من الأخبار </w:t>
      </w:r>
      <w:r>
        <w:rPr>
          <w:rFonts w:eastAsia="IRNazanin" w:cs="IRNazanin"/>
          <w:color w:val="111111"/>
          <w:sz w:val="28"/>
          <w:szCs w:val="28"/>
          <w:rtl w:val="true"/>
          <w:lang w:bidi="fa-IR"/>
        </w:rPr>
        <w:t xml:space="preserve">. </w:t>
      </w:r>
      <w:bookmarkStart w:id="53" w:name="pg14719_186478"/>
    </w:p>
    <w:p>
      <w:pPr>
        <w:pStyle w:val="Heading4"/>
        <w:numPr>
          <w:ilvl w:val="3"/>
          <w:numId w:val="1"/>
        </w:numPr>
        <w:rPr/>
      </w:pPr>
      <w:bookmarkStart w:id="54" w:name="__RefHeading___Toc553483_730472459"/>
      <w:bookmarkStart w:id="55" w:name="_Toc20"/>
      <w:bookmarkEnd w:id="53"/>
      <w:bookmarkEnd w:id="54"/>
      <w:r>
        <w:rPr>
          <w:rtl w:val="true"/>
        </w:rPr>
        <w:t>القول الثاني</w:t>
      </w:r>
      <w:bookmarkEnd w:id="55"/>
    </w:p>
    <w:p>
      <w:pPr>
        <w:pStyle w:val="BookText"/>
        <w:rPr/>
      </w:pPr>
      <w:r>
        <w:rPr>
          <w:rFonts w:ascii="Amiri" w:hAnsi="Amiri" w:eastAsia="Amiri" w:cs="Amiri"/>
          <w:color w:val="111111"/>
          <w:sz w:val="28"/>
          <w:sz w:val="28"/>
          <w:szCs w:val="28"/>
          <w:rtl w:val="true"/>
          <w:lang w:bidi="ar-SA"/>
        </w:rPr>
        <w:t xml:space="preserve">و القول الثاني في مقابله،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شهادتهم مطلقًا، لا في القتل و لا في الجراح و لا في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هو الّذي اختاره في الإيضاح </w:t>
      </w:r>
      <w:r>
        <w:rPr>
          <w:rStyle w:val="FootnoteAnchor"/>
          <w:rtl w:val="true"/>
        </w:rPr>
        <w:footnoteReference w:id="61"/>
      </w:r>
      <w:r>
        <w:rPr>
          <w:rFonts w:ascii="Amiri" w:hAnsi="Amiri" w:eastAsia="Amiri" w:cs="Amiri"/>
          <w:color w:val="111111"/>
          <w:sz w:val="28"/>
          <w:sz w:val="28"/>
          <w:szCs w:val="28"/>
          <w:rtl w:val="true"/>
          <w:lang w:bidi="ar-SA"/>
        </w:rPr>
        <w:t xml:space="preserve">، لما تقدّم من الأصول و غيرها في صدر المسألة ؛ و مال إليه بعض المتأخّرين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المخصّص موجود، و هو ما تقدّم من النصّ والإجماعات المنقولة، لأنّ التعارض بينهما من تعارض العامّ و الخاصّ في بعضهما و المطلق و المقيّد في الآخر، لأنّ المذكور في صدر المسألة قد دلّ على عدم قبول شهادتهم مطلقًا، لا في القتل و لا في غيره ؛ و الإجماعات المنقولة وغيرها قد دلّت على قبول شهادتهم في القتل و الجراح و الشجاج، لا في غيرها، فيخصّص العامّ بغير ما دلّ عليه الخاصّ و يقيّد المطلق بما عدا مورد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بعض المتأخّرين بعد الميل إلى هذا القول عن النصوص المجوّزة لقبول شهادتهم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يمكن أن يريد بقبول شهادة الصبيان فيما ذكر ثبوت الفعل بطريق </w:t>
      </w:r>
    </w:p>
    <w:p>
      <w:pPr>
        <w:pStyle w:val="BookText"/>
        <w:rPr/>
      </w:pPr>
      <w:r>
        <w:rPr>
          <w:rFonts w:ascii="Amiri" w:hAnsi="Amiri" w:eastAsia="Amiri" w:cs="Amiri"/>
          <w:color w:val="111111"/>
          <w:sz w:val="28"/>
          <w:sz w:val="28"/>
          <w:szCs w:val="28"/>
          <w:rtl w:val="true"/>
          <w:lang w:bidi="ar-SA"/>
        </w:rPr>
        <w:t xml:space="preserve">الاستفاضة، بناءً على الغالب من وقوع الجراح بينهم في اللعب </w:t>
      </w:r>
      <w:r>
        <w:rPr>
          <w:rStyle w:val="FootnoteAnchor"/>
          <w:rtl w:val="true"/>
        </w:rPr>
        <w:footnoteReference w:id="63"/>
      </w:r>
      <w:r>
        <w:rPr>
          <w:rFonts w:ascii="Amiri" w:hAnsi="Amiri" w:eastAsia="Amiri" w:cs="Amiri"/>
          <w:color w:val="111111"/>
          <w:sz w:val="28"/>
          <w:sz w:val="28"/>
          <w:szCs w:val="28"/>
          <w:rtl w:val="true"/>
          <w:lang w:bidi="ar-SA"/>
        </w:rPr>
        <w:t xml:space="preserve">حال اجتماعهم بكثرة يمكن أن يثبت بها الاستفاضة، إذ لا يشترط فيها بلوغ المخبر، بل و لا إسلامه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في المفاتيح </w:t>
      </w:r>
      <w:r>
        <w:rPr>
          <w:rStyle w:val="FootnoteAnchor"/>
          <w:rtl w:val="true"/>
        </w:rPr>
        <w:footnoteReference w:id="65"/>
      </w:r>
      <w:r>
        <w:rPr>
          <w:rFonts w:ascii="Amiri" w:hAnsi="Amiri" w:eastAsia="Amiri" w:cs="Amiri"/>
          <w:color w:val="111111"/>
          <w:sz w:val="28"/>
          <w:sz w:val="28"/>
          <w:szCs w:val="28"/>
          <w:rtl w:val="true"/>
          <w:lang w:bidi="ar-SA"/>
        </w:rPr>
        <w:t xml:space="preserve">في هذا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نظر، لما عرفت من أنّ النصوص واردة كلّها في القتل، لا في الجراح، كما أذعن بذلک المجيب أيضًا، فحملها على الجراح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مطلقة و تقييدها بما إذا بلغ حدّ الاستفاضة يحتاج إلى مقيّد، و ليس فليس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النصوص من الأصحاب و النصوص أنّ للصبيان مدخليّة في هذا الحكم، فلو كان المعتبر بلوغ ذلک حدّ الاستفاضة ارتفعت الخصوصيّة بالمرّة، كما لايخفى على مَن له أدنى دربة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زيادة على ما مرّ المستفاد من الشرائع قبول شهادتهم في الجراح مع الشروط الثلاثة المتقدّمة اتّفاقي، حيث قال بعد ذكر رواية جميل و محمّد بن حُمْرَان المتقدّمتين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والتهجّم على الدماء بخبر الواحد خطر، فالأولى الاقتصار على القبول </w:t>
      </w:r>
      <w:bookmarkStart w:id="56" w:name="pg14719_186480"/>
    </w:p>
    <w:p>
      <w:pPr>
        <w:pStyle w:val="BookText"/>
        <w:rPr/>
      </w:pPr>
      <w:bookmarkEnd w:id="56"/>
      <w:r>
        <w:rPr>
          <w:rFonts w:ascii="Amiri" w:hAnsi="Amiri" w:eastAsia="Amiri" w:cs="Amiri"/>
          <w:color w:val="111111"/>
          <w:sz w:val="28"/>
          <w:sz w:val="28"/>
          <w:szCs w:val="28"/>
          <w:rtl w:val="true"/>
          <w:lang w:bidi="ar-SA"/>
        </w:rPr>
        <w:t xml:space="preserve">في الجراح بالشروط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العشر، و بقاء الاجتماع، إذا كان على مباح، تمسّكًا بموضع الوفاق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بعدم قبول شهادتهم مطلقًا ضعيف جدًّا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53485_730472459"/>
      <w:bookmarkStart w:id="58" w:name="_Toc21"/>
      <w:bookmarkEnd w:id="57"/>
      <w:r>
        <w:rPr>
          <w:rtl w:val="true"/>
        </w:rPr>
        <w:t>يشترط العقل في سماع الشهادة</w:t>
      </w:r>
      <w:bookmarkEnd w:id="58"/>
    </w:p>
    <w:p>
      <w:pPr>
        <w:pStyle w:val="Heading2"/>
        <w:numPr>
          <w:ilvl w:val="1"/>
          <w:numId w:val="1"/>
        </w:numPr>
        <w:rPr/>
      </w:pPr>
      <w:bookmarkStart w:id="59" w:name="__RefHeading___Toc553487_730472459"/>
      <w:bookmarkStart w:id="60" w:name="_Toc22"/>
      <w:bookmarkEnd w:id="59"/>
      <w:r>
        <w:rPr/>
        <w:t>2</w:t>
      </w:r>
      <w:r>
        <w:rPr>
          <w:rtl w:val="true"/>
        </w:rPr>
        <w:t xml:space="preserve">- </w:t>
      </w:r>
      <w:r>
        <w:rPr>
          <w:rtl w:val="true"/>
        </w:rPr>
        <w:t>مسألة</w:t>
      </w:r>
      <w:bookmarkEnd w:id="60"/>
    </w:p>
    <w:p>
      <w:pPr>
        <w:pStyle w:val="Heading3"/>
        <w:numPr>
          <w:ilvl w:val="2"/>
          <w:numId w:val="1"/>
        </w:numPr>
        <w:rPr/>
      </w:pPr>
      <w:bookmarkStart w:id="61" w:name="__RefHeading___Toc553489_730472459"/>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 يشترط في الشاهد أيضًا كمال العقل، فلا تقبل شهادة المجنون إجماعًا، كما في الشرائع و كشف اللثام و غيرهما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محلّ وفاق بين المسلمين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الإجماع و الاتّفاق في ذلک كثير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تقبل من السكران، و ادّعى الإجماع عليه في كشف اللثام </w:t>
      </w:r>
      <w:r>
        <w:rPr>
          <w:rStyle w:val="FootnoteAnchor"/>
          <w:rtl w:val="true"/>
        </w:rPr>
        <w:footnoteReference w:id="69"/>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p>
    <w:p>
      <w:pPr>
        <w:pStyle w:val="BookText"/>
        <w:rPr/>
      </w:pPr>
      <w:r>
        <w:rPr>
          <w:rFonts w:ascii="Amiri" w:hAnsi="Amiri" w:eastAsia="Amiri" w:cs="Amiri"/>
          <w:color w:val="111111"/>
          <w:sz w:val="28"/>
          <w:sz w:val="28"/>
          <w:szCs w:val="28"/>
          <w:rtl w:val="true"/>
          <w:lang w:bidi="ar-SA"/>
        </w:rPr>
        <w:t xml:space="preserve">فإن لم يكونا </w:t>
      </w:r>
      <w:r>
        <w:rPr>
          <w:rStyle w:val="FootnoteAnchor"/>
          <w:rtl w:val="true"/>
        </w:rPr>
        <w:footnoteReference w:id="71"/>
      </w:r>
      <w:r>
        <w:rPr>
          <w:rFonts w:ascii="IRNazanin" w:hAnsi="IRNazanin" w:eastAsia="IRNazanin"/>
          <w:color w:val="111111"/>
          <w:sz w:val="28"/>
          <w:sz w:val="28"/>
          <w:szCs w:val="28"/>
          <w:rtl w:val="true"/>
          <w:lang w:bidi="fa-IR"/>
        </w:rPr>
        <w:t xml:space="preserve">فرجل و امرأتان ممّن ترضون من الشهداء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من المجنون و السكران ليس بعادل، لأنّ تعريف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ليس بمرضيّ، لأنّ المرضيّ للشهادة هو مَن يحترز من الكذب و يلازم الصدق و يخاف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و ليس شيء من ذلک بمتحقّق في المجنون والسكران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الشاهد لابدّ أن يكون ممّن يعرف ما يقول و يميّز المشهود به و المشهود له و المشهود عليه عن الغير و يطمئنّ النفس بقوله حتّى يحكم على الآخر بالنفس أو بالمال، و لا يصدق ذلک بالنسبة إليهما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جنونه غير مطبق، بل يعتوره أدوارًا، فلا تقبل شهادته أيضًا حال الجنون، لجميع ما ذكر ؛ و أمّا في حال الإفاقة فتقبل شهادته إذا علم الحاكم بكمال فطنته و عقله حالتي التحمّل و الأداء، لوجود المقتضي و انتفاء المانع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وجود المقتضي فلأنّه المفروض، إذ المفروض اجتماع جميع الشرائط المعتبرة في الشاهد ؛ و أمّا انتفاء المانع فلأنّ المانع ليس إلّا الجنون و المفروض أنّه قد علم زواله، و لم يثبت مانعيّة الجنون لقبول الشهادة مطلقًا و لو زال حالتي التحمّل و الأداء </w:t>
      </w:r>
      <w:r>
        <w:rPr>
          <w:rFonts w:eastAsia="Amiri" w:cs="Amiri" w:ascii="Amiri" w:hAnsi="Amiri"/>
          <w:color w:val="111111"/>
          <w:sz w:val="28"/>
          <w:szCs w:val="28"/>
          <w:rtl w:val="true"/>
          <w:lang w:bidi="ar-SA"/>
        </w:rPr>
        <w:t xml:space="preserve">. </w:t>
      </w:r>
      <w:bookmarkStart w:id="63" w:name="pg14719_186482"/>
    </w:p>
    <w:p>
      <w:pPr>
        <w:pStyle w:val="BookText"/>
        <w:rPr/>
      </w:pPr>
      <w:bookmarkEnd w:id="63"/>
      <w:r>
        <w:rPr>
          <w:rFonts w:ascii="IRNazanin" w:hAnsi="IRNazanin" w:eastAsia="IRNazanin"/>
          <w:color w:val="111111"/>
          <w:sz w:val="28"/>
          <w:sz w:val="28"/>
          <w:szCs w:val="28"/>
          <w:rtl w:val="true"/>
          <w:lang w:bidi="fa-IR"/>
        </w:rPr>
        <w:t xml:space="preserve">نعم، لو شکّ في كمال فطنته و عقله لم تسمع، للأصل ؛ و الاقتصار فيما خالف الأصل على القدر المتيقّن، إذ الحكم لشخص على آخر بشيء و لو مع البيّنة خلاف الأصل، لبراءة ذمّته عن ذلک و أصالة عدم جواز مطالبته عليه، و لأنّه مع الشکّ في ذلک لا تطمئنّ النفس بقوله و لا يحصل لها الوثوق بشهادته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العقل شرطٌ لجواز سماع الشهادة كما عرفت، و المفروض أنّه مشكوکٌ فيه، و الشکّ في الشرط يوجب الشکّ في المشروط، فلا يجوز سماعها، لأصالة عدم تحقّق شرط جواز السماع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لا تسمع شهادة المغفّل الّذي في جبلّته و طبعه البله، بحيث لا يتفطّن لتفاصيل الأشياء و يدخل عليه التزوير و الغلط من حيث لا يشعر إلّا بعد الاستظهار و التفتيش من الحاكم بحيث يظهر له 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كثير النسيان، فلا تسمع شهادته إلّا أن يكون المشهود به ممّا لايسهو عن مثله، أو بعد تفتيش الحاكم بحيث يظهر له عدم السهو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53491_730472459"/>
      <w:bookmarkStart w:id="65" w:name="_Toc24"/>
      <w:bookmarkEnd w:id="64"/>
      <w:r>
        <w:rPr>
          <w:rtl w:val="true"/>
        </w:rPr>
        <w:t>يشترط الإيمان في سماع الشهادة</w:t>
      </w:r>
      <w:bookmarkEnd w:id="65"/>
    </w:p>
    <w:p>
      <w:pPr>
        <w:pStyle w:val="Heading2"/>
        <w:numPr>
          <w:ilvl w:val="1"/>
          <w:numId w:val="1"/>
        </w:numPr>
        <w:rPr/>
      </w:pPr>
      <w:bookmarkStart w:id="66" w:name="__RefHeading___Toc553493_730472459"/>
      <w:bookmarkStart w:id="67" w:name="_Toc25"/>
      <w:bookmarkEnd w:id="66"/>
      <w:r>
        <w:rPr/>
        <w:t>3</w:t>
      </w:r>
      <w:r>
        <w:rPr>
          <w:rtl w:val="true"/>
        </w:rPr>
        <w:t xml:space="preserve">- </w:t>
      </w:r>
      <w:r>
        <w:rPr>
          <w:rtl w:val="true"/>
        </w:rPr>
        <w:t>مسألة</w:t>
      </w:r>
      <w:bookmarkEnd w:id="67"/>
    </w:p>
    <w:p>
      <w:pPr>
        <w:pStyle w:val="Heading3"/>
        <w:numPr>
          <w:ilvl w:val="2"/>
          <w:numId w:val="1"/>
        </w:numPr>
        <w:rPr/>
      </w:pPr>
      <w:bookmarkStart w:id="68" w:name="__RefHeading___Toc553495_730472459"/>
      <w:bookmarkStart w:id="69" w:name="_Toc26"/>
      <w:bookmarkEnd w:id="68"/>
      <w:r>
        <w:rPr>
          <w:rtl w:val="true"/>
        </w:rPr>
        <w:t>اشارة</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يشترط فيه الإيمان أيضًا، فلا تقبل شهادة غير المؤمن و إن كان من المخالف، لاتّفاق الأصحاب عليه ظاهرًا، كما في المسالک و كشف اللثام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التنقيح و المهذّب و شرح الشرائع للصيمريّ و شرح 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للأصل، لأنّک قد عرفت أنّ الحكم بشيء لشخص على آخر خلاف الأصل، وخلافه ثبت فيما إذا كان الشاهد مؤمنًا دون غيره على ما ستعرفه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لاعتبار العدالة في الشاهد كما سيجي، و غير المؤمن فاسق، فلا تقبل شهادته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غير المؤمن فاسق و ظالم من حيث اعتقاده الفاسد الّذي هو من أكبر الكبائر،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الفسق إنّما يتحقّق بفعل المعصية المخصوصة مع العلم بكونها معصية، أمّا مع عدمه بل مع اعتقاد أنّها طاعة بل من مهمّات </w:t>
      </w:r>
      <w:r>
        <w:rPr>
          <w:rStyle w:val="FootnoteAnchor"/>
          <w:rtl w:val="true"/>
        </w:rPr>
        <w:footnoteReference w:id="79"/>
      </w:r>
      <w:r>
        <w:rPr>
          <w:rFonts w:ascii="IRNazanin" w:hAnsi="IRNazanin" w:eastAsia="IRNazanin"/>
          <w:color w:val="111111"/>
          <w:sz w:val="28"/>
          <w:sz w:val="28"/>
          <w:szCs w:val="28"/>
          <w:rtl w:val="true"/>
          <w:lang w:bidi="fa-IR"/>
        </w:rPr>
        <w:t xml:space="preserve">الطاعات فلا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الأمر في المخالف للحقّ في الاعتقاد كذلک، لأنّه لا يعتقد المعصية، بل يزعم أنّ اعتقاده من أهمّ الطاعات، سواء كان اعتقاده صادرًا عن نظر أم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لا يتحقّق الظلم أيضًا، و إنّما يتّفق ذلک ممّن يعاند الحقّ مع علمه به ؛ و هذا لا يكاد يتّفق، و إن توهّمه بعض </w:t>
      </w:r>
      <w:r>
        <w:rPr>
          <w:rStyle w:val="FootnoteAnchor"/>
          <w:rtl w:val="true"/>
        </w:rPr>
        <w:footnoteReference w:id="80"/>
      </w:r>
      <w:r>
        <w:rPr>
          <w:rFonts w:ascii="Amiri" w:hAnsi="Amiri" w:eastAsia="Amiri" w:cs="Amiri"/>
          <w:color w:val="111111"/>
          <w:sz w:val="28"/>
          <w:sz w:val="28"/>
          <w:szCs w:val="28"/>
          <w:rtl w:val="true"/>
          <w:lang w:bidi="ar-SA"/>
        </w:rPr>
        <w:t xml:space="preserve">مَنْ لا عِلم له بالحال، إنتهى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في ذلک بعض من تبعه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إذ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الفسق إنّما يتحقّق بفعل المعصية المخصوصة مع العلم بكونها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المفسق مفسقٌ لمن ارتكبه مطلقًا، سواء علم أنّه الّذي بسببه يحصل الفسق،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أنّ من ارتكب فعل معصية يصدق عليه أنّه عاص و إن لم يعلم أنّه معصية، كما إذا جامع أحد مع امرأته أو غيرها في نهار شهر رمضان مع عدم علمه بعدم جواز ذلک، و هو عاص مستحقّ للعقاب، إلّا إذا تاب ؛ و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ما ذكره ينبغي أن لا عصيان للكافر و لا لغيره إذا لم يفعل ما علم أنّه معصية، و أن لا تكون فرقة من الكفّار و لا غيرهم فاسقين إذا لم يفعلوا ذلک ؛ والبديهة حاكمة بفساده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الفسق في اللغة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والخروج عن طريق الحقّ، قال في </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لأمر الله، و العصيان، و الخروج عن طريق الحقّ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فيكون أحد معانيه الخروج عن طريق الحقّ، و لا شبهة في صدق ذلک لجميع المخالفين و إن كان مسلمًا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جاءكم فاسقٌ بنبأٍ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حمل اللفظ على معناه اللغويّ، إلّا إذا ثبتت الحقيقة الشرعيّة، أو العرف العامّ على خلافها، فيحمل عليه بلا إشكال في الأوّل، و على القول بتقديم العرف على اللغة في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ثبوت الحقيقة الشرعيّة في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ذكره مشكلة ؛ وكيف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جماعة من فحول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كالمحقّق و العلّامة 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صرّحوا بفسق غير المؤمن بعنوان الإطلاق ؛ و قد عرفت كلام المحقّق في عبارة المسالک ؛ و قال العلّامة على ما حكي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فسق أعظم من عدم الإيمان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دعوى العرف العامّ ؛ و الشکّ كاف في المقام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الكفاية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الظاهر صدق الفسق و الظلم على المخالف، إنتهى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كشف اللثام بعد ذكر عدم قبول شهادة غير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للفسق و الظلم وانتفاء العدالة و إن كان ثقةً و لم تكن </w:t>
      </w:r>
      <w:r>
        <w:rPr>
          <w:rStyle w:val="FootnoteAnchor"/>
          <w:rtl w:val="true"/>
        </w:rPr>
        <w:footnoteReference w:id="86"/>
      </w:r>
      <w:r>
        <w:rPr>
          <w:rFonts w:ascii="IRNazanin" w:hAnsi="IRNazanin" w:eastAsia="IRNazanin"/>
          <w:color w:val="111111"/>
          <w:sz w:val="28"/>
          <w:sz w:val="28"/>
          <w:szCs w:val="28"/>
          <w:rtl w:val="true"/>
          <w:lang w:bidi="fa-IR"/>
        </w:rPr>
        <w:t>مخالفته عن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احتمل من قبول شهادته إذا كان ثقةً مأمونًا لتحقّق العدالة له، لأنّه لايعصي الله في اعتقاده، فهو من الضعف بمكان، إنتهى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أشار إلى ما ذكره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أجيب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التبيّن ربّما يحصل بعدم قبول شاهد واحد حتّى ينضمّ إليه شاهد آخر، فإنّ التبيّن ليس هو الردّ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نظر، لأنّه لا يجوز أن يكون المراد من التبيّن ذلک، لأنّه لا اختصاص له بالفاسق، بل مشترک بينه و بين المؤمن، إذ قول الشاهد المؤمن أيضًا غير مقبول إلّا إذا انضمّ إليه شاهد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شهيدين من رجالكم فإن لم يكونا </w:t>
      </w:r>
      <w:r>
        <w:rPr>
          <w:rStyle w:val="FootnoteAnchor"/>
          <w:rtl w:val="true"/>
        </w:rPr>
        <w:footnoteReference w:id="89"/>
      </w:r>
      <w:r>
        <w:rPr>
          <w:rFonts w:ascii="IRNazanin" w:hAnsi="IRNazanin" w:eastAsia="IRNazanin"/>
          <w:color w:val="111111"/>
          <w:sz w:val="28"/>
          <w:sz w:val="28"/>
          <w:szCs w:val="28"/>
          <w:rtl w:val="true"/>
          <w:lang w:bidi="fa-IR"/>
        </w:rPr>
        <w:t xml:space="preserve">فرجل وامرأتان ممّن ترضون من الشهداء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بناءً على ما جاء في تفسيره من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دينه و أمانته و صلاحه و عفّته و تفطّنه </w:t>
      </w:r>
      <w:r>
        <w:rPr>
          <w:rStyle w:val="FootnoteAnchor"/>
          <w:rtl w:val="true"/>
        </w:rPr>
        <w:footnoteReference w:id="91"/>
      </w:r>
      <w:r>
        <w:rPr>
          <w:rFonts w:ascii="Amiri" w:hAnsi="Amiri" w:eastAsia="Amiri" w:cs="Amiri"/>
          <w:color w:val="111111"/>
          <w:sz w:val="28"/>
          <w:sz w:val="28"/>
          <w:szCs w:val="28"/>
          <w:rtl w:val="true"/>
          <w:lang w:bidi="ar-SA"/>
        </w:rPr>
        <w:t xml:space="preserve">فيما يشهد به، وتمييزه </w:t>
      </w:r>
      <w:r>
        <w:rPr>
          <w:rStyle w:val="FootnoteAnchor"/>
          <w:rtl w:val="true"/>
        </w:rPr>
        <w:footnoteReference w:id="92"/>
      </w:r>
      <w:r>
        <w:rPr>
          <w:rFonts w:ascii="Amiri" w:hAnsi="Amiri" w:eastAsia="Amiri" w:cs="Amiri"/>
          <w:color w:val="111111"/>
          <w:sz w:val="28"/>
          <w:sz w:val="28"/>
          <w:szCs w:val="28"/>
          <w:rtl w:val="true"/>
          <w:lang w:bidi="ar-SA"/>
        </w:rPr>
        <w:t xml:space="preserve">، فما كلّ صالح مميّز محصّل </w:t>
      </w:r>
      <w:r>
        <w:rPr>
          <w:rStyle w:val="FootnoteAnchor"/>
          <w:rtl w:val="true"/>
        </w:rPr>
        <w:footnoteReference w:id="93"/>
      </w:r>
      <w:r>
        <w:rPr>
          <w:rFonts w:ascii="Amiri" w:hAnsi="Amiri" w:eastAsia="Amiri" w:cs="Amiri"/>
          <w:color w:val="111111"/>
          <w:sz w:val="28"/>
          <w:sz w:val="28"/>
          <w:szCs w:val="28"/>
          <w:rtl w:val="true"/>
          <w:lang w:bidi="ar-SA"/>
        </w:rPr>
        <w:t xml:space="preserve">، و لا كلّ محصّل مميّز صالح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شکّ أنّ المخالف ليس بمرضيّ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المؤمن والمخالف، فينبغي أن تجوز شهادة المخالف أيضًا، لشمول الدليل لهم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تسليم شموله للمخالف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يجب تخصيصه بعد ثبوت المخصّص، و هو في نفس الآية موجود، لأنّ تقييدها بمن يرضون يعيّن كون المراد منه غير المخالف، لما عرفت من تفسير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بمن يرضي دينه ؛ و المخالف ليس بمرضيّ الدين قطعًا كما عرفت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لا نسلّم شمول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المذكورة المخالف، بناءً على مذهبنا الإماميّة من اختصاص الخطابات الشفاهيّة بالمخاطبين بها دون غيرهم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معلومٌ بالبديهة أنّ المخالف ليس موجودًا في زمان نزول الآية، فلايشمله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النصوص المستفيضة جواز قبول شهادة المسلمين، والظاهر صدق المسلم على المخالف،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المسلمين على جميع أهل الملل، و لا تجوز شهادة أهل الملل </w:t>
      </w:r>
      <w:r>
        <w:rPr>
          <w:rStyle w:val="FootnoteAnchor"/>
          <w:rtl w:val="true"/>
        </w:rPr>
        <w:footnoteReference w:id="96"/>
      </w:r>
      <w:r>
        <w:rPr>
          <w:rFonts w:ascii="Amiri" w:hAnsi="Amiri" w:eastAsia="Amiri" w:cs="Amiri"/>
          <w:color w:val="111111"/>
          <w:sz w:val="28"/>
          <w:sz w:val="28"/>
          <w:szCs w:val="28"/>
          <w:rtl w:val="true"/>
          <w:lang w:bidi="ar-SA"/>
        </w:rPr>
        <w:t xml:space="preserve">على المسلمين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صدق المسلم على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هذه النصوص و الآية المذكورة عمومٌ من وجه، لأنّ هذه النصوص تدلّ على جواز قبول شهادة المسلم مطلقًا سواء كان مؤمنًا، أو غيره ؛ والآية قد دلّت على عدم جواز قبول شهادة الفاسق سواء كان مسلمًا أو غيره، فالواجب الرجوع إلى الترجيح، و هو مع الآية، لِقطعيّة متنها و لموافقتها بعمل الأصحاب كما عرفت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تسليم كون التعارض بينهما من قبيل تعارض المطلق و المقيّد بأن تكون الآية مطلقة،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الأصحاب على إطلاقها يمنع من تقييدها بالنصوص المزبورة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يعلم الجواب عمّا رواه عبد الله بن المغيرة في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طلّق امرأته و أشهد شاهدين ناصبيّين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ولد على الفطرة و عرف بالصلاح في نفسه جازت شهادته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إجماعنا منعقدٌ على كفر الناصبيّ بالكفر المقابل للإسلام، و عدم قبول شهادة الكافر ممّا لا تدخل حوله ريبة ؛ و ظاهر الحديث المذكور حيث ورد السؤال عن شهادة الناصبيّ قبول شهادته، فهو خلاف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تقدير صدق المسلم عليهم حقيقة، و أمّا على القول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جماعة من الأصحاب كالسيّد و ابن ادريس و غيرهما </w:t>
      </w:r>
      <w:r>
        <w:rPr>
          <w:rStyle w:val="FootnoteAnchor"/>
          <w:rtl w:val="true"/>
        </w:rPr>
        <w:footnoteReference w:id="100"/>
      </w:r>
      <w:r>
        <w:rPr>
          <w:rFonts w:ascii="Amiri" w:hAnsi="Amiri" w:eastAsia="Amiri" w:cs="Amiri"/>
          <w:color w:val="111111"/>
          <w:sz w:val="28"/>
          <w:sz w:val="28"/>
          <w:szCs w:val="28"/>
          <w:rtl w:val="true"/>
          <w:lang w:bidi="ar-SA"/>
        </w:rPr>
        <w:t xml:space="preserve">، بل عن ابن إدريس الإجماع عليه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شمول هذه النصوص عليهم معلوم، فلا يحتاج إلى تجشّم الجواب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لعدم قبول شهادة المخالفين أيضًا بالنصوص المستفيضة، بل المتواترة الّتي أطلق فيها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 و قد ذكرنا كثيرًا منها في رسالة منفردة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70" w:name="pg14719_186490"/>
    </w:p>
    <w:p>
      <w:pPr>
        <w:pStyle w:val="BookText"/>
        <w:rPr/>
      </w:pPr>
      <w:bookmarkEnd w:id="70"/>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إمّا بعنوان الحقيقة، أو المجاز ؛ و على الأوّل الاستدلال واضح، و أمّا على الثاني فللقاعدة المسلّمة، وهي أنّه متى تعذّر حمل اللفظ على الحقيقة فحمله على أقرب المجازات معيّن، فمقتضى هذه القاعدة اشتراكهم مع الكافر في جميع أحكامه و من جملتها عدم قبول الشهادة، فلا تقبل منهم أيضًا، و هو المطلوب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53497_730472459"/>
      <w:bookmarkStart w:id="72" w:name="_Toc27"/>
      <w:bookmarkEnd w:id="71"/>
      <w:r>
        <w:rPr>
          <w:rtl w:val="true"/>
        </w:rPr>
        <w:t>تقبل شهادة الذمّيّ على المسلم في الوصيّة</w:t>
      </w:r>
      <w:bookmarkEnd w:id="72"/>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قبول شهادة غير المؤمن على المؤمن إلّا الذمّيّ، فإنّه تقبل شهادته في الوصيّة خاصّة إذا كان عدلاً في دينه عند عدم المسلمين بالإجماع على ما حكاه جماعة من الأصحاب </w:t>
      </w:r>
      <w:r>
        <w:rPr>
          <w:rStyle w:val="FootnoteAnchor"/>
          <w:rtl w:val="true"/>
        </w:rPr>
        <w:footnoteReference w:id="10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بناءً على ما سيجيء من تفسيره في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مسوّغ الابتداء بها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و كونها عاملة </w:t>
      </w:r>
    </w:p>
    <w:p>
      <w:pPr>
        <w:pStyle w:val="BookText"/>
        <w:rPr/>
      </w:pPr>
      <w:r>
        <w:rPr>
          <w:rFonts w:ascii="Amiri" w:hAnsi="Amiri" w:eastAsia="Amiri" w:cs="Amiri"/>
          <w:color w:val="111111"/>
          <w:sz w:val="28"/>
          <w:sz w:val="28"/>
          <w:szCs w:val="28"/>
          <w:rtl w:val="true"/>
          <w:lang w:bidi="ar-SA"/>
        </w:rPr>
        <w:t xml:space="preserve">لكونها مصدرًا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للشهادة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لاثنان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صفة أخرى له أو صفة للصفة، و على التقديرين متعلّق بمحذوف وجوبًا ؛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شهادة اثنين ؛ حذف المضاف و أقيم المضاف إليه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الاحتمالين، و الاحتمال 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شهادة بينكم إذا حضر أحدكم الموت حين الوصيّة يشهد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النكتة في الإبهام ثمّ التفسير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الحكم في النفس مرّتين ؛ و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سائلاً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للنصوص المستفيضة،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حمزة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ذَوَا عَدل منكم أو آخران 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منكم مسلمان و اللّذان من غيركم من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ذلک إذا مات الرجل المسلم في أرض غربة، فيطلب رجلين مسلمين ليشهدهما على وصيّته، فلم يجد مسلمين أشهد على وصيّته رجلين ذمّيّين من أهل الكتاب مرضيّين عند أصحابهم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الحكم في الحسن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في أرض غربة ولايوجد فيها مسلم جازت شهادة من ليس بمسلم على الوصيّة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ضريس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أهل ملّة </w:t>
      </w:r>
      <w:r>
        <w:rPr>
          <w:rStyle w:val="FootnoteAnchor"/>
          <w:rtl w:val="true"/>
        </w:rPr>
        <w:footnoteReference w:id="108"/>
      </w:r>
      <w:r>
        <w:rPr>
          <w:rFonts w:ascii="IRNazanin" w:hAnsi="IRNazanin" w:eastAsia="IRNazanin"/>
          <w:color w:val="111111"/>
          <w:sz w:val="28"/>
          <w:sz w:val="28"/>
          <w:szCs w:val="28"/>
          <w:rtl w:val="true"/>
          <w:lang w:bidi="fa-IR"/>
        </w:rPr>
        <w:t xml:space="preserve">هل تجوز على رجل من غير أهل ملّتهم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لا يوجد في تلک الحال غيرهم، فإن لم يوجد غيرهم جازت شهادتهم في الوصيّة، لأنّه لا يصلح ذهاب حقّ امرئ مسلم، و لا تبطل وصيّته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عن شهادة أهل الملّة،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إلّا على أهل ملّتهم، فإن لم يوجد </w:t>
      </w:r>
      <w:r>
        <w:rPr>
          <w:rStyle w:val="FootnoteAnchor"/>
          <w:rtl w:val="true"/>
        </w:rPr>
        <w:footnoteReference w:id="110"/>
      </w:r>
      <w:r>
        <w:rPr>
          <w:rFonts w:ascii="Amiri" w:hAnsi="Amiri" w:eastAsia="Amiri" w:cs="Amiri"/>
          <w:color w:val="111111"/>
          <w:sz w:val="28"/>
          <w:sz w:val="28"/>
          <w:szCs w:val="28"/>
          <w:rtl w:val="true"/>
          <w:lang w:bidi="ar-SA"/>
        </w:rPr>
        <w:t xml:space="preserve">غيرهم جازت شهادتهم على الوصيّة، لأنّه لا يصلح ذهاب حقّ أحد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73" w:name="pg14719_186493"/>
    </w:p>
    <w:p>
      <w:pPr>
        <w:pStyle w:val="Heading3"/>
        <w:numPr>
          <w:ilvl w:val="2"/>
          <w:numId w:val="1"/>
        </w:numPr>
        <w:rPr/>
      </w:pPr>
      <w:bookmarkStart w:id="74" w:name="__RefHeading___Toc553499_730472459"/>
      <w:bookmarkStart w:id="75" w:name="_Toc28"/>
      <w:bookmarkEnd w:id="73"/>
      <w:bookmarkEnd w:id="74"/>
      <w:r>
        <w:rPr>
          <w:rtl w:val="true"/>
        </w:rPr>
        <w:t>فروع</w:t>
      </w:r>
      <w:bookmarkEnd w:id="75"/>
    </w:p>
    <w:p>
      <w:pPr>
        <w:pStyle w:val="Heading4"/>
        <w:numPr>
          <w:ilvl w:val="3"/>
          <w:numId w:val="1"/>
        </w:numPr>
        <w:rPr/>
      </w:pPr>
      <w:bookmarkStart w:id="76" w:name="__RefHeading___Toc553501_730472459"/>
      <w:bookmarkStart w:id="77" w:name="_Toc29"/>
      <w:bookmarkEnd w:id="76"/>
      <w:r>
        <w:rPr>
          <w:rtl w:val="true"/>
        </w:rPr>
        <w:t>الفرع الأوّل</w:t>
      </w:r>
      <w:bookmarkEnd w:id="7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النصوص الثلاثة من الحسن و ما بعده و إن كان إطلاقها دالاًّ على قبول شهادة غير الذمّيّ أيضًا، لكنّ الأُولى مقيّدة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رجلين ذمّيّين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المطلق محمولٌ على المقيّد ؛ و بها يقيّد إطلاق الآية المذكورة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و هو أعمٌّ من أن يكون ذمّيًّا، أم لا، لكنّها مقيّدة بالأوّل بقرينة الرواية المفسّرة لها بالذمّيّ كما عرفت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لم نجد من الأصحاب من جوّز قبول شهادة غير الذمّيّ على المسلم مطلقًا، لا في الوصيّة و لا في غيرها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53503_730472459"/>
      <w:bookmarkStart w:id="79" w:name="_Toc30"/>
      <w:bookmarkEnd w:id="78"/>
      <w:r>
        <w:rPr>
          <w:rtl w:val="true"/>
        </w:rPr>
        <w:t>الفرع الثاني</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الثلاث بإطلاقها تدلّ على جواز قبول شهادة أهل ملّة أعمٌّ من أن يكون عادلاً عند أصحابهم، أم لا، لكن يجب تقييدها بالأوّل بقرينة الرواية الأولى أيضًا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مرضيّين عند أصحابهم </w:t>
      </w:r>
      <w:r>
        <w:rPr>
          <w:rFonts w:eastAsia="Amiri" w:cs="Amiri" w:ascii="Amiri" w:hAnsi="Amiri"/>
          <w:color w:val="111111"/>
          <w:sz w:val="28"/>
          <w:szCs w:val="28"/>
          <w:rtl w:val="true"/>
          <w:lang w:bidi="ar-SA"/>
        </w:rPr>
        <w:t xml:space="preserve">». </w:t>
      </w:r>
      <w:bookmarkStart w:id="80" w:name="pg14719_186494"/>
    </w:p>
    <w:p>
      <w:pPr>
        <w:pStyle w:val="BookText"/>
        <w:rPr/>
      </w:pPr>
      <w:bookmarkEnd w:id="80"/>
      <w:r>
        <w:rPr>
          <w:rFonts w:ascii="IRNazanin" w:hAnsi="IRNazanin" w:eastAsia="IRNazanin"/>
          <w:color w:val="111111"/>
          <w:sz w:val="28"/>
          <w:sz w:val="28"/>
          <w:szCs w:val="28"/>
          <w:rtl w:val="true"/>
          <w:lang w:bidi="fa-IR"/>
        </w:rPr>
        <w:t xml:space="preserve">و أيضًا يمكن الاستدلال لاعتبارها بفحوى ما دلّ على اعتبارها في المسلم، لأنّه لو اعتبرت العدالة في المسلم لقبول شهادتهم، فاعتبارها في الذمّيّ لذلک بطريق أولى ؛ و 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تقبل شهادة الفسّاق من المؤمنين، فعدم قبول شهادة الفسّاق من غيرهم بطريق 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يمكن الاستدلال لاعتبار العدالة في الذمّيّ لقبول شهادتهم بالآية المذكورة من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الفحوى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اثنان ذوا عدل منكم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بناءً على 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سياق الآية يستفاد منه حذف الصفة لآخران، و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ذوا عدل منكم أو آخران كذلک من غيركم،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شهادة غير المؤمن خلاف الأصل كما عرفت مفصّلاً،والاقتصار فيما خالف الأصل على القدر المتيقّن لازم، و هو ما ذكرناه من كونه عادلاً و مرضيًّا عند أصحابهم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553505_730472459"/>
      <w:bookmarkStart w:id="82" w:name="_Toc31"/>
      <w:bookmarkEnd w:id="81"/>
      <w:r>
        <w:rPr>
          <w:rtl w:val="true"/>
        </w:rPr>
        <w:t>الفرع الثالث</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المستفاد من النصوص المذكورة هو أنّ الإشهاد بالذمّيّ إنّما هو مع عدم التمكّن من المسلم مطلقًا و لو كان فاسقًا ؛ و مقتضاه أنّه لو وجد مسلم </w:t>
      </w:r>
    </w:p>
    <w:p>
      <w:pPr>
        <w:pStyle w:val="BookText"/>
        <w:rPr/>
      </w:pPr>
      <w:r>
        <w:rPr>
          <w:rFonts w:ascii="Amiri" w:hAnsi="Amiri" w:eastAsia="Amiri" w:cs="Amiri"/>
          <w:color w:val="111111"/>
          <w:sz w:val="28"/>
          <w:sz w:val="28"/>
          <w:szCs w:val="28"/>
          <w:rtl w:val="true"/>
          <w:lang w:bidi="ar-SA"/>
        </w:rPr>
        <w:t xml:space="preserve">فاسق يقدّم على الذمّيّ، و هو مقتضى كلام جماعة من الأصحاب أيضًا حيث اعتبروا عدم المسلم في قبول شهادة الذمّيّ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التذكرة التفصيل بين الفاسق المسلم المحترز عن الكذب والخيانة و بين غيره، فيقدّم الأوّل على الذمّيّ دون الثاني،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وجد مسلمان فاسقان فإن كان فسقهما بغير الكذب والخيانة فالأولى أنّهما أولى من أهل الذمّة، و لو كان فسقهما يتضمّن اعتماد الكذب وعدم التحرّز منه فأهل الذمّة أولى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من المحقّق في الشرائع و العلّامة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الشهادة من الذمّيّ في الوصيّة غير متوقّف على عدم مطلق المسلم، بل عدم عدو لهم، حيث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 شهادة الذمّي في الوصيّة عند عدم عدول المسلمين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 أنّه لو وجد فسّاق المسلمين يقدّم الذمّيّ عليهم ؛ و به صرّح في كنز العرفان، حيث قال في جملة كلامه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تكون الآية مخصّصة لأدلّة اشتراط الإيمان والعدالة في الشاهد بما عدا الوصيّة، نعم يشترط عدالتهم في دينهم، و يرجّحون على فسّاق </w:t>
      </w:r>
    </w:p>
    <w:p>
      <w:pPr>
        <w:pStyle w:val="BookText"/>
        <w:rPr/>
      </w:pPr>
      <w:r>
        <w:rPr>
          <w:rFonts w:ascii="Amiri" w:hAnsi="Amiri" w:eastAsia="Amiri" w:cs="Amiri"/>
          <w:color w:val="111111"/>
          <w:sz w:val="28"/>
          <w:sz w:val="28"/>
          <w:szCs w:val="28"/>
          <w:rtl w:val="true"/>
          <w:lang w:bidi="ar-SA"/>
        </w:rPr>
        <w:t xml:space="preserve">المسلمين، إنتهى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صريح التحرير أيضًا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وجد فسّاق المسلمين و شهدوا لم تقبل، و لو شهد أهل الذمّة فقبلت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الحقّ،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اثنان ذوا عدل منكم أو آخران من غيركم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للترتيب، كقولک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أنكح هندًا أو أختها ؛ 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في الإشهاد بين عدل المسلم و غير المسلم بأنّه مع عدم الأوّل يؤتى بالثاني، فالواسطة منتفية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الأصل عدم قبول شهادة غير المؤمن العادل مطلقًا، سواء كان المؤمن الفاسق أو غير المؤمن، ذمّيًّا كان أو غيره، خرج منه شهادة الذمّيّ بالنصوص المذكورة والإجماعات المنقولة، بخلاف غيره، فهو باق على الأصل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النصوص المذكورة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فيها و إن كان مطلقًا أو عامًّا شاملاً للعادل و غيره، لكن يجب تقييده أو تخصيصه بالأوّل للاية الشريفة على ما مرّ بيانه </w:t>
      </w:r>
      <w:r>
        <w:rPr>
          <w:rFonts w:eastAsia="Amiri" w:cs="Amiri" w:ascii="Amiri" w:hAnsi="Amiri"/>
          <w:color w:val="111111"/>
          <w:sz w:val="28"/>
          <w:szCs w:val="28"/>
          <w:rtl w:val="true"/>
          <w:lang w:bidi="ar-SA"/>
        </w:rPr>
        <w:t xml:space="preserve">. </w:t>
      </w:r>
      <w:bookmarkStart w:id="83" w:name="pg14719_186497"/>
    </w:p>
    <w:p>
      <w:pPr>
        <w:pStyle w:val="Heading4"/>
        <w:numPr>
          <w:ilvl w:val="3"/>
          <w:numId w:val="1"/>
        </w:numPr>
        <w:rPr/>
      </w:pPr>
      <w:bookmarkStart w:id="84" w:name="__RefHeading___Toc553507_730472459"/>
      <w:bookmarkStart w:id="85" w:name="_Toc32"/>
      <w:bookmarkEnd w:id="83"/>
      <w:bookmarkEnd w:id="84"/>
      <w:r>
        <w:rPr>
          <w:rtl w:val="true"/>
        </w:rPr>
        <w:t>الفرع الرابع</w:t>
      </w:r>
      <w:bookmarkEnd w:id="85"/>
    </w:p>
    <w:p>
      <w:pPr>
        <w:pStyle w:val="BookText"/>
        <w:rPr/>
      </w:pPr>
      <w:r>
        <w:rPr>
          <w:rFonts w:ascii="IRNazanin" w:hAnsi="IRNazanin" w:eastAsia="IRNazanin"/>
          <w:color w:val="111111"/>
          <w:sz w:val="28"/>
          <w:sz w:val="28"/>
          <w:szCs w:val="28"/>
          <w:rtl w:val="true"/>
          <w:lang w:bidi="fa-IR"/>
        </w:rPr>
        <w:t xml:space="preserve">الرابع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قبول شهادة الذمّيّ مختصّ في الوصيّة بالمال، كما عن السرائر والتحرير و التذكرة و الدروس و المسالک و غيرهم </w:t>
      </w:r>
      <w:r>
        <w:rPr>
          <w:rStyle w:val="FootnoteAnchor"/>
          <w:rtl w:val="true"/>
        </w:rPr>
        <w:footnoteReference w:id="120"/>
      </w:r>
      <w:r>
        <w:rPr>
          <w:rFonts w:ascii="Amiri" w:hAnsi="Amiri" w:eastAsia="Amiri" w:cs="Amiri"/>
          <w:color w:val="111111"/>
          <w:sz w:val="28"/>
          <w:sz w:val="28"/>
          <w:szCs w:val="28"/>
          <w:rtl w:val="true"/>
          <w:lang w:bidi="ar-SA"/>
        </w:rPr>
        <w:t xml:space="preserve">، لا بالولاية، للأصل المتقدّم،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شهادة غير المؤمن خلاف الأصل، والاقتصار فيما خالف الأصل على القدر المتيقّن لازم، و هو الوصيّة بالمال، لا بالولاية ؛ و إطلاق الآية والنصوص في الوصيّة ينصرف إليه، و كذا إطلاق جماعة من الأصحاب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ادّعى الإجماع صريحًا في كنز العرفان على عدم قبول شهادتهم فيها،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شهادة أهل الذمّة في الوصيّة عند أصحابنا مختصّ بالمال، فلاتسمع في الولاية إجماعًا، إنتهى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553509_730472459"/>
      <w:bookmarkStart w:id="87" w:name="_Toc33"/>
      <w:bookmarkEnd w:id="86"/>
      <w:r>
        <w:rPr>
          <w:rtl w:val="true"/>
        </w:rPr>
        <w:t>الفرع الخامس</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قبول شهادتهم على المسلم كونه في أرض 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شهادتهم مع عدم كون المسلم غريبًا و لو لم يوجد غير المسلم للإشهاد ؛ أو لا، فتقبل مطلقًا و لو لم يكن المسلم غريبًا، بل المعتبر عدم </w:t>
      </w:r>
    </w:p>
    <w:p>
      <w:pPr>
        <w:pStyle w:val="BookText"/>
        <w:rPr/>
      </w:pPr>
      <w:r>
        <w:rPr>
          <w:rFonts w:ascii="IRNazanin" w:hAnsi="IRNazanin" w:eastAsia="IRNazanin"/>
          <w:color w:val="111111"/>
          <w:sz w:val="28"/>
          <w:sz w:val="28"/>
          <w:szCs w:val="28"/>
          <w:rtl w:val="true"/>
          <w:lang w:bidi="fa-IR"/>
        </w:rPr>
        <w:t>المسلم المؤمن للإشهاد ؟</w:t>
      </w:r>
    </w:p>
    <w:p>
      <w:pPr>
        <w:pStyle w:val="BookText"/>
        <w:rPr/>
      </w:pPr>
      <w:r>
        <w:rPr>
          <w:rFonts w:ascii="Amiri" w:hAnsi="Amiri" w:eastAsia="Amiri" w:cs="Amiri"/>
          <w:color w:val="111111"/>
          <w:sz w:val="28"/>
          <w:sz w:val="28"/>
          <w:szCs w:val="28"/>
          <w:rtl w:val="true"/>
          <w:lang w:bidi="ar-SA"/>
        </w:rPr>
        <w:t xml:space="preserve">فيه خلافٌ بين الأصحاب، و المحكيّ عن الشيخ في المبسوط وابن الجنيد وأبي الصلاح الأوّل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مقتضى الأصل على ما تقدّم بيانه، و ظاهر الآية الشريفة،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بينكم إذا حَضَر أحدَكُم الموتُ حينَ الوصيّةِ اثنَان ذَوا عدلٍ منكم أو آخَران من غيركم إن أنتم ضَرَبتُم في الأرض فأصابتكم مصيبةُ الموت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ضربتم في الأرض ليس الحكم على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مقتضى جملة من النصوص الواردة في المسألة،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رواية حمزة بن حُمْرَان و حسنة هشام، حيث قال في 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إنّما ذلک إذا كان الرجل المسلم في أرض 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آخره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في أرض 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مثل الرواية الأولى، و هو ما رواه في الفقيه باسناده عن الحسن بن عليّ الوشاء عن أحمد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ذوا عدل منكم أو آخران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واللّذان من غيركم </w:t>
      </w:r>
    </w:p>
    <w:p>
      <w:pPr>
        <w:pStyle w:val="BookText"/>
        <w:rPr/>
      </w:pPr>
      <w:r>
        <w:rPr>
          <w:rFonts w:ascii="IRNazanin" w:hAnsi="IRNazanin" w:eastAsia="IRNazanin"/>
          <w:color w:val="111111"/>
          <w:sz w:val="28"/>
          <w:sz w:val="28"/>
          <w:szCs w:val="28"/>
          <w:rtl w:val="true"/>
          <w:lang w:bidi="fa-IR"/>
        </w:rPr>
        <w:t xml:space="preserve">من أهل الكتاب، فإن لم تجد من أهل الكتاب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 بهم سنّة أهل الكتاب ؛ و ذلک إذا مات الرجل بأرض غربة فلم يجد مسلمين يُشهدهما فرجلان من أهل الكتاب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مفهوم الشرط في هذه النصوص الثلاثة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لو لم يكن في أرض غربة فلا يشهد من أهل الكتاب مطلقًا، سواء وجد مسلمان للإشهاد،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يفهم من ظاهر المبسوط و الغنية كون ذلک إجماعيًّا بيننا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المحقّق و العلّامة و جماعة إلى الثاني </w:t>
      </w:r>
      <w:r>
        <w:rPr>
          <w:rStyle w:val="FootnoteAnchor"/>
          <w:rtl w:val="true"/>
        </w:rPr>
        <w:footnoteReference w:id="12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اشتراط كون المسلم في أرض غربة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المحكيّ عن ظاهر كثير من القدماء، كالشيخين في المقنعة والنهاية وابن أبي عقيل و سلّار وابن البرّاج وابن إدريس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في المسالک و رياض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يشترط كون الموصي في غربة، و باشتراطه رواية مطروحة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حكي عن التحرير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يستفاد من نسبتهما الرواية المشترطة إلى الطرح عدم القائل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هو الأقرب، لما تقدّم من رواية ضريس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يوجد غيرهم جازت شهادتهم على الوصيّة، لأنّه لا يصلح ذهاب حقّ امرئ مسلم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الموثّقة المتقدّمة ؛ و الاستدلال بكلّ منهما للمختار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يوجد غيرهم جازت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مطلقٌ شاملٌ لما إذا كان في أرض غربة أم لا،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التعليل،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يصلح ذهاب حقّ امرئ مسلم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و العموم حجّة إذا لم يوجد المقيّد و المخصّص، و هنا قد وجد، لأنّ النصوص المتقدّمة و كذا الآية الشريفة مفهوم الشرط فيها يدلّ على أنّ المسلم لو لم يكن في غربة لم تقبل شهادة الذمّيّ، فيقيّد بهذا المفهوم إطلاق الحديثين المذكورين و يخصّص به عموم التعليل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فيها لا عبرة به، لورود الشرط مورد الغالب، لأنّ الغالب فيما إذا لم يوجد المسلم للإشهاد هو ما إذا كان المسلم في غربة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تكون تلک النصوص و الآية دالّة على ثبوت الحكم في أرض غربة، وهو لا ينافي ثبوته في غيرها، لأنّ إثبات الشيء لا ينفي ما عداه، فلا تصلح للتقييد و التخصيص، لأنّ المعتبر في المقيّد و المخصّص تضمّنهما على حكمين إثباتًا و نفيًا حتّى يتحقّق التعارض، و قد عرفت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بعينه وارد في الحديثين المذكورين، لأنّ المطلق أيضًا ينصرف إلى الفرد الغالب، و الغالب فيما إذا لم يوجد مسلم للإشهاد حتّى يجوز الإشهاد بالذمّيّ هو ما إذا كان المسلم في أرض غربة كما اعترفت به، فينصرف الإطلاق إليه و يجب الرجوع في غير الفرد الغالب إلى حكم الأصل، و هو ما عرفته من عدم جواز قبول شهادة غير المؤمن إلّا مورد النصّ، و قد عرفت أنّ ما نحن فيه ليس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يسلم بالنسبة إلى الإطلاق، و أمّا بالنسبة إلى التعليل فلا، لأنّ مفهوم التعليل عامّ شاملٌ للفرد الغالب و النادر، فيخصّص به الأصل المتقدّم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لو سلّمنا عدم ورود الشرط في النصوص و الآية مورد الغالب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الحديثين المذكورين بهذه النصوص إنّما يجب إذا كان التعارض بينهما من تعارض النصّ و الظاهر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الأمر كذلک، بل التعارض بينهما من قبيل تعارض الظاهرين و العموم </w:t>
      </w:r>
    </w:p>
    <w:p>
      <w:pPr>
        <w:pStyle w:val="BookText"/>
        <w:rPr/>
      </w:pPr>
      <w:r>
        <w:rPr>
          <w:rFonts w:ascii="Amiri" w:hAnsi="Amiri" w:eastAsia="Amiri" w:cs="Amiri"/>
          <w:color w:val="111111"/>
          <w:sz w:val="28"/>
          <w:sz w:val="28"/>
          <w:szCs w:val="28"/>
          <w:rtl w:val="true"/>
          <w:lang w:bidi="ar-SA"/>
        </w:rPr>
        <w:t xml:space="preserve">من وجه، لأنّ مفهوم الشرط هو ما إذا لم يكن الرجل في أرض غربة لم يشهد الذمّيّ، و هو و إن كان خاصًّا من جهة اشتماله على عدم كون الرجل في أرض غربة، لكنّه عامّ من حيث التمكّن من الإشهاد بالمسلم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الحديثان المذكوران و إن كانا عامّين من حيث عدم كون الرجل في أرض غربة و غيرها، لكنّهما مختصّين بما إذا لم يتمكّن من المسلم، فالواجب عند تعارض الظاهرين الرجوع إلى الترجيح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فيما نحن فيه و إن كان لكلٍّ من الطرفين جهة رجحان و مرجوحيّة، أمّا جهة الرجحان لتلک النصوص و الآية فلكثرة العدد و قطعيّة متن الآية و الموافقة للأصل ؛ و أمّا جهة الرجحان للحديثين فللشهرة على ما عرفت، إلّا أنّها أقوى المرجّحات عند تعارض الأدلّة، فيقدّمان الحديثان على تلک النصوص و الآية وإن كانت جهة الرجحان لها متعدّدة، كما مرّت إليها الإشارة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القائل بمضمونها بعد من تقدّم غير ظاهر، فعلى تسليم كونها خاصّة لا تصلح لتخصيص العامّ المعمول في أفراده عند المشهور بين الطائفة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ذكرنا ظهر لک ضعف ما ذهب إليه في الكفاية، حيث قال بعد نقل اشتراط الغربة في الموصي عن الجماعة المتقدّمة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متّجه، لأنّ المستفاد من حسنة هشام بن الحكم و رواية حمزة </w:t>
      </w:r>
      <w:bookmarkStart w:id="88" w:name="pg14719_186503"/>
    </w:p>
    <w:p>
      <w:pPr>
        <w:pStyle w:val="BookText"/>
        <w:rPr/>
      </w:pPr>
      <w:bookmarkEnd w:id="88"/>
      <w:r>
        <w:rPr>
          <w:rFonts w:ascii="Amiri" w:hAnsi="Amiri" w:eastAsia="Amiri" w:cs="Amiri"/>
          <w:color w:val="111111"/>
          <w:sz w:val="28"/>
          <w:sz w:val="28"/>
          <w:szCs w:val="28"/>
          <w:rtl w:val="true"/>
          <w:lang w:bidi="ar-SA"/>
        </w:rPr>
        <w:t xml:space="preserve">وحسنة أحمد بن عمر اعتبار الغربة و الضرورة، إنتهى كلامه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ذكرناه كاف لتضعيفه، فلا يحتاج إلى الإطالة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ظهر لک الوهن ممّا ذكرناه أيضًا للإجماع المستشعر من عبارة المبسوط والغنية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تلخّص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تقبل شهادة غير المؤمن على المؤمن إلّا شهادة الذمّيّ، فتقبل في الوصيّة خاصّة، لا في غيرها، للأصل المتقدّم، و لما مرّ في اعتبار الإيمان في الشاهد، بناءً على اختصاص ما مرّ من النصوص المخصّصة بالوصيّة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الاستدلال بها على عدم قبول شهادة الذمّيّ في غير الوصيّة، بناءً على تقييد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فيها في الوصيّة،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جازت شهادته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مقتضاه عدم جواز قبول شهادته في غير الوصيّة،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 في الإيضاح و المسالک و عن التحرير و المهذّب الإجماع عليه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553511_730472459"/>
      <w:bookmarkStart w:id="90" w:name="_Toc34"/>
      <w:bookmarkEnd w:id="89"/>
      <w:r>
        <w:rPr>
          <w:rtl w:val="true"/>
        </w:rPr>
        <w:t>الفرع السادس</w:t>
      </w:r>
      <w:bookmarkEnd w:id="90"/>
    </w:p>
    <w:p>
      <w:pPr>
        <w:pStyle w:val="Heading5"/>
        <w:numPr>
          <w:ilvl w:val="4"/>
          <w:numId w:val="1"/>
        </w:numPr>
        <w:rPr/>
      </w:pPr>
      <w:bookmarkStart w:id="91" w:name="__RefHeading___Toc553513_730472459"/>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الذمّيّ على غير المؤمن، أم لا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 لا يخلو إمّا أن يكون من الذمّيّ، أو من غيره </w:t>
      </w:r>
      <w:r>
        <w:rPr>
          <w:rFonts w:eastAsia="Amiri" w:cs="Amiri" w:ascii="Amiri" w:hAnsi="Amiri"/>
          <w:color w:val="111111"/>
          <w:sz w:val="28"/>
          <w:szCs w:val="28"/>
          <w:rtl w:val="true"/>
          <w:lang w:bidi="ar-SA"/>
        </w:rPr>
        <w:t xml:space="preserve">. </w:t>
      </w:r>
      <w:bookmarkStart w:id="93" w:name="pg14719_186504"/>
    </w:p>
    <w:p>
      <w:pPr>
        <w:pStyle w:val="Heading5"/>
        <w:numPr>
          <w:ilvl w:val="4"/>
          <w:numId w:val="1"/>
        </w:numPr>
        <w:rPr/>
      </w:pPr>
      <w:bookmarkStart w:id="94" w:name="__RefHeading___Toc553515_730472459"/>
      <w:bookmarkStart w:id="95" w:name="_Toc36"/>
      <w:bookmarkEnd w:id="93"/>
      <w:bookmarkEnd w:id="94"/>
      <w:r>
        <w:rPr>
          <w:rtl w:val="true"/>
        </w:rPr>
        <w:t>الحكم فيما إذا كانت شهادة الذمّيّ على أهل ملّته</w:t>
      </w:r>
      <w:bookmarkEnd w:id="95"/>
    </w:p>
    <w:p>
      <w:pPr>
        <w:pStyle w:val="BookText"/>
        <w:rPr/>
      </w:pPr>
      <w:r>
        <w:rPr>
          <w:rFonts w:ascii="Amiri" w:hAnsi="Amiri" w:eastAsia="Amiri" w:cs="Amiri"/>
          <w:color w:val="111111"/>
          <w:sz w:val="28"/>
          <w:sz w:val="28"/>
          <w:szCs w:val="28"/>
          <w:rtl w:val="true"/>
          <w:lang w:bidi="ar-SA"/>
        </w:rPr>
        <w:t xml:space="preserve">والأوّل فقد نقل عن الشيخ في النهاية </w:t>
      </w:r>
      <w:r>
        <w:rPr>
          <w:rStyle w:val="FootnoteAnchor"/>
          <w:rtl w:val="true"/>
        </w:rPr>
        <w:footnoteReference w:id="137"/>
      </w:r>
      <w:r>
        <w:rPr>
          <w:rFonts w:ascii="Amiri" w:hAnsi="Amiri" w:eastAsia="Amiri" w:cs="Amiri"/>
          <w:color w:val="111111"/>
          <w:sz w:val="28"/>
          <w:sz w:val="28"/>
          <w:szCs w:val="28"/>
          <w:rtl w:val="true"/>
          <w:lang w:bidi="ar-SA"/>
        </w:rPr>
        <w:t xml:space="preserve">القبول ؛ و يدلّ عليه ما تقدّم من موثّقة سماعة، حيث سأل فيها عن شهادة أهل الملّة،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إلّا على </w:t>
      </w:r>
      <w:r>
        <w:rPr>
          <w:rStyle w:val="FootnoteAnchor"/>
          <w:rtl w:val="true"/>
        </w:rPr>
        <w:footnoteReference w:id="138"/>
      </w:r>
      <w:r>
        <w:rPr>
          <w:rFonts w:ascii="Amiri" w:hAnsi="Amiri" w:eastAsia="Amiri" w:cs="Amiri"/>
          <w:color w:val="111111"/>
          <w:sz w:val="28"/>
          <w:sz w:val="28"/>
          <w:szCs w:val="28"/>
          <w:rtl w:val="true"/>
          <w:lang w:bidi="ar-SA"/>
        </w:rPr>
        <w:t xml:space="preserve">ملّتهم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قويّ، إلزامًا لكلِّ أهل ملّةٍ بما يعتقده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يدلّ عليه النبويّ المرويّ في كتب جماعة من الأصحاب، و هو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 شهادة أهل دينٍ على غير دينهم </w:t>
      </w:r>
      <w:r>
        <w:rPr>
          <w:rStyle w:val="FootnoteAnchor"/>
          <w:rtl w:val="true"/>
        </w:rPr>
        <w:footnoteReference w:id="141"/>
      </w:r>
      <w:r>
        <w:rPr>
          <w:rFonts w:ascii="Amiri" w:hAnsi="Amiri" w:eastAsia="Amiri" w:cs="Amiri"/>
          <w:color w:val="111111"/>
          <w:sz w:val="28"/>
          <w:sz w:val="28"/>
          <w:szCs w:val="28"/>
          <w:rtl w:val="true"/>
          <w:lang w:bidi="ar-SA"/>
        </w:rPr>
        <w:t xml:space="preserve">إلّا المسلمين، فإنَّهم عدولٌ على أنفسهم و على غيرهم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المتقدّم،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تجوز شهادة المسلمين على جميع أهل الملل، و لا تجوز شهادة أهل الملل على المسلمين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هذه النصوص قبول شهادة الذمّيّ على الذمّي، بل قبول شهادة </w:t>
      </w:r>
      <w:bookmarkStart w:id="96" w:name="pg14719_186505"/>
    </w:p>
    <w:p>
      <w:pPr>
        <w:pStyle w:val="BookText"/>
        <w:rPr/>
      </w:pPr>
      <w:bookmarkEnd w:id="96"/>
      <w:r>
        <w:rPr>
          <w:rFonts w:ascii="IRNazanin" w:hAnsi="IRNazanin" w:eastAsia="IRNazanin"/>
          <w:color w:val="111111"/>
          <w:sz w:val="28"/>
          <w:sz w:val="28"/>
          <w:szCs w:val="28"/>
          <w:rtl w:val="true"/>
          <w:lang w:bidi="fa-IR"/>
        </w:rPr>
        <w:t xml:space="preserve">أهل كلّ ملّة على أهل ملّتهم، كما نقل ذلک عن النهاية </w:t>
      </w:r>
      <w:r>
        <w:rPr>
          <w:rStyle w:val="FootnoteAnchor"/>
          <w:rtl w:val="true"/>
        </w:rPr>
        <w:footnoteReference w:id="144"/>
      </w:r>
      <w:r>
        <w:rPr>
          <w:rFonts w:ascii="Amiri" w:hAnsi="Amiri" w:eastAsia="Amiri" w:cs="Amiri"/>
          <w:color w:val="111111"/>
          <w:sz w:val="28"/>
          <w:sz w:val="28"/>
          <w:szCs w:val="28"/>
          <w:rtl w:val="true"/>
          <w:lang w:bidi="ar-SA"/>
        </w:rPr>
        <w:t xml:space="preserve">، حيث جوّز قبول شهادة أهل كلّ ملّة على أهل ملّتهم 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المستفاد من النصوص المذكورة قبول شهادة أهل كلّ ملّة على أهل ملّتهم، وأمّا قبول شهادتهم لهم فلا ؛ و لا يمكن التمسّک بالأولويّة، لعدم تسليمها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كان الأمر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النصوص دالّة على جواز قبول الشهادة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للتمسّک بالأولويّة وجه </w:t>
      </w:r>
      <w:r>
        <w:rPr>
          <w:rFonts w:eastAsia="IRNazanin" w:cs="IRNazanin"/>
          <w:color w:val="111111"/>
          <w:sz w:val="28"/>
          <w:szCs w:val="28"/>
          <w:rtl w:val="true"/>
          <w:lang w:bidi="fa-IR"/>
        </w:rPr>
        <w:t>.</w:t>
      </w:r>
    </w:p>
    <w:p>
      <w:pPr>
        <w:pStyle w:val="Heading5"/>
        <w:numPr>
          <w:ilvl w:val="4"/>
          <w:numId w:val="1"/>
        </w:numPr>
        <w:rPr/>
      </w:pPr>
      <w:bookmarkStart w:id="97" w:name="__RefHeading___Toc553517_730472459"/>
      <w:bookmarkStart w:id="98" w:name="_Toc37"/>
      <w:bookmarkEnd w:id="97"/>
      <w:r>
        <w:rPr>
          <w:rtl w:val="true"/>
        </w:rPr>
        <w:t xml:space="preserve">المختار عند المصنّف </w:t>
      </w:r>
      <w:r>
        <w:rPr>
          <w:rtl w:val="true"/>
        </w:rPr>
        <w:t>(</w:t>
      </w:r>
      <w:r>
        <w:rPr>
          <w:rtl w:val="true"/>
        </w:rPr>
        <w:t>قدس سره</w:t>
      </w:r>
      <w:r>
        <w:rPr>
          <w:rtl w:val="true"/>
        </w:rPr>
        <w:t>)</w:t>
      </w:r>
      <w:bookmarkEnd w:id="98"/>
    </w:p>
    <w:p>
      <w:pPr>
        <w:pStyle w:val="BookText"/>
        <w:rPr/>
      </w:pPr>
      <w:r>
        <w:rPr>
          <w:rFonts w:ascii="IRNazanin" w:hAnsi="IRNazanin" w:eastAsia="IRNazanin"/>
          <w:color w:val="111111"/>
          <w:sz w:val="28"/>
          <w:sz w:val="28"/>
          <w:szCs w:val="28"/>
          <w:rtl w:val="true"/>
          <w:lang w:bidi="fa-IR"/>
        </w:rPr>
        <w:t xml:space="preserve">والمختار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القبول، وفاقًا للشرائع و النافع و الإرشاد </w:t>
      </w:r>
      <w:r>
        <w:rPr>
          <w:rStyle w:val="FootnoteAnchor"/>
          <w:rtl w:val="true"/>
        </w:rPr>
        <w:footnoteReference w:id="145"/>
      </w:r>
      <w:r>
        <w:rPr>
          <w:rFonts w:ascii="Amiri" w:hAnsi="Amiri" w:eastAsia="Amiri" w:cs="Amiri"/>
          <w:color w:val="111111"/>
          <w:sz w:val="28"/>
          <w:sz w:val="28"/>
          <w:szCs w:val="28"/>
          <w:rtl w:val="true"/>
          <w:lang w:bidi="ar-SA"/>
        </w:rPr>
        <w:t xml:space="preserve">، و المحكيّ عن ابن أبي عقيل و المقنعة و المبسوط و ابني البرّاج و إدريس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في المسالک و كشف اللثام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لعموم الأدلّة الدالّة على اعتبار الإسلام و الإيمان في الشاهد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النصوص المذكورة مع الكلام في دلالة الأخيرين لا تصلح للتخصيص، لما عرفت من كون العامّ فيما به التوارد معمولاً عند المشهور بين الطائفة </w:t>
      </w:r>
      <w:r>
        <w:rPr>
          <w:rFonts w:eastAsia="Amiri" w:cs="Amiri" w:ascii="Amiri" w:hAnsi="Amiri"/>
          <w:color w:val="111111"/>
          <w:sz w:val="28"/>
          <w:szCs w:val="28"/>
          <w:rtl w:val="true"/>
          <w:lang w:bidi="ar-SA"/>
        </w:rPr>
        <w:t xml:space="preserve">. </w:t>
      </w:r>
      <w:bookmarkStart w:id="99" w:name="pg14719_186506"/>
    </w:p>
    <w:p>
      <w:pPr>
        <w:pStyle w:val="BookText"/>
        <w:rPr/>
      </w:pPr>
      <w:bookmarkEnd w:id="99"/>
      <w:r>
        <w:rPr>
          <w:rFonts w:ascii="Amiri" w:hAnsi="Amiri" w:eastAsia="Amiri" w:cs="Amiri"/>
          <w:color w:val="111111"/>
          <w:sz w:val="28"/>
          <w:sz w:val="28"/>
          <w:szCs w:val="28"/>
          <w:rtl w:val="true"/>
          <w:lang w:bidi="ar-SA"/>
        </w:rPr>
        <w:t xml:space="preserve">و يمكن الاستدلال لما نحن فيه بجميع الأدلّة الدالّة على قبول شهادة الذمّيّ على المسلم في الوصيّة، بناءً على أنّه لو جاز قبول شهادتهم على المسلم فيها، فجوازها في الوصيّة على غيرهم بطريق أولى مطلقًا، سواء كان من أهل ملّتهم أم لا، فإذا ثبت جواز قبول شهادتهم عليهم و على غيرهم في الوصيّة نقول بجوازها في غيرها أيضًا، لعدم القول بالفصل، إلّا أنّه لا محيص عمّا عليه المشهور مع ندرة القول الآخر </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53519_730472459"/>
      <w:bookmarkStart w:id="101" w:name="_Toc38"/>
      <w:bookmarkEnd w:id="100"/>
      <w:r>
        <w:rPr>
          <w:rtl w:val="true"/>
        </w:rPr>
        <w:t>قولٌ آخر في المسألة</w:t>
      </w:r>
      <w:bookmarkEnd w:id="101"/>
    </w:p>
    <w:p>
      <w:pPr>
        <w:pStyle w:val="BookText"/>
        <w:rPr/>
      </w:pPr>
      <w:r>
        <w:rPr>
          <w:rFonts w:ascii="Amiri" w:hAnsi="Amiri" w:eastAsia="Amiri" w:cs="Amiri"/>
          <w:color w:val="111111"/>
          <w:sz w:val="28"/>
          <w:sz w:val="28"/>
          <w:szCs w:val="28"/>
          <w:rtl w:val="true"/>
          <w:lang w:bidi="ar-SA"/>
        </w:rPr>
        <w:t xml:space="preserve">و في المسألة قولٌ آخر، و هو التفصيل بأنّه تقبل شهادة الذمّيّ على الذمّيّ إن كان الترافع إلينا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ذلک عن الشيخ في الخلاف، 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نسبه إلى أصحابنا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المختلف و نزّل موثّقة سماعة عليه، فقال في مقام الردّ عليها والجواب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 من صحّة السند، و القول بالموجب، كما اختاره الشيخ في الخلاف، و هو أنّه إذا ترافعوا إلينا و عدلوا الشهود عندهم، فإنّ الأولى هنا القبول ؛ إنتهى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02" w:name="pg14719_186507"/>
    </w:p>
    <w:p>
      <w:pPr>
        <w:pStyle w:val="BookText"/>
        <w:rPr/>
      </w:pPr>
      <w:bookmarkEnd w:id="102"/>
      <w:r>
        <w:rPr>
          <w:rFonts w:ascii="Amiri" w:hAnsi="Amiri" w:eastAsia="Amiri" w:cs="Amiri"/>
          <w:color w:val="111111"/>
          <w:sz w:val="28"/>
          <w:sz w:val="28"/>
          <w:szCs w:val="28"/>
          <w:rtl w:val="true"/>
          <w:lang w:bidi="ar-SA"/>
        </w:rPr>
        <w:t xml:space="preserve">و مال إليه في التنقيح، فقال بعد نقله عن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الحقيقة قضاءٌ بالإقرار، لما تقدّم من </w:t>
      </w:r>
      <w:r>
        <w:rPr>
          <w:rStyle w:val="FootnoteAnchor"/>
          <w:rtl w:val="true"/>
        </w:rPr>
        <w:footnoteReference w:id="150"/>
      </w:r>
      <w:r>
        <w:rPr>
          <w:rFonts w:ascii="Amiri" w:hAnsi="Amiri" w:eastAsia="Amiri" w:cs="Amiri"/>
          <w:color w:val="111111"/>
          <w:sz w:val="28"/>
          <w:sz w:val="28"/>
          <w:szCs w:val="28"/>
          <w:rtl w:val="true"/>
          <w:lang w:bidi="ar-SA"/>
        </w:rPr>
        <w:t xml:space="preserve">أنّه إذا أقرّ الخصم بعدالة الشاهدين حكم عليه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ضعفه ظاهر، لأنّ تلک المسألة إنّما هي إذا أقرّ الخصم بعدالة الشاهد و جهل حاله للحاكم، فإنّه هناک يكتفي بإقرار الخصم بعدالة الشاهد و يحكم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الأمر فيما نحن فيه كذلک، لأنّ الخصم و إن كان مقرًّا بعدالة الشاهد لأنّه المفروض، إلّا أنّ الحاكم ليس بجاهل عن حاله، بل هو عالم بفسقه، فيكون المقام كما إذا أقرّ الخصم بعدالة الشاهد مع علم الحاكم بفسقه، و لا يجوز له الحكم حينئذٍ و إن رضي الخصم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نسبه شيخنا إلى أصحابنا إن ثبت ذلک فهو، 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ما مرّ </w:t>
      </w:r>
      <w:r>
        <w:rPr>
          <w:rFonts w:eastAsia="IRNazanin" w:cs="IRNazanin"/>
          <w:color w:val="111111"/>
          <w:sz w:val="28"/>
          <w:szCs w:val="28"/>
          <w:rtl w:val="true"/>
          <w:lang w:bidi="fa-IR"/>
        </w:rPr>
        <w:t>.</w:t>
      </w:r>
    </w:p>
    <w:p>
      <w:pPr>
        <w:pStyle w:val="Heading5"/>
        <w:numPr>
          <w:ilvl w:val="4"/>
          <w:numId w:val="1"/>
        </w:numPr>
        <w:rPr/>
      </w:pPr>
      <w:bookmarkStart w:id="103" w:name="__RefHeading___Toc553521_730472459"/>
      <w:bookmarkStart w:id="104" w:name="_Toc39"/>
      <w:bookmarkEnd w:id="103"/>
      <w:r>
        <w:rPr>
          <w:rtl w:val="true"/>
        </w:rPr>
        <w:t>الحكم فيما إذا كانت شهادة الذمّيّ على غير أهل ملّته</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كانت شهادة الذمّيّ على أهل ملّته، و أمّا إذا كانت شهادته على غير أهل ملّته ممّن عدا المؤمن،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جماعة من </w:t>
      </w:r>
    </w:p>
    <w:p>
      <w:pPr>
        <w:pStyle w:val="BookText"/>
        <w:rPr/>
      </w:pPr>
      <w:r>
        <w:rPr>
          <w:rFonts w:ascii="IRNazanin" w:hAnsi="IRNazanin" w:eastAsia="IRNazanin"/>
          <w:color w:val="111111"/>
          <w:sz w:val="28"/>
          <w:sz w:val="28"/>
          <w:szCs w:val="28"/>
          <w:rtl w:val="true"/>
          <w:lang w:bidi="fa-IR"/>
        </w:rPr>
        <w:t xml:space="preserve">الأعلام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الشهادة أيضًا، لما مرّ من عموم الأدلّة الدالّة على اشتراط الإسلام والإيمان في قبول الشهادة، و خصوص الموثّقة المتقدّمة والنبويّة المزبورة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رواه ضريس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أهل ملّة هل تجوز على رجل من غير أهل ملّتهم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لا يوجد في تلک الحال غيرهم، فإن لم يوجد غيرهم جازت شهادتهم في الوصيّة، لأنّه لا يصلح ذهاب حقّ امرئ مسلم، و لا تبطل وصيّته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ابن الجنيد </w:t>
      </w:r>
      <w:r>
        <w:rPr>
          <w:rStyle w:val="FootnoteAnchor"/>
          <w:rtl w:val="true"/>
        </w:rPr>
        <w:footnoteReference w:id="154"/>
      </w:r>
      <w:r>
        <w:rPr>
          <w:rFonts w:ascii="Amiri" w:hAnsi="Amiri" w:eastAsia="Amiri" w:cs="Amiri"/>
          <w:color w:val="111111"/>
          <w:sz w:val="28"/>
          <w:sz w:val="28"/>
          <w:szCs w:val="28"/>
          <w:rtl w:val="true"/>
          <w:lang w:bidi="ar-SA"/>
        </w:rPr>
        <w:t xml:space="preserve">، فجوّز شهادة الذمّيّ على غير أهل ملّته أيضًا، بل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شهادة جميع الكفّار بعضهم على بعض و إن اختلفت الملّتان مع العدالة في دينهم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الحلبي المرويّة في الفقيه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Style w:val="FootnoteAnchor"/>
          <w:rtl w:val="true"/>
        </w:rPr>
        <w:footnoteReference w:id="155"/>
      </w:r>
      <w:r>
        <w:rPr>
          <w:rFonts w:ascii="Amiri" w:hAnsi="Amiri" w:eastAsia="Amiri" w:cs="Amiri"/>
          <w:color w:val="111111"/>
          <w:sz w:val="28"/>
          <w:sz w:val="28"/>
          <w:szCs w:val="28"/>
          <w:rtl w:val="true"/>
          <w:lang w:bidi="ar-SA"/>
        </w:rPr>
        <w:t xml:space="preserve">شهادة أهل الذمّة على غير أهل ملّتهم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لم يوجد من أهل ملّتهم جازت شهادة غيرهم، إنّه لا يصلح ذهاب حقّ أحد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مرجع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ملّتهم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أهل ملّتهم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 إن دلّت على جواز شهادة الذمّيّ على غير أهل ملّتهم، لكن نقول بجواز شهادة جميع الكفّار بعضهم على بعض لعدم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أنّها تدلّ على جواز شهادة الذمّيّ على غير أهل ملّتهم عند عدم وجدان أهل ملّتهم، لكن يقال بقبول شهادتهم على غير ملّتهم مطلقًا لعدم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نعكس الأمر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المذكور دلّ بمفهومه على عدم جواز قبول شهادة الذمّيّ على غير أهل ملّتهم مع وجدان أهل ملّتهم، فيقال بعدم جواز قبول شهادتهم على غير أهل ملَّتِهم مطلقًا لعدم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لا يصلح لمقاومة ما مرّ من الأدلّة المتقدّمة الدالّة على عدم جواز قبول شهادتهم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الجواب عن الحسن المتقدّم،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شهادة المسلمين على جميع أهل الملل، و لا تجوز شهادة أهل الملل على المسلمين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،لإشعاره من جهة نفي جواز شهادة أهل الملل على المسلمين فقط جواز شهادة أهل الملل على غير المسلمين مطلقًا، سواء كانت شهادة أهل ملّةٍ لملّته أو لغير ملّته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من موثّقة سماعة و رواية ضريس المذكورة أنّهما مثل صحيحة الحلبي في المعنى و إن كانتا مختلفتين معها في اللفظ والاعتبار، إنّما هو </w:t>
      </w:r>
    </w:p>
    <w:p>
      <w:pPr>
        <w:pStyle w:val="BookText"/>
        <w:rPr/>
      </w:pPr>
      <w:r>
        <w:rPr>
          <w:rFonts w:ascii="Amiri" w:hAnsi="Amiri" w:eastAsia="Amiri" w:cs="Amiri"/>
          <w:color w:val="111111"/>
          <w:sz w:val="28"/>
          <w:sz w:val="28"/>
          <w:szCs w:val="28"/>
          <w:rtl w:val="true"/>
          <w:lang w:bidi="ar-SA"/>
        </w:rPr>
        <w:t>بالمعنى، لا باللفظ، فكيف جعلتا دليلاً للمختار والصحيحة دليلاً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كونهما مثل الصحيحة في المعنى غير مسلّم، و إن كان يتوهّم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لم يوجد غيرهم جازت شهادتهم في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لا يصلح ذهاب حقّ امرئ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أنّ جواز شهادتهم عند عدم وجود غير الذمّيّ إنّما هو إذا كانت شهادته في الوصيّة على المسلم خاصّة، لا على غيره من أهل الملل غير الذمّيّ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في رواية ضريس، و أمّا الموثّق و إن كان التعليل فيه ليس على ما ذكر، بل هو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يصلح ذهاب حقّ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شامل للمسلم و غيره، إلّا أنّ مفهوم القيد في رواية ضريس 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 يقيّد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بالمسلم،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يقبل شهادة الذمّيّ على غير الذمّيّ إلّا على المسلم في الوصيّة إذا لم يوجد غير الذمّيّ، و هو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يمكن جريان مثل ذلک في صحيحة الحلبيّ أيضًا، فلا تصير مستندة لابن الجنيد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الكلام على شهادة غير المسلم بعضه على بعض ؛ و أمّا شهادة المسلم فإنّها مقبولة مطلقًا، سواء كانت على مسلم أو غيره، لما عرفت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المسلمين على جميع أهل الملل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كذلک النبوىّ المتقدّم،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تقبل شهادة أهل دين على غير </w:t>
      </w:r>
      <w:bookmarkStart w:id="105" w:name="pg14719_186511"/>
    </w:p>
    <w:p>
      <w:pPr>
        <w:pStyle w:val="BookText"/>
        <w:rPr/>
      </w:pPr>
      <w:bookmarkEnd w:id="105"/>
      <w:r>
        <w:rPr>
          <w:rFonts w:ascii="Amiri" w:hAnsi="Amiri" w:eastAsia="Amiri" w:cs="Amiri"/>
          <w:color w:val="111111"/>
          <w:sz w:val="28"/>
          <w:sz w:val="28"/>
          <w:szCs w:val="28"/>
          <w:rtl w:val="true"/>
          <w:lang w:bidi="ar-SA"/>
        </w:rPr>
        <w:t xml:space="preserve">دينهم إلّا المسلمين، فإنّهم عدول على أنفسهم و على غيرهم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الاتّفاق عليه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553523_730472459"/>
      <w:bookmarkStart w:id="107" w:name="_Toc40"/>
      <w:bookmarkEnd w:id="106"/>
      <w:r>
        <w:rPr>
          <w:rtl w:val="true"/>
        </w:rPr>
        <w:t>اعتبار العدالة في الشاهد</w:t>
      </w:r>
      <w:bookmarkEnd w:id="107"/>
    </w:p>
    <w:p>
      <w:pPr>
        <w:pStyle w:val="Heading2"/>
        <w:numPr>
          <w:ilvl w:val="1"/>
          <w:numId w:val="1"/>
        </w:numPr>
        <w:rPr/>
      </w:pPr>
      <w:bookmarkStart w:id="108" w:name="__RefHeading___Toc553525_730472459"/>
      <w:bookmarkStart w:id="109" w:name="_Toc41"/>
      <w:bookmarkEnd w:id="108"/>
      <w:r>
        <w:rPr/>
        <w:t>4</w:t>
      </w:r>
      <w:r>
        <w:rPr>
          <w:rtl w:val="true"/>
        </w:rPr>
        <w:t xml:space="preserve">- </w:t>
      </w:r>
      <w:r>
        <w:rPr>
          <w:rtl w:val="true"/>
        </w:rPr>
        <w:t>مسألة</w:t>
      </w:r>
      <w:bookmarkEnd w:id="109"/>
    </w:p>
    <w:p>
      <w:pPr>
        <w:pStyle w:val="Heading3"/>
        <w:numPr>
          <w:ilvl w:val="2"/>
          <w:numId w:val="1"/>
        </w:numPr>
        <w:rPr/>
      </w:pPr>
      <w:bookmarkStart w:id="110" w:name="__RefHeading___Toc553527_730472459"/>
      <w:bookmarkStart w:id="111" w:name="_Toc42"/>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يشترط في الشاهد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بالإجماع والكتاب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فقد استفاض نقله في كتب الأصحاب، بحيث لا يكاد يحصى كثرة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553529_730472459"/>
      <w:bookmarkStart w:id="113" w:name="_Toc43"/>
      <w:bookmarkEnd w:id="112"/>
      <w:r>
        <w:rPr>
          <w:rtl w:val="true"/>
        </w:rPr>
        <w:t>ذكر الآيات الدالّة على اعتبار العدالة في الشاهد</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الكتاب فالآيات في اعتبارها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اثنان ذوا عدل منكم </w:t>
      </w:r>
      <w:r>
        <w:rPr>
          <w:rFonts w:eastAsia="Amiri" w:cs="Amiri" w:ascii="Amiri" w:hAnsi="Amiri"/>
          <w:color w:val="111111"/>
          <w:sz w:val="28"/>
          <w:szCs w:val="28"/>
          <w:rtl w:val="true"/>
          <w:lang w:bidi="ar-SA"/>
        </w:rPr>
        <w:t xml:space="preserve">). </w:t>
      </w:r>
      <w:bookmarkStart w:id="114" w:name="pg14719_186512"/>
    </w:p>
    <w:p>
      <w:pPr>
        <w:pStyle w:val="BookText"/>
        <w:rPr/>
      </w:pPr>
      <w:bookmarkEnd w:id="114"/>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يستفاد من ذيل هذه الآية تحليف الشاهد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ذوا عدل منكم أو آخران من غيركم إن أنتم ضربتم في الأرض فأصابتكم مصيبة الموت تحبسونهما من بعد الصلوة فيقسمان بالله 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62"/>
      </w:r>
      <w:r>
        <w:rPr>
          <w:rFonts w:ascii="Amiri" w:hAnsi="Amiri" w:eastAsia="Amiri" w:cs="Amiri"/>
          <w:color w:val="111111"/>
          <w:sz w:val="28"/>
          <w:sz w:val="28"/>
          <w:szCs w:val="28"/>
          <w:rtl w:val="true"/>
          <w:lang w:bidi="ar-SA"/>
        </w:rPr>
        <w:t xml:space="preserve">، مع أنّ الإجماع على عدم تحليف الشاهد مستفيض نقله بين الأصحاب، بل محقّق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53531_730472459"/>
      <w:bookmarkStart w:id="116" w:name="_Toc44"/>
      <w:bookmarkEnd w:id="115"/>
      <w:r>
        <w:rPr>
          <w:rtl w:val="true"/>
        </w:rPr>
        <w:t>الجواب عمّا يدلّ عليه الآية من تحليف الشاهد</w:t>
      </w:r>
      <w:bookmarkEnd w:id="116"/>
    </w:p>
    <w:p>
      <w:pPr>
        <w:pStyle w:val="BookText"/>
        <w:rPr/>
      </w:pPr>
      <w:r>
        <w:rPr>
          <w:rFonts w:ascii="Amiri" w:hAnsi="Amiri" w:eastAsia="Amiri" w:cs="Amiri"/>
          <w:color w:val="111111"/>
          <w:sz w:val="28"/>
          <w:sz w:val="28"/>
          <w:szCs w:val="28"/>
          <w:rtl w:val="true"/>
          <w:lang w:bidi="ar-SA"/>
        </w:rPr>
        <w:t xml:space="preserve">و الجواب عنه يمكن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تلک المسألة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الشاهد لا يحلف لمكان شهادته ؛ و الآية غير دالّة على خلافه، لاحتمال أن يكون حلف الشاهدين فيها على تقدير دعوى خيانتهما و لم تكن لهما بيّنة على صدق قولهما، فتحليفهما حينئذٍ على القاعدة المسلّمة من 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البيّنة على المدّعي، و اليمين على من أنكر</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روي أنّ ثلاثة نفر خرجوا للتجارة من المدينة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أوس </w:t>
      </w:r>
    </w:p>
    <w:p>
      <w:pPr>
        <w:pStyle w:val="BookText"/>
        <w:rPr/>
      </w:pPr>
      <w:r>
        <w:rPr>
          <w:rFonts w:ascii="Amiri" w:hAnsi="Amiri" w:eastAsia="Amiri" w:cs="Amiri"/>
          <w:color w:val="111111"/>
          <w:sz w:val="28"/>
          <w:sz w:val="28"/>
          <w:szCs w:val="28"/>
          <w:rtl w:val="true"/>
          <w:lang w:bidi="ar-SA"/>
        </w:rPr>
        <w:t xml:space="preserve">وعديّ بن بريد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نصرانيّان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مارية مولى عمرو بن العاص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 ابن أبي مارية و كتب ما معه في صحيفة، و طرحها في متاعه ولم يخبر صاحبيه بها، و أوصى إليهما أن يدفعا متاعه إلى أهله و مات، ففتشا متاعه و أخذا منه إناء من فضّة وزنه ثلاثمائة مثقال منقوشًا بالذهب، ثمّ رجعا بالمال إلى الورثة، فوجدوا الكتاب و طالبوهما بالإناء فجحدا، فترافعوا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تحبسونهما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تقفونهما ليحلفا من بعد الصلاة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بالصلاة قيل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لأنّه وقت اجتماع الناس و وقت تصادم ملائكة الليل و ملائكة النهار، فاللام فيها للعهد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صلاة كانت، فاللام فيها للجنس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تحليف الشاهدين في الآية إنّما هو لمكان شهادتهما،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تحليف الشاهد مختصًّا بهذه الصورة، فكما تجوز شهادة الذمّيّ جاز تحليفه أيضًا، فتكون كلمات الأصحاب من الحكم بعدم تحليف الشاهد مختصّة بغير هذه الصورة ؛ هذا مضمون ما قاله بعضهم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الآيات المشار إليها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واستشهدوا شهيدين من رجالكم فإن لم يكونا </w:t>
      </w:r>
      <w:r>
        <w:rPr>
          <w:rStyle w:val="FootnoteAnchor"/>
          <w:rtl w:val="true"/>
        </w:rPr>
        <w:footnoteReference w:id="172"/>
      </w:r>
      <w:r>
        <w:rPr>
          <w:rFonts w:ascii="IRNazanin" w:hAnsi="IRNazanin" w:eastAsia="IRNazanin"/>
          <w:color w:val="111111"/>
          <w:sz w:val="28"/>
          <w:sz w:val="28"/>
          <w:szCs w:val="28"/>
          <w:rtl w:val="true"/>
          <w:lang w:bidi="fa-IR"/>
        </w:rPr>
        <w:t xml:space="preserve">فرجل وامرأتان ممّن ترضون من الشهداء </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 غير العادل ليس بمرضيّ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و هو يشمل الشهادة و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تفحّصوا ؛ </w:t>
      </w:r>
      <w:bookmarkStart w:id="117" w:name="pg14719_186515"/>
    </w:p>
    <w:p>
      <w:pPr>
        <w:pStyle w:val="BookText"/>
        <w:rPr/>
      </w:pPr>
      <w:bookmarkEnd w:id="117"/>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أطلبوا الثبوت إلى أن تبيّن لكم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النصب،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تصيبوا قومًا بجهالة،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جاهلين بحالهم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دلالة الآية على اعتبار العدالة في الشاهد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التفحّص و التثبّت إذا كان المخبر فاسقًا، فلا يجوز قبول الخبر مع فسق المخبر إلّا مع التفحّص و التثبّت، فاشترط في قبول الخبر من غير تفحّص عدم الفسق، و هو يلزم العدالة، فدلّت الآية على عدم قبول الخبر من غير تفحّص و تثبّت إلّا مع العدالة،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قبول الخبر مع انتفاء فسق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مسلّمة، إذ مفهوم الشرط في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جاءكم غير فاسق بنبأ، فلا تبيّنوا ؛ و هو لا يستلزم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التبيّن و إن لم يستلزم القبول، لكنّ القرينة على إرادة القبول موجودة، لأنّه لو لم يقبل خبر العدل، بل يطرح، يلزم أن يكون الفاسق أعظم مرتبة من العادل، و هو أفضع شأنًا منه، و هو باطل قطعًا، فيجب القبول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53533_730472459"/>
      <w:bookmarkStart w:id="119" w:name="_Toc45"/>
      <w:bookmarkEnd w:id="118"/>
      <w:r>
        <w:rPr>
          <w:rtl w:val="true"/>
        </w:rPr>
        <w:t>الدليل من السنّة على اعتبار العدالة في الشاهد</w:t>
      </w:r>
      <w:bookmarkEnd w:id="1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الدالّة على اعتبار العدالة في الشاهد فمستفيضة،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عمّا يردّ من الشهود،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w:t>
      </w:r>
      <w:bookmarkStart w:id="120" w:name="pg14719_186516"/>
    </w:p>
    <w:p>
      <w:pPr>
        <w:pStyle w:val="BookText"/>
        <w:rPr/>
      </w:pPr>
      <w:bookmarkEnd w:id="120"/>
      <w:r>
        <w:rPr>
          <w:rFonts w:ascii="Amiri" w:hAnsi="Amiri" w:eastAsia="Amiri" w:cs="Amiri"/>
          <w:color w:val="111111"/>
          <w:sz w:val="28"/>
          <w:sz w:val="28"/>
          <w:szCs w:val="28"/>
          <w:rtl w:val="true"/>
          <w:lang w:bidi="ar-SA"/>
        </w:rPr>
        <w:t xml:space="preserve">والمتّهم و الخصم،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 الخائن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يدخل في الظنين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بمعناها نصوص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جراح المدائني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شهادة الفاسق </w:t>
      </w:r>
      <w:r>
        <w:rPr>
          <w:rStyle w:val="FootnoteAnchor"/>
          <w:rtl w:val="true"/>
        </w:rPr>
        <w:footnoteReference w:id="178"/>
      </w:r>
      <w:r>
        <w:rPr>
          <w:rFonts w:ascii="IRNazanin" w:hAnsi="IRNazanin" w:eastAsia="IRNazanin"/>
          <w:color w:val="111111"/>
          <w:sz w:val="28"/>
          <w:sz w:val="28"/>
          <w:szCs w:val="28"/>
          <w:rtl w:val="true"/>
          <w:lang w:bidi="fa-IR"/>
        </w:rPr>
        <w:t xml:space="preserve">إلّا على نفسه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إلى غيرها الإشارة بإعانة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53535_730472459"/>
      <w:bookmarkStart w:id="122" w:name="_Toc46"/>
      <w:bookmarkEnd w:id="121"/>
      <w:r>
        <w:rPr>
          <w:rtl w:val="true"/>
        </w:rPr>
        <w:t>بيان العدالة</w:t>
      </w:r>
      <w:bookmarkEnd w:id="122"/>
    </w:p>
    <w:p>
      <w:pPr>
        <w:pStyle w:val="BookText"/>
        <w:rPr/>
      </w:pPr>
      <w:r>
        <w:rPr>
          <w:rFonts w:ascii="Amiri" w:hAnsi="Amiri" w:eastAsia="Amiri" w:cs="Amiri"/>
          <w:color w:val="111111"/>
          <w:sz w:val="28"/>
          <w:sz w:val="28"/>
          <w:szCs w:val="28"/>
          <w:rtl w:val="true"/>
          <w:lang w:bidi="ar-SA"/>
        </w:rPr>
        <w:t xml:space="preserve">و حيث قد عرفت اعتبار العدالة في قبول الشهادة و عدم قبولها مع عدمها، فلابدّ من البحث عنها نفسها حتّى يتميّز المقبول من المردود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و الاستواء </w:t>
      </w:r>
      <w:r>
        <w:rPr>
          <w:rStyle w:val="FootnoteAnchor"/>
          <w:rtl w:val="true"/>
        </w:rPr>
        <w:footnoteReference w:id="180"/>
      </w:r>
      <w:r>
        <w:rPr>
          <w:rFonts w:ascii="IRNazanin" w:hAnsi="IRNazanin" w:eastAsia="IRNazanin"/>
          <w:color w:val="111111"/>
          <w:sz w:val="28"/>
          <w:sz w:val="28"/>
          <w:szCs w:val="28"/>
          <w:rtl w:val="true"/>
          <w:lang w:bidi="fa-IR"/>
        </w:rPr>
        <w:t xml:space="preserve">؛ و في الشرع قد اختلفت كلمات الأصحاب في ذلک، ففي المبسوط في تعريف العدل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الّذي يكون عدلاً في الدين و في المروّة و في الأحكام، فالعدل في </w:t>
      </w:r>
    </w:p>
    <w:p>
      <w:pPr>
        <w:pStyle w:val="BookText"/>
        <w:rPr/>
      </w:pP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مؤمنًا لا يعرف منه شيء من أسباب الفسق، و في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مجتنبًا للأمور الّتي تسقط المروّة، مثل الأكل في الطرقات، و مدّ الرِجل بين الناس، و لبس الثياب المصبَّغة، و ثياب النساء، و ما أشبه ذلک ؛ و في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بالغًا عاقلاً لنقص أحكام الصبيّ و المجنون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ابن حمزة </w:t>
      </w:r>
      <w:r>
        <w:rPr>
          <w:rStyle w:val="FootnoteAnchor"/>
          <w:rtl w:val="true"/>
        </w:rPr>
        <w:footnoteReference w:id="182"/>
      </w:r>
      <w:r>
        <w:rPr>
          <w:rFonts w:ascii="Amiri" w:hAnsi="Amiri" w:eastAsia="Amiri" w:cs="Amiri"/>
          <w:color w:val="111111"/>
          <w:sz w:val="28"/>
          <w:sz w:val="28"/>
          <w:szCs w:val="28"/>
          <w:rtl w:val="true"/>
          <w:lang w:bidi="ar-SA"/>
        </w:rPr>
        <w:t xml:space="preserve">ما يقرب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و من تأخّر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أنّها ملكة تبعث على ملازمة التقوى و المروّة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والتقوى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Style w:val="FootnoteAnchor"/>
          <w:rtl w:val="true"/>
        </w:rPr>
        <w:footnoteReference w:id="184"/>
      </w:r>
      <w:r>
        <w:rPr>
          <w:rFonts w:ascii="Amiri" w:hAnsi="Amiri" w:eastAsia="Amiri" w:cs="Amiri"/>
          <w:color w:val="111111"/>
          <w:sz w:val="28"/>
          <w:sz w:val="28"/>
          <w:szCs w:val="28"/>
          <w:rtl w:val="true"/>
          <w:lang w:bidi="ar-SA"/>
        </w:rPr>
        <w:t xml:space="preserve">، و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الكبائر مع عدم الإصرار على الصغائر؛ و إنّما سمّي ذلک تقوى لأنّ الّذي يجب الحذر منه شرعًا إنّما هو ذلک، و أمّا غيره فيقع مكفّرًا باجتناب ذلک،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كذا قيل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 الحذر واجب عن كلّ ذنب و لو كان صغيرًا من غير إصرار، فلو لم يجب الحذر عن الصغيرة و لو بأوّل دفعة لما كان ذلک معصية ؛ و كون الصغيرة من غير إصرار مكفّرة لا يدلّ على ذلک ؛ و كيف مع أنّ التكفير دليلٌ على المعصية ؛ ألاترى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نكفّر عنكم سيّئاتكم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تسمية ذلک بالتقوى لأنّه الّذي بسببه يحصل الحذر عن الإدراج في مدارج الفسّاق، إذ مع الاجتناب عن الكبائر و عدم الإصرار على الصغائر لا يصدق الفسق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اتّباع محاسن العادات واجتناب مساويها من الأمور الخسيسة، و إن كانت ممّا يقع مكفّرًا، كلبس الفقيه لباس الجنديّ، والأكل في الأسواق، والبول في الشوارع عند مرور الناس، و كشف الرأس، و مدّ الرجلين في المجامع، و تقبيل الأمة في المحاضر، والإكثار من الحكايات المضحكة، </w:t>
      </w:r>
    </w:p>
    <w:p>
      <w:pPr>
        <w:pStyle w:val="BookText"/>
        <w:rPr/>
      </w:pPr>
      <w:r>
        <w:rPr>
          <w:rFonts w:ascii="Amiri" w:hAnsi="Amiri" w:eastAsia="Amiri" w:cs="Amiri"/>
          <w:color w:val="111111"/>
          <w:sz w:val="28"/>
          <w:sz w:val="28"/>
          <w:szCs w:val="28"/>
          <w:rtl w:val="true"/>
          <w:lang w:bidi="ar-SA"/>
        </w:rPr>
        <w:t xml:space="preserve">والمضايقة في اليسير الّذي لا يناسب حاله، و هكذا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الأمور تختلف بالنسبة إلى الأحوال و الأوقات، و لهذا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ملازمة المروّة أن يسلک مسلكًا يليق بحاله في زمانه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العلّامة في القواعد في تعريف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كيفيّة نفسانيّة راسخة تبعث على ملازمة المروّة والتقوى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مرادف لما مرّ من أنّها ملكة تبعث على ملازمة التقوى والمروّة، بل الظاهر اتحادّه مع ما مرّ من كلام الشيخ </w:t>
      </w:r>
      <w:r>
        <w:rPr>
          <w:rStyle w:val="FootnoteAnchor"/>
          <w:rtl w:val="true"/>
        </w:rPr>
        <w:footnoteReference w:id="190"/>
      </w:r>
      <w:r>
        <w:rPr>
          <w:rFonts w:ascii="Amiri" w:hAnsi="Amiri" w:eastAsia="Amiri" w:cs="Amiri"/>
          <w:color w:val="111111"/>
          <w:sz w:val="28"/>
          <w:sz w:val="28"/>
          <w:szCs w:val="28"/>
          <w:rtl w:val="true"/>
          <w:lang w:bidi="ar-SA"/>
        </w:rPr>
        <w:t xml:space="preserve">، فإنّه و إن لم يأخذ الملكة في تعريفها كما عرفت، إلّا أنّ عدم ظهور شيء من أسباب الفسق للمخالطين لا يكون في العادات إلّا عن ملكة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جعل في كشف اللثام ما ذكره الشيخ في المبسوط مرادفًا لما ذكره العلّامة في القواعد، حيث ذكر أوّلاً تعريف الشيخ،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فذكر ما ذكرناه من القواعد، لكنّ المحكيّ عن شيخنا المفيد و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اعتبارهما المروّة في ظاهر كلامهما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الوجه في ذلک أنّ مخالفتها مخالفة العادة، لا الشريعة، فلا تضرّ بالعدالة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ما ذكرناه في بيان المروّة تكشف عن مساءةٍ وعدم حياء و قلّة مبالاة، و معها لا تبقى الوثاقة نظرًا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حياء له لا إيمان له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الإيمان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في تعريفها هو ما تقدّم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ملكة تبعث على ملازمة التقوى والمروّة، و سيجيء الكلام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اعتبار الملكة مضافًا إلى من عرفته من المفيد والشيخ في النهاية وأبي الصلاح و ابن البرّاج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العدل من كان معروفًا بالدين والورع عن محارم الله تعالى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والمعروف بهما لا يكون إلّا مع الملكة المذكورة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معروفًا بالستر و الصلاح و العفاف </w:t>
      </w:r>
    </w:p>
    <w:p>
      <w:pPr>
        <w:pStyle w:val="BookText"/>
        <w:rPr/>
      </w:pPr>
      <w:r>
        <w:rPr>
          <w:rFonts w:ascii="Amiri" w:hAnsi="Amiri" w:eastAsia="Amiri" w:cs="Amiri"/>
          <w:color w:val="111111"/>
          <w:sz w:val="28"/>
          <w:sz w:val="28"/>
          <w:szCs w:val="28"/>
          <w:rtl w:val="true"/>
          <w:lang w:bidi="ar-SA"/>
        </w:rPr>
        <w:t xml:space="preserve">واجتناب الكبائر، و الكفّ عن شهوات الجوارح الأربع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الثالث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مجتنبًا لجميع القبائح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فيعلم منهم أيضًا اعتبار الملكة في العدالة، لأنّ المتّصف بهذه الصفات لا يكون إلّا وهو ذو ملكة تبعث على ملازمة التقوى، بل المروّة، لا سيّما من الأخيرين، لأنّ الاجتناب من جميع القبائح يلزمه الاجتناب عن ما خالف المروّة، و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أورده في الكفاية ليس على ما ينبغي، حيث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 العلّامة و جماعة ممّن تأخّر عنه العدالة بملكة نفسانيّة تبعث على ملازمة التقوى و المروّة، و لم أجده في كلام من تقدّم على العلّامة، والظاهر أنّه اقتفى في ذلک بكلام الرازي و من تبعه من العامّة، إنتهى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قد علمت ممّا ذكرناه اعتبار ذلک من جماعة من متقدّمي الأصحاب، وهم و إن لم ينصّوا بذلک، لكن عباراتهم دالّة عليها كما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الظاهر من كنز العرفان أنّ اعتبار الملكة في العدالة مجمع عليه، حيث 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عرّفها الفقهاء بأنّها ملكة تبعث على ملازمة التقوى والمروّة إنتهى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23" w:name="pg14719_186522"/>
    </w:p>
    <w:p>
      <w:pPr>
        <w:pStyle w:val="Heading3"/>
        <w:numPr>
          <w:ilvl w:val="2"/>
          <w:numId w:val="1"/>
        </w:numPr>
        <w:rPr/>
      </w:pPr>
      <w:bookmarkStart w:id="124" w:name="__RefHeading___Toc553537_730472459"/>
      <w:bookmarkStart w:id="125" w:name="_Toc47"/>
      <w:bookmarkEnd w:id="123"/>
      <w:bookmarkEnd w:id="124"/>
      <w:r>
        <w:rPr>
          <w:rtl w:val="true"/>
        </w:rPr>
        <w:t>القول بأنّ العدالة هي ظاهر الإسلام</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الجنيد، و المفيد في كتاب الإشراف </w:t>
      </w:r>
      <w:r>
        <w:rPr>
          <w:rStyle w:val="FootnoteAnchor"/>
          <w:rtl w:val="true"/>
        </w:rPr>
        <w:footnoteReference w:id="200"/>
      </w:r>
      <w:r>
        <w:rPr>
          <w:rFonts w:ascii="Amiri" w:hAnsi="Amiri" w:eastAsia="Amiri" w:cs="Amiri"/>
          <w:color w:val="111111"/>
          <w:sz w:val="28"/>
          <w:sz w:val="28"/>
          <w:szCs w:val="28"/>
          <w:rtl w:val="true"/>
          <w:lang w:bidi="ar-SA"/>
        </w:rPr>
        <w:t xml:space="preserve">، و الشيخ في الخلاف على ما حكي عنهم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هي ظاهر الإسلام، فلو علم إسلام الرجل و إيمانه تقبل شهادته، إلّا إذا علم فسقه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الأوّل على ما نقل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كلّ المسلمين على العدالة إلى أن يظهر خلافه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الثالث الإجماع عليه، و عبارته المنقولة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شهد عند الحاكم شاهدان يعرف إسلامهما و لا يعرف فيهما جرح حكم بشهادتهما، و لا يقف على البحث، إلّا أن يجرح المحكوم عليه فيهما،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فاسقان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خلاف أبي حنيفة و تفصيله بين القصاص والحدّ و غيرهما، فيبحث فيهما، ثمّ قال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دليلنا إجماع الفرقة و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الأصل في الإسلام العدالة، والفسق طار عليه يحتاج إلى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نحن نعلم أنّه ما كان البحث في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أيّام الصحابة، و لا أيّام التابعين، و إنّما هو شيء أحدثه شريک بن عبد الله القاضي، فلو كان شرطًا ما أجمع أهل الأعصار على تركه، إنتهى كلامه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26" w:name="pg14719_186524"/>
    </w:p>
    <w:p>
      <w:pPr>
        <w:pStyle w:val="Heading3"/>
        <w:numPr>
          <w:ilvl w:val="2"/>
          <w:numId w:val="1"/>
        </w:numPr>
        <w:rPr/>
      </w:pPr>
      <w:bookmarkStart w:id="127" w:name="__RefHeading___Toc553539_730472459"/>
      <w:bookmarkStart w:id="128" w:name="_Toc48"/>
      <w:bookmarkEnd w:id="126"/>
      <w:bookmarkEnd w:id="127"/>
      <w:r>
        <w:rPr>
          <w:rtl w:val="true"/>
        </w:rPr>
        <w:t>الاستدلال بجملة من النصوص للقول بأنّ العدالة هي ظاهر الإسلام</w:t>
      </w:r>
      <w:bookmarkEnd w:id="128"/>
    </w:p>
    <w:p>
      <w:pPr>
        <w:pStyle w:val="BookText"/>
        <w:rPr/>
      </w:pPr>
      <w:r>
        <w:rPr>
          <w:rFonts w:ascii="Amiri" w:hAnsi="Amiri" w:eastAsia="Amiri" w:cs="Amiri"/>
          <w:color w:val="111111"/>
          <w:sz w:val="28"/>
          <w:sz w:val="28"/>
          <w:szCs w:val="28"/>
          <w:rtl w:val="true"/>
          <w:lang w:bidi="ar-SA"/>
        </w:rPr>
        <w:t xml:space="preserve">و استدلّ لهذا القول بجملة من النصوص، و لعلّها هي الّتي أشار إليها الشيخ في العبارة المذكورة،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و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 أنا أذكرها أوّلاً، ثمّ أُشير إلى جوابها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النصوص صحيحة حريز </w:t>
      </w:r>
      <w:r>
        <w:rPr>
          <w:rStyle w:val="FootnoteAnchor"/>
          <w:rtl w:val="true"/>
        </w:rPr>
        <w:footnoteReference w:id="206"/>
      </w: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فعدل منهم اثنان و لم يعدل الآخران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أربعة من المسلمين ليس يعرفون بشهادة الزور أجيزت شهادتهم جميعًا، وأقيم الحدّ على الّذي شهدوا عليه، إنّما عليهم أن يشهدوا بما أبصروا به </w:t>
      </w:r>
      <w:r>
        <w:rPr>
          <w:rStyle w:val="FootnoteAnchor"/>
          <w:rtl w:val="true"/>
        </w:rPr>
        <w:footnoteReference w:id="207"/>
      </w:r>
      <w:r>
        <w:rPr>
          <w:rFonts w:ascii="Amiri" w:hAnsi="Amiri" w:eastAsia="Amiri" w:cs="Amiri"/>
          <w:color w:val="111111"/>
          <w:sz w:val="28"/>
          <w:sz w:val="28"/>
          <w:szCs w:val="28"/>
          <w:rtl w:val="true"/>
          <w:lang w:bidi="ar-SA"/>
        </w:rPr>
        <w:t xml:space="preserve">وعلموا، و على الوالي أن يجيز شهادتهم إلّا أن يكونوا معروفين بالفسق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رواه يونس عن بعض رجاله </w:t>
      </w:r>
      <w:r>
        <w:rPr>
          <w:rStyle w:val="FootnoteAnchor"/>
          <w:rtl w:val="true"/>
        </w:rPr>
        <w:footnoteReference w:id="2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البيّنة إذا أقيمت على الحقّ، أيحلّ للقاضي أن يقضي بقول البيّنة من غير مسألة إذا لم يعرفهم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يجب على الناس الأخذ بها بظاهر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و التناكح و المواريث و الذبائح و الشهادات، فإذا كان ظاهره ظاهرًا مأمونًا جازت شهادته و لا يسئل عن باطنه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لشريح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المسلمين عدول بعضهم على بعض، إلّا مجلود </w:t>
      </w:r>
      <w:r>
        <w:rPr>
          <w:rStyle w:val="FootnoteAnchor"/>
          <w:rtl w:val="true"/>
        </w:rPr>
        <w:footnoteReference w:id="211"/>
      </w:r>
      <w:r>
        <w:rPr>
          <w:rFonts w:ascii="Amiri" w:hAnsi="Amiri" w:eastAsia="Amiri" w:cs="Amiri"/>
          <w:color w:val="111111"/>
          <w:sz w:val="28"/>
          <w:sz w:val="28"/>
          <w:szCs w:val="28"/>
          <w:rtl w:val="true"/>
          <w:lang w:bidi="ar-SA"/>
        </w:rPr>
        <w:t xml:space="preserve">في حدّ لم يتب منه، أو معروف بشهادة زور، أو ظنين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باسناده إلى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طريقه إليه حسن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طلّق امرأته و أشهد شاهدين ناصبيّين،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ولد على الفطرة و عرف بالصلاح في نفسه جازت شهادته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في موضع آخر من غير ذكر سؤال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عبد الله بن المغيرة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على الفطرة و عرف بالصلاح في نفسه جازت </w:t>
      </w:r>
      <w:bookmarkStart w:id="129" w:name="pg14719_186526"/>
    </w:p>
    <w:p>
      <w:pPr>
        <w:pStyle w:val="BookText"/>
        <w:rPr/>
      </w:pPr>
      <w:bookmarkEnd w:id="129"/>
      <w:r>
        <w:rPr>
          <w:rFonts w:ascii="IRNazanin" w:hAnsi="IRNazanin" w:eastAsia="IRNazanin"/>
          <w:color w:val="111111"/>
          <w:sz w:val="28"/>
          <w:sz w:val="28"/>
          <w:szCs w:val="28"/>
          <w:rtl w:val="true"/>
          <w:lang w:bidi="fa-IR"/>
        </w:rPr>
        <w:t xml:space="preserve">شهادته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العلاء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من يلعب بالحمام،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53541_730472459"/>
      <w:bookmarkStart w:id="131" w:name="_Toc49"/>
      <w:bookmarkEnd w:id="130"/>
      <w:r>
        <w:rPr>
          <w:rtl w:val="true"/>
        </w:rPr>
        <w:t>الجواب عن النصوص</w:t>
      </w:r>
      <w:bookmarkEnd w:id="131"/>
    </w:p>
    <w:p>
      <w:pPr>
        <w:pStyle w:val="BookText"/>
        <w:rPr/>
      </w:pPr>
      <w:r>
        <w:rPr>
          <w:rFonts w:ascii="IRNazanin" w:hAnsi="IRNazanin" w:eastAsia="IRNazanin"/>
          <w:color w:val="111111"/>
          <w:sz w:val="28"/>
          <w:sz w:val="28"/>
          <w:szCs w:val="28"/>
          <w:rtl w:val="true"/>
          <w:lang w:bidi="fa-IR"/>
        </w:rPr>
        <w:t xml:space="preserve">و الجواب عن هذه النصوص بعد تسليم دلالة جميعها على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النصوص معارضةٌ بنصوص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w:t>
      </w:r>
      <w:r>
        <w:rPr>
          <w:rStyle w:val="FootnoteAnchor"/>
          <w:rtl w:val="true"/>
        </w:rPr>
        <w:footnoteReference w:id="216"/>
      </w:r>
      <w:r>
        <w:rPr>
          <w:rFonts w:ascii="Amiri" w:hAnsi="Amiri" w:eastAsia="Amiri" w:cs="Amiri"/>
          <w:color w:val="111111"/>
          <w:sz w:val="28"/>
          <w:sz w:val="28"/>
          <w:szCs w:val="28"/>
          <w:rtl w:val="true"/>
          <w:lang w:bidi="ar-SA"/>
        </w:rPr>
        <w:t>عدالة الرجل بين المسلمين حتّى تقبل شهادته لهم و عليهم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يعرفوه </w:t>
      </w:r>
      <w:r>
        <w:rPr>
          <w:rStyle w:val="FootnoteAnchor"/>
          <w:rtl w:val="true"/>
        </w:rPr>
        <w:footnoteReference w:id="217"/>
      </w:r>
      <w:r>
        <w:rPr>
          <w:rFonts w:ascii="Amiri" w:hAnsi="Amiri" w:eastAsia="Amiri" w:cs="Amiri"/>
          <w:color w:val="111111"/>
          <w:sz w:val="28"/>
          <w:sz w:val="28"/>
          <w:szCs w:val="28"/>
          <w:rtl w:val="true"/>
          <w:lang w:bidi="ar-SA"/>
        </w:rPr>
        <w:t xml:space="preserve">بالستر و العفاف، و كفّ البطن و الفرج و اليد و اللسان، ويعرف </w:t>
      </w:r>
      <w:r>
        <w:rPr>
          <w:rStyle w:val="FootnoteAnchor"/>
          <w:rtl w:val="true"/>
        </w:rPr>
        <w:footnoteReference w:id="218"/>
      </w:r>
      <w:r>
        <w:rPr>
          <w:rFonts w:ascii="Amiri" w:hAnsi="Amiri" w:eastAsia="Amiri" w:cs="Amiri"/>
          <w:color w:val="111111"/>
          <w:sz w:val="28"/>
          <w:sz w:val="28"/>
          <w:szCs w:val="28"/>
          <w:rtl w:val="true"/>
          <w:lang w:bidi="ar-SA"/>
        </w:rPr>
        <w:t xml:space="preserve">باجتناب الكبائر الّتي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النار، من شرب الخمر</w:t>
      </w:r>
      <w:r>
        <w:rPr>
          <w:rStyle w:val="FootnoteAnchor"/>
          <w:rtl w:val="true"/>
        </w:rPr>
        <w:footnoteReference w:id="219"/>
      </w:r>
      <w:r>
        <w:rPr>
          <w:rFonts w:ascii="IRNazanin" w:hAnsi="IRNazanin" w:eastAsia="IRNazanin"/>
          <w:color w:val="111111"/>
          <w:sz w:val="28"/>
          <w:sz w:val="28"/>
          <w:szCs w:val="28"/>
          <w:rtl w:val="true"/>
          <w:lang w:bidi="fa-IR"/>
        </w:rPr>
        <w:t xml:space="preserve">، و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الربا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و عقوق الوالدين، و الفرار من الزحف، و غير ذلک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الدالّ </w:t>
      </w:r>
      <w:r>
        <w:rPr>
          <w:rStyle w:val="FootnoteAnchor"/>
          <w:rtl w:val="true"/>
        </w:rPr>
        <w:footnoteReference w:id="221"/>
      </w:r>
      <w:r>
        <w:rPr>
          <w:rFonts w:ascii="IRNazanin" w:hAnsi="IRNazanin" w:eastAsia="IRNazanin"/>
          <w:color w:val="111111"/>
          <w:sz w:val="28"/>
          <w:sz w:val="28"/>
          <w:szCs w:val="28"/>
          <w:rtl w:val="true"/>
          <w:lang w:bidi="fa-IR"/>
        </w:rPr>
        <w:t xml:space="preserve">على ذلک كلّه أن يكون ساترًا </w:t>
      </w:r>
      <w:r>
        <w:rPr>
          <w:rStyle w:val="FootnoteAnchor"/>
          <w:rtl w:val="true"/>
        </w:rPr>
        <w:footnoteReference w:id="222"/>
      </w:r>
      <w:r>
        <w:rPr>
          <w:rFonts w:ascii="IRNazanin" w:hAnsi="IRNazanin" w:eastAsia="IRNazanin"/>
          <w:color w:val="111111"/>
          <w:sz w:val="28"/>
          <w:sz w:val="28"/>
          <w:szCs w:val="28"/>
          <w:rtl w:val="true"/>
          <w:lang w:bidi="fa-IR"/>
        </w:rPr>
        <w:t xml:space="preserve">لجميع عيوبه حتّى يحرم على المسلمين تفتيش ما وراء ذلک من عثراته و عيوبه </w:t>
      </w:r>
      <w:r>
        <w:rPr>
          <w:rStyle w:val="FootnoteAnchor"/>
          <w:rtl w:val="true"/>
        </w:rPr>
        <w:footnoteReference w:id="223"/>
      </w:r>
      <w:r>
        <w:rPr>
          <w:rFonts w:ascii="Amiri" w:hAnsi="Amiri" w:eastAsia="Amiri" w:cs="Amiri"/>
          <w:color w:val="111111"/>
          <w:sz w:val="28"/>
          <w:sz w:val="28"/>
          <w:szCs w:val="28"/>
          <w:rtl w:val="true"/>
          <w:lang w:bidi="ar-SA"/>
        </w:rPr>
        <w:t xml:space="preserve">، و يجب عليهم تزكيته </w:t>
      </w:r>
      <w:r>
        <w:rPr>
          <w:rStyle w:val="FootnoteAnchor"/>
          <w:rtl w:val="true"/>
        </w:rPr>
        <w:footnoteReference w:id="224"/>
      </w:r>
      <w:r>
        <w:rPr>
          <w:rFonts w:ascii="Amiri" w:hAnsi="Amiri" w:eastAsia="Amiri" w:cs="Amiri"/>
          <w:color w:val="111111"/>
          <w:sz w:val="28"/>
          <w:sz w:val="28"/>
          <w:szCs w:val="28"/>
          <w:rtl w:val="true"/>
          <w:lang w:bidi="ar-SA"/>
        </w:rPr>
        <w:t xml:space="preserve">وإظهار عدالته في الناس، و يكون معه التعاهد </w:t>
      </w:r>
      <w:r>
        <w:rPr>
          <w:rStyle w:val="FootnoteAnchor"/>
          <w:rtl w:val="true"/>
        </w:rPr>
        <w:footnoteReference w:id="225"/>
      </w:r>
      <w:r>
        <w:rPr>
          <w:rFonts w:ascii="IRNazanin" w:hAnsi="IRNazanin" w:eastAsia="IRNazanin"/>
          <w:color w:val="111111"/>
          <w:sz w:val="28"/>
          <w:sz w:val="28"/>
          <w:szCs w:val="28"/>
          <w:rtl w:val="true"/>
          <w:lang w:bidi="fa-IR"/>
        </w:rPr>
        <w:t>للصلوات الخمس إذا واظب</w:t>
      </w:r>
    </w:p>
    <w:p>
      <w:pPr>
        <w:pStyle w:val="BookText"/>
        <w:rPr/>
      </w:pPr>
      <w:r>
        <w:rPr>
          <w:rFonts w:ascii="Amiri" w:hAnsi="Amiri" w:eastAsia="Amiri" w:cs="Amiri"/>
          <w:color w:val="111111"/>
          <w:sz w:val="28"/>
          <w:sz w:val="28"/>
          <w:szCs w:val="28"/>
          <w:rtl w:val="true"/>
          <w:lang w:bidi="ar-SA"/>
        </w:rPr>
        <w:t xml:space="preserve">عليهنّ، و حفظ </w:t>
      </w:r>
      <w:r>
        <w:rPr>
          <w:rStyle w:val="FootnoteAnchor"/>
          <w:rtl w:val="true"/>
        </w:rPr>
        <w:footnoteReference w:id="226"/>
      </w:r>
      <w:r>
        <w:rPr>
          <w:rFonts w:ascii="Amiri" w:hAnsi="Amiri" w:eastAsia="Amiri" w:cs="Amiri"/>
          <w:color w:val="111111"/>
          <w:sz w:val="28"/>
          <w:sz w:val="28"/>
          <w:szCs w:val="28"/>
          <w:rtl w:val="true"/>
          <w:lang w:bidi="ar-SA"/>
        </w:rPr>
        <w:t xml:space="preserve">مواقيتهنّ بحضور </w:t>
      </w:r>
      <w:r>
        <w:rPr>
          <w:rStyle w:val="FootnoteAnchor"/>
          <w:rtl w:val="true"/>
        </w:rPr>
        <w:footnoteReference w:id="227"/>
      </w:r>
      <w:r>
        <w:rPr>
          <w:rFonts w:ascii="Amiri" w:hAnsi="Amiri" w:eastAsia="Amiri" w:cs="Amiri"/>
          <w:color w:val="111111"/>
          <w:sz w:val="28"/>
          <w:sz w:val="28"/>
          <w:szCs w:val="28"/>
          <w:rtl w:val="true"/>
          <w:lang w:bidi="ar-SA"/>
        </w:rPr>
        <w:t xml:space="preserve">جماعة من المسلمين، و أن لا يتخلّف عن جماعتهم في مصلّاهم إلّا من 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228"/>
      </w:r>
      <w:r>
        <w:rPr>
          <w:rFonts w:ascii="IRNazanin" w:hAnsi="IRNazanin" w:eastAsia="IRNazanin"/>
          <w:color w:val="111111"/>
          <w:sz w:val="28"/>
          <w:sz w:val="28"/>
          <w:szCs w:val="28"/>
          <w:rtl w:val="true"/>
          <w:lang w:bidi="fa-IR"/>
        </w:rPr>
        <w:t xml:space="preserve">كان كذلک لازمًا لمصلّاه عند حضور الصلوات الخمس، فإذا سئل عنه في قبيلته و 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منه إلّا خيرًا، مواظبًا على الصلاة </w:t>
      </w:r>
      <w:r>
        <w:rPr>
          <w:rStyle w:val="FootnoteAnchor"/>
          <w:rtl w:val="true"/>
        </w:rPr>
        <w:footnoteReference w:id="229"/>
      </w:r>
      <w:r>
        <w:rPr>
          <w:rFonts w:ascii="IRNazanin" w:hAnsi="IRNazanin" w:eastAsia="IRNazanin"/>
          <w:color w:val="111111"/>
          <w:sz w:val="28"/>
          <w:sz w:val="28"/>
          <w:szCs w:val="28"/>
          <w:rtl w:val="true"/>
          <w:lang w:bidi="fa-IR"/>
        </w:rPr>
        <w:t xml:space="preserve">، متعاهدًا لأوقاتها في مصلّاه، فإنّ ذلک تجيز </w:t>
      </w:r>
      <w:r>
        <w:rPr>
          <w:rStyle w:val="FootnoteAnchor"/>
          <w:rtl w:val="true"/>
        </w:rPr>
        <w:footnoteReference w:id="230"/>
      </w:r>
      <w:r>
        <w:rPr>
          <w:rFonts w:ascii="Amiri" w:hAnsi="Amiri" w:eastAsia="Amiri" w:cs="Amiri"/>
          <w:color w:val="111111"/>
          <w:sz w:val="28"/>
          <w:sz w:val="28"/>
          <w:szCs w:val="28"/>
          <w:rtl w:val="true"/>
          <w:lang w:bidi="ar-SA"/>
        </w:rPr>
        <w:t xml:space="preserve">شهادته و عدالته بين المسلمين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ما تضمّنه هذا الحديث ينافي القول بأنّ العدالة هي ظاهر الإسلام قطعًا، بل لا يكاد يتمّ إلّا مع القول بأنّ العدالة هي الملكة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دينه و أمانته و صلاحه و عفّته و تفطّنه </w:t>
      </w:r>
      <w:r>
        <w:rPr>
          <w:rStyle w:val="FootnoteAnchor"/>
          <w:rtl w:val="true"/>
        </w:rPr>
        <w:footnoteReference w:id="234"/>
      </w:r>
      <w:r>
        <w:rPr>
          <w:rFonts w:ascii="Amiri" w:hAnsi="Amiri" w:eastAsia="Amiri" w:cs="Amiri"/>
          <w:color w:val="111111"/>
          <w:sz w:val="28"/>
          <w:sz w:val="28"/>
          <w:szCs w:val="28"/>
          <w:rtl w:val="true"/>
          <w:lang w:bidi="ar-SA"/>
        </w:rPr>
        <w:t xml:space="preserve">فيما يشهد به، وتمييزه </w:t>
      </w:r>
      <w:r>
        <w:rPr>
          <w:rStyle w:val="FootnoteAnchor"/>
          <w:rtl w:val="true"/>
        </w:rPr>
        <w:footnoteReference w:id="235"/>
      </w:r>
      <w:r>
        <w:rPr>
          <w:rFonts w:ascii="Amiri" w:hAnsi="Amiri" w:eastAsia="Amiri" w:cs="Amiri"/>
          <w:color w:val="111111"/>
          <w:sz w:val="28"/>
          <w:sz w:val="28"/>
          <w:szCs w:val="28"/>
          <w:rtl w:val="true"/>
          <w:lang w:bidi="ar-SA"/>
        </w:rPr>
        <w:t xml:space="preserve">، فما كلّ صالح مميّز محصّل </w:t>
      </w:r>
      <w:r>
        <w:rPr>
          <w:rStyle w:val="FootnoteAnchor"/>
          <w:rtl w:val="true"/>
        </w:rPr>
        <w:footnoteReference w:id="236"/>
      </w:r>
      <w:r>
        <w:rPr>
          <w:rFonts w:ascii="Amiri" w:hAnsi="Amiri" w:eastAsia="Amiri" w:cs="Amiri"/>
          <w:color w:val="111111"/>
          <w:sz w:val="28"/>
          <w:sz w:val="28"/>
          <w:szCs w:val="28"/>
          <w:rtl w:val="true"/>
          <w:lang w:bidi="ar-SA"/>
        </w:rPr>
        <w:t xml:space="preserve">، و لا كلّ محصّل مميّز صالح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معلوم أنّ مجهول الحال لا يصدق عليه أنّه ممّن يرضى أمانته و صلاحه وعفّته، لأنّ المتبادر منها أنّها شيءٌ وجوديٌّ زائدٌ على مجرّد ظاهر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الخصال عن مولانا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عامل الناس و لم يظلمهم، و حدّثهم فلم يكذبهم، ووعدهم فلم يخلفهم، فهو ممّن كملت مروّته، و ظهرت عدالته، و وجبت أخوّته، وحرّمت غيبته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آخر مرويّ عنه أيضًا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w:t>
      </w:r>
    </w:p>
    <w:p>
      <w:pPr>
        <w:pStyle w:val="BookText"/>
        <w:rPr/>
      </w:pPr>
      <w:r>
        <w:rPr>
          <w:rFonts w:ascii="Amiri" w:hAnsi="Amiri" w:eastAsia="Amiri" w:cs="Amiri"/>
          <w:color w:val="111111"/>
          <w:sz w:val="28"/>
          <w:sz w:val="28"/>
          <w:szCs w:val="28"/>
          <w:rtl w:val="true"/>
          <w:lang w:bidi="ar-SA"/>
        </w:rPr>
        <w:t xml:space="preserve">الضيف إذا كان عفيفًا صائنًا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العلاء بن سيابة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سأله عن المكاري والملّاح و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بهم </w:t>
      </w:r>
      <w:r>
        <w:rPr>
          <w:rStyle w:val="FootnoteAnchor"/>
          <w:rtl w:val="true"/>
        </w:rPr>
        <w:footnoteReference w:id="241"/>
      </w:r>
      <w:r>
        <w:rPr>
          <w:rFonts w:ascii="Amiri" w:hAnsi="Amiri" w:eastAsia="Amiri" w:cs="Amiri"/>
          <w:color w:val="111111"/>
          <w:sz w:val="28"/>
          <w:sz w:val="28"/>
          <w:szCs w:val="28"/>
          <w:rtl w:val="true"/>
          <w:lang w:bidi="ar-SA"/>
        </w:rPr>
        <w:t xml:space="preserve">، تقبل شهادتهم إذا كانوا صلحاء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سالم عن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لابنه </w:t>
      </w:r>
      <w:r>
        <w:rPr>
          <w:rStyle w:val="FootnoteAnchor"/>
          <w:rtl w:val="true"/>
        </w:rPr>
        <w:footnoteReference w:id="244"/>
      </w:r>
      <w:r>
        <w:rPr>
          <w:rFonts w:ascii="Amiri" w:hAnsi="Amiri" w:eastAsia="Amiri" w:cs="Amiri"/>
          <w:color w:val="111111"/>
          <w:sz w:val="28"/>
          <w:sz w:val="28"/>
          <w:szCs w:val="28"/>
          <w:rtl w:val="true"/>
          <w:lang w:bidi="ar-SA"/>
        </w:rPr>
        <w:t xml:space="preserve">، والإبن لأبيه </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w:t>
      </w:r>
      <w:r>
        <w:rPr>
          <w:rStyle w:val="FootnoteAnchor"/>
          <w:rtl w:val="true"/>
        </w:rPr>
        <w:footnoteReference w:id="246"/>
      </w:r>
      <w:r>
        <w:rPr>
          <w:rFonts w:ascii="IRNazanin" w:hAnsi="IRNazanin" w:eastAsia="IRNazanin"/>
          <w:color w:val="111111"/>
          <w:sz w:val="28"/>
          <w:sz w:val="28"/>
          <w:szCs w:val="28"/>
          <w:rtl w:val="true"/>
          <w:lang w:bidi="fa-IR"/>
        </w:rPr>
        <w:t xml:space="preserve">لامرأته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إذا كان خيّرًا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المرويّ عن البزنطيّ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كيف طلاق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يطلّقها إذا طهرت من حيضها قبل أن يغشيها</w:t>
      </w:r>
      <w:r>
        <w:rPr>
          <w:rStyle w:val="FootnoteAnchor"/>
          <w:rtl w:val="true"/>
        </w:rPr>
        <w:footnoteReference w:id="248"/>
      </w:r>
      <w:r>
        <w:rPr>
          <w:rFonts w:ascii="Amiri" w:hAnsi="Amiri" w:eastAsia="Amiri" w:cs="Amiri"/>
          <w:color w:val="111111"/>
          <w:sz w:val="28"/>
          <w:sz w:val="28"/>
          <w:szCs w:val="28"/>
          <w:rtl w:val="true"/>
          <w:lang w:bidi="ar-SA"/>
        </w:rPr>
        <w:t xml:space="preserve">بشاهدين عدلين، كما قال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Style w:val="FootnoteAnchor"/>
          <w:rtl w:val="true"/>
        </w:rPr>
        <w:footnoteReference w:id="249"/>
      </w:r>
      <w:r>
        <w:rPr>
          <w:rFonts w:ascii="IRNazanin" w:hAnsi="IRNazanin" w:eastAsia="IRNazanin"/>
          <w:color w:val="111111"/>
          <w:sz w:val="28"/>
          <w:sz w:val="28"/>
          <w:szCs w:val="28"/>
          <w:rtl w:val="true"/>
          <w:lang w:bidi="fa-IR"/>
        </w:rPr>
        <w:t xml:space="preserve">ولد على </w:t>
      </w:r>
    </w:p>
    <w:p>
      <w:pPr>
        <w:pStyle w:val="BookText"/>
        <w:rPr/>
      </w:pPr>
      <w:r>
        <w:rPr>
          <w:rFonts w:ascii="Amiri" w:hAnsi="Amiri" w:eastAsia="Amiri" w:cs="Amiri"/>
          <w:color w:val="111111"/>
          <w:sz w:val="28"/>
          <w:sz w:val="28"/>
          <w:szCs w:val="28"/>
          <w:rtl w:val="true"/>
          <w:lang w:bidi="ar-SA"/>
        </w:rPr>
        <w:t xml:space="preserve">الفطرة أجيزت </w:t>
      </w:r>
      <w:r>
        <w:rPr>
          <w:rStyle w:val="FootnoteAnchor"/>
          <w:rtl w:val="true"/>
        </w:rPr>
        <w:footnoteReference w:id="250"/>
      </w:r>
      <w:r>
        <w:rPr>
          <w:rFonts w:ascii="Amiri" w:hAnsi="Amiri" w:eastAsia="Amiri" w:cs="Amiri"/>
          <w:color w:val="111111"/>
          <w:sz w:val="28"/>
          <w:sz w:val="28"/>
          <w:szCs w:val="28"/>
          <w:rtl w:val="true"/>
          <w:lang w:bidi="ar-SA"/>
        </w:rPr>
        <w:t xml:space="preserve">شهادته على الطلاق بعد أن يعرف </w:t>
      </w:r>
      <w:r>
        <w:rPr>
          <w:rStyle w:val="FootnoteAnchor"/>
          <w:rtl w:val="true"/>
        </w:rPr>
        <w:footnoteReference w:id="251"/>
      </w:r>
      <w:r>
        <w:rPr>
          <w:rFonts w:ascii="Amiri" w:hAnsi="Amiri" w:eastAsia="Amiri" w:cs="Amiri"/>
          <w:color w:val="111111"/>
          <w:sz w:val="28"/>
          <w:sz w:val="28"/>
          <w:szCs w:val="28"/>
          <w:rtl w:val="true"/>
          <w:lang w:bidi="ar-SA"/>
        </w:rPr>
        <w:t xml:space="preserve">منه خيرًا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 العفّة و الصائن و الصلاح و الخير هو الأمر الوجوديّ الزائد عن أصل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التعارض بين هذه النصوص و النصوص المتقدّمة تعارض المطلق و المقيّد، لأنّ النصوص المتقدّمة دلّت على أنّ المسلم إذا لم يظهر منه فسقٌ تقبل شهادته مطلقًا ؛ و هذه النصوص قد دلّت على أنّه تقبل شهادته بشرط أن يكون فيه شيءٌ زائدٌ على مجرّد الإسلام، فيقيّد بها إطلاق تلک النصوص حملاً للمطلق على المقيّد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فيعلم من ذلک أنّ العدالة ليست مجرّد ظاهر الإسلام، بل مع شيء آخر،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الشيء هو الملكة الباعثة على ملازمة التقوى و المروّة ؛ و هي و إن لم تذكر في النصوص صريحًا، إلّا أنّ جملةً منها قد اشتملت على صفات ظاهر لا تتحقّق إلّا معها، لا سيّما الصحيحة المتقدّمة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من ظاهر كنز العرفان الاتّفاق على أنّ العدالة ذلک ؛ و به يشعر عبارة المولى الأردبيليّ في مجمع الفائدة و البرهان، حيث قال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العدالة قد عرفت في الأصول و الفروع من الموافق و المخالف </w:t>
      </w:r>
    </w:p>
    <w:p>
      <w:pPr>
        <w:pStyle w:val="BookText"/>
        <w:rPr/>
      </w:pPr>
      <w:r>
        <w:rPr>
          <w:rFonts w:ascii="IRNazanin" w:hAnsi="IRNazanin" w:eastAsia="IRNazanin"/>
          <w:color w:val="111111"/>
          <w:sz w:val="28"/>
          <w:sz w:val="28"/>
          <w:szCs w:val="28"/>
          <w:rtl w:val="true"/>
          <w:lang w:bidi="fa-IR"/>
        </w:rPr>
        <w:t xml:space="preserve">بالملكة الّتي يقتدر بها على ترک الكبائر، و الإصرار على الصغائر، والمروّات، إنتهى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إن عرف عدالة الشاهدين حكم، و إن عرف فسقهما أطرح، و إن جهل الأمرين بحث عنهما </w:t>
      </w:r>
      <w:r>
        <w:rPr>
          <w:rStyle w:val="FootnoteAnchor"/>
          <w:rtl w:val="true"/>
        </w:rPr>
        <w:footnoteReference w:id="254"/>
      </w:r>
      <w:r>
        <w:rPr>
          <w:rFonts w:ascii="Amiri" w:hAnsi="Amiri" w:eastAsia="Amiri" w:cs="Amiri"/>
          <w:color w:val="111111"/>
          <w:sz w:val="28"/>
          <w:sz w:val="28"/>
          <w:szCs w:val="28"/>
          <w:rtl w:val="true"/>
          <w:lang w:bidi="ar-SA"/>
        </w:rPr>
        <w:t xml:space="preserve">، و كذا لو عرف إسلامهما و جهل عدالتهما، توقّف حتّى يتحقّق ما يبني عليه من عدالة أو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و به رواية شاذّة، إنتهى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إذا أحطت خبرًا بما ذكرناه ظهر لک أنّ الإجماع الّذي ادّعاه في الخلاف موهون، مع أنّک قد عرفت سابقًا من المفيد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مشاركيه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اعتبار الملكة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المحكيّ عن ابن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شركيه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ذلک أيضًا، وهو هذا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الشاهد حرًّا بالغًا مؤمنًا بصيرًا، معروف النسب، مرضيًّا، غير مشهور بكذب في شهادة، و لا بارتكاب كبيرة، و لا مقام على صغيرة، حسن التيقّظ، عالمًا بمعاني الأقوال، عارفًا بأحكام الشهادة، غير </w:t>
      </w:r>
    </w:p>
    <w:p>
      <w:pPr>
        <w:pStyle w:val="BookText"/>
        <w:rPr/>
      </w:pPr>
      <w:r>
        <w:rPr>
          <w:rFonts w:ascii="Amiri" w:hAnsi="Amiri" w:eastAsia="Amiri" w:cs="Amiri"/>
          <w:color w:val="111111"/>
          <w:sz w:val="28"/>
          <w:sz w:val="28"/>
          <w:szCs w:val="28"/>
          <w:rtl w:val="true"/>
          <w:lang w:bidi="ar-SA"/>
        </w:rPr>
        <w:t xml:space="preserve">معروف بحيف على معامل، و لا تهاون </w:t>
      </w:r>
      <w:r>
        <w:rPr>
          <w:rStyle w:val="FootnoteAnchor"/>
          <w:rtl w:val="true"/>
        </w:rPr>
        <w:footnoteReference w:id="257"/>
      </w:r>
      <w:r>
        <w:rPr>
          <w:rFonts w:ascii="Amiri" w:hAnsi="Amiri" w:eastAsia="Amiri" w:cs="Amiri"/>
          <w:color w:val="111111"/>
          <w:sz w:val="28"/>
          <w:sz w:val="28"/>
          <w:szCs w:val="28"/>
          <w:rtl w:val="true"/>
          <w:lang w:bidi="ar-SA"/>
        </w:rPr>
        <w:t xml:space="preserve">بواجب من علم أو عمل، و لا معروف بمباشرة أهل الباطل، و الدخول </w:t>
      </w:r>
      <w:r>
        <w:rPr>
          <w:rStyle w:val="FootnoteAnchor"/>
          <w:rtl w:val="true"/>
        </w:rPr>
        <w:footnoteReference w:id="258"/>
      </w:r>
      <w:r>
        <w:rPr>
          <w:rFonts w:ascii="Amiri" w:hAnsi="Amiri" w:eastAsia="Amiri" w:cs="Amiri"/>
          <w:color w:val="111111"/>
          <w:sz w:val="28"/>
          <w:sz w:val="28"/>
          <w:szCs w:val="28"/>
          <w:rtl w:val="true"/>
          <w:lang w:bidi="ar-SA"/>
        </w:rPr>
        <w:t xml:space="preserve">في جملتهم، و لا بالحرص على أهل الدنيا، و لا بساقط المروّة، بريئًا من أهواء أهل البدع الّتي يجب </w:t>
      </w:r>
      <w:r>
        <w:rPr>
          <w:rStyle w:val="FootnoteAnchor"/>
          <w:rtl w:val="true"/>
        </w:rPr>
        <w:footnoteReference w:id="259"/>
      </w:r>
      <w:r>
        <w:rPr>
          <w:rFonts w:ascii="Amiri" w:hAnsi="Amiri" w:eastAsia="Amiri" w:cs="Amiri"/>
          <w:color w:val="111111"/>
          <w:sz w:val="28"/>
          <w:sz w:val="28"/>
          <w:szCs w:val="28"/>
          <w:rtl w:val="true"/>
          <w:lang w:bidi="ar-SA"/>
        </w:rPr>
        <w:t xml:space="preserve">على المؤمنين البرائة من أهلها، فهو من أهل العدالة المقبول شهادتهم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الشيخ بنفسه ظاهره الإجماع على خلاف ذلک، حيث قال في 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الغرباء في بلد عند حاكم </w:t>
      </w:r>
      <w:r>
        <w:rPr>
          <w:rStyle w:val="FootnoteAnchor"/>
          <w:rtl w:val="true"/>
        </w:rPr>
        <w:footnoteReference w:id="261"/>
      </w:r>
      <w:r>
        <w:rPr>
          <w:rFonts w:ascii="Amiri" w:hAnsi="Amiri" w:eastAsia="Amiri" w:cs="Amiri"/>
          <w:color w:val="111111"/>
          <w:sz w:val="28"/>
          <w:sz w:val="28"/>
          <w:szCs w:val="28"/>
          <w:rtl w:val="true"/>
          <w:lang w:bidi="ar-SA"/>
        </w:rPr>
        <w:t xml:space="preserve">، فشهد عنده اثنان، فإن عرفا بعدالة حكم، و إن عرف الفسق </w:t>
      </w:r>
      <w:r>
        <w:rPr>
          <w:rStyle w:val="FootnoteAnchor"/>
          <w:rtl w:val="true"/>
        </w:rPr>
        <w:footnoteReference w:id="262"/>
      </w:r>
      <w:r>
        <w:rPr>
          <w:rFonts w:ascii="Amiri" w:hAnsi="Amiri" w:eastAsia="Amiri" w:cs="Amiri"/>
          <w:color w:val="111111"/>
          <w:sz w:val="28"/>
          <w:sz w:val="28"/>
          <w:szCs w:val="28"/>
          <w:rtl w:val="true"/>
          <w:lang w:bidi="ar-SA"/>
        </w:rPr>
        <w:t xml:space="preserve">وقف، و إن لم يعرف عدالةً و لا فسقًا بحث عندنا </w:t>
      </w:r>
      <w:r>
        <w:rPr>
          <w:rStyle w:val="FootnoteAnchor"/>
          <w:rtl w:val="true"/>
        </w:rPr>
        <w:footnoteReference w:id="263"/>
      </w:r>
      <w:r>
        <w:rPr>
          <w:rFonts w:ascii="Amiri" w:hAnsi="Amiri" w:eastAsia="Amiri" w:cs="Amiri"/>
          <w:color w:val="111111"/>
          <w:sz w:val="28"/>
          <w:sz w:val="28"/>
          <w:szCs w:val="28"/>
          <w:rtl w:val="true"/>
          <w:lang w:bidi="ar-SA"/>
        </w:rPr>
        <w:t xml:space="preserve">، سواء كان لهما السيماء الحسنة و المنظر الجميل، أو </w:t>
      </w:r>
      <w:r>
        <w:rPr>
          <w:rStyle w:val="FootnoteAnchor"/>
          <w:rtl w:val="true"/>
        </w:rPr>
        <w:footnoteReference w:id="264"/>
      </w:r>
      <w:r>
        <w:rPr>
          <w:rFonts w:ascii="IRNazanin" w:hAnsi="IRNazanin" w:eastAsia="IRNazanin"/>
          <w:color w:val="111111"/>
          <w:sz w:val="28"/>
          <w:sz w:val="28"/>
          <w:szCs w:val="28"/>
          <w:rtl w:val="true"/>
          <w:lang w:bidi="fa-IR"/>
        </w:rPr>
        <w:t xml:space="preserve">ظاهر الصدق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حكى خلاف مالک في معرفة العدالة بالمنظر الحسن، ثمّ استدلّ لما اختاره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فرجل وامرأتان ممّن ترضون من الشهداء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ما رضي بهما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بما ذكر ظهر لک أنّه لو كان التعارض بين تلک النصوص و ما بعدها تعارض الظاهرين، يقدّم الثاني أيضًا ألبتّة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لا نسلّم دلالة جميع تلک النصوص على كفاية مجرّد ظاهر الإسلام في قبول الشهادة، إذ من جملتها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ولد على الفطرة و عرف بالصلاح في نفسه جازت شهادته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 لو لم يدلّ على عدم كفاية مجرّد ظاهر الإسلام في قبول الشهادة، فلا أقلّ من عدم دلالته على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المتقدّم المشترط كون ظاهره ظاهرًا مأمونًا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الإنصاف أنّه لا يقال للمجهول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صالح، سيّما أن يكون معروفًا بالصلاح ؛ و كذا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مأمون </w:t>
      </w:r>
      <w:r>
        <w:rPr>
          <w:rFonts w:eastAsia="Amiri" w:cs="Amiri" w:ascii="Amiri" w:hAnsi="Amiri"/>
          <w:color w:val="111111"/>
          <w:sz w:val="28"/>
          <w:szCs w:val="28"/>
          <w:rtl w:val="true"/>
          <w:lang w:bidi="ar-SA"/>
        </w:rPr>
        <w:t xml:space="preserve">. </w:t>
      </w:r>
      <w:bookmarkStart w:id="132" w:name="pg14719_186534"/>
    </w:p>
    <w:p>
      <w:pPr>
        <w:pStyle w:val="Heading3"/>
        <w:numPr>
          <w:ilvl w:val="2"/>
          <w:numId w:val="1"/>
        </w:numPr>
        <w:rPr/>
      </w:pPr>
      <w:bookmarkStart w:id="133" w:name="__RefHeading___Toc553543_730472459"/>
      <w:bookmarkStart w:id="134" w:name="_Toc50"/>
      <w:bookmarkEnd w:id="132"/>
      <w:bookmarkEnd w:id="133"/>
      <w:r>
        <w:rPr>
          <w:rtl w:val="true"/>
        </w:rPr>
        <w:t>يجب الفحص عن المجهول الحال</w:t>
      </w:r>
      <w:bookmarkEnd w:id="134"/>
    </w:p>
    <w:p>
      <w:pPr>
        <w:pStyle w:val="BookText"/>
        <w:rPr/>
      </w:pP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للمشهور المحقّق و المنقول </w:t>
      </w:r>
      <w:r>
        <w:rPr>
          <w:rStyle w:val="FootnoteAnchor"/>
          <w:rtl w:val="true"/>
        </w:rPr>
        <w:footnoteReference w:id="2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التفحّص عن مجهول الحال مع العلم بالإسلام، لما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الأصل عدم اشتغال ذمّة شخص لآخر بحقّ و عدم جواز تسليطه عليه، فيجب الاقتصار فيما خالف الأصل على القدر المتيقّن، و هو ما إذا شهد الشاهدان المتّصفان بالعدالة الّتي هي الملكة، دون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يدلّ عليه أيضًا ما روي عن الوسائل عن مولانا الحسن بن عليّ العسكريّ في تفسيره،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تخاصم إليه رجلان قال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حجّة ؟ فإن أقام بيّنة يرضى </w:t>
      </w:r>
      <w:r>
        <w:rPr>
          <w:rStyle w:val="FootnoteAnchor"/>
          <w:rtl w:val="true"/>
        </w:rPr>
        <w:footnoteReference w:id="270"/>
      </w:r>
      <w:r>
        <w:rPr>
          <w:rFonts w:ascii="Amiri" w:hAnsi="Amiri" w:eastAsia="Amiri" w:cs="Amiri"/>
          <w:color w:val="111111"/>
          <w:sz w:val="28"/>
          <w:sz w:val="28"/>
          <w:szCs w:val="28"/>
          <w:rtl w:val="true"/>
          <w:lang w:bidi="ar-SA"/>
        </w:rPr>
        <w:t xml:space="preserve">و يعرفها، نفذ </w:t>
      </w:r>
      <w:r>
        <w:rPr>
          <w:rStyle w:val="FootnoteAnchor"/>
          <w:rtl w:val="true"/>
        </w:rPr>
        <w:footnoteReference w:id="271"/>
      </w:r>
      <w:r>
        <w:rPr>
          <w:rFonts w:ascii="Amiri" w:hAnsi="Amiri" w:eastAsia="Amiri" w:cs="Amiri"/>
          <w:color w:val="111111"/>
          <w:sz w:val="28"/>
          <w:sz w:val="28"/>
          <w:szCs w:val="28"/>
          <w:rtl w:val="true"/>
          <w:lang w:bidi="ar-SA"/>
        </w:rPr>
        <w:t xml:space="preserve">الحكم على المدّعى عليه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 بشهود لا يعرفهم بخير و لا شرّ، بعث رجلين من خيار أصحابه يسئل كلّ منهما من حيث لا يشعر الآخر عن حال الشهود في قبائلهم ومحلّاتهم، فإذا أثنوا عليه قضى حينئذٍ على المدّعى عليه، و إن رجعا بخبر سيّء وثناء قبيح لم يفضحهم، و لكن يدعو الخصم إلى الصلح، و إن كان الشهود من أخلاط الناس غرباء لا يعرفون أقبل على المدّعى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فيهما ؟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 إلّا خيرًا غير أنّهما غلطا فيما شهدا عليّ أنفذ شهادتهما، و إن جرحهما و طعن عليهما أصلح بين الخصمين، أو أحلف المدّعى عليه و قطع الخصومة بينهما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صريحٌ في البحث عن الشاهد إذا جهل حاله ؛ و إطلاقه شاملٌ لما إذا جهل إسلامهما أم لا، لو سلّمنا عدم تبادر الأخير منه، لغلبيّة الإسلام في المتخاصمين وشهودهم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ما دلّ على عدم قبول شهادة الفاسق من الآية المذكورة،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جاءكم فاسقٌ بنبأٍ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73"/>
      </w:r>
      <w:r>
        <w:rPr>
          <w:rFonts w:ascii="Amiri" w:hAnsi="Amiri" w:eastAsia="Amiri" w:cs="Amiri"/>
          <w:color w:val="111111"/>
          <w:sz w:val="28"/>
          <w:sz w:val="28"/>
          <w:szCs w:val="28"/>
          <w:rtl w:val="true"/>
          <w:lang w:bidi="ar-SA"/>
        </w:rPr>
        <w:t xml:space="preserve">؛ و النصوص المستفيضة الّتي قد تقدّمت إلى بعضها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على أنّ الفاسق اسمٌ لمن ثبت وصف الفسق له في نفس الأمر، و مجهول الحال يحتمل أن يكون كذلک، فيجب الفحص عن حاله، لاسيّما بعد تعليله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قول الفاسق بكراهة الوقوع في الندم،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تُصيبوا قومًا بجهالة فتُصبحوا على ما فعلتم نادمين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ذكرناه سابقًا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فرض تسليم كون المراد بالفاسق من علم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المتبادر منه ذلک، فيجب حمله عليه، لأنّ الألفاظ محمولةٌ على ما يفهم منها في العرف والعادة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قبول قول الشاهد ليس على وفق الأصل حتّى ينفعک حمل </w:t>
      </w:r>
    </w:p>
    <w:p>
      <w:pPr>
        <w:pStyle w:val="BookText"/>
        <w:rPr/>
      </w:pPr>
      <w:r>
        <w:rPr>
          <w:rFonts w:ascii="IRNazanin" w:hAnsi="IRNazanin" w:eastAsia="IRNazanin"/>
          <w:color w:val="111111"/>
          <w:sz w:val="28"/>
          <w:sz w:val="28"/>
          <w:szCs w:val="28"/>
          <w:rtl w:val="true"/>
          <w:lang w:bidi="fa-IR"/>
        </w:rPr>
        <w:t xml:space="preserve">الفاسق على ما علم فسقه، لأنّه مع حمل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ذلک يبقى حكم مجهول الحال من غير دليل، بناءً على ما عرفت من الجواب عن النصوص الّتي استدلّ بها على قبول شهادته، فيجب فيه المصير إلى حكم الأصل، و هو عدم جواز قبول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قبول القول من مجهول الحال هو مفهوم الآية الشريفة، لأنّ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علم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غير الفاسق الّذي علم فسقه </w:t>
      </w:r>
      <w:r>
        <w:rPr>
          <w:rStyle w:val="FootnoteAnchor"/>
          <w:rtl w:val="true"/>
        </w:rPr>
        <w:footnoteReference w:id="274"/>
      </w:r>
      <w:r>
        <w:rPr>
          <w:rFonts w:ascii="Amiri" w:hAnsi="Amiri" w:eastAsia="Amiri" w:cs="Amiri"/>
          <w:color w:val="111111"/>
          <w:sz w:val="28"/>
          <w:sz w:val="28"/>
          <w:szCs w:val="28"/>
          <w:rtl w:val="true"/>
          <w:lang w:bidi="ar-SA"/>
        </w:rPr>
        <w:t xml:space="preserve">لا تبيّنوا، بل أقبلوا ؛ و هو أعمٌّ من أن يكون معلوم العدالة أو مجهول الحال، فيجب قبول قوله أيضًا عملاً بإطلاق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المفهوم كالإطلاق في النصوص المتقدّمة، فيجب تقييده بما قيّدناها و بخصوص ما مرّ آنفًا عن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دلّ صريحًا على الفحص عند شهادة مجهول الحال، فلا يبقى للشبهة مجالٌ بتوفيق الله المتعال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علم فسقه، ينبغي أن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علمت عدالته، فيحمل عليه ما دلّ على اشتراط العدالة في قبول الشهادة، فلا يجوز قبول شهادة مجهول الحال، لأنّه غير معلوم العدالة، بناءً على ما عرفت من أنّها الملكة،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الراسخة في النفس الباعثة لها على ملازمة التقوى و المروّة </w:t>
      </w:r>
      <w:r>
        <w:rPr>
          <w:rFonts w:eastAsia="Amiri" w:cs="Amiri" w:ascii="Amiri" w:hAnsi="Amiri"/>
          <w:color w:val="111111"/>
          <w:sz w:val="28"/>
          <w:szCs w:val="28"/>
          <w:rtl w:val="true"/>
          <w:lang w:bidi="ar-SA"/>
        </w:rPr>
        <w:t xml:space="preserve">. </w:t>
      </w:r>
      <w:bookmarkStart w:id="135" w:name="pg14719_186537"/>
    </w:p>
    <w:p>
      <w:pPr>
        <w:pStyle w:val="BookText"/>
        <w:rPr/>
      </w:pPr>
      <w:bookmarkEnd w:id="135"/>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في ضعف القول بقبول شهادة مجهول الحال، و لا في ضعف كون العدالة هي ظاهر الإسلام، بل الحقّ أنّها عبارة عن الملكة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53545_730472459"/>
      <w:bookmarkStart w:id="137" w:name="_Toc51"/>
      <w:bookmarkEnd w:id="136"/>
      <w:r>
        <w:rPr>
          <w:rtl w:val="true"/>
        </w:rPr>
        <w:t>في بيان ما يعرف به العدالة الّتي عبارة عن الملكة</w:t>
      </w:r>
      <w:bookmarkEnd w:id="137"/>
    </w:p>
    <w:p>
      <w:pPr>
        <w:pStyle w:val="BookText"/>
        <w:rPr/>
      </w:pPr>
      <w:r>
        <w:rPr>
          <w:rFonts w:ascii="IRNazanin" w:hAnsi="IRNazanin" w:eastAsia="IRNazanin"/>
          <w:color w:val="111111"/>
          <w:sz w:val="28"/>
          <w:sz w:val="28"/>
          <w:szCs w:val="28"/>
          <w:rtl w:val="true"/>
          <w:lang w:bidi="fa-IR"/>
        </w:rPr>
        <w:t xml:space="preserve">و حيث قد عرفت أنّ العدالة عبارةٌ عن الملكة، ينبغي أن يذكر ما به يحكم بتحقّق تلک الملكة في الشاهد حتّى تقبل قوله في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مقالة الأصحاب في ذلک، فمنهم </w:t>
      </w:r>
      <w:r>
        <w:rPr>
          <w:rStyle w:val="FootnoteAnchor"/>
          <w:rtl w:val="true"/>
        </w:rPr>
        <w:footnoteReference w:id="276"/>
      </w:r>
      <w:r>
        <w:rPr>
          <w:rFonts w:ascii="IRNazanin" w:hAnsi="IRNazanin" w:eastAsia="IRNazanin"/>
          <w:color w:val="111111"/>
          <w:sz w:val="28"/>
          <w:sz w:val="28"/>
          <w:szCs w:val="28"/>
          <w:rtl w:val="true"/>
          <w:lang w:bidi="fa-IR"/>
        </w:rPr>
        <w:t xml:space="preserve">من اكتفى في ذلک بحسن الظاهر،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بالظنّ الّذي يحصل بسبب حسن الظاهر في تحقّق تلک الملكة، فلا يحتاج إلى الاختبار والمعاشرة الباطنيّة المطّلعة على الباطن والسريرة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277"/>
      </w:r>
      <w:r>
        <w:rPr>
          <w:rFonts w:ascii="IRNazanin" w:hAnsi="IRNazanin" w:eastAsia="IRNazanin"/>
          <w:color w:val="111111"/>
          <w:sz w:val="28"/>
          <w:sz w:val="28"/>
          <w:szCs w:val="28"/>
          <w:rtl w:val="true"/>
          <w:lang w:bidi="fa-IR"/>
        </w:rPr>
        <w:t xml:space="preserve">من اشترط في الحكم بها الاختبار و المعاشرة الباطنيّة حتّى يحصل الظنّ المتأخّم للعلم بحصولها و اطمينان النفس بذلک، أو ما يقوم مقام ذلک شرعًا من الشياع، أو شهادة عدلين، أو اقتدائهما مع انتفاء التهمة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مقتضى الأصل، لأنّ مقتضاه حصول العلم بذلک، إلّا أنّه لمّا كان في المقام متعذّرًا، لأنّ العدالة كما عرفت هي الملكة، و هي الهيئة الراسخة في النفس ولايمكن العلم بذلک غالبًا، لكن قد ثبت أنّه متى تعذّرت الحقيقة وجب الانصراف إلى ما هو أقرب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الظاهر من جملة من النصوص الواردة في المسألة كفاية حسن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خمسة أشياء يجب على الناس الأخذ بها بظاهر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و المناكح و المواريث و الذبائح و الشهادات، فإذا كان ظاهره ظاهرًا مأمونًا جازت شهادته و لا يسئل عن باطنه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الصدوق أنّه روى في الخصال ما يقرب منه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المتقدّمة أيضًا، و 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تعرف عدالة الرجل من المسلمين حتّى تقبل شهادته لهم و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تعرفوه بالستر و العفاف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الدلالة على ذلک كلّه أن يكون ساترًا لجميع عيوبه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يكذبهم،ووعدهم فلم يخلفهم، كان ممّن حرمت غيبته، و كملت مروّته، و ظهر عدالته، و وجبت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مرويّفي العيون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من النصوص قد دلّت على أنّه يعتبر في قبول شهادة الشاهد كونه معروفًا بالستر و العفاف و الصلاح، والظاهر أنّه لا يقال لشخص انّه معروف بالصلاح مثلاً، إلّا مع الاختبار و المعاشرة الكثيرة، أو بالشياع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حسن الظاهر لا يكفي في صدق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الصحيحة المذكورة آنفًا ما دلّ على كفاية حسن الظاهر في ذلک،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الدلالة على ذلک كلّه أن يكون ساترًا لجميع عيوبه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هذا تفسيرًا لكلّ ما وقع فيه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تفسير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الاكتفاء بحسن الظاهر في تحقّق الملكة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كون اعتبار الملكة أوّلاً عبثًا و لغوًا، إذ لا فائدة يعتدّ بها في ذلک مع الاكتفاء بحسن الظاهر، فلک أن تقول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العدالة هي حسن الظاهر، نظرًا إلى النصوص المشار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يجاب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صحيحة ابن أبي يعفور دلّت على أنّ حسن الظاهر دليلٌ عليها، لا هي نفسها، على ما قدّمنا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تفسير العدالة بالملكة اتّفاقيّ، كما استفيد ذلک من كلام كنز </w:t>
      </w:r>
    </w:p>
    <w:p>
      <w:pPr>
        <w:pStyle w:val="BookText"/>
        <w:rPr/>
      </w:pPr>
      <w:r>
        <w:rPr>
          <w:rFonts w:ascii="IRNazanin" w:hAnsi="IRNazanin" w:eastAsia="IRNazanin"/>
          <w:color w:val="111111"/>
          <w:sz w:val="28"/>
          <w:sz w:val="28"/>
          <w:szCs w:val="28"/>
          <w:rtl w:val="true"/>
          <w:lang w:bidi="fa-IR"/>
        </w:rPr>
        <w:t xml:space="preserve">العرفان </w:t>
      </w:r>
      <w:r>
        <w:rPr>
          <w:rStyle w:val="FootnoteAnchor"/>
          <w:rtl w:val="true"/>
        </w:rPr>
        <w:footnoteReference w:id="282"/>
      </w:r>
      <w:r>
        <w:rPr>
          <w:rFonts w:ascii="Amiri" w:hAnsi="Amiri" w:eastAsia="Amiri" w:cs="Amiri"/>
          <w:color w:val="111111"/>
          <w:sz w:val="28"/>
          <w:sz w:val="28"/>
          <w:szCs w:val="28"/>
          <w:rtl w:val="true"/>
          <w:lang w:bidi="ar-SA"/>
        </w:rPr>
        <w:t xml:space="preserve">، و كذا من مجمع الفائدة و البرهان </w:t>
      </w:r>
      <w:r>
        <w:rPr>
          <w:rStyle w:val="FootnoteAnchor"/>
          <w:rtl w:val="true"/>
        </w:rPr>
        <w:footnoteReference w:id="283"/>
      </w:r>
      <w:r>
        <w:rPr>
          <w:rFonts w:ascii="Amiri" w:hAnsi="Amiri" w:eastAsia="Amiri" w:cs="Amiri"/>
          <w:color w:val="111111"/>
          <w:sz w:val="28"/>
          <w:sz w:val="28"/>
          <w:szCs w:val="28"/>
          <w:rtl w:val="true"/>
          <w:lang w:bidi="ar-SA"/>
        </w:rPr>
        <w:t xml:space="preserve">، فاتّفاقهم على ما يستفاد ممّا ذكر يمنع القول بكون العدالة عبارةٌ عن حسن الظاهر ؛ و لهذا 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العدالة هي الملكة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دلّت النصوص المشار إليها على كفاية حسن الظاهر في قبول الشهادة، علمنا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اكتفوا في تحقّق العدالة بذلک، بناءً على أنّه لو لم نكتف في تحقّقها بذلک و اعتبرنا الاختبار و المعاشرة ربّما لا يتمّ نظام العالم و أمر الحكّام، لا سيّما في المدن الكبيرة، و القاضي الّذي ترافع الخصمان إليه من البلاد البعيدة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حال السلف لم يكن كذلک، بل الظاهر أنّ حالهم قبول الشهادة بحسن الظاهر، إذ لم يمكن للحاكم الاختبار و المعاشرة الباطنيّة مع كلّ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والبحث و التفتيش عن عدالة الشهود مع ظهور حسن الظاهر غير معلوم أيضًا، وقد عرفت من عبارة الخلاف أنّ البحث عن عدالة الشهود ما كان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أيّام الصحابة، و لا أيّام التابعين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كفاک هذا شاهدًا على ما قلنا ؛ و معلوم أنّ الشيخ أعرف بهم و أجلّ من أن يتّهم عليهم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ما في أمالي الصدوق 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عمّن </w:t>
      </w:r>
      <w:r>
        <w:rPr>
          <w:rStyle w:val="FootnoteAnchor"/>
          <w:rtl w:val="true"/>
        </w:rPr>
        <w:footnoteReference w:id="285"/>
      </w:r>
      <w:r>
        <w:rPr>
          <w:rFonts w:ascii="IRNazanin" w:hAnsi="IRNazanin" w:eastAsia="IRNazanin"/>
          <w:color w:val="111111"/>
          <w:sz w:val="28"/>
          <w:sz w:val="28"/>
          <w:szCs w:val="28"/>
          <w:rtl w:val="true"/>
          <w:lang w:bidi="fa-IR"/>
        </w:rPr>
        <w:t xml:space="preserve">تقبل شهادته و من لا تقبل </w:t>
      </w:r>
      <w:r>
        <w:rPr>
          <w:rStyle w:val="FootnoteAnchor"/>
          <w:rtl w:val="true"/>
        </w:rPr>
        <w:footnoteReference w:id="2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كلّ مَن كان على فطرة الإسلام جازت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المعترف بالذنوب </w:t>
      </w:r>
      <w:r>
        <w:rPr>
          <w:rStyle w:val="FootnoteAnchor"/>
          <w:rtl w:val="true"/>
        </w:rPr>
        <w:footnoteReference w:id="28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تقبل شهادة المعترفين </w:t>
      </w:r>
      <w:r>
        <w:rPr>
          <w:rStyle w:val="FootnoteAnchor"/>
          <w:rtl w:val="true"/>
        </w:rPr>
        <w:footnoteReference w:id="289"/>
      </w:r>
      <w:r>
        <w:rPr>
          <w:rFonts w:ascii="Amiri" w:hAnsi="Amiri" w:eastAsia="Amiri" w:cs="Amiri"/>
          <w:color w:val="111111"/>
          <w:sz w:val="28"/>
          <w:sz w:val="28"/>
          <w:szCs w:val="28"/>
          <w:rtl w:val="true"/>
          <w:lang w:bidi="ar-SA"/>
        </w:rPr>
        <w:t xml:space="preserve">بالذنوب لما قبلت إلّا شهادة </w:t>
      </w:r>
      <w:r>
        <w:rPr>
          <w:rStyle w:val="FootnoteAnchor"/>
          <w:rtl w:val="true"/>
        </w:rPr>
        <w:footnoteReference w:id="290"/>
      </w:r>
      <w:r>
        <w:rPr>
          <w:rFonts w:ascii="IRNazanin" w:hAnsi="IRNazanin" w:eastAsia="IRNazanin"/>
          <w:color w:val="111111"/>
          <w:sz w:val="28"/>
          <w:sz w:val="28"/>
          <w:szCs w:val="28"/>
          <w:rtl w:val="true"/>
          <w:lang w:bidi="fa-IR"/>
        </w:rPr>
        <w:t xml:space="preserve">الأنبياء و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هم المعصومون دون سائر الخلق، فمن لم تره بعينک يرتكب ذنبًا، أو لم يشهد عليه بذلک شاهدان، فهو أهل </w:t>
      </w:r>
      <w:r>
        <w:rPr>
          <w:rStyle w:val="FootnoteAnchor"/>
          <w:rtl w:val="true"/>
        </w:rPr>
        <w:footnoteReference w:id="291"/>
      </w:r>
      <w:r>
        <w:rPr>
          <w:rFonts w:ascii="Amiri" w:hAnsi="Amiri" w:eastAsia="Amiri" w:cs="Amiri"/>
          <w:color w:val="111111"/>
          <w:sz w:val="28"/>
          <w:sz w:val="28"/>
          <w:szCs w:val="28"/>
          <w:rtl w:val="true"/>
          <w:lang w:bidi="ar-SA"/>
        </w:rPr>
        <w:t xml:space="preserve">العدالة و الستر، و شهادته مقبولة وإن كان في نفسه مذنبًا ؛ و مَن اغتابه بما فيه فهو خارجٌ عن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ولاية الشيطان، الحديث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الكتاب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خمس صلوات في اليوم والليل </w:t>
      </w:r>
      <w:r>
        <w:rPr>
          <w:rStyle w:val="FootnoteAnchor"/>
          <w:rtl w:val="true"/>
        </w:rPr>
        <w:footnoteReference w:id="293"/>
      </w:r>
      <w:r>
        <w:rPr>
          <w:rFonts w:ascii="Amiri" w:hAnsi="Amiri" w:eastAsia="Amiri" w:cs="Amiri"/>
          <w:color w:val="111111"/>
          <w:sz w:val="28"/>
          <w:sz w:val="28"/>
          <w:szCs w:val="28"/>
          <w:rtl w:val="true"/>
          <w:lang w:bidi="ar-SA"/>
        </w:rPr>
        <w:t xml:space="preserve">في جماعة، فظنّوا به خيرًا، و أجيزوا شهادته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استدلّ للقول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كفاية حسن الظاهر واعتبار </w:t>
      </w:r>
    </w:p>
    <w:p>
      <w:pPr>
        <w:pStyle w:val="BookText"/>
        <w:rPr/>
      </w:pPr>
      <w:r>
        <w:rPr>
          <w:rFonts w:ascii="Amiri" w:hAnsi="Amiri" w:eastAsia="Amiri" w:cs="Amiri"/>
          <w:color w:val="111111"/>
          <w:sz w:val="28"/>
          <w:sz w:val="28"/>
          <w:szCs w:val="28"/>
          <w:rtl w:val="true"/>
          <w:lang w:bidi="ar-SA"/>
        </w:rPr>
        <w:t xml:space="preserve">الاختبار و 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فَرَجُلٌ و امرَأتانِ 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غاية ما يستفاد من الآية الأولى اعتبار العدالة في الشاهد، ونحن نقول به، لكنّا نجعل حسن الظاهر علامة لتحقّقها لما عرفت ؛ و لا دلالة للاية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الثانية، فلأنّ الظاهر أنّ مَنِ اتّصف ظاهره بالحسن و الصلاح هو ممّن يرضى عنه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الاكتفاء في قبول الشهادة بحسن الظاهر، إلّا أنّ الاحتياط مهما أمكن اعتبار المعاشرة و الاختبار ؛ و مع العدم البحث و التفتيش عن حاله من العدلين الّذين علمت عدالتهما بالاختبار و المعاشرة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38" w:name="pg14719_186543"/>
    </w:p>
    <w:p>
      <w:pPr>
        <w:pStyle w:val="Heading3"/>
        <w:numPr>
          <w:ilvl w:val="2"/>
          <w:numId w:val="1"/>
        </w:numPr>
        <w:rPr/>
      </w:pPr>
      <w:bookmarkStart w:id="139" w:name="__RefHeading___Toc553547_730472459"/>
      <w:bookmarkStart w:id="140" w:name="_Toc52"/>
      <w:bookmarkEnd w:id="138"/>
      <w:bookmarkEnd w:id="139"/>
      <w:r>
        <w:rPr>
          <w:rtl w:val="true"/>
        </w:rPr>
        <w:t>فروع</w:t>
      </w:r>
      <w:bookmarkEnd w:id="140"/>
    </w:p>
    <w:p>
      <w:pPr>
        <w:pStyle w:val="Heading4"/>
        <w:numPr>
          <w:ilvl w:val="3"/>
          <w:numId w:val="1"/>
        </w:numPr>
        <w:rPr/>
      </w:pPr>
      <w:bookmarkStart w:id="141" w:name="__RefHeading___Toc553549_730472459"/>
      <w:bookmarkStart w:id="142" w:name="_Toc53"/>
      <w:bookmarkEnd w:id="141"/>
      <w:r>
        <w:rPr>
          <w:rtl w:val="true"/>
        </w:rPr>
        <w:t>الفرعُ الأوّل</w:t>
      </w:r>
      <w:bookmarkEnd w:id="142"/>
    </w:p>
    <w:p>
      <w:pPr>
        <w:pStyle w:val="Heading5"/>
        <w:numPr>
          <w:ilvl w:val="4"/>
          <w:numId w:val="1"/>
        </w:numPr>
        <w:rPr/>
      </w:pPr>
      <w:bookmarkStart w:id="143" w:name="__RefHeading___Toc553551_730472459"/>
      <w:bookmarkStart w:id="144" w:name="_Toc54"/>
      <w:bookmarkEnd w:id="143"/>
      <w:r>
        <w:rPr>
          <w:rtl w:val="true"/>
        </w:rPr>
        <w:t>هل في الذنوب صغيرة أم لا ؟</w:t>
      </w:r>
      <w:bookmarkEnd w:id="14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الكبائر و الصغائر في تفسير العدالة، ناسب لنا البحث عنهما، فأقوّل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أصحابنا في أنّ المعاصي هل هي كبيرة بجميعها فلا صغيرة فيها، أم تكون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 صغير ؟</w:t>
      </w:r>
    </w:p>
    <w:p>
      <w:pPr>
        <w:pStyle w:val="BookText"/>
        <w:rPr/>
      </w:pPr>
      <w:r>
        <w:rPr>
          <w:rFonts w:ascii="Amiri" w:hAnsi="Amiri" w:eastAsia="Amiri" w:cs="Amiri"/>
          <w:color w:val="111111"/>
          <w:sz w:val="28"/>
          <w:sz w:val="28"/>
          <w:szCs w:val="28"/>
          <w:rtl w:val="true"/>
          <w:lang w:bidi="ar-SA"/>
        </w:rPr>
        <w:t xml:space="preserve">فالمحكيّ 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كشيخنا المفيد، و ابن البرّاج، و أبي الصلاح، و ابن إدريس، و أبي عليّ صاحب المجمع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فذهبوا إلى أنّ كلّ معصية كبيرة و إن اختلفت مراتبها، لاشتراكها في مخالفة أوامر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الصغير و الكبير إنّما هو بالنسبة إلى ما فوقه و ما تحته، فالقُبلة بالنسبة إلى الزنا صغيرة، و بالنسبة إلى النظر كبيرة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كلام الأخير ظاهره انعقاد الإجماع على ذلک، حيث قال بعد أن ذكر 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هذا 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كلّها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كانت قبائح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لكن بعضها أكبر من بعض، و ليس في الذنوب صغيرة، و إنّما تكون صغيرة </w:t>
      </w:r>
      <w:r>
        <w:rPr>
          <w:rStyle w:val="FootnoteAnchor"/>
          <w:rtl w:val="true"/>
        </w:rPr>
        <w:footnoteReference w:id="300"/>
      </w:r>
      <w:r>
        <w:rPr>
          <w:rFonts w:ascii="Amiri" w:hAnsi="Amiri" w:eastAsia="Amiri" w:cs="Amiri"/>
          <w:color w:val="111111"/>
          <w:sz w:val="28"/>
          <w:sz w:val="28"/>
          <w:szCs w:val="28"/>
          <w:rtl w:val="true"/>
          <w:lang w:bidi="ar-SA"/>
        </w:rPr>
        <w:t xml:space="preserve">بالإضافة إلى ما هو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و يستحقّ العقاب عليه أكثر، إنتهى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المعاصي كلّها كبائر من حيث كانت قبائح، لكن بعضها أكبر من بعض، و إنّما يكون الذنب صغيرًا بالإضافة إلى ما هو أكبر منه، واستحقاق العذاب </w:t>
      </w:r>
      <w:r>
        <w:rPr>
          <w:rStyle w:val="FootnoteAnchor"/>
          <w:rtl w:val="true"/>
        </w:rPr>
        <w:footnoteReference w:id="303"/>
      </w:r>
      <w:r>
        <w:rPr>
          <w:rFonts w:ascii="Amiri" w:hAnsi="Amiri" w:eastAsia="Amiri" w:cs="Amiri"/>
          <w:color w:val="111111"/>
          <w:sz w:val="28"/>
          <w:sz w:val="28"/>
          <w:szCs w:val="28"/>
          <w:rtl w:val="true"/>
          <w:lang w:bidi="ar-SA"/>
        </w:rPr>
        <w:t xml:space="preserve">عليه أكثر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في العدّة </w:t>
      </w:r>
      <w:r>
        <w:rPr>
          <w:rStyle w:val="FootnoteAnchor"/>
          <w:rtl w:val="true"/>
        </w:rPr>
        <w:footnoteReference w:id="305"/>
      </w:r>
      <w:r>
        <w:rPr>
          <w:rFonts w:ascii="Amiri" w:hAnsi="Amiri" w:eastAsia="Amiri" w:cs="Amiri"/>
          <w:color w:val="111111"/>
          <w:sz w:val="28"/>
          <w:sz w:val="28"/>
          <w:szCs w:val="28"/>
          <w:rtl w:val="true"/>
          <w:lang w:bidi="ar-SA"/>
        </w:rPr>
        <w:t xml:space="preserve">أنّه قال في الدليل الثاني على حجّيّة خبر الواحد </w:t>
      </w:r>
      <w:r>
        <w:rPr>
          <w:rFonts w:eastAsia="Amiri" w:cs="Amiri" w:ascii="Amiri" w:hAnsi="Amiri"/>
          <w:color w:val="111111"/>
          <w:sz w:val="28"/>
          <w:szCs w:val="28"/>
          <w:rtl w:val="true"/>
          <w:lang w:bidi="ar-SA"/>
        </w:rPr>
        <w:t xml:space="preserve">: </w:t>
      </w:r>
      <w:bookmarkStart w:id="145" w:name="pg14719_186545"/>
    </w:p>
    <w:p>
      <w:pPr>
        <w:pStyle w:val="BookText"/>
        <w:rPr/>
      </w:pPr>
      <w:bookmarkEnd w:id="145"/>
      <w:r>
        <w:rPr>
          <w:rFonts w:ascii="Amiri" w:hAnsi="Amiri" w:eastAsia="Amiri" w:cs="Amiri"/>
          <w:color w:val="111111"/>
          <w:sz w:val="28"/>
          <w:sz w:val="28"/>
          <w:szCs w:val="28"/>
          <w:rtl w:val="true"/>
          <w:lang w:bidi="ar-SA"/>
        </w:rPr>
        <w:t xml:space="preserve">و على أصولنا أنّ كلّ خطأ و قبيح كبيرة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يشعر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صغائر عندنا في المعاصي، إلّا بالإضافة إلى غيرها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الإجماع أيضًا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553553_730472459"/>
      <w:bookmarkStart w:id="147" w:name="_Toc55"/>
      <w:bookmarkEnd w:id="146"/>
      <w:r>
        <w:rPr>
          <w:rtl w:val="true"/>
        </w:rPr>
        <w:t xml:space="preserve">الذنوب على قسمين </w:t>
      </w:r>
      <w:r>
        <w:rPr>
          <w:rtl w:val="true"/>
        </w:rPr>
        <w:t xml:space="preserve">: </w:t>
      </w:r>
      <w:r>
        <w:rPr>
          <w:rtl w:val="true"/>
        </w:rPr>
        <w:t>كبيرة و صغيرة</w:t>
      </w:r>
      <w:bookmarkEnd w:id="147"/>
    </w:p>
    <w:p>
      <w:pPr>
        <w:pStyle w:val="BookText"/>
        <w:rPr/>
      </w:pPr>
      <w:r>
        <w:rPr>
          <w:rFonts w:ascii="Amiri" w:hAnsi="Amiri" w:eastAsia="Amiri" w:cs="Amiri"/>
          <w:color w:val="111111"/>
          <w:sz w:val="28"/>
          <w:sz w:val="28"/>
          <w:szCs w:val="28"/>
          <w:rtl w:val="true"/>
          <w:lang w:bidi="ar-SA"/>
        </w:rPr>
        <w:t xml:space="preserve">و المشهور بين الأصحاب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تنقسم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وصغيرة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التنقيح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أكثر الأصحاب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الكبائر كلّ ذنب توعّد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w:t>
      </w:r>
      <w:bookmarkStart w:id="148" w:name="pg14719_186546"/>
    </w:p>
    <w:p>
      <w:pPr>
        <w:pStyle w:val="BookText"/>
        <w:rPr/>
      </w:pPr>
      <w:bookmarkEnd w:id="148"/>
      <w:r>
        <w:rPr>
          <w:rFonts w:ascii="Amiri" w:hAnsi="Amiri" w:eastAsia="Amiri" w:cs="Amiri"/>
          <w:color w:val="111111"/>
          <w:sz w:val="28"/>
          <w:sz w:val="28"/>
          <w:szCs w:val="28"/>
          <w:rtl w:val="true"/>
          <w:lang w:bidi="ar-SA"/>
        </w:rPr>
        <w:t xml:space="preserve">في الكتاب العزيز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الذخيرة بعد نسبة ذلک إلى المشهور بين الأصحاب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أجد في كلامهم اختيار قول آخر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الصيمريّ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نسب ذلک إلى أصحابنا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 نقل الشهرة على تخصيص الكبائر بما ذكر ؛ و مقتضاه أنّ المشهور بينهم أنّ غير ما ذكر من الذنوب صغائر، فيكون على هذا نقل الشهرة على انقسام الذنوب في القسمين مستفيضًا، بل يستفاد من الكلام الّذي ذكرناه عن الذخيرة كون ذلک مجمعًا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المستفاد ممّا نقل عن شيخنا البهائي في الحبل المتين </w:t>
      </w:r>
      <w:r>
        <w:rPr>
          <w:rStyle w:val="FootnoteAnchor"/>
          <w:rtl w:val="true"/>
        </w:rPr>
        <w:footnoteReference w:id="312"/>
      </w:r>
      <w:r>
        <w:rPr>
          <w:rFonts w:ascii="IRNazanin" w:hAnsi="IRNazanin" w:eastAsia="IRNazanin"/>
          <w:color w:val="111111"/>
          <w:sz w:val="28"/>
          <w:sz w:val="28"/>
          <w:szCs w:val="28"/>
          <w:rtl w:val="true"/>
          <w:lang w:bidi="fa-IR"/>
        </w:rPr>
        <w:t xml:space="preserve">من نسبته انقسام الذنوب إلى القسمين إلى الأصحاب، لكنّک قد عرفت المخالف </w:t>
      </w:r>
      <w:r>
        <w:rPr>
          <w:rFonts w:eastAsia="IRNazanin" w:cs="IRNazanin"/>
          <w:color w:val="111111"/>
          <w:sz w:val="28"/>
          <w:szCs w:val="28"/>
          <w:rtl w:val="true"/>
          <w:lang w:bidi="fa-IR"/>
        </w:rPr>
        <w:t>.</w:t>
      </w:r>
    </w:p>
    <w:p>
      <w:pPr>
        <w:pStyle w:val="Heading5"/>
        <w:numPr>
          <w:ilvl w:val="4"/>
          <w:numId w:val="1"/>
        </w:numPr>
        <w:rPr/>
      </w:pPr>
      <w:bookmarkStart w:id="149" w:name="__RefHeading___Toc553555_730472459"/>
      <w:bookmarkStart w:id="150" w:name="_Toc56"/>
      <w:bookmarkEnd w:id="149"/>
      <w:r>
        <w:rPr>
          <w:rtl w:val="true"/>
        </w:rPr>
        <w:t>الحقّ في المسألة</w:t>
      </w:r>
      <w:bookmarkEnd w:id="1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Style w:val="FootnoteAnchor"/>
          <w:rtl w:val="true"/>
        </w:rPr>
        <w:footnoteReference w:id="313"/>
      </w:r>
      <w:r>
        <w:rPr>
          <w:rFonts w:ascii="IRNazanin" w:hAnsi="IRNazanin" w:eastAsia="IRNazanin"/>
          <w:color w:val="111111"/>
          <w:sz w:val="28"/>
          <w:sz w:val="28"/>
          <w:szCs w:val="28"/>
          <w:rtl w:val="true"/>
          <w:lang w:bidi="fa-IR"/>
        </w:rPr>
        <w:t xml:space="preserve">، وفاقًا للمشهور،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حيث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الكبائر سببًا لتكفير السيّئات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القول الأوّل ليس غير الكبائر سيّئة، لكون جميع السيّئات كبائر بناءً عليه ؛ و الآية دلّت على أنّ الاجتناب عن الكبائر سببٌ لتكفير السيّئات، و لا محالة تكون تلک السيّئات المكفّرة غير الكبائر، و غير الكبائر هي الصغائر، إذ لا ثالث بالإجماع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31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الّذين يجتنبون كبائر الإثم و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اجتناب الكبائر،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عند الله خيرٌ و أبقى للّذين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كبائرَ الإثم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المعاصي كبائر بجميعها، لما كان لذكر الكبائر كثير فائدة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للنصوص المستفيضة الواردة في بيان الكبائر من المعصية، حيث خصّصت الكبائر فيها ببعض المعاصي، فيكون غيره غير الكبائر، فيكون 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ابن أبي يعفور،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الكبائر الّتي أوعد الله عليها النار </w:t>
      </w:r>
      <w:r>
        <w:rPr>
          <w:rStyle w:val="FootnoteAnchor"/>
          <w:rtl w:val="true"/>
        </w:rPr>
        <w:footnoteReference w:id="318"/>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للمناقشة فيها مجال،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الّتي أوعد الله عليها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يحتمل أن يكون تفسيرًا لمطلق الكبائر، كذا يحتمل أن يكون تفسيرًا لبعض الكبائر الّذي باجتنابه تعرف العدالة، فيكون على هذا دالاًّ على انقسام الكبائر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يقدح ارتكابه في العدالة، و قسمٌ لا يقدح ارتكابه في ذلک، فإذا جاء الاحتمال بطل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الاحتمالين المذكورين و إن كانا محتملين في ظاهر الحديث، إلّا أنّه بعد النظر إلى النصوص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سيجيء إلى بعضها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الاحتمال الأوّل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سمع منه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و قذف المحصنة، و الفرار من الزحف، والتعرّب بعد الهجرة، و أكل مال اليتيم </w:t>
      </w:r>
      <w:r>
        <w:rPr>
          <w:rStyle w:val="FootnoteAnchor"/>
          <w:rtl w:val="true"/>
        </w:rPr>
        <w:footnoteReference w:id="319"/>
      </w:r>
      <w:r>
        <w:rPr>
          <w:rFonts w:ascii="Amiri" w:hAnsi="Amiri" w:eastAsia="Amiri" w:cs="Amiri"/>
          <w:color w:val="111111"/>
          <w:sz w:val="28"/>
          <w:sz w:val="28"/>
          <w:szCs w:val="28"/>
          <w:rtl w:val="true"/>
          <w:lang w:bidi="ar-SA"/>
        </w:rPr>
        <w:t xml:space="preserve">، و أكل الربا بعد البيّنة، و كلّ ما أوجب الله </w:t>
      </w:r>
    </w:p>
    <w:p>
      <w:pPr>
        <w:pStyle w:val="BookText"/>
        <w:rPr/>
      </w:pPr>
      <w:r>
        <w:rPr>
          <w:rFonts w:ascii="Amiri" w:hAnsi="Amiri" w:eastAsia="Amiri" w:cs="Amiri"/>
          <w:color w:val="111111"/>
          <w:sz w:val="28"/>
          <w:sz w:val="28"/>
          <w:szCs w:val="28"/>
          <w:rtl w:val="true"/>
          <w:lang w:bidi="ar-SA"/>
        </w:rPr>
        <w:t xml:space="preserve">عليه النار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سمع منه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سبعة،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متعمّدًا، و الشرک بالله العظيم، و قذف المحصنة، و أكل الربا بعد البيّنة، والفرار من الزحف، و التعرّب بعد الهجرة، و عقوق الوالدين، و أكل مال اليتيم ظلمًا،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التعرّب و الشرک واحد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في تخصيص الكبائر ببعض الذنوب أكثر من أن تحصى، وسنشير إلى بعض منها أيضًا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النصوص و إن اختلفت في تفسير الكبائر، إلّا أنّها متّفقة الدلالة على أنّ الكبائر من الذنوب ليست جميعها، و هذا القدر كاف لنا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نصوص أخر،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الصالحة تكفّر الصغائر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كفّر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جميع ذنوبه، و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151" w:name="pg14719_186550"/>
    </w:p>
    <w:p>
      <w:pPr>
        <w:pStyle w:val="BookText"/>
        <w:rPr/>
      </w:pPr>
      <w:bookmarkEnd w:id="151"/>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ثواب كثير من الأعمال أنّه مكفّر للذنوب إلّا الكبائر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ترجيح هذا القول، لقوّة أدلّته الكثيرة من الكتاب والسنّة، و عدم ما يصلح للمعارضة لتلک الأدلّة </w:t>
      </w:r>
      <w:r>
        <w:rPr>
          <w:rFonts w:eastAsia="IRNazanin" w:cs="IRNazanin"/>
          <w:color w:val="111111"/>
          <w:sz w:val="28"/>
          <w:szCs w:val="28"/>
          <w:rtl w:val="true"/>
          <w:lang w:bidi="fa-IR"/>
        </w:rPr>
        <w:t>.</w:t>
      </w:r>
    </w:p>
    <w:p>
      <w:pPr>
        <w:pStyle w:val="Heading5"/>
        <w:numPr>
          <w:ilvl w:val="4"/>
          <w:numId w:val="1"/>
        </w:numPr>
        <w:rPr/>
      </w:pPr>
      <w:bookmarkStart w:id="152" w:name="__RefHeading___Toc553557_730472459"/>
      <w:bookmarkStart w:id="153" w:name="_Toc57"/>
      <w:bookmarkEnd w:id="152"/>
      <w:r>
        <w:rPr>
          <w:rtl w:val="true"/>
        </w:rPr>
        <w:t>مستند القول بأنّ المعاصي كلّها كبيرة، مع الجواب عنه</w:t>
      </w:r>
      <w:bookmarkEnd w:id="153"/>
    </w:p>
    <w:p>
      <w:pPr>
        <w:pStyle w:val="BookText"/>
        <w:rPr/>
      </w:pPr>
      <w:r>
        <w:rPr>
          <w:rFonts w:ascii="IRNazanin" w:hAnsi="IRNazanin" w:eastAsia="IRNazanin"/>
          <w:color w:val="111111"/>
          <w:sz w:val="28"/>
          <w:sz w:val="28"/>
          <w:szCs w:val="28"/>
          <w:rtl w:val="true"/>
          <w:lang w:bidi="fa-IR"/>
        </w:rPr>
        <w:t xml:space="preserve">نعم، استدلّ للقول الأوّل </w:t>
      </w:r>
      <w:r>
        <w:rPr>
          <w:rStyle w:val="FootnoteAnchor"/>
          <w:rtl w:val="true"/>
        </w:rPr>
        <w:footnoteReference w:id="325"/>
      </w:r>
      <w:r>
        <w:rPr>
          <w:rFonts w:ascii="Amiri" w:hAnsi="Amiri" w:eastAsia="Amiri" w:cs="Amiri"/>
          <w:color w:val="111111"/>
          <w:sz w:val="28"/>
          <w:sz w:val="28"/>
          <w:szCs w:val="28"/>
          <w:rtl w:val="true"/>
          <w:lang w:bidi="ar-SA"/>
        </w:rPr>
        <w:t>بما دلّ على أنّ كلّ معصية شديدة، كالموثّق الّذي</w:t>
      </w:r>
    </w:p>
    <w:p>
      <w:pPr>
        <w:pStyle w:val="BookText"/>
        <w:rPr/>
      </w:pPr>
      <w:r>
        <w:rPr>
          <w:rFonts w:ascii="Amiri" w:hAnsi="Amiri" w:eastAsia="Amiri" w:cs="Amiri"/>
          <w:color w:val="111111"/>
          <w:sz w:val="28"/>
          <w:sz w:val="28"/>
          <w:szCs w:val="28"/>
          <w:rtl w:val="true"/>
          <w:lang w:bidi="ar-SA"/>
        </w:rPr>
        <w:t xml:space="preserve">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شديدة ؛ الحديث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كلّ ذنب يوجب النار، و بما دلّ على حرمة استحقار الذنب و وجوب التحذير منه،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تحقّروا شيئًا من الشرّ و إن صغر في أعينكم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هذا الاستدلال نظر، أمّا فيما دلّ على أنّ كلّ معصية شديدة، فلعدم استلزام ذلک كون جميع الذنوب كبيرة، و هو واضح، فنقول بمضمونه و نقسّم المعصية الشديدة إلى كبيرة و صغيرة، بقرينة ما تقدّم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فيما دلّ على حرمة استحقار الذنب فكذلک أيضًا، لأنّ حرمة استحقار الذنب لا يستلزم كون جميع الذنوب كبيرة، لأنّ جميع الذنوب منهيّ عنه، والمنهيّ </w:t>
      </w:r>
    </w:p>
    <w:p>
      <w:pPr>
        <w:pStyle w:val="BookText"/>
        <w:rPr/>
      </w:pPr>
      <w:r>
        <w:rPr>
          <w:rFonts w:ascii="Amiri" w:hAnsi="Amiri" w:eastAsia="Amiri" w:cs="Amiri"/>
          <w:color w:val="111111"/>
          <w:sz w:val="28"/>
          <w:sz w:val="28"/>
          <w:szCs w:val="28"/>
          <w:rtl w:val="true"/>
          <w:lang w:bidi="ar-SA"/>
        </w:rPr>
        <w:t xml:space="preserve">عنه لا يجوز استحقاره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معنى الاستحقار المنهيّ عنه في المقام عدم كون الذنب صغيرًا في نفس الأمر، بل الظاهر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المبالات في ارتكاب المعاصي،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الذنب صغيرة، فلا يضرّ ارتكابه ؛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صغر في أعينكم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تنافي بين ما تقدّم من الأدلّة و بين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يدلّ على أنّ كلّ ذنب يوجب النار، فظاهره و إن كان منافيًا لما تقدّم من الأدلّة، لدلالتها على أنّ الكبائر هي ما توجب النار، و أنّ جميع الذنوب ليس ممّا يوجب ذلک، لحصر الذنوب الموجبة لذلک ببعضها، إلّا أنّ هذا لا يصلح لمعارضة تلک الأدلّة من وجوه كثيرة، فيحمل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أنّ كلّ ذنب يوجب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كان مع الإصرار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غير جائز، للإتّفاق على أنّ بعض الذنوب يوجب النار و لو من غير 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لكنّ الحمل المذكور لا ينافيه، لأنّ إيجاب كلّ الذنوب للنار مع الإصرار لا يستلزم عدم كون شيء منها موجبًا لها من غير إصرار، و هو واضح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يبق إلّا الإجماع الظاهر من كلام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 ابن إدريس وصاحب المجمع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موهونٌ، لما عرفت من استفاضة نقل الشهرة على </w:t>
      </w:r>
      <w:bookmarkStart w:id="154" w:name="pg14719_186552"/>
    </w:p>
    <w:p>
      <w:pPr>
        <w:pStyle w:val="BookText"/>
        <w:rPr/>
      </w:pPr>
      <w:bookmarkEnd w:id="154"/>
      <w:r>
        <w:rPr>
          <w:rFonts w:ascii="IRNazanin" w:hAnsi="IRNazanin" w:eastAsia="IRNazanin"/>
          <w:color w:val="111111"/>
          <w:sz w:val="28"/>
          <w:sz w:val="28"/>
          <w:szCs w:val="28"/>
          <w:rtl w:val="true"/>
          <w:lang w:bidi="fa-IR"/>
        </w:rPr>
        <w:t xml:space="preserve">خلافه، بل دعوى الإجماع ظاهرًا على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ممّا ذكر دليلاً للقول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المرويّ في الكافي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في الوتر هل فيه شيء موقّت يُتّبع و يقال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أثْنِ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استغفر لذنبک العظيم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ذنب عظيم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ذنب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الدلالة على أنّ كلّ ذنب كبيرة، كما لايخفى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القول بكون جميع الذنوب كبيرة، ممّا ينبغي أن لا يشکّ فيه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553559_730472459"/>
      <w:bookmarkStart w:id="156" w:name="_Toc58"/>
      <w:bookmarkEnd w:id="155"/>
      <w:r>
        <w:rPr>
          <w:rtl w:val="true"/>
        </w:rPr>
        <w:t>معنى تكفير الصغائر باجتناب الكبائر</w:t>
      </w:r>
      <w:bookmarkEnd w:id="156"/>
    </w:p>
    <w:p>
      <w:pPr>
        <w:pStyle w:val="BookText"/>
        <w:rPr/>
      </w:pPr>
      <w:r>
        <w:rPr>
          <w:rFonts w:ascii="Amiri" w:hAnsi="Amiri" w:eastAsia="Amiri" w:cs="Amiri"/>
          <w:color w:val="111111"/>
          <w:sz w:val="28"/>
          <w:sz w:val="28"/>
          <w:szCs w:val="28"/>
          <w:rtl w:val="true"/>
          <w:lang w:bidi="ar-SA"/>
        </w:rPr>
        <w:t>تنبيه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في الآية الشريفة و بعض من النصوص المتقدّمة أنّ الصغائر تقع مكفّرة باجتناب الكبائر من المعصية، ينبغي أن نبيّن معنى ذلک،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الصغيرة المكفّرة هي ما كانت مقدّمة لكبيرةٍ مجتنبةٍ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الإشراف عليها و التمكّن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كما لو تمكّن من الزنا مثلاً فكفّ نفسه واقتنع باللمس و النظر، فإنّ مجاهدة نفسه في الكفّ عن الوقاع أشدّ تأثيرًا في تنوير قلبه من تأثير اللمس </w:t>
      </w:r>
      <w:r>
        <w:rPr>
          <w:rStyle w:val="FootnoteAnchor"/>
          <w:rtl w:val="true"/>
        </w:rPr>
        <w:footnoteReference w:id="331"/>
      </w:r>
      <w:r>
        <w:rPr>
          <w:rFonts w:ascii="Amiri" w:hAnsi="Amiri" w:eastAsia="Amiri" w:cs="Amiri"/>
          <w:color w:val="111111"/>
          <w:sz w:val="28"/>
          <w:sz w:val="28"/>
          <w:szCs w:val="28"/>
          <w:rtl w:val="true"/>
          <w:lang w:bidi="ar-SA"/>
        </w:rPr>
        <w:t xml:space="preserve">و النظر في الإظلام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إنّما هو إذا كان الاجتناب عن تلک الكبيرة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و أمّا إذا كان للعنين أو لخوف و بالجملة لغير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تكفير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إذا عرضت صحيفة السيّئات، فوجدت خالية من الكبائر والإصرار على الصغائر، عفي له عن باقي السيّئات </w:t>
      </w:r>
      <w:r>
        <w:rPr>
          <w:rStyle w:val="FootnoteAnchor"/>
          <w:rtl w:val="true"/>
        </w:rPr>
        <w:footnoteReference w:id="335"/>
      </w:r>
      <w:r>
        <w:rPr>
          <w:rFonts w:ascii="IRNazanin" w:hAnsi="IRNazanin" w:eastAsia="IRNazanin"/>
          <w:color w:val="111111"/>
          <w:sz w:val="28"/>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w:t>
      </w:r>
      <w:r>
        <w:rPr>
          <w:rStyle w:val="FootnoteAnchor"/>
          <w:rtl w:val="true"/>
        </w:rPr>
        <w:footnoteReference w:id="336"/>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مكفّرة، أن </w:t>
      </w:r>
      <w:r>
        <w:rPr>
          <w:rStyle w:val="FootnoteAnchor"/>
          <w:rtl w:val="true"/>
        </w:rPr>
        <w:footnoteReference w:id="337"/>
      </w:r>
      <w:r>
        <w:rPr>
          <w:rFonts w:ascii="Amiri" w:hAnsi="Amiri" w:eastAsia="Amiri" w:cs="Amiri"/>
          <w:color w:val="111111"/>
          <w:sz w:val="28"/>
          <w:sz w:val="28"/>
          <w:szCs w:val="28"/>
          <w:rtl w:val="true"/>
          <w:lang w:bidi="ar-SA"/>
        </w:rPr>
        <w:t xml:space="preserve">لا تكتب على المجتنب،إنتهى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57" w:name="pg14719_186555"/>
    </w:p>
    <w:p>
      <w:pPr>
        <w:pStyle w:val="Heading4"/>
        <w:numPr>
          <w:ilvl w:val="3"/>
          <w:numId w:val="1"/>
        </w:numPr>
        <w:rPr/>
      </w:pPr>
      <w:bookmarkStart w:id="158" w:name="__RefHeading___Toc553561_730472459"/>
      <w:bookmarkStart w:id="159" w:name="_Toc59"/>
      <w:bookmarkEnd w:id="157"/>
      <w:bookmarkEnd w:id="158"/>
      <w:r>
        <w:rPr>
          <w:rtl w:val="true"/>
        </w:rPr>
        <w:t>الفرع الثاني</w:t>
      </w:r>
      <w:bookmarkEnd w:id="159"/>
    </w:p>
    <w:p>
      <w:pPr>
        <w:pStyle w:val="Heading5"/>
        <w:numPr>
          <w:ilvl w:val="4"/>
          <w:numId w:val="1"/>
        </w:numPr>
        <w:rPr/>
      </w:pPr>
      <w:bookmarkStart w:id="160" w:name="__RefHeading___Toc553563_730472459"/>
      <w:bookmarkStart w:id="161" w:name="_Toc60"/>
      <w:bookmarkEnd w:id="160"/>
      <w:r>
        <w:rPr>
          <w:rtl w:val="true"/>
        </w:rPr>
        <w:t>في بيان الكبائر من الذنوب</w:t>
      </w:r>
      <w:bookmarkEnd w:id="161"/>
    </w:p>
    <w:p>
      <w:pPr>
        <w:pStyle w:val="BookText"/>
        <w:rPr/>
      </w:pPr>
      <w:r>
        <w:rPr>
          <w:rFonts w:ascii="Amiri" w:hAnsi="Amiri" w:eastAsia="Amiri" w:cs="Amiri"/>
          <w:color w:val="111111"/>
          <w:sz w:val="28"/>
          <w:sz w:val="28"/>
          <w:szCs w:val="28"/>
          <w:rtl w:val="true"/>
          <w:lang w:bidi="ar-SA"/>
        </w:rPr>
        <w:t xml:space="preserve">قد عرفت أنّ الحقّ انقسام الذنوب إلى كبائر و صغائر، فلابدّ من بيانهما، لأنّ معرفة العادل موقوفة عليه </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53565_730472459"/>
      <w:bookmarkStart w:id="163" w:name="_Toc61"/>
      <w:bookmarkEnd w:id="162"/>
      <w:r>
        <w:rPr>
          <w:rtl w:val="true"/>
        </w:rPr>
        <w:t>ذكر اختلاف الأصحاب في بيان الكبائر</w:t>
      </w:r>
      <w:bookmarkEnd w:id="163"/>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كلمات الأصحاب في ذلک، و كذلک النصوص، فقال الشيخ في النهاية </w:t>
      </w:r>
      <w:r>
        <w:rPr>
          <w:rStyle w:val="FootnoteAnchor"/>
          <w:rtl w:val="true"/>
        </w:rPr>
        <w:footnoteReference w:id="339"/>
      </w:r>
      <w:r>
        <w:rPr>
          <w:rFonts w:ascii="Amiri" w:hAnsi="Amiri" w:eastAsia="Amiri" w:cs="Amiri"/>
          <w:color w:val="111111"/>
          <w:sz w:val="28"/>
          <w:sz w:val="28"/>
          <w:szCs w:val="28"/>
          <w:rtl w:val="true"/>
          <w:lang w:bidi="ar-SA"/>
        </w:rPr>
        <w:t xml:space="preserve">و العلّامة في القواعد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الكبيرة ما توعّد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بالنار، كالقتل والزنا واللواط والغصب للأموال </w:t>
      </w:r>
      <w:r>
        <w:rPr>
          <w:rStyle w:val="FootnoteAnchor"/>
          <w:rtl w:val="true"/>
        </w:rPr>
        <w:footnoteReference w:id="340"/>
      </w:r>
      <w:r>
        <w:rPr>
          <w:rFonts w:ascii="Amiri" w:hAnsi="Amiri" w:eastAsia="Amiri" w:cs="Amiri"/>
          <w:color w:val="111111"/>
          <w:sz w:val="28"/>
          <w:sz w:val="28"/>
          <w:szCs w:val="28"/>
          <w:rtl w:val="true"/>
          <w:lang w:bidi="ar-SA"/>
        </w:rPr>
        <w:t xml:space="preserve">وإن قلّت، و عقوق الوالدين، وقذف المحصنات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 الأوّل و الثاني ممّا توعّد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بالنار،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يَقتُلونَ النَفسَ الّتي حَرّمَ اللهُ إلّا بالحَقّ و لا يَزنُون و مَنْ يَفعَل ذلک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تعالى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يَقتُلْ مُؤمِنًا مُتَعَمِّدًا فَجَزاؤُهُ جَهنّمُ خَالِدًا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كون الثالث من ذلک، فلما ورد من أنّ النقب كفر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أنّه لو كان ينبغي أن يرجم رجل مرّتين لكان اللوطي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أنّه مَن نكح امرأة حرامًا في دبرها، أو رجلاً، أو غلامًا،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أنتن من الجيفة، يتأذّى به الناس حتّى يدخل جهنّم، ولايقبل الله منه صرفًا و لا عدلاً، و أحبط الله عمله، و يدعه في تابوت مشدودٍ بمسامير من حديد، فلو وضع عرق من عروقه على أربعمائة أُمَّة لماتوا جميعًا، وهو من أشدّ الناس عذابًا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أنّه لا يجلس على استبرق الجنّة مَن يؤتى في دبره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كون الرابع من ذلک، فلقول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الخطايا اقتطاع </w:t>
      </w:r>
      <w:r>
        <w:rPr>
          <w:rStyle w:val="FootnoteAnchor"/>
          <w:rtl w:val="true"/>
        </w:rPr>
        <w:footnoteReference w:id="348"/>
      </w:r>
      <w:r>
        <w:rPr>
          <w:rFonts w:ascii="Amiri" w:hAnsi="Amiri" w:eastAsia="Amiri" w:cs="Amiri"/>
          <w:color w:val="111111"/>
          <w:sz w:val="28"/>
          <w:sz w:val="28"/>
          <w:szCs w:val="28"/>
          <w:rtl w:val="true"/>
          <w:lang w:bidi="ar-SA"/>
        </w:rPr>
        <w:t xml:space="preserve">مال امرئ مسلم بغير حقّ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فضيل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مال أخيه ظلمًا و لم يرد عليه </w:t>
      </w:r>
      <w:r>
        <w:rPr>
          <w:rStyle w:val="FootnoteAnchor"/>
          <w:rtl w:val="true"/>
        </w:rPr>
        <w:footnoteReference w:id="350"/>
      </w:r>
      <w:r>
        <w:rPr>
          <w:rFonts w:ascii="Amiri" w:hAnsi="Amiri" w:eastAsia="Amiri" w:cs="Amiri"/>
          <w:color w:val="111111"/>
          <w:sz w:val="28"/>
          <w:sz w:val="28"/>
          <w:szCs w:val="28"/>
          <w:rtl w:val="true"/>
          <w:lang w:bidi="ar-SA"/>
        </w:rPr>
        <w:t xml:space="preserve">أكل جذوة من النار يوم القيامة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إمّا يكون المراد منه الأخ في الدين، فدلالته على المطلوب حينئذٍ واضحة ؛ و إمّا يكون المراد منه الأخ الحقيقيّ، فدلالته على العموم حينئذٍ بالفحوى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مَن لم يبال مِن أين اكتسب المال لم يبال الله من أين أدخله النار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كون الخامس من ذلک، فلما روي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العاقّ لا يشمّ رائحة الجنّة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خبر عبد العظيم بن عبد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العاقّ جبّارًا شقيًّا </w:t>
      </w:r>
      <w:r>
        <w:rPr>
          <w:rStyle w:val="FootnoteAnchor"/>
          <w:rtl w:val="true"/>
        </w:rPr>
        <w:footnoteReference w:id="355"/>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كون السادس من ذلک،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مبنيّ على أنّ ما توعّد عليه بالنار أعمّ من أن يكون الإيعاد بها بالكتاب أو بالسنّة، إلّا أنّ الاختصاص بما ذكر لا وجه له، إلّا أن يكون ذكره على سبيل التمثيل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الأصحاب على أنّ الكبائر كلّ ذنب توعّد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في الكتاب العزيز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الذخيرة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مشهور بين أصحابنا </w:t>
      </w:r>
      <w:r>
        <w:rPr>
          <w:rStyle w:val="FootnoteAnchor"/>
          <w:rtl w:val="true"/>
        </w:rPr>
        <w:footnoteReference w:id="359"/>
      </w:r>
      <w:r>
        <w:rPr>
          <w:rFonts w:ascii="Amiri" w:hAnsi="Amiri" w:eastAsia="Amiri" w:cs="Amiri"/>
          <w:color w:val="111111"/>
          <w:sz w:val="28"/>
          <w:sz w:val="28"/>
          <w:szCs w:val="28"/>
          <w:rtl w:val="true"/>
          <w:lang w:bidi="ar-SA"/>
        </w:rPr>
        <w:t xml:space="preserve">، بل عن الأوّل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في كلامهم اختيار قول آخر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الصيمريّ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نسب ذلک إلى أصحابنا بصيغة الجمع المضاف المفيد للعموم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قام على حرمته دليل قاطع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كلّ معصية تؤذن فعلها عدم مبالاة فاعلها بالدين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كلام الصيمريّ و غيره عدم كون هذين القولين من أصحابنا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اختلاف الكلمات بالنسبة إلى تحديد الكبائر، واختلفت بالنسبة إلى التعديد أيضًا، فقيل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و قتل النفس، و قذف المحصنة، و أكل مال اليتيم، والزنا، و الفرار من الزحف، و العقوق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القواعد للشهيد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ضبط ذلک بعضهم </w:t>
      </w:r>
      <w:r>
        <w:rPr>
          <w:rStyle w:val="FootnoteAnchor"/>
          <w:rtl w:val="true"/>
        </w:rPr>
        <w:footnoteReference w:id="36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و القتل بغير حقّ، </w:t>
      </w:r>
      <w:bookmarkStart w:id="164" w:name="pg14719_186560"/>
    </w:p>
    <w:p>
      <w:pPr>
        <w:pStyle w:val="BookText"/>
        <w:rPr/>
      </w:pPr>
      <w:bookmarkEnd w:id="164"/>
      <w:r>
        <w:rPr>
          <w:rFonts w:ascii="Amiri" w:hAnsi="Amiri" w:eastAsia="Amiri" w:cs="Amiri"/>
          <w:color w:val="111111"/>
          <w:sz w:val="28"/>
          <w:sz w:val="28"/>
          <w:szCs w:val="28"/>
          <w:rtl w:val="true"/>
          <w:lang w:bidi="ar-SA"/>
        </w:rPr>
        <w:t xml:space="preserve">واللواط، و الزنا، و الفرار من الزحف، و السحر، و الربا، و قذف المحصنات، و أكل مال اليتيم، و الغيبة بغير حقّ، و اليمين الغموس </w:t>
      </w:r>
      <w:r>
        <w:rPr>
          <w:rStyle w:val="FootnoteAnchor"/>
          <w:rtl w:val="true"/>
        </w:rPr>
        <w:footnoteReference w:id="367"/>
      </w:r>
      <w:r>
        <w:rPr>
          <w:rFonts w:ascii="Amiri" w:hAnsi="Amiri" w:eastAsia="Amiri" w:cs="Amiri"/>
          <w:color w:val="111111"/>
          <w:sz w:val="28"/>
          <w:sz w:val="28"/>
          <w:szCs w:val="28"/>
          <w:rtl w:val="true"/>
          <w:lang w:bidi="ar-SA"/>
        </w:rPr>
        <w:t xml:space="preserve">، وشهادة الزور، و شرب الخمر، و استحلال الكعبة، و السرقة، و نكث الصفقة </w:t>
      </w:r>
      <w:r>
        <w:rPr>
          <w:rStyle w:val="FootnoteAnchor"/>
          <w:rtl w:val="true"/>
        </w:rPr>
        <w:footnoteReference w:id="368"/>
      </w:r>
      <w:r>
        <w:rPr>
          <w:rFonts w:ascii="Amiri" w:hAnsi="Amiri" w:eastAsia="Amiri" w:cs="Amiri"/>
          <w:color w:val="111111"/>
          <w:sz w:val="28"/>
          <w:sz w:val="28"/>
          <w:szCs w:val="28"/>
          <w:rtl w:val="true"/>
          <w:lang w:bidi="ar-SA"/>
        </w:rPr>
        <w:t xml:space="preserve">، و التعرّب بعد الهجرة، و اليأس من روح الله، و الأمن من مكر الله، و عقوق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الشهيد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هذا ورد في الحديث منصوصًا عليه بأنّه كبيرة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للعامّة أقاويل كثيرة في تعدادها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553567_730472459"/>
      <w:bookmarkStart w:id="166" w:name="_Toc62"/>
      <w:bookmarkEnd w:id="165"/>
      <w:r>
        <w:rPr>
          <w:rtl w:val="true"/>
        </w:rPr>
        <w:t>ذكر اختلاف النصوص في بيان الكبائر</w:t>
      </w:r>
      <w:bookmarkEnd w:id="1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المختلفة،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من المسلمين حتّى تقبل شهادته بهم </w:t>
      </w:r>
      <w:r>
        <w:rPr>
          <w:rStyle w:val="FootnoteAnchor"/>
          <w:rtl w:val="true"/>
        </w:rPr>
        <w:footnoteReference w:id="371"/>
      </w:r>
      <w:r>
        <w:rPr>
          <w:rFonts w:ascii="Amiri" w:hAnsi="Amiri" w:eastAsia="Amiri" w:cs="Amiri"/>
          <w:color w:val="111111"/>
          <w:sz w:val="28"/>
          <w:sz w:val="28"/>
          <w:szCs w:val="28"/>
          <w:rtl w:val="true"/>
          <w:lang w:bidi="ar-SA"/>
        </w:rPr>
        <w:t xml:space="preserve">و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تعرفوه </w:t>
      </w:r>
    </w:p>
    <w:p>
      <w:pPr>
        <w:pStyle w:val="BookText"/>
        <w:rPr/>
      </w:pPr>
      <w:r>
        <w:rPr>
          <w:rFonts w:ascii="Amiri" w:hAnsi="Amiri" w:eastAsia="Amiri" w:cs="Amiri"/>
          <w:color w:val="111111"/>
          <w:sz w:val="28"/>
          <w:sz w:val="28"/>
          <w:szCs w:val="28"/>
          <w:rtl w:val="true"/>
          <w:lang w:bidi="ar-SA"/>
        </w:rPr>
        <w:t xml:space="preserve">بالستر و العفاف و كفّ البطن و الفرج و اليد و اللسان، و باجتناب الكبائر الّتي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النار من شرب الخمر </w:t>
      </w:r>
      <w:r>
        <w:rPr>
          <w:rStyle w:val="FootnoteAnchor"/>
          <w:rtl w:val="true"/>
        </w:rPr>
        <w:footnoteReference w:id="372"/>
      </w:r>
      <w:r>
        <w:rPr>
          <w:rFonts w:ascii="IRNazanin" w:hAnsi="IRNazanin" w:eastAsia="IRNazanin"/>
          <w:color w:val="111111"/>
          <w:sz w:val="28"/>
          <w:sz w:val="28"/>
          <w:szCs w:val="28"/>
          <w:rtl w:val="true"/>
          <w:lang w:bidi="fa-IR"/>
        </w:rPr>
        <w:t xml:space="preserve">و الزنا و الربا و عقوق الوالدين والفرار من الزحف و غير ذلک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الكبائر كم هي و ما هي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من اجتنب ما أوعد </w:t>
      </w:r>
      <w:r>
        <w:rPr>
          <w:rStyle w:val="FootnoteAnchor"/>
          <w:rtl w:val="true"/>
        </w:rPr>
        <w:footnoteReference w:id="37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النار كفّر عنه سيّئاته إذا كان مؤمنًا، و 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الحرام، و عقوق الوالدين، و أكل الربا، و التعرّب بعد الهجرة، و قذف المحصنات، و أكل مال اليتيم، و الفرار من الزحف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سمعه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و قذف المحصنة، و الفرار من الزحف، و التعرّب بعد الهجرة، و أكل مال اليتيم </w:t>
      </w:r>
      <w:r>
        <w:rPr>
          <w:rStyle w:val="FootnoteAnchor"/>
          <w:rtl w:val="true"/>
        </w:rPr>
        <w:footnoteReference w:id="376"/>
      </w:r>
      <w:r>
        <w:rPr>
          <w:rFonts w:ascii="Amiri" w:hAnsi="Amiri" w:eastAsia="Amiri" w:cs="Amiri"/>
          <w:color w:val="111111"/>
          <w:sz w:val="28"/>
          <w:sz w:val="28"/>
          <w:szCs w:val="28"/>
          <w:rtl w:val="true"/>
          <w:lang w:bidi="ar-SA"/>
        </w:rPr>
        <w:t>، و أكل الربا بعد البيّنة، و كلّ ما أوجب الله عليه النار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سأله عن الكبائر،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و قتل النفس، و عقوق الوالدين، و أكل الربا بعد </w:t>
      </w:r>
    </w:p>
    <w:p>
      <w:pPr>
        <w:pStyle w:val="BookText"/>
        <w:rPr/>
      </w:pPr>
      <w:r>
        <w:rPr>
          <w:rFonts w:ascii="Amiri" w:hAnsi="Amiri" w:eastAsia="Amiri" w:cs="Amiri"/>
          <w:color w:val="111111"/>
          <w:sz w:val="28"/>
          <w:sz w:val="28"/>
          <w:szCs w:val="28"/>
          <w:rtl w:val="true"/>
          <w:lang w:bidi="ar-SA"/>
        </w:rPr>
        <w:t xml:space="preserve">البيّنة، و أكل مال اليتيم ظلمًا، و الفرار من الزحف، و التعرّب بعد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أكبر المعاصي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 درهم من مال اليتيم ظلمًا أكبر، أم ترک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عددت ترک الصلاة في الكبائر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أوّل ما قلت 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تارک الصلاة كافر، يعني من غير علّة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باسناده إلى عبد العظيم بن عبد الله الحسنيّ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سلّم و جلس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 الفَواحِش </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 ثمّ أمسک،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أسكتک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أعرف الكبائر من كتاب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الإشراک بالله،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يُشرِکْ بِاللهِ فقد حَرَّمَ اللهُ عَلَيهِ الجَنَّة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بعده اليأس من روح الله،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يَيئَسُ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الأمن من مكر الله، انّ </w:t>
      </w:r>
      <w:r>
        <w:rPr>
          <w:rStyle w:val="FootnoteAnchor"/>
          <w:rtl w:val="true"/>
        </w:rPr>
        <w:footnoteReference w:id="382"/>
      </w:r>
      <w:r>
        <w:rPr>
          <w:rFonts w:ascii="Amiri" w:hAnsi="Amiri" w:eastAsia="Amiri" w:cs="Amiri"/>
          <w:color w:val="111111"/>
          <w:sz w:val="28"/>
          <w:sz w:val="28"/>
          <w:szCs w:val="28"/>
          <w:rtl w:val="true"/>
          <w:lang w:bidi="ar-SA"/>
        </w:rPr>
        <w:t xml:space="preserve">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لأنّ الله جعل العاقّ جبّارًا شقيًّا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وَبَرًّا بِوالِدَتي وَ لَم يَجعَلنِي جَبَّارًا شَقِيًّا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قتل النفس الّتي حرّم الله إلّا بالحقّ،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قذف المحصنات،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 مال اليتيم ظلمًا،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الفرار من الزحف،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يُوَلِّهم يَومَئذٍ دُبُرَه إلّا مُتحَرّفًا لِقِتَال </w:t>
      </w:r>
      <w:r>
        <w:rPr>
          <w:rStyle w:val="FootnoteAnchor"/>
          <w:rtl w:val="true"/>
        </w:rPr>
        <w:footnoteReference w:id="388"/>
      </w:r>
      <w:r>
        <w:rPr>
          <w:rFonts w:ascii="Amiri" w:hAnsi="Amiri" w:eastAsia="Amiri" w:cs="Amiri"/>
          <w:color w:val="111111"/>
          <w:sz w:val="28"/>
          <w:sz w:val="28"/>
          <w:szCs w:val="28"/>
          <w:rtl w:val="true"/>
          <w:lang w:bidi="ar-SA"/>
        </w:rPr>
        <w:t xml:space="preserve">أو مُتَحَيّزًا إلى فِئةٍ فَقَد بَاءَ بغضبٍ مِن الله و مَأواه جَهنّمُ و بِئس المصير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أكل الربا،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السحر،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الزنا،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يَفعَلْ ذلک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اليمين الغموس الفاجرة </w:t>
      </w:r>
      <w:r>
        <w:rPr>
          <w:rStyle w:val="FootnoteAnchor"/>
          <w:rtl w:val="true"/>
        </w:rPr>
        <w:footnoteReference w:id="393"/>
      </w:r>
      <w:r>
        <w:rPr>
          <w:rFonts w:ascii="Amiri" w:hAnsi="Amiri" w:eastAsia="Amiri" w:cs="Amiri"/>
          <w:color w:val="111111"/>
          <w:sz w:val="28"/>
          <w:sz w:val="28"/>
          <w:szCs w:val="28"/>
          <w:rtl w:val="true"/>
          <w:lang w:bidi="ar-SA"/>
        </w:rPr>
        <w:t xml:space="preserve">،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يَشْتَرونَ بِعَهدِ اللهِ</w:t>
      </w:r>
    </w:p>
    <w:p>
      <w:pPr>
        <w:pStyle w:val="BookText"/>
        <w:rPr/>
      </w:pPr>
      <w:r>
        <w:rPr>
          <w:rFonts w:ascii="Amiri" w:hAnsi="Amiri" w:eastAsia="Amiri" w:cs="Amiri"/>
          <w:color w:val="111111"/>
          <w:sz w:val="28"/>
          <w:sz w:val="28"/>
          <w:szCs w:val="28"/>
          <w:rtl w:val="true"/>
          <w:lang w:bidi="ar-SA"/>
        </w:rPr>
        <w:t xml:space="preserve">وأيْمَانِهِم ثَمَنًا قَلِيلاً أولَئِکَ لاَ خَلاَق لَهُم فِي الآخرة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الغلول،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الزكاة المفروضة،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فَتُكْوَى بِها جِبَاهُهُم وجُنوبُهُم و 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شهادة الزور و كتمان الشهادة،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شرب الخمر،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بها عبادة الأوثان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ترک الصلاة متعمّدًا، أو شيئًا ممّا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الصلاة متعمّدًا فقد برىء منه </w:t>
      </w:r>
      <w:r>
        <w:rPr>
          <w:rStyle w:val="FootnoteAnchor"/>
          <w:rtl w:val="true"/>
        </w:rPr>
        <w:footnoteReference w:id="398"/>
      </w:r>
      <w:r>
        <w:rPr>
          <w:rFonts w:ascii="Amiri" w:hAnsi="Amiri" w:eastAsia="Amiri" w:cs="Amiri"/>
          <w:color w:val="111111"/>
          <w:sz w:val="28"/>
          <w:sz w:val="28"/>
          <w:szCs w:val="28"/>
          <w:rtl w:val="true"/>
          <w:lang w:bidi="ar-SA"/>
        </w:rPr>
        <w:t xml:space="preserve">ذمّة الله و 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نقض العهد، و قطيعة الرحم،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و له صراخ من بكائه،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من قال برأيه ونازعكم في الفضل و العلم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يستدلّ لنقض العهد، لعلّه لعلم المخاطب، أو لدخوله فيما قدّمه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يستدلّ لشهادة الزور أيضًا ؛ 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شهادة زور على رجل مسلم أو ذمّيّ، أو من كان من الناس، عَلَّق بلسانه يوم القيامة و هو مع المنافقين في الدرک الأسفل من النار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سمعه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w:t>
      </w:r>
    </w:p>
    <w:p>
      <w:pPr>
        <w:pStyle w:val="BookText"/>
        <w:rPr/>
      </w:pPr>
      <w:r>
        <w:rPr>
          <w:rFonts w:ascii="IRNazanin" w:hAnsi="IRNazanin" w:eastAsia="IRNazanin"/>
          <w:color w:val="111111"/>
          <w:sz w:val="28"/>
          <w:sz w:val="28"/>
          <w:szCs w:val="28"/>
          <w:rtl w:val="true"/>
          <w:lang w:bidi="fa-IR"/>
        </w:rPr>
        <w:t xml:space="preserve">سبعة،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متعمّدًا، و الشرک بالله العظيم، و قذف المحصنة، و أكل الربا بعد البيّنة، و الفرار من الزحف، و التعرّب بعد الهجرة، و عقوق الوالدين، و أكل مال اليتيم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التعرّب و الشرک واحد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مسعدة بن صدقة أنّه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القنوط من رحمة الله، و اليأس من روح الله، و الأمن من مكر الله، و قتل النفس الّتي حرّم الله، وعقوق الوالدين، و أكل مال اليتيم ظلمًا، و أكل الربا بعد البيّنة، و التعرّب بعد الهجرة، و قذف المحصنة، و الفرار من الزحف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سنان أنّه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و اليأس من روح الله، و الأمن من مكر </w:t>
      </w:r>
      <w:r>
        <w:rPr>
          <w:rStyle w:val="FootnoteAnchor"/>
          <w:rtl w:val="true"/>
        </w:rPr>
        <w:footnoteReference w:id="405"/>
      </w:r>
      <w:r>
        <w:rPr>
          <w:rFonts w:ascii="IRNazanin" w:hAnsi="IRNazanin" w:eastAsia="IRNazanin"/>
          <w:color w:val="111111"/>
          <w:sz w:val="28"/>
          <w:sz w:val="28"/>
          <w:szCs w:val="28"/>
          <w:rtl w:val="true"/>
          <w:lang w:bidi="fa-IR"/>
        </w:rPr>
        <w:t xml:space="preserve">الله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w:t>
      </w:r>
      <w:r>
        <w:rPr>
          <w:rStyle w:val="FootnoteAnchor"/>
          <w:rtl w:val="true"/>
        </w:rPr>
        <w:footnoteReference w:id="407"/>
      </w:r>
      <w:r>
        <w:rPr>
          <w:rFonts w:ascii="Amiri" w:hAnsi="Amiri" w:eastAsia="Amiri" w:cs="Amiri"/>
          <w:color w:val="111111"/>
          <w:sz w:val="28"/>
          <w:sz w:val="28"/>
          <w:szCs w:val="28"/>
          <w:rtl w:val="true"/>
          <w:lang w:bidi="ar-SA"/>
        </w:rPr>
        <w:t xml:space="preserve">بن كثير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الكبائر من الذنوب </w:t>
      </w:r>
      <w:r>
        <w:rPr>
          <w:rStyle w:val="FootnoteAnchor"/>
          <w:rtl w:val="true"/>
        </w:rPr>
        <w:footnoteReference w:id="408"/>
      </w:r>
      <w:r>
        <w:rPr>
          <w:rFonts w:ascii="Amiri" w:hAnsi="Amiri" w:eastAsia="Amiri" w:cs="Amiri"/>
          <w:color w:val="111111"/>
          <w:sz w:val="28"/>
          <w:sz w:val="28"/>
          <w:szCs w:val="28"/>
          <w:rtl w:val="true"/>
          <w:lang w:bidi="ar-SA"/>
        </w:rPr>
        <w:t xml:space="preserve">سبعٌ فينا أنزلت </w:t>
      </w:r>
      <w:r>
        <w:rPr>
          <w:rStyle w:val="FootnoteAnchor"/>
          <w:rtl w:val="true"/>
        </w:rPr>
        <w:footnoteReference w:id="409"/>
      </w:r>
      <w:r>
        <w:rPr>
          <w:rFonts w:ascii="IRNazanin" w:hAnsi="IRNazanin" w:eastAsia="IRNazanin"/>
          <w:color w:val="111111"/>
          <w:sz w:val="28"/>
          <w:sz w:val="28"/>
          <w:szCs w:val="28"/>
          <w:rtl w:val="true"/>
          <w:lang w:bidi="fa-IR"/>
        </w:rPr>
        <w:t xml:space="preserve">و منّا استحلّت، فأوّلها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العظيم، و قتل النفس الّتي حرّم الله، و أكل مال اليتيم، و عقوق الوالدين، و قذف المحصنة </w:t>
      </w:r>
      <w:r>
        <w:rPr>
          <w:rStyle w:val="FootnoteAnchor"/>
          <w:rtl w:val="true"/>
        </w:rPr>
        <w:footnoteReference w:id="410"/>
      </w:r>
      <w:r>
        <w:rPr>
          <w:rFonts w:ascii="IRNazanin" w:hAnsi="IRNazanin" w:eastAsia="IRNazanin"/>
          <w:color w:val="111111"/>
          <w:sz w:val="28"/>
          <w:sz w:val="28"/>
          <w:szCs w:val="28"/>
          <w:rtl w:val="true"/>
          <w:lang w:bidi="fa-IR"/>
        </w:rPr>
        <w:t xml:space="preserve">، و الفرار من الزحف، </w:t>
      </w:r>
    </w:p>
    <w:p>
      <w:pPr>
        <w:pStyle w:val="BookText"/>
        <w:rPr/>
      </w:pPr>
      <w:r>
        <w:rPr>
          <w:rFonts w:ascii="Amiri" w:hAnsi="Amiri" w:eastAsia="Amiri" w:cs="Amiri"/>
          <w:color w:val="111111"/>
          <w:sz w:val="28"/>
          <w:sz w:val="28"/>
          <w:szCs w:val="28"/>
          <w:rtl w:val="true"/>
          <w:lang w:bidi="ar-SA"/>
        </w:rPr>
        <w:t xml:space="preserve">وإنكار حقّنا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خديجة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الله و على رسوله و على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السكونىّ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السكر من الكبائر، و الحيف </w:t>
      </w:r>
      <w:r>
        <w:rPr>
          <w:rStyle w:val="FootnoteAnchor"/>
          <w:rtl w:val="true"/>
        </w:rPr>
        <w:footnoteReference w:id="413"/>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الوصيّة من الكبائر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ابن أبي عمير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الكبائر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w:t>
      </w:r>
      <w:r>
        <w:rPr>
          <w:rStyle w:val="FootnoteAnchor"/>
          <w:rtl w:val="true"/>
        </w:rPr>
        <w:footnoteReference w:id="415"/>
      </w:r>
      <w:r>
        <w:rPr>
          <w:rFonts w:ascii="Amiri" w:hAnsi="Amiri" w:eastAsia="Amiri" w:cs="Amiri"/>
          <w:color w:val="111111"/>
          <w:sz w:val="28"/>
          <w:sz w:val="28"/>
          <w:szCs w:val="28"/>
          <w:rtl w:val="true"/>
          <w:lang w:bidi="ar-SA"/>
        </w:rPr>
        <w:t xml:space="preserve">، و عقوق الوالدين، و أكل الربا بعد البيّنة، والفرار من الزحف، و التعرّب بعد الهجرة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خمس، و هُنَّ ما أوجب الله عليهنّ النار،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اتَّقُوا اللهَ وذَرُوا ما بَقِيَ مِنَ الرِبا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رمي المحصنات الغافلات المؤمنات </w:t>
      </w:r>
      <w:r>
        <w:rPr>
          <w:rStyle w:val="FootnoteAnchor"/>
          <w:rtl w:val="true"/>
        </w:rPr>
        <w:footnoteReference w:id="420"/>
      </w:r>
      <w:r>
        <w:rPr>
          <w:rFonts w:ascii="IRNazanin" w:hAnsi="IRNazanin" w:eastAsia="IRNazanin"/>
          <w:color w:val="111111"/>
          <w:sz w:val="28"/>
          <w:sz w:val="28"/>
          <w:szCs w:val="28"/>
          <w:rtl w:val="true"/>
          <w:lang w:bidi="fa-IR"/>
        </w:rPr>
        <w:t xml:space="preserve">، و قتل مؤمن </w:t>
      </w:r>
      <w:r>
        <w:rPr>
          <w:rStyle w:val="FootnoteAnchor"/>
          <w:rtl w:val="true"/>
        </w:rPr>
        <w:footnoteReference w:id="421"/>
      </w:r>
      <w:r>
        <w:rPr>
          <w:rFonts w:ascii="Amiri" w:hAnsi="Amiri" w:eastAsia="Amiri" w:cs="Amiri"/>
          <w:color w:val="111111"/>
          <w:sz w:val="28"/>
          <w:sz w:val="28"/>
          <w:szCs w:val="28"/>
          <w:rtl w:val="true"/>
          <w:lang w:bidi="ar-SA"/>
        </w:rPr>
        <w:t xml:space="preserve">متعمّدًا على دينه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أنبّئكم بأكبر الكبائر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الإشراک بالله، و 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متّكأ، فجلس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وقول الزور، ألا و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ثلاثًا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الكبائر سبع، أعظمهنّ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الإشراک بالله، و عقوق الوالدين، و قتل النفس المؤمن، و أكل الربا، و أكل مال اليتيم، و قذف المحصنة، وعقوق الوالدين، و الفرار من الزحف، فمن لقى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بري منهنّ كان معي في بحبوحة جنّة مصاريعها من ذهب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و السرقة، و شرب الخمر، و عقوق الوالدين، والفرار من الزحف، و أكل مال اليتيم ظلمًا، و أكل الميتة و الدم و لحم الخنزير و ما أهلّ به لغير الله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ضرورة، و أكل الربا بعد البيّنة، و السحت،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القمار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البخس في المكيال و الميزان، و قذف المحصنات، واللواط، و شهادة الزور، و اليأس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الأمن من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القنوط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معونة الظالمين و الركون إليهم </w:t>
      </w:r>
      <w:r>
        <w:rPr>
          <w:rStyle w:val="FootnoteAnchor"/>
          <w:rtl w:val="true"/>
        </w:rPr>
        <w:footnoteReference w:id="427"/>
      </w:r>
      <w:r>
        <w:rPr>
          <w:rFonts w:ascii="Amiri" w:hAnsi="Amiri" w:eastAsia="Amiri" w:cs="Amiri"/>
          <w:color w:val="111111"/>
          <w:sz w:val="28"/>
          <w:sz w:val="28"/>
          <w:szCs w:val="28"/>
          <w:rtl w:val="true"/>
          <w:lang w:bidi="ar-SA"/>
        </w:rPr>
        <w:t xml:space="preserve">، واليمين الغموس </w:t>
      </w:r>
      <w:r>
        <w:rPr>
          <w:rStyle w:val="FootnoteAnchor"/>
          <w:rtl w:val="true"/>
        </w:rPr>
        <w:footnoteReference w:id="428"/>
      </w:r>
      <w:r>
        <w:rPr>
          <w:rFonts w:ascii="Amiri" w:hAnsi="Amiri" w:eastAsia="Amiri" w:cs="Amiri"/>
          <w:color w:val="111111"/>
          <w:sz w:val="28"/>
          <w:sz w:val="28"/>
          <w:szCs w:val="28"/>
          <w:rtl w:val="true"/>
          <w:lang w:bidi="ar-SA"/>
        </w:rPr>
        <w:t xml:space="preserve">، و حبس الحقوق من غير عسر </w:t>
      </w:r>
      <w:r>
        <w:rPr>
          <w:rStyle w:val="FootnoteAnchor"/>
          <w:rtl w:val="true"/>
        </w:rPr>
        <w:footnoteReference w:id="429"/>
      </w:r>
      <w:r>
        <w:rPr>
          <w:rFonts w:ascii="Amiri" w:hAnsi="Amiri" w:eastAsia="Amiri" w:cs="Amiri"/>
          <w:color w:val="111111"/>
          <w:sz w:val="28"/>
          <w:sz w:val="28"/>
          <w:szCs w:val="28"/>
          <w:rtl w:val="true"/>
          <w:lang w:bidi="ar-SA"/>
        </w:rPr>
        <w:t xml:space="preserve">، و الكذب، و الكبر، والإسراف، و التبذير، و الخيانة، و كتمان الشهادة </w:t>
      </w:r>
      <w:r>
        <w:rPr>
          <w:rStyle w:val="FootnoteAnchor"/>
          <w:rtl w:val="true"/>
        </w:rPr>
        <w:footnoteReference w:id="430"/>
      </w:r>
      <w:r>
        <w:rPr>
          <w:rFonts w:ascii="Amiri" w:hAnsi="Amiri" w:eastAsia="Amiri" w:cs="Amiri"/>
          <w:color w:val="111111"/>
          <w:sz w:val="28"/>
          <w:sz w:val="28"/>
          <w:szCs w:val="28"/>
          <w:rtl w:val="true"/>
          <w:lang w:bidi="ar-SA"/>
        </w:rPr>
        <w:t xml:space="preserve">، و الاستخفاف بأولياء الله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الاستخفاف بالحجّ، و الاشتغال بالملاهي </w:t>
      </w:r>
      <w:r>
        <w:rPr>
          <w:rStyle w:val="FootnoteAnchor"/>
          <w:rtl w:val="true"/>
        </w:rPr>
        <w:footnoteReference w:id="432"/>
      </w:r>
      <w:r>
        <w:rPr>
          <w:rFonts w:ascii="IRNazanin" w:hAnsi="IRNazanin" w:eastAsia="IRNazanin"/>
          <w:color w:val="111111"/>
          <w:sz w:val="28"/>
          <w:sz w:val="28"/>
          <w:szCs w:val="28"/>
          <w:rtl w:val="true"/>
          <w:lang w:bidi="fa-IR"/>
        </w:rPr>
        <w:t xml:space="preserve">، و الإصرار على الصغائر من الذنوب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يخفى اختلاف هذه النصوص في بيان الكبائر، حيث دلّ بعضها على أنّها ما توعّد الله عليها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ابن أبي يعفور، و الصحيح 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إيعاده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عليها بالكتاب العزيز، أو بلسان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ظاهرهما أنّ العبرة بإيعاده النار، سواء علم الإيعاد من الكتاب، أو من السنّة، أو من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الصحيح الثاني خفاء ما، و لا بأس بالتكلّم فيه و كشف خفائه،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من اجتنب ما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النار، كفّر عنه سيّئاته إذا كان مؤمنًا، و 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و عقوق الوالدين، و أكل الربا، والتعرّب بعد الهجرة، و قذف المحصنة، و أكل مال اليتيم، و الفرار من الزحف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 صلة، و خبر المبتدأ الثاني لعلّه محذوف، و جملةُ المبتدأ و خبره المحذوف خبرٌ للمبتدأ الأوّل ؛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من اجتنب ما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النار، فقد اجتنب عنها و كفّر عنه سيّئاته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والعائد للمبتدأ الثاني هو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للمبتدأ الأوّل هو الضمير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 الجملة الخبريّة و أقيمت الجملة المعطوفةمقامها </w:t>
      </w:r>
    </w:p>
    <w:p>
      <w:pPr>
        <w:pStyle w:val="BookText"/>
        <w:rPr/>
      </w:pPr>
      <w:r>
        <w:rPr>
          <w:rFonts w:ascii="Amiri" w:hAnsi="Amiri" w:eastAsia="Amiri" w:cs="Amiri"/>
          <w:color w:val="111111"/>
          <w:sz w:val="28"/>
          <w:sz w:val="28"/>
          <w:szCs w:val="28"/>
          <w:rtl w:val="true"/>
          <w:lang w:bidi="ar-SA"/>
        </w:rPr>
        <w:t xml:space="preserve">وحذف العاطف ؛ فدلّ الصحيح على أنّ الكبائر هي ما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الصحيح مع التقدير المذكور أيضًا لا يدلّ على أنّ جميع ما أوعد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النار هو الكبائر، لاحتمال أن يكون ما أوعد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النار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كبيرة و صغيرة، فحينئذٍ من اجتنب عن ذلک اجتنب عن الكبائر ألبتّة، لأنّ الاجتناب عن العامّ يستلزم الاجتناب عن الخاصّ، فلا يعلم من الصحيح بنفسه أنّ جميع ما أوعد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النار هو الكبائر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كفّر عنه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كون جميع ما أوعد الله عليها النار كبيرة،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الصغائر، والجمع المضاف يفيد العموم، فيشمل جميع الصغائر، فانحصر ما أوعد الله عليه النار بالكبائر، و هو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كبيريّة بعض ما أوعد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النار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جميع ما أوعد الله كذلک، لأنّ العلّة في كون ذلک البعض كبيرة هي إيعاد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متحقّقٌ في الجميع ؛ و للإجماع المركّب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التقدير في الحديث بغير ما ذكر أيضًا، يظهر بعد التأمّل، و ذكره يستلزم تطويلاً أكثر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الظاهر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ذكرها مع شمول </w:t>
      </w:r>
    </w:p>
    <w:p>
      <w:pPr>
        <w:pStyle w:val="BookText"/>
        <w:rPr/>
      </w:pPr>
      <w:r>
        <w:rPr>
          <w:rFonts w:ascii="IRNazanin" w:hAnsi="IRNazanin" w:eastAsia="IRNazanin"/>
          <w:color w:val="111111"/>
          <w:sz w:val="28"/>
          <w:sz w:val="28"/>
          <w:szCs w:val="28"/>
          <w:rtl w:val="true"/>
          <w:lang w:bidi="fa-IR"/>
        </w:rPr>
        <w:t xml:space="preserve">المعطوف عليه لذلک للإهتمام بشأنها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جميع السبع المذكورة قد أوعد عليها بالكتاب العزيز، أمّا كون غير التعرّب من ذلک فقد عرفت، و أمّا هو فلما مرّ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التعرّب و الشرک واحد </w:t>
      </w:r>
      <w:r>
        <w:rPr>
          <w:rFonts w:eastAsia="IRNazanin" w:cs="IRNazanin"/>
          <w:color w:val="111111"/>
          <w:sz w:val="28"/>
          <w:szCs w:val="28"/>
          <w:rtl w:val="true"/>
          <w:lang w:bidi="fa-IR"/>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الإيعاد عليه في الكتاب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 النفس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إمّا بالرفع، لكونه خبرًا للمبتدأ المحذوف، أو بالنصب لكونه مفعولاً لفعل محذوف، أو 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السبع الموجبات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بعض من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متعلّق الموجبات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 و التقدير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 الموجبات لكون فاعلها ذا كبيرة، أو لكون فاعلها مستحقًّا للنار، أو غير ذلک، هي قتل النفس ؛ أو أعني بالسبع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 أو من تقدير شيء بناءً على الاحتمال الثالث ؛ و هذا الاحتمال مبنيّ على القول بعدم لزوم اشتمال بدل البعض من الكلّ للضمير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 كثير منها على أنّها سبع، و هو خبر محمّد بن مسلم و عبيد بن زرارة وأبي بصير و عبد الله بن كثير و النبويّ ؛ و دلّ بعض منها على أنّها خمس، كمرسلة ابن أبي عمير و رواية عبيد بن زرارة الأخرى ؛ و الرضويّ دلّ على أنّها خمس وثلاثون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عمرو بن عبيد دلّت على أنّها إحدى و عشرون ؛ و إن أمكن الجواب </w:t>
      </w:r>
      <w:bookmarkStart w:id="167" w:name="pg14719_186573"/>
    </w:p>
    <w:p>
      <w:pPr>
        <w:pStyle w:val="BookText"/>
        <w:rPr/>
      </w:pPr>
      <w:bookmarkEnd w:id="167"/>
      <w:r>
        <w:rPr>
          <w:rFonts w:ascii="IRNazanin" w:hAnsi="IRNazanin" w:eastAsia="IRNazanin"/>
          <w:color w:val="111111"/>
          <w:sz w:val="28"/>
          <w:sz w:val="28"/>
          <w:szCs w:val="28"/>
          <w:rtl w:val="true"/>
          <w:lang w:bidi="fa-IR"/>
        </w:rPr>
        <w:t xml:space="preserve">عن هذه الرواية بأنّ الراوي ما سأل معرفة جميع الكبائر، بل معرفة الكبائر من كتاب الله،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أن أعرف الكبائر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على أحد الاحتمالين ؛ و على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الصلاة، أو شيئًا ممّا أوجب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من باب التبرّع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5"/>
        <w:numPr>
          <w:ilvl w:val="4"/>
          <w:numId w:val="1"/>
        </w:numPr>
        <w:rPr/>
      </w:pPr>
      <w:bookmarkStart w:id="168" w:name="__RefHeading___Toc553569_730472459"/>
      <w:bookmarkStart w:id="169" w:name="_Toc63"/>
      <w:bookmarkEnd w:id="168"/>
      <w:r>
        <w:rPr>
          <w:rtl w:val="true"/>
        </w:rPr>
        <w:t>الجواب عن اختلاف النصوص في بيان الكبائر</w:t>
      </w:r>
      <w:bookmarkEnd w:id="169"/>
    </w:p>
    <w:p>
      <w:pPr>
        <w:pStyle w:val="BookText"/>
        <w:rPr/>
      </w:pPr>
      <w:r>
        <w:rPr>
          <w:rFonts w:ascii="IRNazanin" w:hAnsi="IRNazanin" w:eastAsia="IRNazanin"/>
          <w:color w:val="111111"/>
          <w:sz w:val="28"/>
          <w:sz w:val="28"/>
          <w:szCs w:val="28"/>
          <w:rtl w:val="true"/>
          <w:lang w:bidi="fa-IR"/>
        </w:rPr>
        <w:t xml:space="preserve">و ربّما أجيب عن اختلاف تلک النصوص بأنّ ذلک محمولٌ على اختلاف المراتب بأن تكون السبع الّتي تضمّنته أكثر تلک النصوص أكبر الكبائر و هكذا، لكن هذا إنّما يتّجه إذا كانت تلک النصوص في بيان السبع متّحدة، و ليس الأمر كذلک، و يظهر ذلک لمن يلاحظها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السبع الّتي تضمّنته تلک النصوص أكبرها باختلاف الأشخاص و المقامات ؛ و يؤيّد هذا الحمل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أكبر الكبائر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العظيم، و قتل النفس الّتي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بالحقّ، و أكل مال اليتيم، وعقوق الوالدين، و قذف المحصنات، و الفرار من الزحف، و إنكار ما أنزل الله عزّوجلّ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ربّما قيل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أردت معرفة الفرق بين الكبيرة و الصغيرة، فأعرض مفسدة الذنب على مفاسد الكبائر المنصوص عليها، فإن نقصت عن أقلّ مفاسدها فهي من الصغائر، و إلّا فمن الكبائر ؛ مثلاً حبس المحصنة للزنا فيها أعظم من مفسدة القذف مع أنّهم لم يعدّوه في الكبائر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دلالة الكفّار على عورات المسلمين و ما أضمروه من تدابيرهم، ونحو ذلک ممّا يفضي إلى القتل و السبي و النهب، فإنّ مفسدته أعظم من مفسدة الفرار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هكذا ؛ و هذا باب واسع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الوجه لكلام ابن عبّاس، حيث سئل 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أسبع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إلى السبعمائة أقرب منها إلى السبع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70" w:name="pg14719_186575"/>
    </w:p>
    <w:p>
      <w:pPr>
        <w:pStyle w:val="Heading4"/>
        <w:numPr>
          <w:ilvl w:val="3"/>
          <w:numId w:val="1"/>
        </w:numPr>
        <w:rPr/>
      </w:pPr>
      <w:bookmarkStart w:id="171" w:name="__RefHeading___Toc553571_730472459"/>
      <w:bookmarkStart w:id="172" w:name="_Toc64"/>
      <w:bookmarkEnd w:id="170"/>
      <w:bookmarkEnd w:id="171"/>
      <w:r>
        <w:rPr>
          <w:rtl w:val="true"/>
        </w:rPr>
        <w:t>الفرع الثالث</w:t>
      </w:r>
      <w:bookmarkEnd w:id="172"/>
    </w:p>
    <w:p>
      <w:pPr>
        <w:pStyle w:val="Heading5"/>
        <w:numPr>
          <w:ilvl w:val="4"/>
          <w:numId w:val="1"/>
        </w:numPr>
        <w:rPr/>
      </w:pPr>
      <w:bookmarkStart w:id="173" w:name="__RefHeading___Toc553573_730472459"/>
      <w:bookmarkStart w:id="174" w:name="_Toc65"/>
      <w:bookmarkEnd w:id="173"/>
      <w:r>
        <w:rPr>
          <w:rtl w:val="true"/>
        </w:rPr>
        <w:t>معنى إصرار الصغائر</w:t>
      </w:r>
      <w:bookmarkEnd w:id="174"/>
    </w:p>
    <w:p>
      <w:pPr>
        <w:pStyle w:val="BookText"/>
        <w:rPr/>
      </w:pPr>
      <w:r>
        <w:rPr>
          <w:rFonts w:ascii="Amiri" w:hAnsi="Amiri" w:eastAsia="Amiri" w:cs="Amiri"/>
          <w:color w:val="111111"/>
          <w:sz w:val="28"/>
          <w:sz w:val="28"/>
          <w:szCs w:val="28"/>
          <w:rtl w:val="true"/>
          <w:lang w:bidi="ar-SA"/>
        </w:rPr>
        <w:t xml:space="preserve">قد عرفت أنّ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على الصغائر، و هو اتّفاقيّ على ما يظهر، ومنصوصٌ قد تقدّم ذكره في جملة ما كتبه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المأمون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صغيرة مع الإصرار، و لا كبيرة مع الاستغفار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بصير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يقبل الله شيئًا من طاعته على الإصرار على شيء من معاصيه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سماعة عن مولانا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تستكثروا كثيرَ الخير و لا تستقلّوا قليلَ الذنوب، فإنّ قليل الذنوب يجتمع حتّى يكون كثيرًا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بصير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w:t>
      </w:r>
      <w:bookmarkStart w:id="175" w:name="pg14719_186576"/>
    </w:p>
    <w:p>
      <w:pPr>
        <w:pStyle w:val="BookText"/>
        <w:rPr/>
      </w:pPr>
      <w:bookmarkEnd w:id="175"/>
      <w:r>
        <w:rPr>
          <w:rFonts w:ascii="Amiri" w:hAnsi="Amiri" w:eastAsia="Amiri" w:cs="Amiri"/>
          <w:color w:val="111111"/>
          <w:sz w:val="28"/>
          <w:sz w:val="28"/>
          <w:szCs w:val="28"/>
          <w:rtl w:val="true"/>
          <w:lang w:bidi="ar-SA"/>
        </w:rPr>
        <w:t xml:space="preserve">الذنوب، فإنّ لها طالبًا، 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و أستغفر،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4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سنكتب ما قدّموا و آثارهم و 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زياد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بأرض قَرْعَاء،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ايتونا </w:t>
      </w:r>
      <w:r>
        <w:rPr>
          <w:rStyle w:val="FootnoteAnchor"/>
          <w:rtl w:val="true"/>
        </w:rPr>
        <w:footnoteReference w:id="445"/>
      </w:r>
      <w:r>
        <w:rPr>
          <w:rFonts w:ascii="Amiri" w:hAnsi="Amiri" w:eastAsia="Amiri" w:cs="Amiri"/>
          <w:color w:val="111111"/>
          <w:sz w:val="28"/>
          <w:sz w:val="28"/>
          <w:szCs w:val="28"/>
          <w:rtl w:val="true"/>
          <w:lang w:bidi="ar-SA"/>
        </w:rPr>
        <w:t xml:space="preserve">بحطب،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بأرض قرعاء ما بها من 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فجاؤا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تجتمع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والمحقّرات من الذنوب، فإنّ لكل شيء طالبًا، ألا و إنّ طالبها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و آثارهم و 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553575_730472459"/>
      <w:bookmarkStart w:id="177" w:name="_Toc66"/>
      <w:bookmarkEnd w:id="176"/>
      <w:r>
        <w:rPr>
          <w:rtl w:val="true"/>
        </w:rPr>
        <w:t>ذكر الأقوال في معنى الإصرار</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معنى الإصرار على الصغائر، و المراد به على أقوال،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الإصرار على الصغائر هو الإكثار منها، سواء كان متعلّق الإكثار من نوع واحد منها بأن يرتكب نوعًا واحدًا منها مكرّرًا، أو أنواعًا متعدّدة بأن يرتكب كلّ نوع منها بحيث لا يحصل الإصرار بالنسبة إلى واحد منها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القول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الإكثار و المداومة على نوع واحد منها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عدم التوبة و الندامة بعد فعل الصغيرة و لو كان مرّة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 الأقوال أوسطها، لأنّه المتبادر من اللفظ و الموافق بما يتبادر من كلمات أهل اللغة في تفسيره، فعن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أصْرَرتُ على الشيء،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و دمت عليه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أصَرَّ على الشيء يُصِرّ إصْرارًا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لزمه و داومه و ثبت عليه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القاموس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أصرّ على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مستند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أنّ الإكثار من الذنوب قادحٌ في العدالة مطلقًا و إن كان متعلّق الإكثار مختلف الأنواع، كما يظهر من بعضهم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فيه نظر، لأنّ غاية ما يلزم من ذلک الاتّفاق في الحكم، و هو لا يستلزم دخول هذا القسم من الإكثار في الصغائر داخلاً في مفهوم الإصرار، و هو واضح، إلّا أنّه بعد الاشتراک في الحكم لا فائدة معتدًّا بها في الدخول و العدم، فالأمر في ذلک 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جابر عن مولانا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الإصرار أن يذنب الذنب فلا يستغفر الله و لا يحدث نفسه بتوبة، فذلک الإصرار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مخالفته للعرف و اللغة ضعيف السند، فلا يجوز التمسّک به لإثبات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قسّم جماعة من المتأخّرين </w:t>
      </w:r>
      <w:r>
        <w:rPr>
          <w:rStyle w:val="FootnoteAnchor"/>
          <w:rtl w:val="true"/>
        </w:rPr>
        <w:footnoteReference w:id="455"/>
      </w:r>
      <w:r>
        <w:rPr>
          <w:rFonts w:ascii="Amiri" w:hAnsi="Amiri" w:eastAsia="Amiri" w:cs="Amiri"/>
          <w:color w:val="111111"/>
          <w:sz w:val="28"/>
          <w:sz w:val="28"/>
          <w:szCs w:val="28"/>
          <w:rtl w:val="true"/>
          <w:lang w:bidi="ar-SA"/>
        </w:rPr>
        <w:t xml:space="preserve">الإصرار على الصغيرة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 حكمىّ،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حيث قال في كنز العرفان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الإصرار على الصغيرة إمّا فعليّ، و هو المداومة على نوع واحد منها بلا توبة، أو الإكثار من جنس الصغائر بلا توبة ؛ و إمّا حكميّ، و هو العزم على فعل تلک الصغيرة بعد الفراغ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فعل صغيرة و لم يخطر بباله بعدها توبة و لا عزم على فعلها، فالظاهر أنّه غير 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مختار الشهيدين أيضًا </w:t>
      </w:r>
      <w:r>
        <w:rPr>
          <w:rStyle w:val="FootnoteAnchor"/>
          <w:rtl w:val="true"/>
        </w:rPr>
        <w:footnoteReference w:id="456"/>
      </w:r>
      <w:r>
        <w:rPr>
          <w:rFonts w:ascii="Amiri" w:hAnsi="Amiri" w:eastAsia="Amiri" w:cs="Amiri"/>
          <w:color w:val="111111"/>
          <w:sz w:val="28"/>
          <w:sz w:val="28"/>
          <w:szCs w:val="28"/>
          <w:rtl w:val="true"/>
          <w:lang w:bidi="ar-SA"/>
        </w:rPr>
        <w:t xml:space="preserve">، لكنّ الظاهر عدم صدق الإصرار بالنسبة إلى مَن فعل صغيرة مرّة و لو مع العزم لفعلها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أصرّ على الصغائر، فإنّه يقدح في العدالة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فعل الصغائر و إن أظهر التوبة عنها كلّما فعلها، لدلالته على قلّة المبالاة و عدم الإخلاص في التوبة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لو فعلها ندرة من غير إصرار، فالظاهر أنّه غير قادح في العدالة، وفاقًا للمحكيّ عن ابن الجنيد، و المبسوط، و ابن حمزة، و الفاضلين، و الشهيدين، وغيرهم من سائر المتأخّرين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لذلک بما مرّ من صحيحة ابن أبي يعفور حيث سئل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تعرف عدالة الرجل بين المسلمين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باجتناب الكبائر الّتي أوعد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آخره </w:t>
      </w:r>
      <w:r>
        <w:rPr>
          <w:rStyle w:val="FootnoteAnchor"/>
          <w:rtl w:val="true"/>
        </w:rPr>
        <w:footnoteReference w:id="459"/>
      </w:r>
      <w:r>
        <w:rPr>
          <w:rFonts w:ascii="Amiri" w:hAnsi="Amiri" w:eastAsia="Amiri" w:cs="Amiri"/>
          <w:color w:val="111111"/>
          <w:sz w:val="28"/>
          <w:sz w:val="28"/>
          <w:szCs w:val="28"/>
          <w:rtl w:val="true"/>
          <w:lang w:bidi="ar-SA"/>
        </w:rPr>
        <w:t xml:space="preserve">؛ فلا تقدح فعل الصغيرة في العدالة، وإلّا لذكرها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أيضًا </w:t>
      </w:r>
      <w:r>
        <w:rPr>
          <w:rStyle w:val="FootnoteAnchor"/>
          <w:rtl w:val="true"/>
        </w:rPr>
        <w:footnoteReference w:id="460"/>
      </w:r>
      <w:r>
        <w:rPr>
          <w:rFonts w:ascii="IRNazanin" w:hAnsi="IRNazanin" w:eastAsia="IRNazanin"/>
          <w:color w:val="111111"/>
          <w:sz w:val="28"/>
          <w:sz w:val="28"/>
          <w:szCs w:val="28"/>
          <w:rtl w:val="true"/>
          <w:lang w:bidi="fa-IR"/>
        </w:rPr>
        <w:t xml:space="preserve">بأنّ فعل الصغيرة لو انقدح في العدالة تلزم عدم وجود عادل، إذ الإنسان غير المعصوم لا ينفکّ عن فعل الصغيرة، فيلزم من ذلک تعطيل للأحكام، و إخلال للنظام، و تضييع لحقوق الأنام، فيستلزم ذلک العسر و الحرج المنفيّين في شرع الإسلام، و قد دلّت عليه السنّة و الكتاب،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ليس عليكم في الدين من حَرَج </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يُرِيدُ اللهُ بِكُمُ</w:t>
      </w:r>
    </w:p>
    <w:p>
      <w:pPr>
        <w:pStyle w:val="BookText"/>
        <w:rPr/>
      </w:pPr>
      <w:r>
        <w:rPr>
          <w:rFonts w:ascii="Amiri" w:hAnsi="Amiri" w:eastAsia="Amiri" w:cs="Amiri"/>
          <w:color w:val="111111"/>
          <w:sz w:val="28"/>
          <w:sz w:val="28"/>
          <w:szCs w:val="28"/>
          <w:rtl w:val="true"/>
          <w:lang w:bidi="ar-SA"/>
        </w:rPr>
        <w:t xml:space="preserve">اليُسر و 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4495</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ضرار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لأنّا نجوّز على كثير من الصلحاء المتورّعين عدم صدور المعصية منهم و لو كانت صغيرة، بل ربّما نظنّ ذلک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يجاب عن ذلک بأنّه لو اقتصر في أمر الشهادة على شهادة هؤلاء الأجلّة أيضًا يلزم تعطيل بعض الأحكام و تضييع بعض الأموال، لا سيّما في المدن الكبيرة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أجاب ابن إدريس عن أصل الدليل بأنّه لمّا كان تدارک الذنب بالتوبة </w:t>
      </w:r>
    </w:p>
    <w:p>
      <w:pPr>
        <w:pStyle w:val="BookText"/>
        <w:rPr/>
      </w:pPr>
      <w:r>
        <w:rPr>
          <w:rFonts w:ascii="Amiri" w:hAnsi="Amiri" w:eastAsia="Amiri" w:cs="Amiri"/>
          <w:color w:val="111111"/>
          <w:sz w:val="28"/>
          <w:sz w:val="28"/>
          <w:szCs w:val="28"/>
          <w:rtl w:val="true"/>
          <w:lang w:bidi="ar-SA"/>
        </w:rPr>
        <w:t xml:space="preserve">والاستغفار ممكنًا لم يبق للذنب أثر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لأنّه احتمال التوبة و ظهورها بحيث يطمئنّ النفس منه ربّما يحتاج إلى زمان يفوت فيه الغرض المقصود من مراعات عدالة من شهادة أو غيرها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المفيد و ابن البرّاج و أبي الصلاح و ابن إدريس و أبي عليّ صاحب المجمع </w:t>
      </w:r>
      <w:r>
        <w:rPr>
          <w:rStyle w:val="FootnoteAnchor"/>
          <w:rtl w:val="true"/>
        </w:rPr>
        <w:footnoteReference w:id="466"/>
      </w:r>
      <w:r>
        <w:rPr>
          <w:rFonts w:ascii="Amiri" w:hAnsi="Amiri" w:eastAsia="Amiri" w:cs="Amiri"/>
          <w:color w:val="111111"/>
          <w:sz w:val="28"/>
          <w:sz w:val="28"/>
          <w:szCs w:val="28"/>
          <w:rtl w:val="true"/>
          <w:lang w:bidi="ar-SA"/>
        </w:rPr>
        <w:t xml:space="preserve">، فقالوا بانقداح العدالة بفعل الصغيرة مطلقًا و إن كان من غير إصرار، بناءً منهم على أنّ كلّ ذنب كبيرة، و ليس شيء منه صغيرة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ضعف هذا القول و بطلانه، و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الذنوب إلى صغيرة وكبيرة، فلا يحتاج إلى الإعادة </w:t>
      </w:r>
      <w:r>
        <w:rPr>
          <w:rFonts w:eastAsia="Amiri" w:cs="Amiri" w:ascii="Amiri" w:hAnsi="Amiri"/>
          <w:color w:val="111111"/>
          <w:sz w:val="28"/>
          <w:szCs w:val="28"/>
          <w:rtl w:val="true"/>
          <w:lang w:bidi="ar-SA"/>
        </w:rPr>
        <w:t xml:space="preserve">. </w:t>
      </w:r>
      <w:bookmarkStart w:id="178" w:name="pg14719_186582"/>
    </w:p>
    <w:p>
      <w:pPr>
        <w:pStyle w:val="Heading4"/>
        <w:numPr>
          <w:ilvl w:val="3"/>
          <w:numId w:val="1"/>
        </w:numPr>
        <w:rPr/>
      </w:pPr>
      <w:bookmarkStart w:id="179" w:name="__RefHeading___Toc553577_730472459"/>
      <w:bookmarkStart w:id="180" w:name="_Toc67"/>
      <w:bookmarkEnd w:id="178"/>
      <w:bookmarkEnd w:id="179"/>
      <w:r>
        <w:rPr>
          <w:rtl w:val="true"/>
        </w:rPr>
        <w:t>الفرع الرابع</w:t>
      </w:r>
      <w:bookmarkEnd w:id="180"/>
    </w:p>
    <w:p>
      <w:pPr>
        <w:pStyle w:val="Heading5"/>
        <w:numPr>
          <w:ilvl w:val="4"/>
          <w:numId w:val="1"/>
        </w:numPr>
        <w:rPr/>
      </w:pPr>
      <w:bookmarkStart w:id="181" w:name="__RefHeading___Toc553579_730472459"/>
      <w:bookmarkStart w:id="182" w:name="_Toc68"/>
      <w:bookmarkEnd w:id="181"/>
      <w:r>
        <w:rPr>
          <w:rtl w:val="true"/>
        </w:rPr>
        <w:t>في بيان الرحم و صلته و قطعه</w:t>
      </w:r>
      <w:bookmarkEnd w:id="182"/>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حيث قد عرفت من المقبولة الطويلة المتقدّمة الواردة لبيان الكبائر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عبيد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الكبائر قطيعة الرحم، فلابدّ</w:t>
      </w:r>
    </w:p>
    <w:p>
      <w:pPr>
        <w:pStyle w:val="BookText"/>
        <w:rPr/>
      </w:pPr>
      <w:r>
        <w:rPr>
          <w:rFonts w:ascii="Amiri" w:hAnsi="Amiri" w:eastAsia="Amiri" w:cs="Amiri"/>
          <w:color w:val="111111"/>
          <w:sz w:val="28"/>
          <w:sz w:val="28"/>
          <w:szCs w:val="28"/>
          <w:rtl w:val="true"/>
          <w:lang w:bidi="ar-SA"/>
        </w:rPr>
        <w:t xml:space="preserve">أن نبحث في الرحم و صلته و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الرحم،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النصوص، و فيها صحيحة و موثّقة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المسالک في باب الهبة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بالرحم في هذا الباب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 الّذي تجب صلته و يحرم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القريب المعروف النسب و إن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موضع نصّ و وفاق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في العرف و العادة أنّه قريب فلان مثلاً، و يكون </w:t>
      </w:r>
    </w:p>
    <w:p>
      <w:pPr>
        <w:pStyle w:val="BookText"/>
        <w:rPr/>
      </w:pPr>
      <w:r>
        <w:rPr>
          <w:rFonts w:ascii="IRNazanin" w:hAnsi="IRNazanin" w:eastAsia="IRNazanin"/>
          <w:color w:val="111111"/>
          <w:sz w:val="28"/>
          <w:sz w:val="28"/>
          <w:szCs w:val="28"/>
          <w:rtl w:val="true"/>
          <w:lang w:bidi="fa-IR"/>
        </w:rPr>
        <w:t xml:space="preserve">قرابته لک بالأب أو الأمّ، كالأخوان و الأخوات و الأعمام و الأخوال و العمّات والخالات و أولادهم و إن نزلوا، مع صدق اسم القرابة عليهم في العرف و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صلته فتختلف بالنسبة إلى الأشخاص و بُعد المرتبة و المنازل و قُربهما، فربّما تتحقّق الصلة بشيء و بالنسبة إلى ولد ولد ولد الأخت مثلاً، و لا تتحقّق بالنسبة إلى الأخت بذلک، بل يعدّ قاطعًا للرحم لو اقتصر على ذلک الشيء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تحقّق الصلة بشيء بالنسبة إلى مَن بَعُدَ منزلة، و لا تتحقّق بالنسبة إلى مَن قَرُبَ 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تتحقّق بشيء بالنسبة إلى العمّ مثلاً، و لا تتحقّق بالنسبة إلى الأخ والأخت، و قد تتحقّق بالنسبة إلى أولاد الأعمام بشيء، و لا تتحقّق به بالنسبة إلى أولاد الأخوان مثلاً،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القطع،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المراتب و الأشخاص و بُعد المنازل و قُربها، فربّما يصدق القطع بالنسبة إلى الأخ، و لا يصدق بالنسبة إلى العمّ، و بالنسبة إلى قريب المنزل دون 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تحقّق الصلة و القطع هو العرف، لأنّه الحَكَم فيما لم يرد له من الشرع بيان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سنذكر النصوص الدالّة على أنّ صلة الرحم توجب زيادة العمر، و قطعها توجب النقص في العمر و الحرمان من المال </w:t>
      </w:r>
      <w:r>
        <w:rPr>
          <w:rFonts w:eastAsia="Amiri" w:cs="Amiri" w:ascii="Amiri" w:hAnsi="Amiri"/>
          <w:color w:val="111111"/>
          <w:sz w:val="28"/>
          <w:szCs w:val="28"/>
          <w:rtl w:val="true"/>
          <w:lang w:bidi="ar-SA"/>
        </w:rPr>
        <w:t xml:space="preserve">. </w:t>
      </w:r>
      <w:bookmarkStart w:id="183" w:name="pg14719_186584"/>
    </w:p>
    <w:p>
      <w:pPr>
        <w:pStyle w:val="Heading5"/>
        <w:numPr>
          <w:ilvl w:val="4"/>
          <w:numId w:val="1"/>
        </w:numPr>
        <w:rPr/>
      </w:pPr>
      <w:bookmarkStart w:id="184" w:name="__RefHeading___Toc553581_730472459"/>
      <w:bookmarkStart w:id="185" w:name="_Toc69"/>
      <w:bookmarkEnd w:id="183"/>
      <w:bookmarkEnd w:id="184"/>
      <w:r>
        <w:rPr>
          <w:rtl w:val="true"/>
        </w:rPr>
        <w:t>حكم شهادة القاذف</w:t>
      </w:r>
      <w:bookmarkEnd w:id="185"/>
    </w:p>
    <w:p>
      <w:pPr>
        <w:pStyle w:val="Heading2"/>
        <w:numPr>
          <w:ilvl w:val="1"/>
          <w:numId w:val="1"/>
        </w:numPr>
        <w:rPr/>
      </w:pPr>
      <w:bookmarkStart w:id="186" w:name="__RefHeading___Toc553583_730472459"/>
      <w:bookmarkStart w:id="187" w:name="_Toc70"/>
      <w:bookmarkEnd w:id="186"/>
      <w:r>
        <w:rPr/>
        <w:t>5</w:t>
      </w:r>
      <w:r>
        <w:rPr>
          <w:rtl w:val="true"/>
        </w:rPr>
        <w:t xml:space="preserve">- </w:t>
      </w:r>
      <w:r>
        <w:rPr>
          <w:rtl w:val="true"/>
        </w:rPr>
        <w:t>مسألة</w:t>
      </w:r>
      <w:bookmarkEnd w:id="187"/>
    </w:p>
    <w:p>
      <w:pPr>
        <w:pStyle w:val="Heading3"/>
        <w:numPr>
          <w:ilvl w:val="2"/>
          <w:numId w:val="1"/>
        </w:numPr>
        <w:rPr/>
      </w:pPr>
      <w:bookmarkStart w:id="188" w:name="__RefHeading___Toc553585_730472459"/>
      <w:bookmarkStart w:id="189" w:name="_Toc7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قد عرفت من أكثر النصوص المتقدّمة أنّ من جملة الكبائر القذف، فلا تقبل شهادة القاذف، لأنّه غير عادل ؛ 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 لا تَقبَلوا لهم شَهادةً أبَدًا و 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المسألة موضع وفاق، فلا تقبل شهادته إلّا إذا تاب، بل فتقبل حينئذٍ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التحرير و التنقيح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الّذين تَابُوا من بعد ذلک وأصلَحُوا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قاسم ابن سليمان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يقذف الرجل، فيجلد حدًّا، ثمّ يتوب، و لا يعلم منه إلّا خيرًا، أتجوز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يقال عندكم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فيما بينه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 شهادته 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قالوا،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و لم يعلم منه إلّا خيرًا جازت شهادته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القاسم و إن كان مجهولاً، إلّا أنّ السند إليه صحيح ؛ و الراوي عنه حمّاد، و هو ممّن أجمعت العصابة على تصحيح ما يصحّ عنه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المرويّ عن يونس، عن بعض أصحابه،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الّذي </w:t>
      </w:r>
      <w:r>
        <w:rPr>
          <w:rStyle w:val="FootnoteAnchor"/>
          <w:rtl w:val="true"/>
        </w:rPr>
        <w:footnoteReference w:id="475"/>
      </w:r>
      <w:r>
        <w:rPr>
          <w:rFonts w:ascii="Amiri" w:hAnsi="Amiri" w:eastAsia="Amiri" w:cs="Amiri"/>
          <w:color w:val="111111"/>
          <w:sz w:val="28"/>
          <w:sz w:val="28"/>
          <w:szCs w:val="28"/>
          <w:rtl w:val="true"/>
          <w:lang w:bidi="ar-SA"/>
        </w:rPr>
        <w:t>يقذف المحصنات تقبل شهادته بعد الحدّ إذا 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الصباح الكنانيّ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سأله عن القاذف بعد ما يقام عليه الحدّ ما توبته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أكذب نفسه و تاب أتقبل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المذكورة قد دلّت على جواز شهادة القاذف التائب بعد الحدّ،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شهادته بعد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المرسل ؛ و مقتضاه عدم قبول شهادته قبل الحدّ و إن تاب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إنّما ورد في كلام الراوي، لا في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مفهومه حجّة ؛ و معلوم أنّ التقييد في السؤال لا يستلزم التقييد في الجواب بمعنى أن ينفي الحكم في غير مورد السؤال، و إنّما هو يثبت الحكم لمورد السؤال المقيّد، و إثبات الشيء لا ينفي ما عداه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من النصوص في المسألة ما رواه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يصيب أحدٌ حدًّا فيقام عليه ثمّ يتوب إلّا جازت شهادته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يقم الحدّ عليه ليس الأمر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جوابه على تقدير تسليم فهم هذا المفهوم منه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مفهومه ليس بعامّ حتّى يشمل للقاذف و غيره،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نكرة، وقع في سياق النفي، يفيد العموم، فيدخل فيه القاذف 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مفهومه، فليس الأمر كذلک، لأنّه مثبت، فلا يفيد العموم، لأنّ النكرة في سياق الإثبات غير مفيدة لذلک، فلا يصلح لمعارضة ما دلّ على جواز قبول شهادة القاذف بعد التوبة مطلقًا و إن كان قبل إقامة الحدّ كالآية المتقدّمة و غيرها، فلا إشكال في الرواية من هذه الجهة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فيها إشكالٌ من وجهٍ آخر، و هو أنّ هذه الرواية قد وجد في آخرها في بعض نسخ التهذيب نسخة و في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القاذف، فإنّه لا تقبل شهادته، إنّ توبته فيما بينه و بين الله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هذه الرواية معارضةٌ للنصوص المتقدّمة، لا معاضدة لها، لكنّ الجواب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هذه الزيادة في الكافي و في نسخ التهذيب </w:t>
      </w:r>
      <w:bookmarkStart w:id="190" w:name="pg14719_186587"/>
    </w:p>
    <w:p>
      <w:pPr>
        <w:pStyle w:val="BookText"/>
        <w:rPr/>
      </w:pPr>
      <w:bookmarkEnd w:id="190"/>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 فرض صحّة هذه الزيادة محمولةً على التقيّة، لما نقل عن العامّة من أنّ أكثرهم قالوا بذلک، سيّما مع كون الراوي من قضاتهم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و هذه الرواية لا تصلح لمعارضة ما تقدّم من الكتاب و الإجماع والسنّة، فلتطرح، أو يحمل على ما مرّ، فلا إشكال، بل لا خلاف في المسألة بحمد الله سبحانه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53587_730472459"/>
      <w:bookmarkStart w:id="192" w:name="_Toc72"/>
      <w:bookmarkEnd w:id="191"/>
      <w:r>
        <w:rPr>
          <w:rtl w:val="true"/>
        </w:rPr>
        <w:t>حدّ توبة القاذف</w:t>
      </w:r>
      <w:bookmarkEnd w:id="192"/>
    </w:p>
    <w:p>
      <w:pPr>
        <w:pStyle w:val="Heading4"/>
        <w:numPr>
          <w:ilvl w:val="3"/>
          <w:numId w:val="1"/>
        </w:numPr>
        <w:rPr/>
      </w:pPr>
      <w:bookmarkStart w:id="193" w:name="__RefHeading___Toc553589_730472459"/>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لكن وقع الخلاف في حدّ توبته على أقوال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53591_730472459"/>
      <w:bookmarkStart w:id="196" w:name="_Toc74"/>
      <w:bookmarkEnd w:id="195"/>
      <w:r>
        <w:rPr>
          <w:rtl w:val="true"/>
        </w:rPr>
        <w:t>القول الأوّل</w:t>
      </w:r>
      <w:bookmarkEnd w:id="19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إكذاب نفسه ؛ اختاره في الشرائع و النافع و عن المقنع و النهاية والتبيان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من النصوص ما تقدّم من رواية أبي الصباح الكنانيّ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 الحديث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مرسلة يونس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يقذف المحصنات تقبل شهادته بعد الحدّ إذا 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عند الإمام فيقول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افتريت على فلانة و يتوب ممّا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ابن سنان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سأله عن المحدود إذا تاب </w:t>
      </w:r>
      <w:r>
        <w:rPr>
          <w:rStyle w:val="FootnoteAnchor"/>
          <w:rtl w:val="true"/>
        </w:rPr>
        <w:footnoteReference w:id="481"/>
      </w:r>
      <w:r>
        <w:rPr>
          <w:rFonts w:ascii="Amiri" w:hAnsi="Amiri" w:eastAsia="Amiri" w:cs="Amiri"/>
          <w:color w:val="111111"/>
          <w:sz w:val="28"/>
          <w:sz w:val="28"/>
          <w:szCs w:val="28"/>
          <w:rtl w:val="true"/>
          <w:lang w:bidi="ar-SA"/>
        </w:rPr>
        <w:t xml:space="preserve">تقبل شهادته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و توبته أن يرجع ممّا قال </w:t>
      </w:r>
      <w:r>
        <w:rPr>
          <w:rStyle w:val="FootnoteAnchor"/>
          <w:rtl w:val="true"/>
        </w:rPr>
        <w:footnoteReference w:id="482"/>
      </w:r>
      <w:r>
        <w:rPr>
          <w:rFonts w:ascii="Amiri" w:hAnsi="Amiri" w:eastAsia="Amiri" w:cs="Amiri"/>
          <w:color w:val="111111"/>
          <w:sz w:val="28"/>
          <w:sz w:val="28"/>
          <w:szCs w:val="28"/>
          <w:rtl w:val="true"/>
          <w:lang w:bidi="ar-SA"/>
        </w:rPr>
        <w:t xml:space="preserve">و يكذب نفسه عند الإمام و عند المسلمين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الرواية الأولى قد دلّت على أنّ حدّ توبة القاذف إكذاب نفسه مطلقًا، سواء كان عند الإمام أم لا ؛ و الأخيرتان دلّتا على أنّ إكذاب النفس لابدّ أن يكون عند الإمام، فيقيّد إطلاق الرواية الأولى بما إذا كان الإكذاب عند الإمام، لوجوب حمل المطلق على المقيّد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بالنسبة إلى الرواية الأولى و الثانية واضحة، و أمّا بالنسبة إليها وإلى الثالث فالتعارض بينهما ليس من تعارض المطلق و المقيّد، بل من قبيل تعارض الظاهرين و العموم من وجه، لأنّ الرواية الأولى و إن كانت مطلقة بالنسبة إلى كون </w:t>
      </w:r>
    </w:p>
    <w:p>
      <w:pPr>
        <w:pStyle w:val="BookText"/>
        <w:rPr/>
      </w:pPr>
      <w:r>
        <w:rPr>
          <w:rFonts w:ascii="Amiri" w:hAnsi="Amiri" w:eastAsia="Amiri" w:cs="Amiri"/>
          <w:color w:val="111111"/>
          <w:sz w:val="28"/>
          <w:sz w:val="28"/>
          <w:szCs w:val="28"/>
          <w:rtl w:val="true"/>
          <w:lang w:bidi="ar-SA"/>
        </w:rPr>
        <w:t xml:space="preserve">الإكذاب عند الإمام أم لا، إلّا أنّها من جهة ورودها في خصوص القاذف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الصحيح و إن كان من حيث اشتماله على كون الإكذاب عند الإمام مقيّدًا، إلّا أنّه من جهة وروده في مطلق المحدود عامّ، لكن مع ذلک يجب تقديم الصحيح، لصحّته و ضعف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الإكذاب عند الإمام فقط أيضًا غير كاف، لما دلّ عليه الصحيح من أنّ حدّ توبته إكذاب نفسه عند الإمام و عند المسلمين، فيقيّد ما يدلّ على كفاية الإكذاب عند الإمام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كان هناک غيره من المسلمين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الظاهر أنّ المراد من المسلمين ليس جميع المسلمين الّذين يمكن تبليغ الإكذاب إليهم، بل الّذين قد بلغ إليهم خبر القذف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المعتبر تبليغ القاذف نفسه الإكذاب إلى الإمام و المسلمين مطلقًا، أو لا كذلک، بل يكفي بلوغ الإكذاب إليهم، سواء كان المبلّغ هو القاذف أم لا ؛ أو التفصيل بأنّ خبر القذف إليهم إن كان من القاذف بنفسه فالأوّل، و إلّا فالثاني ؟</w:t>
      </w:r>
    </w:p>
    <w:p>
      <w:pPr>
        <w:pStyle w:val="BookText"/>
        <w:rPr/>
      </w:pPr>
      <w:r>
        <w:rPr>
          <w:rFonts w:ascii="Amiri" w:hAnsi="Amiri" w:eastAsia="Amiri" w:cs="Amiri"/>
          <w:color w:val="111111"/>
          <w:sz w:val="28"/>
          <w:sz w:val="28"/>
          <w:szCs w:val="28"/>
          <w:rtl w:val="true"/>
          <w:lang w:bidi="ar-SA"/>
        </w:rPr>
        <w:t xml:space="preserve">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فلا يكفي لحصول التوبة مطلق بلوغ إكذاب القاذف نفسه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الخلاف و الغنية و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الإكذاب شرط التوبة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واحد، لأنّ القائل أنّ حدّ التوبة هو الإكذاب، لم يرد أنّ </w:t>
      </w:r>
      <w:bookmarkStart w:id="197" w:name="pg14719_186590"/>
    </w:p>
    <w:p>
      <w:pPr>
        <w:pStyle w:val="BookText"/>
        <w:rPr/>
      </w:pPr>
      <w:bookmarkEnd w:id="197"/>
      <w:r>
        <w:rPr>
          <w:rFonts w:ascii="IRNazanin" w:hAnsi="IRNazanin" w:eastAsia="IRNazanin"/>
          <w:color w:val="111111"/>
          <w:sz w:val="28"/>
          <w:sz w:val="28"/>
          <w:szCs w:val="28"/>
          <w:rtl w:val="true"/>
          <w:lang w:bidi="fa-IR"/>
        </w:rPr>
        <w:t xml:space="preserve">الإكذاب نفس التوبة، لأنّ التوبة عبارة عن الندم عمّا مضى و الترک في الحال والعزم على عدم العود إلى الفعل القبيح، لكن جعل الشارع الإكذاب فيما نحن فيه شرطًا لتحقّق التوبة ؛ و يظهر الثمرة فيما لو أكذب نفسه مع عدم اجتماع ما مرّ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الإكذاب في توبة القاذف متّفقٌ عليه، كما يظهر من الخلاف،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شرط التوبة من الكذب </w:t>
      </w:r>
      <w:r>
        <w:rPr>
          <w:rStyle w:val="FootnoteAnchor"/>
          <w:rtl w:val="true"/>
        </w:rPr>
        <w:footnoteReference w:id="485"/>
      </w:r>
      <w:r>
        <w:rPr>
          <w:rFonts w:ascii="Amiri" w:hAnsi="Amiri" w:eastAsia="Amiri" w:cs="Amiri"/>
          <w:color w:val="111111"/>
          <w:sz w:val="28"/>
          <w:sz w:val="28"/>
          <w:szCs w:val="28"/>
          <w:rtl w:val="true"/>
          <w:lang w:bidi="ar-SA"/>
        </w:rPr>
        <w:t xml:space="preserve">أن يكذب نفسه حتّى يصحّ قبول شهادته فيما بعد، بلا خلاف بيننا و بين أصحاب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بين الفرقة أنّ من شرط ذلک أن يكذب نفسه، و حقيقة الإكذاب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فيما قلت، إنتهى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553593_730472459"/>
      <w:bookmarkStart w:id="199" w:name="_Toc75"/>
      <w:bookmarkEnd w:id="198"/>
      <w:r>
        <w:rPr>
          <w:rtl w:val="true"/>
        </w:rPr>
        <w:t>القول الثاني</w:t>
      </w:r>
      <w:bookmarkEnd w:id="199"/>
    </w:p>
    <w:p>
      <w:pPr>
        <w:pStyle w:val="BookText"/>
        <w:rPr/>
      </w:pPr>
      <w:r>
        <w:rPr>
          <w:rFonts w:ascii="Amiri" w:hAnsi="Amiri" w:eastAsia="Amiri" w:cs="Amiri"/>
          <w:color w:val="111111"/>
          <w:sz w:val="28"/>
          <w:sz w:val="28"/>
          <w:szCs w:val="28"/>
          <w:rtl w:val="true"/>
          <w:lang w:bidi="ar-SA"/>
        </w:rPr>
        <w:t xml:space="preserve">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توبته أيضًا الإكذاب، 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باطل حرام، ولاأعود إلى ما قلت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ذلک عن المبسوط، و عبارته المحكيّة هذه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اختلفوا في كيفيّة إكذابه نفسه،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باطل حرام، ولا أعود إلى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إكذابه نفسه ؛ و حقيقة ذلک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فيما قلت ؛ و روي ذلک في أخبارنا، و الأوّل أقوى، لأنّه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فيما قلت، ربما كان كاذبًا </w:t>
      </w:r>
      <w:r>
        <w:rPr>
          <w:rStyle w:val="FootnoteAnchor"/>
          <w:rtl w:val="true"/>
        </w:rPr>
        <w:footnoteReference w:id="487"/>
      </w:r>
      <w:r>
        <w:rPr>
          <w:rFonts w:ascii="Amiri" w:hAnsi="Amiri" w:eastAsia="Amiri" w:cs="Amiri"/>
          <w:color w:val="111111"/>
          <w:sz w:val="28"/>
          <w:sz w:val="28"/>
          <w:szCs w:val="28"/>
          <w:rtl w:val="true"/>
          <w:lang w:bidi="ar-SA"/>
        </w:rPr>
        <w:t xml:space="preserve">، لجواز أن يكون صادقًا في الباطن و قد تعذّر عليه تحقيقه،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باطل حرام، فقد أكذب نفسه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ابن إدريس أيضًا ذلک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القول بأنّ القذف باطل حرام و لا أعود إلى ما قلت، ليس من التكذيب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توضيحه هو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دلّت عليه النصوص المتقدّمة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 توبته إكذاب القاذف نفسه ؛ و لا شکّ أنّ حقيقة الإكذاب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فيما قلت مثلاً، 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باطل حرام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إنّما يناسب إذا قال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ليس بباطل و حرام ؛ و ليس الكلام في ذلک </w:t>
      </w:r>
      <w:r>
        <w:rPr>
          <w:rFonts w:eastAsia="IRNazanin" w:cs="IRNazanin"/>
          <w:color w:val="111111"/>
          <w:sz w:val="28"/>
          <w:szCs w:val="28"/>
          <w:rtl w:val="true"/>
          <w:lang w:bidi="fa-IR"/>
        </w:rPr>
        <w:t xml:space="preserve">. </w:t>
      </w:r>
      <w:bookmarkStart w:id="200" w:name="pg14719_186592"/>
    </w:p>
    <w:p>
      <w:pPr>
        <w:pStyle w:val="BookText"/>
        <w:rPr/>
      </w:pPr>
      <w:bookmarkEnd w:id="200"/>
      <w:r>
        <w:rPr>
          <w:rFonts w:ascii="Amiri" w:hAnsi="Amiri" w:eastAsia="Amiri" w:cs="Amiri"/>
          <w:color w:val="111111"/>
          <w:sz w:val="28"/>
          <w:sz w:val="28"/>
          <w:szCs w:val="28"/>
          <w:rtl w:val="true"/>
          <w:lang w:bidi="ar-SA"/>
        </w:rPr>
        <w:t xml:space="preserve">و ممّا يدلّ على بطلانه زيادة على ما ذكر، قوله عليه السلام في الحديث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عند الإمام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افتريت على فلانة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و أين هذا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السرّ في أمر الشارع بالإكذاب الظاهر أنّه للستر و عدم التفضيح، و هولايحصل مع القول بأنّ القذف باطل حرام مثلاً، بل لعلّ الحاصل منه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لو تمّ إنّما يدلّ على التفصيل الّذيّ سيجيء إليه الإشارة، لا مطلقًا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553595_730472459"/>
      <w:bookmarkStart w:id="202" w:name="_Toc76"/>
      <w:bookmarkEnd w:id="201"/>
      <w:r>
        <w:rPr>
          <w:rtl w:val="true"/>
        </w:rPr>
        <w:t>القول الثالث</w:t>
      </w:r>
      <w:bookmarkEnd w:id="202"/>
    </w:p>
    <w:p>
      <w:pPr>
        <w:pStyle w:val="BookText"/>
        <w:rPr/>
      </w:pPr>
      <w:r>
        <w:rPr>
          <w:rFonts w:ascii="Amiri" w:hAnsi="Amiri" w:eastAsia="Amiri" w:cs="Amiri"/>
          <w:color w:val="111111"/>
          <w:sz w:val="28"/>
          <w:sz w:val="28"/>
          <w:szCs w:val="28"/>
          <w:rtl w:val="true"/>
          <w:lang w:bidi="ar-SA"/>
        </w:rPr>
        <w:t xml:space="preserve">و القول الثالث في المسألة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القاذف صادقًا في قذفه أم لا، فإن كان الأوّل فحدّ توبته إكذاب النفس ؛ و إن كان الثاني فحدّها الاعتراف بالخطأ في الملأ الّذين قذف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اختاره في القواعد و الإرشاد، و المحكيّ عن ابن حمزة و سعيد والتحرير و المختلف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مستنده في الأوّل هو ما تقدّم من النصوص الدالّة على أنّ حدّ توبته إكذاب النفس ؛ و هي و إن كانت مطلقة شاملة لصورتي الكذب و الصدق، إلّا أنّها محمولةٌ على ما إذا كان كاذبًا، نظرًا إلى الأدلّة الدالّة على حرمة الكذب بقول مطلق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 الثاني لعلّه الإجماع،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كأنّهم متّفقون في توبة القاذف على اعتبار أمر زائد ممّا اعتبر في توبة غيره ؛ و لا يجوز أن يكون ذلک الأمر إكذاب النفس، لاستلزامه الكذب، فليكن هو الاعتراف بالخطأ في الملأ، إذ لا ثالث يناسب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القاذف كاذبًا مطلقًا و إن كان قوله مطابقًا للواقع،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الّذين يَرمُون المُحصَنات ثمّ لم يأتوا بأربعة شهداء فأولئک عند الله هم الكاذبون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تسليم شمول عموم الأدلّة الدالّة على حرمة الكذب لما نحن فيه، وعدم تخصيصها بما مرّ في المسألة، و تقييد الآية فيما إذا لم يكن القذف مطابقًا للواقع،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الفرار من الكذب لا ينحصر وجهه في تخطئة القاذف نفسه، لحصوله بالتورية، بل هي أولى و أقرب إلى النصوص من التصريح، و أنسب بالحكمة المطلوبة للشارع من الستر و عدم تفضيح حال الناس، لما في التصريح بالتخطئة من التعرّض بالقذف أيضًا، فإفساده أكثر من إصلاحه </w:t>
      </w:r>
      <w:r>
        <w:rPr>
          <w:rFonts w:eastAsia="Amiri" w:cs="Amiri" w:ascii="Amiri" w:hAnsi="Amiri"/>
          <w:color w:val="111111"/>
          <w:sz w:val="28"/>
          <w:szCs w:val="28"/>
          <w:rtl w:val="true"/>
          <w:lang w:bidi="ar-SA"/>
        </w:rPr>
        <w:t xml:space="preserve">. </w:t>
      </w:r>
      <w:bookmarkStart w:id="203" w:name="pg14719_186594"/>
    </w:p>
    <w:p>
      <w:pPr>
        <w:pStyle w:val="Heading3"/>
        <w:numPr>
          <w:ilvl w:val="2"/>
          <w:numId w:val="1"/>
        </w:numPr>
        <w:rPr/>
      </w:pPr>
      <w:bookmarkStart w:id="204" w:name="__RefHeading___Toc553597_730472459"/>
      <w:bookmarkStart w:id="205" w:name="_Toc77"/>
      <w:bookmarkEnd w:id="203"/>
      <w:bookmarkEnd w:id="204"/>
      <w:r>
        <w:rPr>
          <w:rtl w:val="true"/>
        </w:rPr>
        <w:t xml:space="preserve">رأي المصنّف </w:t>
      </w:r>
      <w:r>
        <w:rPr>
          <w:rtl w:val="true"/>
        </w:rPr>
        <w:t>(</w:t>
      </w:r>
      <w:r>
        <w:rPr>
          <w:rtl w:val="true"/>
        </w:rPr>
        <w:t>قدس سره</w:t>
      </w:r>
      <w:r>
        <w:rPr>
          <w:rtl w:val="true"/>
        </w:rPr>
        <w:t xml:space="preserve">) </w:t>
      </w:r>
      <w:r>
        <w:rPr>
          <w:rtl w:val="true"/>
        </w:rPr>
        <w:t>في المسألة</w:t>
      </w:r>
      <w:bookmarkEnd w:id="205"/>
    </w:p>
    <w:p>
      <w:pPr>
        <w:pStyle w:val="BookText"/>
        <w:rPr/>
      </w:pPr>
      <w:r>
        <w:rPr>
          <w:rFonts w:ascii="IRNazanin" w:hAnsi="IRNazanin" w:eastAsia="IRNazanin"/>
          <w:color w:val="111111"/>
          <w:sz w:val="28"/>
          <w:sz w:val="28"/>
          <w:szCs w:val="28"/>
          <w:rtl w:val="true"/>
          <w:lang w:bidi="fa-IR"/>
        </w:rPr>
        <w:t xml:space="preserve">فالقول الأوّل </w:t>
      </w:r>
      <w:r>
        <w:rPr>
          <w:rStyle w:val="FootnoteAnchor"/>
          <w:rtl w:val="true"/>
        </w:rPr>
        <w:footnoteReference w:id="493"/>
      </w:r>
      <w:r>
        <w:rPr>
          <w:rFonts w:ascii="IRNazanin" w:hAnsi="IRNazanin" w:eastAsia="IRNazanin"/>
          <w:color w:val="111111"/>
          <w:sz w:val="28"/>
          <w:sz w:val="28"/>
          <w:szCs w:val="28"/>
          <w:rtl w:val="true"/>
          <w:lang w:bidi="fa-IR"/>
        </w:rPr>
        <w:t xml:space="preserve">أرجح، وفاقًا للمحكيّ عن الصدوقين، و ابن أبي عقيل، والشيخ في النهاية، و الشهيدين في الدروس و المسالک، و التنقيح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المشهور بين المتأخّرين، بل المتقدّمين أيضًا، بل عن ابن زهرة </w:t>
      </w:r>
      <w:r>
        <w:rPr>
          <w:rStyle w:val="FootnoteAnchor"/>
          <w:rtl w:val="true"/>
        </w:rPr>
        <w:footnoteReference w:id="495"/>
      </w:r>
      <w:r>
        <w:rPr>
          <w:rFonts w:ascii="IRNazanin" w:hAnsi="IRNazanin" w:eastAsia="IRNazanin"/>
          <w:color w:val="111111"/>
          <w:sz w:val="28"/>
          <w:sz w:val="28"/>
          <w:szCs w:val="28"/>
          <w:rtl w:val="true"/>
          <w:lang w:bidi="fa-IR"/>
        </w:rPr>
        <w:t xml:space="preserve">دعوى الإجماع على ذلک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نقل عدم الخلاف بيننا في عبارة الخلاف المتقدّمة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زيادة على ما مرّ من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القاذف إكذاب نفسه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Heading3"/>
        <w:numPr>
          <w:ilvl w:val="2"/>
          <w:numId w:val="1"/>
        </w:numPr>
        <w:rPr/>
      </w:pPr>
      <w:bookmarkStart w:id="206" w:name="__RefHeading___Toc553599_730472459"/>
      <w:bookmarkStart w:id="207" w:name="_Toc78"/>
      <w:bookmarkEnd w:id="206"/>
      <w:r>
        <w:rPr>
          <w:rtl w:val="true"/>
        </w:rPr>
        <w:t>إيرادٌ في المقام</w:t>
      </w:r>
      <w:bookmarkEnd w:id="2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إيراد،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مفصّلاً أنّ العدالة عبارةٌ عن الملكة، و أنّ </w:t>
      </w:r>
      <w:bookmarkStart w:id="208" w:name="pg14719_186595"/>
    </w:p>
    <w:p>
      <w:pPr>
        <w:pStyle w:val="BookText"/>
        <w:rPr/>
      </w:pPr>
      <w:bookmarkEnd w:id="208"/>
      <w:r>
        <w:rPr>
          <w:rFonts w:ascii="IRNazanin" w:hAnsi="IRNazanin" w:eastAsia="IRNazanin"/>
          <w:color w:val="111111"/>
          <w:sz w:val="28"/>
          <w:sz w:val="28"/>
          <w:szCs w:val="28"/>
          <w:rtl w:val="true"/>
          <w:lang w:bidi="fa-IR"/>
        </w:rPr>
        <w:t>الملكة عبارةٌ عن الهيئة الراسخة في النفس الباعثة على ملازمة المروّة و التقوى، فلو كانت العدالة عبارة عن ذلک، كيف تزول بعروض ما ينافيها من معصية حتّى أنّه بمجرّد قذف واحد يخرج عن كونه عادلاً و يدخل تحت الفسّاق ؟</w:t>
      </w:r>
    </w:p>
    <w:p>
      <w:pPr>
        <w:pStyle w:val="BookText"/>
        <w:rPr/>
      </w:pPr>
      <w:r>
        <w:rPr>
          <w:rFonts w:ascii="Amiri" w:hAnsi="Amiri" w:eastAsia="Amiri" w:cs="Amiri"/>
          <w:color w:val="111111"/>
          <w:sz w:val="28"/>
          <w:sz w:val="28"/>
          <w:szCs w:val="28"/>
          <w:rtl w:val="true"/>
          <w:lang w:bidi="ar-SA"/>
        </w:rPr>
        <w:t>و أيضًا ظاهر النصوص المتقدّمة و كلمات كثير من الأصحاب الأجلّة في المسألة أنّ القاذف بعد التوبة بمجرّدها تقبل شهادته، فكيف تعود العدالة الزائلة بمحض التوبة حتّى يجوز قبول الشهادة ؟</w:t>
      </w:r>
    </w:p>
    <w:p>
      <w:pPr>
        <w:pStyle w:val="Heading3"/>
        <w:numPr>
          <w:ilvl w:val="2"/>
          <w:numId w:val="1"/>
        </w:numPr>
        <w:rPr/>
      </w:pPr>
      <w:bookmarkStart w:id="209" w:name="__RefHeading___Toc553601_730472459"/>
      <w:bookmarkStart w:id="210" w:name="_Toc79"/>
      <w:bookmarkEnd w:id="209"/>
      <w:r>
        <w:rPr>
          <w:rtl w:val="true"/>
        </w:rPr>
        <w:t>الجواب عن الإيراد</w:t>
      </w:r>
      <w:bookmarkEnd w:id="210"/>
    </w:p>
    <w:p>
      <w:pPr>
        <w:pStyle w:val="BookText"/>
        <w:rPr/>
      </w:pPr>
      <w:r>
        <w:rPr>
          <w:rFonts w:ascii="IRNazanin" w:hAnsi="IRNazanin" w:eastAsia="IRNazanin"/>
          <w:color w:val="111111"/>
          <w:sz w:val="28"/>
          <w:sz w:val="28"/>
          <w:szCs w:val="28"/>
          <w:rtl w:val="true"/>
          <w:lang w:bidi="fa-IR"/>
        </w:rPr>
        <w:t xml:space="preserve">أجيب عن ذلک </w:t>
      </w:r>
      <w:r>
        <w:rPr>
          <w:rStyle w:val="FootnoteAnchor"/>
          <w:rtl w:val="true"/>
        </w:rPr>
        <w:footnoteReference w:id="499"/>
      </w:r>
      <w:r>
        <w:rPr>
          <w:rFonts w:ascii="Amiri" w:hAnsi="Amiri" w:eastAsia="Amiri" w:cs="Amiri"/>
          <w:color w:val="111111"/>
          <w:sz w:val="28"/>
          <w:sz w:val="28"/>
          <w:szCs w:val="28"/>
          <w:rtl w:val="true"/>
          <w:lang w:bidi="ar-SA"/>
        </w:rPr>
        <w:t>بأنّ الملكة بعد ثبوتها و إن كانت لا تزول بمخالفة مقتضاها</w:t>
      </w:r>
    </w:p>
    <w:p>
      <w:pPr>
        <w:pStyle w:val="BookText"/>
        <w:rPr/>
      </w:pPr>
      <w:r>
        <w:rPr>
          <w:rFonts w:ascii="IRNazanin" w:hAnsi="IRNazanin" w:eastAsia="IRNazanin"/>
          <w:color w:val="111111"/>
          <w:sz w:val="28"/>
          <w:sz w:val="28"/>
          <w:szCs w:val="28"/>
          <w:rtl w:val="true"/>
          <w:lang w:bidi="fa-IR"/>
        </w:rPr>
        <w:t xml:space="preserve">في بعض الأحيان، إلّا أنّ الآثار لمّا كانت دلائل الملكات جعل الشارع بالإجماع الأثر المخالف لمقتضاها مزيلاً لحكمها، و التوبة رافعة لهذا المزيل، لكن إن كانت التوبة عن القذف لا تكفي بمجرّدها لرفع المزيل و قبول الشهادة،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إلّا الّذين تابوا من بعد ذلک و أصلحوا </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حيث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بعد التوبة، فلم نكف من دونه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يقيّد إطلاق ما دلّ على قبول شهادته بمجرّد التوبة،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توبته أن يرجع فيما قال و يكذب نفسه عند الإمام و عند المسلمين، فإذا فعل ذلک، فإنّ </w:t>
      </w:r>
    </w:p>
    <w:p>
      <w:pPr>
        <w:pStyle w:val="BookText"/>
        <w:rPr/>
      </w:pPr>
      <w:r>
        <w:rPr>
          <w:rFonts w:ascii="IRNazanin" w:hAnsi="IRNazanin" w:eastAsia="IRNazanin"/>
          <w:color w:val="111111"/>
          <w:sz w:val="28"/>
          <w:sz w:val="28"/>
          <w:szCs w:val="28"/>
          <w:rtl w:val="true"/>
          <w:lang w:bidi="fa-IR"/>
        </w:rPr>
        <w:t xml:space="preserve">على الإمام أن يقبل شهادته بعد ذلک </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و قوله عليه السلام بعد أن سأله أبو الصباح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أن أكذب بنفسه و تاب أتقبل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ممّا تقدّم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في إطلاقها كلام، لأنّ مِن شرط انصراف المطلق إلى تمام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وروده في مقام بيان حكم آخر ؛ و هذه النصوص على ما يستفاد منها أنّها سيقت لدفع توهّم عدم قبول شهادة القاذف بعد التوبة مطلقًا و لو كانت بعد الإصلاح، فتكون النصوص المذكورة في الدلالة على قبول الشهادة بالنسبة إلى بعد التوبة و قبل الإصلاح مجملة، فلا تصلح للتمسّک بها في قبول الشهادة قبل الإصلاح،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على التوبة و لو 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فخر الإسلام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المعنى متّفق عليه، و إنّما الخلاف في الزائد عليه،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العمل ؛ فقال ابن حمزة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الصادق و الكاذب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يشترط الشيخ في النهاية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المبسوط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الكاذب لا الصادق </w:t>
      </w:r>
      <w:r>
        <w:rPr>
          <w:rStyle w:val="FootnoteAnchor"/>
          <w:rtl w:val="true"/>
        </w:rPr>
        <w:footnoteReference w:id="505"/>
      </w:r>
      <w:r>
        <w:rPr>
          <w:rFonts w:ascii="Amiri" w:hAnsi="Amiri" w:eastAsia="Amiri" w:cs="Amiri"/>
          <w:color w:val="111111"/>
          <w:sz w:val="28"/>
          <w:sz w:val="28"/>
          <w:szCs w:val="28"/>
          <w:rtl w:val="true"/>
          <w:lang w:bidi="ar-SA"/>
        </w:rPr>
        <w:t xml:space="preserve">؛ و هو اختيار ابن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المصنّف بأنّ الاستمرار على التوبة إصلاح، و الأمر المطلق يكتفى فيه بالمسمّى </w:t>
      </w:r>
      <w:r>
        <w:rPr>
          <w:rStyle w:val="FootnoteAnchor"/>
          <w:rtl w:val="true"/>
        </w:rPr>
        <w:footnoteReference w:id="506"/>
      </w:r>
      <w:r>
        <w:rPr>
          <w:rFonts w:ascii="Amiri" w:hAnsi="Amiri" w:eastAsia="Amiri" w:cs="Amiri"/>
          <w:color w:val="111111"/>
          <w:sz w:val="28"/>
          <w:sz w:val="28"/>
          <w:szCs w:val="28"/>
          <w:rtl w:val="true"/>
          <w:lang w:bidi="ar-SA"/>
        </w:rPr>
        <w:t>، و لم يشترط في الرواية المتقدّمة، بل علّق قبول</w:t>
      </w:r>
    </w:p>
    <w:p>
      <w:pPr>
        <w:pStyle w:val="BookText"/>
        <w:rPr/>
      </w:pPr>
      <w:r>
        <w:rPr>
          <w:rFonts w:ascii="Amiri" w:hAnsi="Amiri" w:eastAsia="Amiri" w:cs="Amiri"/>
          <w:color w:val="111111"/>
          <w:sz w:val="28"/>
          <w:sz w:val="28"/>
          <w:szCs w:val="28"/>
          <w:rtl w:val="true"/>
          <w:lang w:bidi="ar-SA"/>
        </w:rPr>
        <w:t xml:space="preserve">الشهادة على التوبة و إكذاب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لحمل المطلق على المقيّد مع اتّحاد القضيّة، إنتهى كلامه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من المطلق هو الرواية، و المقيّد هو الآية ؛ و الأمر كما ذكره، لأنّ الآية وإن كانت مطلقة، لأنّ الإصلاح أعمّ من أن يكون في الحال أو العمل، إلّا أنّ المتبادر منه هو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الإطلاق أيضًا يقتضي التقييد بالنسبة إلى فرديه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في العمل، فالحقّ ما نقله عن ابن حمزة من أنّ الإصلاح في العمل في القاذف شرطٌ لقبول الشهادة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بالنسبة إلى التوبة عن القذف، و أمّا عن غيره فالظاهر قبول الشهادة </w:t>
      </w:r>
    </w:p>
    <w:p>
      <w:pPr>
        <w:pStyle w:val="BookText"/>
        <w:rPr/>
      </w:pPr>
      <w:r>
        <w:rPr>
          <w:rFonts w:ascii="Amiri" w:hAnsi="Amiri" w:eastAsia="Amiri" w:cs="Amiri"/>
          <w:color w:val="111111"/>
          <w:sz w:val="28"/>
          <w:sz w:val="28"/>
          <w:szCs w:val="28"/>
          <w:rtl w:val="true"/>
          <w:lang w:bidi="ar-SA"/>
        </w:rPr>
        <w:t xml:space="preserve">بمجرّد التوبة،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تجبّ ما قبلها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عمومهما و إن كان شاملاً للتوبة عن القذف أيضًا، إلّا أنّ المعارض بالنسبة إلى توبة القاذف موجود، و هو ما تقدّم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الّذين تَابُوا من بعد ذلک و أصلَحُوا </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لكنّه لمّا كان مختصًّا بالقاذف، فيبقى العموم بالنسبة إلى غيره سالمًا عن المعارض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عليک أنّ ما تقدّم من خروج القاذف بالقذف عن العادليّة، فلا تقبل شهادته إلّا بعد التوبة و الإصلاح، إنّما هو إذا لم يقم بيّنة على ذلک ؛ و أمّا إذا أقامها فليس الأمر كذلک، و هو واضح ؛ و لعلّه متّفق عليه،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الّذين يرمون المحصنات ثمّ لم يأتوا بأربعة شهداء فاجلدوهم ثمانين جَلدة و لا تقبلوا لهم شهادةً أبدًا </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 مفهومه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أتوا بأربعة شهداء تقبل شهادتهم، و هو المطلوب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ما لو قذف و لم يقم البيّنة، لكنّ المقذوف صدّقه على ذلک، لأنّ إقرار المقذوف أولى من إقامة البيّنة، فثبوت الحكم لمقيم البيّنة يدلّ على ثبوته هنا بطريق أولى </w:t>
      </w:r>
      <w:r>
        <w:rPr>
          <w:rFonts w:eastAsia="IRNazanin" w:cs="IRNazanin"/>
          <w:color w:val="111111"/>
          <w:sz w:val="28"/>
          <w:szCs w:val="28"/>
          <w:rtl w:val="true"/>
          <w:lang w:bidi="fa-IR"/>
        </w:rPr>
        <w:t xml:space="preserve">. </w:t>
      </w:r>
      <w:bookmarkStart w:id="211" w:name="pg14719_186599"/>
    </w:p>
    <w:p>
      <w:pPr>
        <w:pStyle w:val="BookText"/>
        <w:rPr/>
      </w:pPr>
      <w:bookmarkEnd w:id="211"/>
      <w:r>
        <w:rPr>
          <w:rFonts w:ascii="IRNazanin" w:hAnsi="IRNazanin" w:eastAsia="IRNazanin"/>
          <w:color w:val="111111"/>
          <w:sz w:val="28"/>
          <w:sz w:val="28"/>
          <w:szCs w:val="28"/>
          <w:rtl w:val="true"/>
          <w:lang w:bidi="fa-IR"/>
        </w:rPr>
        <w:t xml:space="preserve">و أمّا لو قذف و لم يقم البيّنة، لكن صدّقه أحد المقذوفين من الرجل أو المرأة وكذّبه الآخر كذلک، فينبغي أن لا تسمع شهادته أيضًا، لأنّه قاذفٌ من غير بيّنة، و لا إقرار المقذوف بالنسبة إلى المكذّب، فلا تقبل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شهادة القاذف بعد التوبة غير متوقّف على إقامة الحدّ عليه، فتقبل و لو قبل الحدّ، لأنّ في النصوص و الآية قد علّق قبول الشهادة بالتوبة، فلو كان متوقّفًا على إقامة الحدّ ينبغي أن يذكر أيضًا ؛ و عدم الذكر دليلٌ على العدم، قال في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تاب القاذف قبلت شهادته، سواء حدّ أو لم يحدّ، عند </w:t>
      </w:r>
      <w:r>
        <w:rPr>
          <w:rStyle w:val="FootnoteAnchor"/>
          <w:rtl w:val="true"/>
        </w:rPr>
        <w:footnoteReference w:id="512"/>
      </w:r>
      <w:r>
        <w:rPr>
          <w:rFonts w:ascii="Amiri" w:hAnsi="Amiri" w:eastAsia="Amiri" w:cs="Amiri"/>
          <w:color w:val="111111"/>
          <w:sz w:val="28"/>
          <w:sz w:val="28"/>
          <w:szCs w:val="28"/>
          <w:rtl w:val="true"/>
          <w:lang w:bidi="ar-SA"/>
        </w:rPr>
        <w:t xml:space="preserve">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عبّاس، و هو مذهب الشافعي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53603_730472459"/>
      <w:bookmarkStart w:id="213" w:name="_Toc80"/>
      <w:bookmarkEnd w:id="212"/>
      <w:r>
        <w:rPr>
          <w:rtl w:val="true"/>
        </w:rPr>
        <w:t>اللّاعب بآلات القمار لا تقبل شهادته</w:t>
      </w:r>
      <w:bookmarkEnd w:id="213"/>
    </w:p>
    <w:p>
      <w:pPr>
        <w:pStyle w:val="Heading2"/>
        <w:numPr>
          <w:ilvl w:val="1"/>
          <w:numId w:val="1"/>
        </w:numPr>
        <w:rPr/>
      </w:pPr>
      <w:bookmarkStart w:id="214" w:name="__RefHeading___Toc553605_730472459"/>
      <w:bookmarkStart w:id="215" w:name="_Toc81"/>
      <w:bookmarkEnd w:id="214"/>
      <w:r>
        <w:rPr/>
        <w:t>6</w:t>
      </w:r>
      <w:r>
        <w:rPr>
          <w:rtl w:val="true"/>
        </w:rPr>
        <w:t xml:space="preserve">- </w:t>
      </w:r>
      <w:r>
        <w:rPr>
          <w:rtl w:val="true"/>
        </w:rPr>
        <w:t>مسألة</w:t>
      </w:r>
      <w:bookmarkEnd w:id="215"/>
    </w:p>
    <w:p>
      <w:pPr>
        <w:pStyle w:val="Heading3"/>
        <w:numPr>
          <w:ilvl w:val="2"/>
          <w:numId w:val="1"/>
        </w:numPr>
        <w:rPr/>
      </w:pPr>
      <w:bookmarkStart w:id="216" w:name="__RefHeading___Toc553607_730472459"/>
      <w:bookmarkStart w:id="217" w:name="_Toc82"/>
      <w:bookmarkEnd w:id="216"/>
      <w:r>
        <w:rPr>
          <w:rtl w:val="true"/>
        </w:rPr>
        <w:t>اشارة</w:t>
      </w:r>
      <w:bookmarkEnd w:id="2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اللّاعب بآلات القمار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كالشطرنج و النرد و الأربعة عشر </w:t>
      </w:r>
      <w:r>
        <w:rPr>
          <w:rStyle w:val="FootnoteAnchor"/>
          <w:rtl w:val="true"/>
        </w:rPr>
        <w:footnoteReference w:id="514"/>
      </w:r>
      <w:r>
        <w:rPr>
          <w:rFonts w:ascii="Amiri" w:hAnsi="Amiri" w:eastAsia="Amiri" w:cs="Amiri"/>
          <w:color w:val="111111"/>
          <w:sz w:val="28"/>
          <w:sz w:val="28"/>
          <w:szCs w:val="28"/>
          <w:rtl w:val="true"/>
          <w:lang w:bidi="ar-SA"/>
        </w:rPr>
        <w:t xml:space="preserve">والخاتم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اللّاعب بأحدها الحذق أو اللهو أو القمار، يردّ شهادته كما في </w:t>
      </w:r>
      <w:bookmarkStart w:id="218" w:name="pg14719_186600"/>
    </w:p>
    <w:p>
      <w:pPr>
        <w:pStyle w:val="BookText"/>
        <w:rPr/>
      </w:pPr>
      <w:bookmarkEnd w:id="218"/>
      <w:r>
        <w:rPr>
          <w:rFonts w:ascii="IRNazanin" w:hAnsi="IRNazanin" w:eastAsia="IRNazanin"/>
          <w:color w:val="111111"/>
          <w:sz w:val="28"/>
          <w:sz w:val="28"/>
          <w:szCs w:val="28"/>
          <w:rtl w:val="true"/>
          <w:lang w:bidi="fa-IR"/>
        </w:rPr>
        <w:t xml:space="preserve">القواعد </w:t>
      </w:r>
      <w:r>
        <w:rPr>
          <w:rStyle w:val="FootnoteAnchor"/>
          <w:rtl w:val="true"/>
        </w:rPr>
        <w:footnoteReference w:id="515"/>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اللّاعب بآلات القمار مطلقًا و لو من غير إصرار يردّ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الاستدلال لذلک بوجوه </w:t>
      </w:r>
      <w:r>
        <w:rPr>
          <w:rFonts w:eastAsia="IRNazanin" w:cs="IRNazanin"/>
          <w:color w:val="111111"/>
          <w:sz w:val="28"/>
          <w:szCs w:val="28"/>
          <w:rtl w:val="true"/>
          <w:lang w:bidi="fa-IR"/>
        </w:rPr>
        <w:t>:</w:t>
      </w:r>
    </w:p>
    <w:p>
      <w:pPr>
        <w:pStyle w:val="Heading3"/>
        <w:numPr>
          <w:ilvl w:val="2"/>
          <w:numId w:val="1"/>
        </w:numPr>
        <w:rPr/>
      </w:pPr>
      <w:bookmarkStart w:id="219" w:name="__RefHeading___Toc553609_730472459"/>
      <w:bookmarkStart w:id="220" w:name="_Toc83"/>
      <w:bookmarkEnd w:id="219"/>
      <w:r>
        <w:rPr>
          <w:rtl w:val="true"/>
        </w:rPr>
        <w:t>الوجه الأوّل</w:t>
      </w:r>
      <w:bookmarkEnd w:id="22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كشف اللثام أنّ فسق اللّاعب بآلات القمار مجمعٌ عليه بيننا، حيث قال بعد قول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واللّاعب بآلات القمار كلّها فاسقٌ عندنا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ثبت فسقه لم تقبل شهادته،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53611_730472459"/>
      <w:bookmarkStart w:id="222" w:name="_Toc84"/>
      <w:bookmarkEnd w:id="221"/>
      <w:r>
        <w:rPr>
          <w:rtl w:val="true"/>
        </w:rPr>
        <w:t>الوجه الثاني</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حمّاد بن عيسى في الحسن أو الصحيح عن أبي الحسن الأوّل،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البصريّين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إنّي أقعد مع قوم يلعبون بالشطرنج و لست ألعب بها و لكن أنظر،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و لمجلس لا ينظر الله إلى أهله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يستفاد من الحديث أنّ اللعب بالشطرنج من الكبيرة، ولا شکّ أنّ فاعل الكبيرة غير مقبول الشهادة، كما مرّت إليه الإشارة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استفادة ذلک من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أنّ اللّاعب بالشطرنج ممّن لاينظر الله إليه ؛ و الظاهر منه أنّ الباعث على ذلک هو اللعب بالشطرنج ؛ و الصغيرة ليست كذلک،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معلوم أنّ مَن لا ينظر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لا يكفّر عنه سيّئاته، و قد عرفت أنّ اللّاعب بالشطرنج كذلک ؛ و مَن لا ينظر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 لا يكفّر عنه سيّئاته يستحقّ النار، فيكون اللّاعب بالشطرنج ممّا أوعد عليه بالنار، و هو ملزوم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ينظر الله إلى أهله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فإذا ثبت الحكم في الشطرنج نقول في غيره، لعدم القول بالفصل ظاهرًا ؛ على أنّه يمكن أن يقال في خصوص 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الحكم في الشطرنج يدلّ على ثبوته في النرد بطريق أولى، لما ورد في بعض الأخبار </w:t>
      </w:r>
      <w:r>
        <w:rPr>
          <w:rStyle w:val="FootnoteAnchor"/>
          <w:rtl w:val="true"/>
        </w:rPr>
        <w:footnoteReference w:id="520"/>
      </w:r>
      <w:r>
        <w:rPr>
          <w:rFonts w:ascii="Amiri" w:hAnsi="Amiri" w:eastAsia="Amiri" w:cs="Amiri"/>
          <w:color w:val="111111"/>
          <w:sz w:val="28"/>
          <w:sz w:val="28"/>
          <w:szCs w:val="28"/>
          <w:rtl w:val="true"/>
          <w:lang w:bidi="ar-SA"/>
        </w:rPr>
        <w:t xml:space="preserve">بأنّه أشدّ من الشطرنج وأنّ اللّاعب به كمثل الّذي يأكل لحم الخنزير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على فرض تسليم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ورد في حقّ </w:t>
      </w:r>
      <w:bookmarkStart w:id="223" w:name="pg14719_186602"/>
    </w:p>
    <w:p>
      <w:pPr>
        <w:pStyle w:val="BookText"/>
        <w:rPr/>
      </w:pPr>
      <w:bookmarkEnd w:id="223"/>
      <w:r>
        <w:rPr>
          <w:rFonts w:ascii="Amiri" w:hAnsi="Amiri" w:eastAsia="Amiri" w:cs="Amiri"/>
          <w:color w:val="111111"/>
          <w:sz w:val="28"/>
          <w:sz w:val="28"/>
          <w:szCs w:val="28"/>
          <w:rtl w:val="true"/>
          <w:lang w:bidi="ar-SA"/>
        </w:rPr>
        <w:t xml:space="preserve">اللّاعب بالشطرنج بعنوان الإصرار عليه،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فعل المضارع للاستمرار، إلّا أنّ الظاهر من كتب الاستدلاليّة جعله من قبيل المطلقات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53613_730472459"/>
      <w:bookmarkStart w:id="225" w:name="_Toc85"/>
      <w:bookmarkEnd w:id="224"/>
      <w:r>
        <w:rPr>
          <w:rtl w:val="true"/>
        </w:rPr>
        <w:t>الوجه الثالث</w:t>
      </w:r>
      <w:bookmarkEnd w:id="225"/>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صريحًا على عدم قبول شهادة هؤلاء الأذلّة،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لاتقبل شهادة شارب الخمر و لا شهادة اللّاعب بالشطرنج و النرد، و لا شهادة المقامر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مرويّ في الفقيه مرسلاً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في الفقيه باسناده عن علا </w:t>
      </w:r>
      <w:r>
        <w:rPr>
          <w:rStyle w:val="FootnoteAnchor"/>
          <w:rtl w:val="true"/>
        </w:rPr>
        <w:footnoteReference w:id="522"/>
      </w:r>
      <w:r>
        <w:rPr>
          <w:rFonts w:ascii="Amiri" w:hAnsi="Amiri" w:eastAsia="Amiri" w:cs="Amiri"/>
          <w:color w:val="111111"/>
          <w:sz w:val="28"/>
          <w:sz w:val="28"/>
          <w:szCs w:val="28"/>
          <w:rtl w:val="true"/>
          <w:lang w:bidi="ar-SA"/>
        </w:rPr>
        <w:t xml:space="preserve">بن سيابة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صاحب النرد، و الأربعة عشر، و صاحب الشاهَيْن،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 بلى والله، مات والله شاهه، و قتل والله شاهه،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شاهه ما مات و لا قتل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الشاهَيْن 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و هو من آلات الشطرنج، و هما اثنان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مجهولاً، لكنّ الراوي </w:t>
      </w:r>
      <w:bookmarkStart w:id="226" w:name="pg14719_186603"/>
    </w:p>
    <w:p>
      <w:pPr>
        <w:pStyle w:val="BookText"/>
        <w:rPr/>
      </w:pPr>
      <w:bookmarkEnd w:id="226"/>
      <w:r>
        <w:rPr>
          <w:rFonts w:ascii="Amiri" w:hAnsi="Amiri" w:eastAsia="Amiri" w:cs="Amiri"/>
          <w:color w:val="111111"/>
          <w:sz w:val="28"/>
          <w:sz w:val="28"/>
          <w:szCs w:val="28"/>
          <w:rtl w:val="true"/>
          <w:lang w:bidi="ar-SA"/>
        </w:rPr>
        <w:t xml:space="preserve">عنه أبان بن عثمان، و سند الحديث إليه صحيح، و هو ممّن أجمعت العصابة على تصحيح ما يصحّ عنه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بالإصرار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53615_730472459"/>
      <w:bookmarkStart w:id="228" w:name="_Toc86"/>
      <w:bookmarkEnd w:id="227"/>
      <w:r>
        <w:rPr>
          <w:rtl w:val="true"/>
        </w:rPr>
        <w:t>الوجه الرابع</w:t>
      </w:r>
      <w:bookmarkEnd w:id="228"/>
    </w:p>
    <w:p>
      <w:p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ممّا كتبه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المأمون، حيث عدّ في جملة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و فسّره بالقمار، و عدّ من جملتها الاشتغال بالملاهي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كون جميع أقسام القمار من الملاهي ممّا لا ريب فيه، فدلّت الرواية على كون اللّاعب بآلات القمار غير مقبول الشهادة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انّه لا شکّ في أنّ الاشتغال بجميعها اشتغال بالملاهي، و قد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الكبائر، و قد عرفت أنّ العادل من اجتنب عن الكبائر، فاللّاعب غير عادل، فلا تقبل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جملة الكبائر أيضًا الميسر و فسّره بالقمار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هذه الرواية على كون اللّاعب غير عادل واضحة، لكنّ الكلام </w:t>
      </w:r>
    </w:p>
    <w:p>
      <w:pPr>
        <w:pStyle w:val="BookText"/>
        <w:rPr/>
      </w:pPr>
      <w:r>
        <w:rPr>
          <w:rFonts w:ascii="Amiri" w:hAnsi="Amiri" w:eastAsia="Amiri" w:cs="Amiri"/>
          <w:color w:val="111111"/>
          <w:sz w:val="28"/>
          <w:sz w:val="28"/>
          <w:szCs w:val="28"/>
          <w:rtl w:val="true"/>
          <w:lang w:bidi="ar-SA"/>
        </w:rPr>
        <w:t xml:space="preserve">في اعتبار أصل الرواية،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إن كانت غير مرويّة في الكتب الأربعة، إلّا أنّها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رويت في عيون أخبار الرضا بأسانيد متعدّدة لا تخلو </w:t>
      </w:r>
      <w:r>
        <w:rPr>
          <w:rStyle w:val="FootnoteAnchor"/>
          <w:rtl w:val="true"/>
        </w:rPr>
        <w:footnoteReference w:id="526"/>
      </w:r>
      <w:r>
        <w:rPr>
          <w:rFonts w:ascii="IRNazanin" w:hAnsi="IRNazanin" w:eastAsia="IRNazanin"/>
          <w:color w:val="111111"/>
          <w:sz w:val="28"/>
          <w:sz w:val="28"/>
          <w:szCs w:val="28"/>
          <w:rtl w:val="true"/>
          <w:lang w:bidi="fa-IR"/>
        </w:rPr>
        <w:t xml:space="preserve">عن اعتبار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أنّا لو سلّمنا ضعفها من حيث السند،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ظاهر كشف اللثام </w:t>
      </w:r>
      <w:r>
        <w:rPr>
          <w:rStyle w:val="FootnoteAnchor"/>
          <w:rtl w:val="true"/>
        </w:rPr>
        <w:footnoteReference w:id="528"/>
      </w:r>
      <w:r>
        <w:rPr>
          <w:rFonts w:ascii="IRNazanin" w:hAnsi="IRNazanin" w:eastAsia="IRNazanin"/>
          <w:color w:val="111111"/>
          <w:sz w:val="28"/>
          <w:sz w:val="28"/>
          <w:szCs w:val="28"/>
          <w:rtl w:val="true"/>
          <w:lang w:bidi="fa-IR"/>
        </w:rPr>
        <w:t xml:space="preserve">أنّ فسق اللّاعب بآلات القمار متّفقٌ عليه بيننا، فينجبر ضعفها لو سلّم بذلک كغيرها من الأدلّة في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الاستدلال لذلک أيضًا بالنصوص الدالّة على أنّ الشطرنج و النرد من الميسر، أو أنّ الميسر هو القمار،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الشطرنج و النرد هما الميسر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جندب مرسلاً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ميسر و النرد ميسر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531"/>
      </w:r>
      <w:r>
        <w:rPr>
          <w:rFonts w:ascii="Amiri" w:hAnsi="Amiri" w:eastAsia="Amiri" w:cs="Amiri"/>
          <w:color w:val="111111"/>
          <w:sz w:val="28"/>
          <w:sz w:val="28"/>
          <w:szCs w:val="28"/>
          <w:rtl w:val="true"/>
          <w:lang w:bidi="ar-SA"/>
        </w:rPr>
        <w:t xml:space="preserve">المرويّ في الكافي 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و الشطرنج و الأربعة عشر بمنزلة واحدة، و كلّ ما قومر عليه فهو </w:t>
      </w:r>
    </w:p>
    <w:p>
      <w:pPr>
        <w:pStyle w:val="BookText"/>
        <w:rPr/>
      </w:pPr>
      <w:r>
        <w:rPr>
          <w:rFonts w:ascii="Amiri" w:hAnsi="Amiri" w:eastAsia="Amiri" w:cs="Amiri"/>
          <w:color w:val="111111"/>
          <w:sz w:val="28"/>
          <w:sz w:val="28"/>
          <w:szCs w:val="28"/>
          <w:rtl w:val="true"/>
          <w:lang w:bidi="ar-SA"/>
        </w:rPr>
        <w:t>ميسر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الميسر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به </w:t>
      </w:r>
      <w:r>
        <w:rPr>
          <w:rStyle w:val="FootnoteAnchor"/>
          <w:rtl w:val="true"/>
        </w:rPr>
        <w:footnoteReference w:id="534"/>
      </w:r>
      <w:r>
        <w:rPr>
          <w:rFonts w:ascii="Amiri" w:hAnsi="Amiri" w:eastAsia="Amiri" w:cs="Amiri"/>
          <w:color w:val="111111"/>
          <w:sz w:val="28"/>
          <w:sz w:val="28"/>
          <w:szCs w:val="28"/>
          <w:rtl w:val="true"/>
          <w:lang w:bidi="ar-SA"/>
        </w:rPr>
        <w:t xml:space="preserve">حتّى الكعاب و الجوز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الميسر من الكبائر، لما عرفت من عدّه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و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يسألونک عن الخمر و الميسر قُل فيهما إثمٌ كبيرٌ </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الميسر كبيرًا كإثم الخمر، فيكون من الكبائر كالخمر ؛ و يؤيّد ذلک ذكرهما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في الكتاب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علمت أنّ الميسر من الكبائر،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الميسر في النصوص المذكورة الّتي منها الصحيح بما يقمر به مثلاً، فيكون القمار من الكبائر، فمشتغله مشتغلٌ بالكبيرة، فيكون غير عادل، فلا تقبل شهادته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 السند في جملة من النصوص غير مضرّ بعد كون بعضها صحيحًا كما </w:t>
      </w:r>
    </w:p>
    <w:p>
      <w:pPr>
        <w:pStyle w:val="BookText"/>
        <w:rPr/>
      </w:pPr>
      <w:r>
        <w:rPr>
          <w:rFonts w:ascii="Amiri" w:hAnsi="Amiri" w:eastAsia="Amiri" w:cs="Amiri"/>
          <w:color w:val="111111"/>
          <w:sz w:val="28"/>
          <w:sz w:val="28"/>
          <w:szCs w:val="28"/>
          <w:rtl w:val="true"/>
          <w:lang w:bidi="ar-SA"/>
        </w:rPr>
        <w:t xml:space="preserve">عرفت ؛ على أنّ ضعف السند غير مضرّ بعد ما عرفت دعوى الإجماع من ظاهر كشف اللثام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يظهر لک بعد اطّلاعک بما حرّرناه في المسألة ضعف ما ذهب إليه في المسالک وإن استحسنه في الكفاية، حيث قال في الأوّل بعد ذكر ما يدلّ على النهي عن الشطرنج و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النهي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آلات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الصغائر، فلا يقدح في العدالة إلّا مع الإصرار عليها، إنتهى كلامه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في بعض الأخبار التوعيد بالنار في اللعب بالشطرنج،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عمرو </w:t>
      </w:r>
      <w:r>
        <w:rPr>
          <w:rStyle w:val="FootnoteAnchor"/>
          <w:rtl w:val="true"/>
        </w:rPr>
        <w:footnoteReference w:id="540"/>
      </w:r>
      <w:r>
        <w:rPr>
          <w:rFonts w:ascii="Amiri" w:hAnsi="Amiri" w:eastAsia="Amiri" w:cs="Amiri"/>
          <w:color w:val="111111"/>
          <w:sz w:val="28"/>
          <w:sz w:val="28"/>
          <w:szCs w:val="28"/>
          <w:rtl w:val="true"/>
          <w:lang w:bidi="ar-SA"/>
        </w:rPr>
        <w:t xml:space="preserve">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كلّ ليلة من شهر رمضان عتقاء من النار، إلّا مَن أفطر على مسكر أو مشاحن أو صاحب شاهين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صاحب شاهين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الكلام في شاهَين، المشاحن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المعادي، و 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 المراد به هاهنا صاحب البدعة المفارق للجماعة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الخبر و إن لم يكن مضمونه صريحًا على أنّه مَن لعب بالشطرنج أدخله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بسبب ذلک، إلّا أنّ حاصل مضمون الخبر ذلک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في الفقيه مرسلاً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شرب الخمر و ما جاء في الغناء والملاهي،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 الشطرنج،</w:t>
      </w:r>
    </w:p>
    <w:p>
      <w:pPr>
        <w:pStyle w:val="BookText"/>
        <w:rPr/>
      </w:pPr>
      <w:r>
        <w:rPr>
          <w:rFonts w:ascii="IRNazanin" w:hAnsi="IRNazanin" w:eastAsia="IRNazanin"/>
          <w:color w:val="111111"/>
          <w:sz w:val="28"/>
          <w:sz w:val="28"/>
          <w:szCs w:val="28"/>
          <w:rtl w:val="true"/>
          <w:lang w:bidi="fa-IR"/>
        </w:rPr>
        <w:t xml:space="preserve">و قول الزور الغناء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النرد أشدّ من الشطرنج، فأمّا الشطرنج فإنّ اتّخاذها كفر، واللعب بها شرک، و تعليمها كبيرة موبقة، و السلام على اللاهي بها معصية، و مقلّبها كمقلّب لحم الخنزير، و الناظر إليها كالناظر إلى فرج أمّه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اللّاعب بالنرد قمارًا مثله كمثل </w:t>
      </w:r>
      <w:r>
        <w:rPr>
          <w:rStyle w:val="FootnoteAnchor"/>
          <w:rtl w:val="true"/>
        </w:rPr>
        <w:footnoteReference w:id="545"/>
      </w:r>
      <w:r>
        <w:rPr>
          <w:rFonts w:ascii="Amiri" w:hAnsi="Amiri" w:eastAsia="Amiri" w:cs="Amiri"/>
          <w:color w:val="111111"/>
          <w:sz w:val="28"/>
          <w:sz w:val="28"/>
          <w:szCs w:val="28"/>
          <w:rtl w:val="true"/>
          <w:lang w:bidi="ar-SA"/>
        </w:rPr>
        <w:t xml:space="preserve">مَن يأكل لحم الخنزير، و مثل الّذي يلعب بها من غير قمار مثل مَن يضع يده في لحم الخنزير أو في دمه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229" w:name="pg14719_186608"/>
    </w:p>
    <w:p>
      <w:pPr>
        <w:pStyle w:val="BookText"/>
        <w:rPr/>
      </w:pPr>
      <w:bookmarkEnd w:id="229"/>
      <w:r>
        <w:rPr>
          <w:rFonts w:ascii="Amiri" w:hAnsi="Amiri" w:eastAsia="Amiri" w:cs="Amiri"/>
          <w:color w:val="111111"/>
          <w:sz w:val="28"/>
          <w:sz w:val="28"/>
          <w:szCs w:val="28"/>
          <w:rtl w:val="true"/>
          <w:lang w:bidi="ar-SA"/>
        </w:rPr>
        <w:t xml:space="preserve">و قال بعض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النرد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كلام الصدوق، لا من تتمّة الحديث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سأل عن الرجس من الأوثان و قول الزور، فيكون كلامه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سؤاله إلى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الزور الغناء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لا يصير سببًا لذلک، لاحتمال أن يكون بيان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باب التفضّل و التبرّع، أو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بابتلائه عن هذه المعصية، فأراد أن يخبره بفساده، أو لغير ذلک من الاحتمالات المتصوّرة في مثل المقام </w:t>
      </w:r>
      <w:r>
        <w:rPr>
          <w:rFonts w:eastAsia="IRNazanin" w:cs="IRNazanin"/>
          <w:color w:val="111111"/>
          <w:sz w:val="28"/>
          <w:szCs w:val="28"/>
          <w:rtl w:val="true"/>
          <w:lang w:bidi="fa-IR"/>
        </w:rPr>
        <w:t>.</w:t>
      </w:r>
    </w:p>
    <w:p>
      <w:pPr>
        <w:pStyle w:val="Heading3"/>
        <w:numPr>
          <w:ilvl w:val="2"/>
          <w:numId w:val="1"/>
        </w:numPr>
        <w:rPr/>
      </w:pPr>
      <w:bookmarkStart w:id="230" w:name="__RefHeading___Toc553617_730472459"/>
      <w:bookmarkStart w:id="231" w:name="_Toc87"/>
      <w:bookmarkEnd w:id="230"/>
      <w:r>
        <w:rPr>
          <w:rtl w:val="true"/>
        </w:rPr>
        <w:t>الكلام في الغناء و حكمه</w:t>
      </w:r>
      <w:bookmarkEnd w:id="231"/>
    </w:p>
    <w:p>
      <w:pPr>
        <w:pStyle w:val="Heading2"/>
        <w:numPr>
          <w:ilvl w:val="1"/>
          <w:numId w:val="1"/>
        </w:numPr>
        <w:rPr/>
      </w:pPr>
      <w:bookmarkStart w:id="232" w:name="__RefHeading___Toc553619_730472459"/>
      <w:bookmarkStart w:id="233" w:name="_Toc88"/>
      <w:bookmarkEnd w:id="232"/>
      <w:r>
        <w:rPr/>
        <w:t>7</w:t>
      </w:r>
      <w:r>
        <w:rPr>
          <w:rtl w:val="true"/>
        </w:rPr>
        <w:t xml:space="preserve">- </w:t>
      </w:r>
      <w:r>
        <w:rPr>
          <w:rtl w:val="true"/>
        </w:rPr>
        <w:t>مسألة</w:t>
      </w:r>
      <w:bookmarkEnd w:id="233"/>
    </w:p>
    <w:p>
      <w:pPr>
        <w:pStyle w:val="Heading3"/>
        <w:numPr>
          <w:ilvl w:val="2"/>
          <w:numId w:val="1"/>
        </w:numPr>
        <w:rPr/>
      </w:pPr>
      <w:bookmarkStart w:id="234" w:name="__RefHeading___Toc553621_730472459"/>
      <w:bookmarkStart w:id="235" w:name="_Toc89"/>
      <w:bookmarkEnd w:id="234"/>
      <w:r>
        <w:rPr>
          <w:rtl w:val="true"/>
        </w:rPr>
        <w:t>اشارة</w:t>
      </w:r>
      <w:bookmarkEnd w:id="2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يقدح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 و الكلام يقع فيه من 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وماهيّته،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هو حرامٌ مطلقًا، أو في الجملة ؟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الكبائر </w:t>
      </w:r>
      <w:r>
        <w:rPr>
          <w:rFonts w:eastAsia="Amiri" w:cs="Amiri" w:ascii="Amiri" w:hAnsi="Amiri"/>
          <w:color w:val="111111"/>
          <w:sz w:val="28"/>
          <w:szCs w:val="28"/>
          <w:rtl w:val="true"/>
          <w:lang w:bidi="ar-SA"/>
        </w:rPr>
        <w:t xml:space="preserve">. </w:t>
      </w:r>
      <w:bookmarkStart w:id="236" w:name="pg14719_186609"/>
    </w:p>
    <w:p>
      <w:pPr>
        <w:pStyle w:val="Heading3"/>
        <w:numPr>
          <w:ilvl w:val="2"/>
          <w:numId w:val="1"/>
        </w:numPr>
        <w:rPr/>
      </w:pPr>
      <w:bookmarkStart w:id="237" w:name="__RefHeading___Toc553623_730472459"/>
      <w:bookmarkStart w:id="238" w:name="_Toc90"/>
      <w:bookmarkEnd w:id="236"/>
      <w:bookmarkEnd w:id="237"/>
      <w:r>
        <w:rPr>
          <w:rtl w:val="true"/>
        </w:rPr>
        <w:t>حقيقة الغناء و ماهيّته</w:t>
      </w:r>
      <w:bookmarkEnd w:id="238"/>
    </w:p>
    <w:p>
      <w:pPr>
        <w:pStyle w:val="BookText"/>
        <w:rPr/>
      </w:pPr>
      <w:r>
        <w:rPr>
          <w:rFonts w:ascii="Amiri" w:hAnsi="Amiri" w:eastAsia="Amiri" w:cs="Amiri"/>
          <w:color w:val="111111"/>
          <w:sz w:val="28"/>
          <w:sz w:val="28"/>
          <w:szCs w:val="28"/>
          <w:rtl w:val="true"/>
          <w:lang w:bidi="ar-SA"/>
        </w:rPr>
        <w:t xml:space="preserve">أمّا الأوّل،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أكثر اللغويّين أنّه ترجيع الصوت الّذي يحصل بسببه طربٌ للسامع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الترجيع عبارةٌ عن تحريک الصوت و تكريره في الحلقوم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تعرض للإنسان بسبب الفرح أو الحزن، قال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تصيب الإنسان لشدّة حزن أو سرور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الطرب،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 السرور </w:t>
      </w:r>
      <w:r>
        <w:rPr>
          <w:rStyle w:val="FootnoteAnchor"/>
          <w:rtl w:val="true"/>
        </w:rPr>
        <w:footnoteReference w:id="551"/>
      </w:r>
      <w:r>
        <w:rPr>
          <w:rFonts w:ascii="IRNazanin" w:hAnsi="IRNazanin" w:eastAsia="IRNazanin"/>
          <w:color w:val="111111"/>
          <w:sz w:val="28"/>
          <w:sz w:val="28"/>
          <w:szCs w:val="28"/>
          <w:rtl w:val="true"/>
          <w:lang w:bidi="fa-IR"/>
        </w:rPr>
        <w:t xml:space="preserve">، أو خفّة تلحقک، تسرّک أو تحزنک، وتخصيصه بالفرح وَهَم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الطَرَب، بالتحريک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تعتري الإنسان لشدّة حزن أو سرور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عبارة عن ترجيع الصوت و إن لم يطرب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العلّامة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ترجيع الصوت و مدّه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ادّعى بعض عدم تحقّق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تحقيق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المعتبر من حصول الطرب من الصوت المشتمل على الترجيع حصوله لكلّ أحد، أو في كلّ وقت، إذ ربّما لا يحصل الطرب لواحد أبدًا، فيلزم أن لا يتحقّق الغناء بالنسبة إليه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ربّما يختلف الحال بالنسبة إلى شخص واحد، فيحصل له الطرب من الصوت المشتمل على الترجيع بالنسبة إلى وقت دون آخر، أو حال دون أخرى، فيلزم أن يختلف أمر الغناء بالنسبة إليه باختلاف الأوقات و الأحوال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الأمر كذلک قطعًا، بل المعتبر أن يكون ذلک الصوت المشتمل على الترجيع ممّا يطرب و لو بالنسبة إلى بعضٍ دون آخر، و وقتٍ دون آخر، و حالٍ دون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أن يكون نوع الصوت ممّا يطرب، فيتحقّق الغناء مطلقًا و لو لم يحصل الطرب بالنسبة إلى جميع الأشخاص و الأحوال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يتحقّق الصوت المشتمل على الترجيع من غير حصول الطرب مطلقًا و لو لواحد، كما إذا صدر ذلک من ردي الصوت بحيث لا تقبل النفس من استماعه، </w:t>
      </w:r>
      <w:bookmarkStart w:id="239" w:name="pg14719_186611"/>
    </w:p>
    <w:p>
      <w:pPr>
        <w:pStyle w:val="BookText"/>
        <w:rPr/>
      </w:pPr>
      <w:bookmarkEnd w:id="239"/>
      <w:r>
        <w:rPr>
          <w:rFonts w:ascii="Amiri" w:hAnsi="Amiri" w:eastAsia="Amiri" w:cs="Amiri"/>
          <w:color w:val="111111"/>
          <w:sz w:val="28"/>
          <w:sz w:val="28"/>
          <w:szCs w:val="28"/>
          <w:rtl w:val="true"/>
          <w:lang w:bidi="ar-SA"/>
        </w:rPr>
        <w:t xml:space="preserve">بل ربّما تشمأزّ منه، فحينئذٍ تحقّق الصوت المشتمل على الترجيع من غير حصول الطرب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مظهر الثمرة بين القولين، لأنّ هذا الصوت بالنسبة إلى التعريف الأوّل ليس بغناء، بخلافه بالنسبة إلى التعريف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كان الصوت مشتملاً على ترجيع، لكن لم يبلغ إلى حدّ يحصل منه الطرب، إذ الحاصل أوّلاً هو الترجيع، ثمّ الطرب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حكي عن بعض اعتبار الطرب فقط، و هو الظاهر من كلام صاحب القاموس،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الغناء من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طرّب به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قد عرفت الاختلاف في تفسيره،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مثل المقام الرجوع إلى العرف، لأنّه الحَكَم فيما لم يرد له من الشرع 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في أنّ المشتمل للوصفين داخلٌ جزمًا في معناه العرفيّ، لكنّ الكلام في غيره هل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غناء أيضًا، أم لا ؟ فإن قالوا فهو، و إلّا فلا </w:t>
      </w:r>
      <w:r>
        <w:rPr>
          <w:rFonts w:eastAsia="IRNazanin" w:cs="IRNazanin"/>
          <w:color w:val="111111"/>
          <w:sz w:val="28"/>
          <w:szCs w:val="28"/>
          <w:rtl w:val="true"/>
          <w:lang w:bidi="fa-IR"/>
        </w:rPr>
        <w:t>.</w:t>
      </w:r>
    </w:p>
    <w:p>
      <w:pPr>
        <w:pStyle w:val="Heading3"/>
        <w:numPr>
          <w:ilvl w:val="2"/>
          <w:numId w:val="1"/>
        </w:numPr>
        <w:rPr/>
      </w:pPr>
      <w:bookmarkStart w:id="240" w:name="__RefHeading___Toc553625_730472459"/>
      <w:bookmarkStart w:id="241" w:name="_Toc91"/>
      <w:bookmarkEnd w:id="240"/>
      <w:r>
        <w:rPr>
          <w:rtl w:val="true"/>
        </w:rPr>
        <w:t>حكم الغناء</w:t>
      </w:r>
      <w:bookmarkEnd w:id="2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حكمه،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 نقل الإجماع على حرمته ؛ و ممّن </w:t>
      </w:r>
      <w:bookmarkStart w:id="242" w:name="pg14719_186612"/>
    </w:p>
    <w:p>
      <w:pPr>
        <w:pStyle w:val="BookText"/>
        <w:rPr/>
      </w:pPr>
      <w:bookmarkEnd w:id="242"/>
      <w:r>
        <w:rPr>
          <w:rFonts w:ascii="Amiri" w:hAnsi="Amiri" w:eastAsia="Amiri" w:cs="Amiri"/>
          <w:color w:val="111111"/>
          <w:sz w:val="28"/>
          <w:sz w:val="28"/>
          <w:szCs w:val="28"/>
          <w:rtl w:val="true"/>
          <w:lang w:bidi="ar-SA"/>
        </w:rPr>
        <w:t xml:space="preserve">ادّعى الإجماع عليها شيخُ الطائفة و ابن إدريس و العلّامة و غيرهم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53627_730472459"/>
      <w:bookmarkStart w:id="244" w:name="_Toc92"/>
      <w:bookmarkEnd w:id="243"/>
      <w:r>
        <w:rPr>
          <w:rtl w:val="true"/>
        </w:rPr>
        <w:t>النصوص الدالّة على تحريم الغناء مطلقًا</w:t>
      </w:r>
      <w:bookmarkEnd w:id="244"/>
    </w:p>
    <w:p>
      <w:pPr>
        <w:pStyle w:val="BookText"/>
        <w:rPr/>
      </w:pPr>
      <w:r>
        <w:rPr>
          <w:rFonts w:ascii="IRNazanin" w:hAnsi="IRNazanin" w:eastAsia="IRNazanin"/>
          <w:color w:val="111111"/>
          <w:sz w:val="28"/>
          <w:sz w:val="28"/>
          <w:szCs w:val="28"/>
          <w:rtl w:val="true"/>
          <w:lang w:bidi="fa-IR"/>
        </w:rPr>
        <w:t xml:space="preserve">و النصوص بذلک مستفيضة،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نصر بن قابوس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المغنّية ملعونة، ملعونٌ مَن أكل كسبها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سأله رجل عن بيع الجواري المغنِّيات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شراؤهنّ و بيعهنّ حرام، و تعليمهنّ كفر، و استماعهنّ نفاق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 تقديم المثنّاة التحتانيّة على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المغنيّات ؛ و المعنى واحد، لأنّ القينة الأمةُ المغنّية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إبراهيم بن أبي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إسحاق بن عُمَر عند وفاته بجوارٍ له مُغنّيات أن يبعن </w:t>
      </w:r>
      <w:r>
        <w:rPr>
          <w:rStyle w:val="FootnoteAnchor"/>
          <w:rtl w:val="true"/>
        </w:rPr>
        <w:footnoteReference w:id="561"/>
      </w:r>
      <w:r>
        <w:rPr>
          <w:rFonts w:ascii="Amiri" w:hAnsi="Amiri" w:eastAsia="Amiri" w:cs="Amiri"/>
          <w:color w:val="111111"/>
          <w:sz w:val="28"/>
          <w:sz w:val="28"/>
          <w:szCs w:val="28"/>
          <w:rtl w:val="true"/>
          <w:lang w:bidi="ar-SA"/>
        </w:rPr>
        <w:t xml:space="preserve">، و يحمل </w:t>
      </w:r>
      <w:r>
        <w:rPr>
          <w:rStyle w:val="FootnoteAnchor"/>
          <w:rtl w:val="true"/>
        </w:rPr>
        <w:footnoteReference w:id="562"/>
      </w:r>
      <w:r>
        <w:rPr>
          <w:rFonts w:ascii="IRNazanin" w:hAnsi="IRNazanin" w:eastAsia="IRNazanin"/>
          <w:color w:val="111111"/>
          <w:sz w:val="28"/>
          <w:sz w:val="28"/>
          <w:szCs w:val="28"/>
          <w:rtl w:val="true"/>
          <w:lang w:bidi="fa-IR"/>
        </w:rPr>
        <w:t xml:space="preserve">ثمنهنّ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 الجواري بثلاثمائة ألف درهم، و حَمَلتُ الثمن إليه،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مولًى لک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 أوصى </w:t>
      </w:r>
      <w:r>
        <w:rPr>
          <w:rStyle w:val="FootnoteAnchor"/>
          <w:rtl w:val="true"/>
        </w:rPr>
        <w:footnoteReference w:id="563"/>
      </w:r>
      <w:r>
        <w:rPr>
          <w:rFonts w:ascii="IRNazanin" w:hAnsi="IRNazanin" w:eastAsia="IRNazanin"/>
          <w:color w:val="111111"/>
          <w:sz w:val="28"/>
          <w:sz w:val="28"/>
          <w:szCs w:val="28"/>
          <w:rtl w:val="true"/>
          <w:lang w:bidi="fa-IR"/>
        </w:rPr>
        <w:t xml:space="preserve">عند موته ببيع جوارٍ له مغنّيات و حمل الثمن إليک، و قد بعتهنّ، و هذا الثمن ثلاثمائة ألف 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إنّ هذا سحتٌ، و تعليمهنّ كفر، و الاستماع منهنّ نفاق، و ثمنهنّ سحت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سأله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الغناء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حمّاد عن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المدينة، فأتينا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نزلتم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فلان صاحب القيان،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كرامًا، فوالله ما علمنا ما أراد به و ظَنَنَّا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تفضّلوا عليه، فعُدنا إليه،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ندري و ما أردت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كرامًا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Style w:val="FootnoteAnchor"/>
          <w:rtl w:val="true"/>
        </w:rPr>
        <w:footnoteReference w:id="56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القينة، و هي الأمة المغنّية،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إنّني أدخل كنيفًا لي و لي جيران عندهم جوارٍ يتغنّين و يضربن بالعُود، فربّما أطلت الجلوس استماعًا منّي لهنّ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آتيهنّ، إنّما هو سَماع أسمعه بأُذُني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أما سمعت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السمع و البصر و الفؤاد كلُّ أولئک كان عنه مَسئُولاً </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لكأنّي لم أسمع بهذه الآية من كتاب الله من أعجميّ و لا عربيّ، لا جرم أنّني لا أعود إن شاء الله و أنّي لأستغفر الله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فاغتسل و صلّ </w:t>
      </w:r>
      <w:r>
        <w:rPr>
          <w:rStyle w:val="FootnoteAnchor"/>
          <w:rtl w:val="true"/>
        </w:rPr>
        <w:footnoteReference w:id="571"/>
      </w:r>
      <w:r>
        <w:rPr>
          <w:rFonts w:ascii="IRNazanin" w:hAnsi="IRNazanin" w:eastAsia="IRNazanin"/>
          <w:color w:val="111111"/>
          <w:sz w:val="28"/>
          <w:sz w:val="28"/>
          <w:szCs w:val="28"/>
          <w:rtl w:val="true"/>
          <w:lang w:bidi="fa-IR"/>
        </w:rPr>
        <w:t xml:space="preserve">ما بدا لک، فإنّک كنت مقيمًا على أمر عظيم ما كان أسوأ حالک لو مِتّ على ذلک، احمد الله و سَلْه التوبة من كلّ ما يكره، فإنّه لايكره إلّا قبيح </w:t>
      </w:r>
      <w:r>
        <w:rPr>
          <w:rStyle w:val="FootnoteAnchor"/>
          <w:rtl w:val="true"/>
        </w:rPr>
        <w:footnoteReference w:id="572"/>
      </w:r>
      <w:r>
        <w:rPr>
          <w:rFonts w:ascii="Amiri" w:hAnsi="Amiri" w:eastAsia="Amiri" w:cs="Amiri"/>
          <w:color w:val="111111"/>
          <w:sz w:val="28"/>
          <w:sz w:val="28"/>
          <w:szCs w:val="28"/>
          <w:rtl w:val="true"/>
          <w:lang w:bidi="ar-SA"/>
        </w:rPr>
        <w:t xml:space="preserve">، و القبيح دعه لأهله، فإنّ لكلٍّ أهلاً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الغناء لايُؤمن </w:t>
      </w:r>
      <w:r>
        <w:rPr>
          <w:rStyle w:val="FootnoteAnchor"/>
          <w:rtl w:val="true"/>
        </w:rPr>
        <w:footnoteReference w:id="574"/>
      </w:r>
      <w:r>
        <w:rPr>
          <w:rFonts w:ascii="IRNazanin" w:hAnsi="IRNazanin" w:eastAsia="IRNazanin"/>
          <w:color w:val="111111"/>
          <w:sz w:val="28"/>
          <w:sz w:val="28"/>
          <w:szCs w:val="28"/>
          <w:rtl w:val="true"/>
          <w:lang w:bidi="fa-IR"/>
        </w:rPr>
        <w:t xml:space="preserve">فيه الفجيعة، و لا تجاب فيه الدعوة، و لا يدخله المَلِک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الفجيعة،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الغناء و 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لاتدخلوا بيوتًا الله معرضٌ عن أهلها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عَنْبَسة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و اللهو يُنبت النفاق في القلب كما يُنبت الماء في </w:t>
      </w:r>
      <w:r>
        <w:rPr>
          <w:rStyle w:val="FootnoteAnchor"/>
          <w:rtl w:val="true"/>
        </w:rPr>
        <w:footnoteReference w:id="578"/>
      </w:r>
      <w:r>
        <w:rPr>
          <w:rFonts w:ascii="IRNazanin" w:hAnsi="IRNazanin" w:eastAsia="IRNazanin"/>
          <w:color w:val="111111"/>
          <w:sz w:val="28"/>
          <w:sz w:val="28"/>
          <w:szCs w:val="28"/>
          <w:rtl w:val="true"/>
          <w:lang w:bidi="fa-IR"/>
        </w:rPr>
        <w:t xml:space="preserve">الزرع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الريّان 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العبّاسىّ ذكر أنّک ترخص في الغناء </w:t>
      </w:r>
      <w:r>
        <w:rPr>
          <w:rStyle w:val="FootnoteAnchor"/>
          <w:rtl w:val="true"/>
        </w:rPr>
        <w:footnoteReference w:id="5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الزنديق، ما هكذا قلت له، يسألني </w:t>
      </w:r>
      <w:r>
        <w:rPr>
          <w:rStyle w:val="FootnoteAnchor"/>
          <w:rtl w:val="true"/>
        </w:rPr>
        <w:footnoteReference w:id="581"/>
      </w:r>
      <w:r>
        <w:rPr>
          <w:rFonts w:ascii="Amiri" w:hAnsi="Amiri" w:eastAsia="Amiri" w:cs="Amiri"/>
          <w:color w:val="111111"/>
          <w:sz w:val="28"/>
          <w:sz w:val="28"/>
          <w:szCs w:val="28"/>
          <w:rtl w:val="true"/>
          <w:lang w:bidi="ar-SA"/>
        </w:rPr>
        <w:t xml:space="preserve">عن الغناء،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عن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إذا ميّز الله بين الحقّ و الباطل، فأين </w:t>
      </w:r>
      <w:r>
        <w:rPr>
          <w:rStyle w:val="FootnoteAnchor"/>
          <w:rtl w:val="true"/>
        </w:rPr>
        <w:footnoteReference w:id="582"/>
      </w:r>
      <w:r>
        <w:rPr>
          <w:rFonts w:ascii="Amiri" w:hAnsi="Amiri" w:eastAsia="Amiri" w:cs="Amiri"/>
          <w:color w:val="111111"/>
          <w:sz w:val="28"/>
          <w:sz w:val="28"/>
          <w:szCs w:val="28"/>
          <w:rtl w:val="true"/>
          <w:lang w:bidi="ar-SA"/>
        </w:rPr>
        <w:t xml:space="preserve">يكون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فقال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الأدلّة المذكورة من الإجماعات و أكثر النصوص المستفيضة دالّة على تحريم الغناء مطلقًا، سواء كان في الشعر، أو في القرآن، أو في غيرهما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كون الإجماعات المنقولة كذلک، فواضح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النصوص، فها أنا أتكلّم في كلٍّ منها،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الأوّل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المغنّية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سواء كان في القرآن،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قد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بالملعونيّة على المغنّية ؛ و تعليق الحكم بالوصف يشعر بعليّة مأخذ اشتقاقه، فيكون على هذا علّة الحكم بالملعونيّة الغناء، فكلّما تحقّق يكون الحكم معه، لكن هذا من جهة الإشعار و إن لم يكن دليلاً، لكن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الثاني، فلأنّ دلالته على ما ذكر من وجهين،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العموم في السؤال،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بيع الجواري المغنيّات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جمع المحلّى باللام يفيد العموم، فيكون سؤاله على هذا عن كلّ مغنّية، سواء كانت مغنّية في القرآن، أو في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ترک استفصال المعصوم في المغنّية بين كونها مغنّية في القرآن أو غيره ؛ و قد مرّ مرارًا أنّ ترک الاستفصال في مقام السؤال مع قيام الاحتمال يفيد عموم الحكم في المقال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الحديث و إن لم يدلّ صريحًا على حرمة الغناء، إلّا أنّه يدلّ عليه بالالتزام،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شراؤهُنّ و بيعهنّ حرام، و تعليمهنّ كفر، و استماعهنّ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تحريم شرائهنّ و بيعهنّ مثلاً ؛ و إنّما يكون تحريم ذلک من جهة كونها مغنّية، فيلزم منه حرمة الغناء، و هو المطلوب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الحديث أوضح دلالة من بين النصوص المذكورة على المدّعى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الثالث، فقد يعلم الكلام فيه بما ذكر، إلّا أنّه يمكن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أخذ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لاحتمال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باشتغالها في الغناء المحرّم، لا لمطلق الغناء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يمكن أن يقال 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أنّه لا دلالة لغير الثاني من النصوص على المطلوب من تحريم الغناء مطلقًا حتّى في القرآن، لأنّ الغالب في الجواري أن لا يعلمن القرآن، فلا ينصرف الإطلاق إلى الغناء في القرآن، لأنّ المطلق ينصرف إلى الفرد الكامل الغالب الشائع، و قد عرفت أنّ ما نحن فيه ليس من ذلک ؛ و أمّا الحديث الثاني، فلا يمكن فيه ذلک، لأنّ المغنّيات فيه جمعٌ محلّى باللام، فيفيد العموم الاستغراقيّ، فيشمل النادر و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الحديث الرابع،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قول الزور الّذي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عنه هو الغناء نفسه، سواء وجد في القرآن، أو في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الحديث الخامس و السادس، فالإنصاف أنّهما يصلحان لإثبات الحرمة في الغناء في الجملة، فلا يمكن التمسّک بهما لحرمته مطلقًا و لو في القرآن مثلاً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منهما فلما عرفت ؛ و أمّا الثاني فلأنّه إنّما يدلّ على تحريم الغناء الّذي مع العود، فيعلم منه أنّه في غير القرآن، فلايشمل الغناء الّذي في القرآن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هذا الحديث و إن لم يدلّ على تحريم الغناء صريحًا، إلّا أنّه يستلزمه، لأنّ تحريم استماعه إنّما هو لحرمة نفسه،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الحديث السابع، فلأنّ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بيت الغناء لا يؤمن فيه الفجيعة، ولايجاب فيه الدعوة، و لا يدخله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لا اختصاص له في خصوص فرد دون آخر، فيشمل جميع الأفراد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هذا الحديث و إن لم يدلّ صريحًا على تحريم الغناء أيضًا، إلّا أنّه يستلزمه،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الثامن،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معرضٌ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فيشمل جميع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التاسع، فلأنّ دلالته على ما ذكر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استماع الغناء و اللهو ينبت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المطلق حجّة في أفراده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تنظيره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ينبت الماء في </w:t>
      </w:r>
      <w:r>
        <w:rPr>
          <w:rStyle w:val="FootnoteAnchor"/>
          <w:rtl w:val="true"/>
        </w:rPr>
        <w:footnoteReference w:id="585"/>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نبت الزرع يحصل لجميع أفراد الماء، فينبغي أن يكون نبت النفاق حاصلاً من جميع أفراد الغناء، فإذا حصل النفاق من جميع أفراده يكون جميعها حرامًا، لأنّ ما ليس بحرام لا ينبت النفاق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الحديث العاشر، فالكلام فيه مثل ما ذكر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هذه النصوص قد عرفت أكثرها دالّة على تحريم الغناء بعنوان الإطلاق، سواء كان في القرآن، أو في الدعاء، أو في المدائح، أو غيرها، فينبغي أن يقال بتحريمه كذلک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بعضها و إن كان غير معتبر، إلّا أنّ موافقتها بإطلاق الإجماعات المنقولة تسهل الخطب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قد حكي عن بعض المشايخ الإجماع على تحريم الغناء مطلقًا، سواء كان في القرآن و غيره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حرمة الغناء في القرآن و عدم استثنائه فيه في شرح الإرشاد للمقدّس الأردبيليّ </w:t>
      </w:r>
      <w:r>
        <w:rPr>
          <w:rStyle w:val="FootnoteAnchor"/>
          <w:rtl w:val="true"/>
        </w:rPr>
        <w:footnoteReference w:id="587"/>
      </w:r>
      <w:r>
        <w:rPr>
          <w:rFonts w:ascii="IRNazanin" w:hAnsi="IRNazanin" w:eastAsia="IRNazanin"/>
          <w:color w:val="111111"/>
          <w:sz w:val="28"/>
          <w:sz w:val="28"/>
          <w:szCs w:val="28"/>
          <w:rtl w:val="true"/>
          <w:lang w:bidi="fa-IR"/>
        </w:rPr>
        <w:t xml:space="preserve">إلى الأصحاب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يقال </w:t>
      </w:r>
      <w:r>
        <w:rPr>
          <w:rStyle w:val="FootnoteAnchor"/>
          <w:rtl w:val="true"/>
        </w:rPr>
        <w:footnoteReference w:id="589"/>
      </w:r>
      <w:r>
        <w:rPr>
          <w:rFonts w:ascii="IRNazanin" w:hAnsi="IRNazanin" w:eastAsia="IRNazanin"/>
          <w:color w:val="111111"/>
          <w:sz w:val="28"/>
          <w:sz w:val="28"/>
          <w:szCs w:val="28"/>
          <w:rtl w:val="true"/>
          <w:lang w:bidi="fa-IR"/>
        </w:rPr>
        <w:t xml:space="preserve">في الجواب عن هذه النصوص المذكورة من أنّ المفرد المحلّى بالّلام لايفيد العموم، بل مطلق، و المطلق إنّما ينصرف إلى جميع الأفراد إذا لم يكن له فرد شائع ؛ و هنا ليس كذلک، لأنّ المعهود و الشائع في ذلک الزمان الغناء على سبيل اللهو من الجواري المغنّيات و غيرهنّ في مجالس الفجور و الخمور و العمل </w:t>
      </w:r>
    </w:p>
    <w:p>
      <w:pPr>
        <w:pStyle w:val="BookText"/>
        <w:rPr/>
      </w:pPr>
      <w:r>
        <w:rPr>
          <w:rFonts w:ascii="IRNazanin" w:hAnsi="IRNazanin" w:eastAsia="IRNazanin"/>
          <w:color w:val="111111"/>
          <w:sz w:val="28"/>
          <w:sz w:val="28"/>
          <w:szCs w:val="28"/>
          <w:rtl w:val="true"/>
          <w:lang w:bidi="fa-IR"/>
        </w:rPr>
        <w:t xml:space="preserve">بالملاهي و التكلّم بالباطل و إسماعهنّ الرجال و غيرها، فيجب حمل المطلق في النصوص المذكورة على تلک الأفراد، فيبقى غيرها داخلاً تحت أصل الإباحة وإطلاق بعض النصوص الآتية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لعدم ظهور شيوع تلک الأفراد بحيث لا ينصرف الإطلاق إلّا إليها ؛ والشکّ كاف في المقام، و الأصل في المطلق الحجّيّة في جميع الأفراد، فلا يجوز رفع اليد عن هذا الأصل بمحض الاحتمال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لا يصحّ هذا الجواب بعد تسليم هذا المقال بالنسبة إلى جميع ما تقدّم من الأخبار، لأنّ من جملتها الحديث الثاني، و قد عرفت اشتماله بالجمع المحلّى باللام، و هو يفيد عموم الاستغراقيّ، فلا يجدى بالنسبة إليه الشيوع المدّعى في بعض الأفراد،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الدليل في المسألة ليس بمنحصر في النصوص المذكورة، بل منه الإجماعات المنقولة، فلا يمكن دعوى ما مرّ فيها ألبتّة، سيّما بعد ما عرفت من دعوى الإجماع في خصوص تحريم الغناء في القرآن و غيره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ما استحدثه بعض مَن أحبّ مخالفة الأصحاب من جواز الغناء في القرآن و الدعاء و المدح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و إن تبعه بعض من تبعه، و إن استندوا في ذلک بكثير من النصوص الدالّة على حسن الصوت و قراءة القرآن و الدعاء مع الحزن و غيرها، فها أنا أذكرها، فأشير إلى الجواب عنها بإعانة الربّ الجليل </w:t>
      </w:r>
      <w:r>
        <w:rPr>
          <w:rFonts w:eastAsia="IRNazanin" w:cs="IRNazanin"/>
          <w:color w:val="111111"/>
          <w:sz w:val="28"/>
          <w:szCs w:val="28"/>
          <w:rtl w:val="true"/>
          <w:lang w:bidi="fa-IR"/>
        </w:rPr>
        <w:t xml:space="preserve">. </w:t>
      </w:r>
      <w:bookmarkStart w:id="245" w:name="pg14719_186621"/>
    </w:p>
    <w:p>
      <w:pPr>
        <w:pStyle w:val="Heading3"/>
        <w:numPr>
          <w:ilvl w:val="2"/>
          <w:numId w:val="1"/>
        </w:numPr>
        <w:rPr/>
      </w:pPr>
      <w:bookmarkStart w:id="246" w:name="__RefHeading___Toc553629_730472459"/>
      <w:bookmarkStart w:id="247" w:name="_Toc93"/>
      <w:bookmarkEnd w:id="245"/>
      <w:bookmarkEnd w:id="246"/>
      <w:r>
        <w:rPr>
          <w:rtl w:val="true"/>
        </w:rPr>
        <w:t>النصوص الّتي استدلّ بها لجواز الغناء في القرآن</w:t>
      </w:r>
      <w:bookmarkEnd w:id="247"/>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أجمل الجمال الشعر الحسن و نَغمة الصوت الحسن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نزل بالحزن، فاقرؤوه بالحزن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بين يديّ فَقِفْ مَوقف الذليل الفقير، و إذا قرأتَ التوراة فأسمعنيها بصوت حزين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أشدّ خوفًا على نفسه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أرجى للناس </w:t>
      </w:r>
      <w:r>
        <w:rPr>
          <w:rStyle w:val="FootnoteAnchor"/>
          <w:rtl w:val="true"/>
        </w:rPr>
        <w:footnoteReference w:id="593"/>
      </w:r>
      <w:r>
        <w:rPr>
          <w:rFonts w:ascii="Amiri" w:hAnsi="Amiri" w:eastAsia="Amiri" w:cs="Amiri"/>
          <w:color w:val="111111"/>
          <w:sz w:val="28"/>
          <w:sz w:val="28"/>
          <w:szCs w:val="28"/>
          <w:rtl w:val="true"/>
          <w:lang w:bidi="ar-SA"/>
        </w:rPr>
        <w:t xml:space="preserve">منه، و كانت قرائته حزنًا، فإذا قرأ فكأنّه يخاطب إنسانًا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القرآن بألحان العرب و أصواتها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النوفلىّ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الصوت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يقرأ القرآن، فربّما يمرّ </w:t>
      </w:r>
      <w:r>
        <w:rPr>
          <w:rStyle w:val="FootnoteAnchor"/>
          <w:rtl w:val="true"/>
        </w:rPr>
        <w:footnoteReference w:id="596"/>
      </w:r>
      <w:r>
        <w:rPr>
          <w:rFonts w:ascii="IRNazanin" w:hAnsi="IRNazanin" w:eastAsia="IRNazanin"/>
          <w:color w:val="111111"/>
          <w:sz w:val="28"/>
          <w:sz w:val="28"/>
          <w:szCs w:val="28"/>
          <w:rtl w:val="true"/>
          <w:lang w:bidi="fa-IR"/>
        </w:rPr>
        <w:t xml:space="preserve">به المارّ فصعق من حُسن صوته ؛ و إنّ الإمام لو أظهر من ذلک شيئًا لما احتمله الناس من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بالناس و يرفع صوته بالقرآن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يحمّل الناس من خلفه ما يطيقون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عبدالله بن سنان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يعط أمّتي أقلّ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 الصوت الحسن، و الحفظ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حلية، و حلية القرآن الصوت الحسن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صَوتًا بالقرآن، و كان السقّاؤون يمرّون ببابه فيقفون </w:t>
      </w:r>
      <w:r>
        <w:rPr>
          <w:rStyle w:val="FootnoteAnchor"/>
          <w:rtl w:val="true"/>
        </w:rPr>
        <w:footnoteReference w:id="600"/>
      </w:r>
      <w:r>
        <w:rPr>
          <w:rFonts w:ascii="Amiri" w:hAnsi="Amiri" w:eastAsia="Amiri" w:cs="Amiri"/>
          <w:color w:val="111111"/>
          <w:sz w:val="28"/>
          <w:sz w:val="28"/>
          <w:szCs w:val="28"/>
          <w:rtl w:val="true"/>
          <w:lang w:bidi="ar-SA"/>
        </w:rPr>
        <w:t xml:space="preserve">يسمعون قراءته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معاوية بن عمّار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لا يرى أنّه صنع شيئًا في الدعاء و في القرآن </w:t>
      </w:r>
      <w:r>
        <w:rPr>
          <w:rStyle w:val="FootnoteAnchor"/>
          <w:rtl w:val="true"/>
        </w:rPr>
        <w:footnoteReference w:id="602"/>
      </w:r>
      <w:r>
        <w:rPr>
          <w:rFonts w:ascii="Amiri" w:hAnsi="Amiri" w:eastAsia="Amiri" w:cs="Amiri"/>
          <w:color w:val="111111"/>
          <w:sz w:val="28"/>
          <w:sz w:val="28"/>
          <w:szCs w:val="28"/>
          <w:rtl w:val="true"/>
          <w:lang w:bidi="ar-SA"/>
        </w:rPr>
        <w:t xml:space="preserve">حتّى يرفع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أحسن الناس صوتًا بالقرآن، فكان يرفع صوته حتّى يسمعه أهل الدار، و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صوتًا بالقرآن، وكان </w:t>
      </w:r>
      <w:r>
        <w:rPr>
          <w:rStyle w:val="FootnoteAnchor"/>
          <w:rtl w:val="true"/>
        </w:rPr>
        <w:footnoteReference w:id="603"/>
      </w:r>
      <w:r>
        <w:rPr>
          <w:rFonts w:ascii="Amiri" w:hAnsi="Amiri" w:eastAsia="Amiri" w:cs="Amiri"/>
          <w:color w:val="111111"/>
          <w:sz w:val="28"/>
          <w:sz w:val="28"/>
          <w:szCs w:val="28"/>
          <w:rtl w:val="true"/>
          <w:lang w:bidi="ar-SA"/>
        </w:rPr>
        <w:t xml:space="preserve">إذا أقام الليل </w:t>
      </w:r>
      <w:r>
        <w:rPr>
          <w:rStyle w:val="FootnoteAnchor"/>
          <w:rtl w:val="true"/>
        </w:rPr>
        <w:footnoteReference w:id="604"/>
      </w:r>
      <w:r>
        <w:rPr>
          <w:rFonts w:ascii="Amiri" w:hAnsi="Amiri" w:eastAsia="Amiri" w:cs="Amiri"/>
          <w:color w:val="111111"/>
          <w:sz w:val="28"/>
          <w:sz w:val="28"/>
          <w:szCs w:val="28"/>
          <w:rtl w:val="true"/>
          <w:lang w:bidi="ar-SA"/>
        </w:rPr>
        <w:t xml:space="preserve">و قرأ رفع صوته، فيمرّ به مارّ الطريق من السقّائين وغيرهم، فيقومون فيستمعون إلى قراءته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تتمكث فيه و تحسن به صوتک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حسن بن عبدالله التميمي،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حسّنوا القرآن بأصواتكم، فإنّ الصوت الحسن يزيد القرآن حسنًا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موسى العمري </w:t>
      </w:r>
      <w:r>
        <w:rPr>
          <w:rStyle w:val="FootnoteAnchor"/>
          <w:rtl w:val="true"/>
        </w:rPr>
        <w:footnoteReference w:id="6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w:t>
      </w:r>
      <w:r>
        <w:rPr>
          <w:rStyle w:val="FootnoteAnchor"/>
          <w:rtl w:val="true"/>
        </w:rPr>
        <w:footnoteReference w:id="610"/>
      </w:r>
      <w:r>
        <w:rPr>
          <w:rFonts w:ascii="Amiri" w:hAnsi="Amiri" w:eastAsia="Amiri" w:cs="Amiri"/>
          <w:color w:val="111111"/>
          <w:sz w:val="28"/>
          <w:sz w:val="28"/>
          <w:szCs w:val="28"/>
          <w:rtl w:val="true"/>
          <w:lang w:bidi="ar-SA"/>
        </w:rPr>
        <w:t xml:space="preserve">إلى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w:t>
      </w:r>
      <w:r>
        <w:rPr>
          <w:rStyle w:val="FootnoteAnchor"/>
          <w:rtl w:val="true"/>
        </w:rPr>
        <w:footnoteReference w:id="611"/>
      </w:r>
      <w:r>
        <w:rPr>
          <w:rFonts w:ascii="Amiri" w:hAnsi="Amiri" w:eastAsia="Amiri" w:cs="Amiri"/>
          <w:color w:val="111111"/>
          <w:sz w:val="28"/>
          <w:sz w:val="28"/>
          <w:szCs w:val="28"/>
          <w:rtl w:val="true"/>
          <w:lang w:bidi="ar-SA"/>
        </w:rPr>
        <w:t xml:space="preserve">، فسمعنا صوتًا حزينًا يقرأ بالسريانيّة </w:t>
      </w:r>
      <w:r>
        <w:rPr>
          <w:rStyle w:val="FootnoteAnchor"/>
          <w:rtl w:val="true"/>
        </w:rPr>
        <w:footnoteReference w:id="612"/>
      </w:r>
      <w:r>
        <w:rPr>
          <w:rFonts w:ascii="IRNazanin" w:hAnsi="IRNazanin" w:eastAsia="IRNazanin"/>
          <w:color w:val="111111"/>
          <w:sz w:val="28"/>
          <w:sz w:val="28"/>
          <w:szCs w:val="28"/>
          <w:rtl w:val="true"/>
          <w:lang w:bidi="fa-IR"/>
        </w:rPr>
        <w:t xml:space="preserve">، فبكينا حيث سمعنا الصوت، فظننا أنّه بعث إلى رجل من أهل الكتاب يستقرأه، فأذن لنا، فدخلنا عليه و لم نر عنده أحدًا،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سمعنا صوتًا بالعبرانيّة فظننا أنّک بعثت إلى رجل من أهل الكتاب تستقرأه،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 ذكرت مناجات إيليا </w:t>
      </w:r>
      <w:r>
        <w:rPr>
          <w:rStyle w:val="FootnoteAnchor"/>
          <w:rtl w:val="true"/>
        </w:rPr>
        <w:footnoteReference w:id="613"/>
      </w:r>
      <w:r>
        <w:rPr>
          <w:rFonts w:ascii="Amiri" w:hAnsi="Amiri" w:eastAsia="Amiri" w:cs="Amiri"/>
          <w:color w:val="111111"/>
          <w:sz w:val="28"/>
          <w:sz w:val="28"/>
          <w:szCs w:val="28"/>
          <w:rtl w:val="true"/>
          <w:lang w:bidi="ar-SA"/>
        </w:rPr>
        <w:t xml:space="preserve">لربّه، فبكيت، الحديث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قرأت القرآن فرفعتُ به صوتي جاءني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تُرأئِي بهذا أهلک و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إقرأ قراءَةً ما بين القِرائَتين تُسمِعُ أهلک و رَجِّع بالقرآن صوتک،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الصوت الحسن، يُرجِّع فيه ترجيعًا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جملة من النصوص الّتي استدلّ بها لجواز الغناء في القرآن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النصوص الّتي استدلّ بها لجواز الغناء في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و لا شبهة في أنّ هذه النصوص ليست بصريحة في ذلک، لأنّ قراءة القرآن مع الحزن مثلاً لا يستلزم الغناء قطعًا، فيخصّص بها أو يقيّد تلک النصوص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التعارض بينهما من قبيل تعارض الظاهرين و العموم من وجه، لأنّ تلک النصوص صريحة في عدم جواز الغناء، لكن ظاهرة من جهة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في القرآن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النصوص و إن كانت ناصّة من جهة اشتمالها على قراءة القرآن بالحزن و الصوت مثلاً، لكنّها عامّة من حيث انّ قراءة القرآن مع الحزن والصوت أعمّ من أن تصل إلى حدّ الغناء،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تعارض الظاهرين يجب الرجوع إلى الترجيح، و هو مع النصوص المتقدّمة من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مخالفةٌ للعامّة، بخلاف هذه، لما نقل بعض المحقّقين القول بجواز الغناء فيهم أيضًا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تلک النصوص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الله و سَلْه التوبة من كلّ ما </w:t>
      </w:r>
    </w:p>
    <w:p>
      <w:pPr>
        <w:pStyle w:val="BookText"/>
        <w:rPr/>
      </w:pPr>
      <w:r>
        <w:rPr>
          <w:rFonts w:ascii="Amiri" w:hAnsi="Amiri" w:eastAsia="Amiri" w:cs="Amiri"/>
          <w:color w:val="111111"/>
          <w:sz w:val="28"/>
          <w:sz w:val="28"/>
          <w:szCs w:val="28"/>
          <w:rtl w:val="true"/>
          <w:lang w:bidi="ar-SA"/>
        </w:rPr>
        <w:t>يكره، فإنّه لا يكره إلّا كلّ قبيح، و القبيح دعه لأهله، فإنّ لكلٍّ أهلاً</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يدلّ عليه ما رواه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خلقنا السماوات </w:t>
      </w:r>
      <w:r>
        <w:rPr>
          <w:rStyle w:val="FootnoteAnchor"/>
          <w:rtl w:val="true"/>
        </w:rPr>
        <w:footnoteReference w:id="618"/>
      </w:r>
      <w:r>
        <w:rPr>
          <w:rFonts w:ascii="Amiri" w:hAnsi="Amiri" w:eastAsia="Amiri" w:cs="Amiri"/>
          <w:color w:val="111111"/>
          <w:sz w:val="28"/>
          <w:sz w:val="28"/>
          <w:szCs w:val="28"/>
          <w:rtl w:val="true"/>
          <w:lang w:bidi="ar-SA"/>
        </w:rPr>
        <w:t xml:space="preserve">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لفلان ممّا يصف رجلٌ لم يحضر المجلس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الأمر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الأخذ بما خالفهم و ترک ما وافقهم، فإنّ الرشد في خلافهم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النصوص إطلاقها موافقٌ لهوى النفس، فإنّ النفس لها رغبة تامّة لِسَماع الغناء، بخلاف تلک النصوص، فإنّها مخالفةٌ لهواها ؛ و لا شکّ أنّ </w:t>
      </w:r>
    </w:p>
    <w:p>
      <w:pPr>
        <w:pStyle w:val="BookText"/>
        <w:rPr/>
      </w:pPr>
      <w:r>
        <w:rPr>
          <w:rFonts w:ascii="Amiri" w:hAnsi="Amiri" w:eastAsia="Amiri" w:cs="Amiri"/>
          <w:color w:val="111111"/>
          <w:sz w:val="28"/>
          <w:sz w:val="28"/>
          <w:szCs w:val="28"/>
          <w:rtl w:val="true"/>
          <w:lang w:bidi="ar-SA"/>
        </w:rPr>
        <w:t xml:space="preserve">مخالفة النفس أولى و أهمّ من موافقتها،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w:t>
      </w:r>
      <w:r>
        <w:rPr>
          <w:rStyle w:val="FootnoteAnchor"/>
          <w:rtl w:val="true"/>
        </w:rPr>
        <w:footnoteReference w:id="622"/>
      </w:r>
      <w:r>
        <w:rPr>
          <w:rFonts w:ascii="Amiri" w:hAnsi="Amiri" w:eastAsia="Amiri" w:cs="Amiri"/>
          <w:color w:val="111111"/>
          <w:sz w:val="28"/>
          <w:sz w:val="28"/>
          <w:szCs w:val="28"/>
          <w:rtl w:val="true"/>
          <w:lang w:bidi="ar-SA"/>
        </w:rPr>
        <w:t xml:space="preserve">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النصوص موافقةٌ للمشهور بين الأصحاب ظاهرًا، بل قد عرفت دعوى الإجماع، بخلاف هذه النصوص، فإنّ العامل بإطلاقها غير ظاهر، سوى ما ينسب من كلام الطبرسي في مجمع البيان </w:t>
      </w:r>
      <w:r>
        <w:rPr>
          <w:rStyle w:val="FootnoteAnchor"/>
          <w:rtl w:val="true"/>
        </w:rPr>
        <w:footnoteReference w:id="624"/>
      </w:r>
      <w:r>
        <w:rPr>
          <w:rFonts w:ascii="IRNazanin" w:hAnsi="IRNazanin" w:eastAsia="IRNazanin"/>
          <w:color w:val="111111"/>
          <w:sz w:val="28"/>
          <w:sz w:val="28"/>
          <w:szCs w:val="28"/>
          <w:rtl w:val="true"/>
          <w:lang w:bidi="fa-IR"/>
        </w:rPr>
        <w:t xml:space="preserve">، و نصّ عليه بعض من أحبّ مخالفة الأصحاب ؛ و لا ريب أنّ مخالفة النادر و أخذ خلافه أولى من أخذ النادر وترک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ترجيح تلک النصوص على غيرها، فيجب تقديمها في العمل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أبي بصير المذكورة ليس التعارض بينها و بين تلک النصوص من تعارض الظاهرين، بل من تعارض العامّ و الخاصّ،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بالقرآن صوتک </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صريحٌ في جواز الغناء في القرآن، لما تقدّم من أنّ الغناء هو ترجيع الصوت مع الطرب، و دلّ الحديث على جواز الترجيع في القرآن، و الطرب لازم له ؛ و معلوم أنّ الخاصّ مقدّمٌ على العامّ ومخصّصٌ له، فدلّ الحديث على جواز الغناء في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الجواب بعد تقدير تسليم ما ذكر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 إنّما يقدّم على العامّ إذا كان حجّة ؛ و هذه الرواية بلوغها في حدّ الحجّيّة من حيث السند غير معلوم، فلايرفع اليد عن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فرض تسليم ذلک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معارضة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فيما رواه عبدالله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اقرؤوا القرآنَ بألحان العرب و أصواتها، و إيّاكم و لُحون أهل الفسق و أهل الكبائر، فإنّه سيجيء من بعدي قومٌ </w:t>
      </w:r>
      <w:r>
        <w:rPr>
          <w:rStyle w:val="FootnoteAnchor"/>
          <w:rtl w:val="true"/>
        </w:rPr>
        <w:footnoteReference w:id="627"/>
      </w:r>
      <w:r>
        <w:rPr>
          <w:rFonts w:ascii="Amiri" w:hAnsi="Amiri" w:eastAsia="Amiri" w:cs="Amiri"/>
          <w:color w:val="111111"/>
          <w:sz w:val="28"/>
          <w:sz w:val="28"/>
          <w:szCs w:val="28"/>
          <w:rtl w:val="true"/>
          <w:lang w:bidi="ar-SA"/>
        </w:rPr>
        <w:t xml:space="preserve">يرجّعون القرآن ترجيع الغناء والرَهبانيّة و النَّوح، و لا يجاوز حناجرهم </w:t>
      </w:r>
      <w:r>
        <w:rPr>
          <w:rStyle w:val="FootnoteAnchor"/>
          <w:rtl w:val="true"/>
        </w:rPr>
        <w:footnoteReference w:id="628"/>
      </w:r>
      <w:r>
        <w:rPr>
          <w:rFonts w:ascii="Amiri" w:hAnsi="Amiri" w:eastAsia="Amiri" w:cs="Amiri"/>
          <w:color w:val="111111"/>
          <w:sz w:val="28"/>
          <w:sz w:val="28"/>
          <w:szCs w:val="28"/>
          <w:rtl w:val="true"/>
          <w:lang w:bidi="ar-SA"/>
        </w:rPr>
        <w:t xml:space="preserve">، قلوبهم مقلوبة </w:t>
      </w:r>
      <w:r>
        <w:rPr>
          <w:rStyle w:val="FootnoteAnchor"/>
          <w:rtl w:val="true"/>
        </w:rPr>
        <w:footnoteReference w:id="629"/>
      </w:r>
      <w:r>
        <w:rPr>
          <w:rFonts w:ascii="Amiri" w:hAnsi="Amiri" w:eastAsia="Amiri" w:cs="Amiri"/>
          <w:color w:val="111111"/>
          <w:sz w:val="28"/>
          <w:sz w:val="28"/>
          <w:szCs w:val="28"/>
          <w:rtl w:val="true"/>
          <w:lang w:bidi="ar-SA"/>
        </w:rPr>
        <w:t xml:space="preserve">، و قلوب الّذين يعجبهم </w:t>
      </w:r>
      <w:r>
        <w:rPr>
          <w:rStyle w:val="FootnoteAnchor"/>
          <w:rtl w:val="true"/>
        </w:rPr>
        <w:footnoteReference w:id="630"/>
      </w:r>
      <w:r>
        <w:rPr>
          <w:rFonts w:ascii="IRNazanin" w:hAnsi="IRNazanin" w:eastAsia="IRNazanin"/>
          <w:color w:val="111111"/>
          <w:sz w:val="28"/>
          <w:sz w:val="28"/>
          <w:szCs w:val="28"/>
          <w:rtl w:val="true"/>
          <w:lang w:bidi="fa-IR"/>
        </w:rPr>
        <w:t xml:space="preserve">شأنهم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تعارضهما من تعارض النصّين، فيجب الرجوع إلى الترجيح أيضًا، و هو معنا لما عرفت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جارية لها صوت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عليک لو اشتريتها فذكّرتک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الزهد والفضائل الّتي ليست بغناء، و أمّا </w:t>
      </w:r>
      <w:r>
        <w:rPr>
          <w:rStyle w:val="FootnoteAnchor"/>
          <w:rtl w:val="true"/>
        </w:rPr>
        <w:footnoteReference w:id="632"/>
      </w:r>
      <w:r>
        <w:rPr>
          <w:rFonts w:ascii="IRNazanin" w:hAnsi="IRNazanin" w:eastAsia="IRNazanin"/>
          <w:color w:val="111111"/>
          <w:sz w:val="28"/>
          <w:sz w:val="28"/>
          <w:szCs w:val="28"/>
          <w:rtl w:val="true"/>
          <w:lang w:bidi="fa-IR"/>
        </w:rPr>
        <w:t xml:space="preserve">الغناء فمحظور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 يبق في المقام إلّا ما روي بطريق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بالحزن، فإذا قرأتموه فابكوا و تباكوا </w:t>
      </w:r>
      <w:r>
        <w:rPr>
          <w:rStyle w:val="FootnoteAnchor"/>
          <w:rtl w:val="true"/>
        </w:rPr>
        <w:footnoteReference w:id="634"/>
      </w:r>
      <w:r>
        <w:rPr>
          <w:rFonts w:ascii="Amiri" w:hAnsi="Amiri" w:eastAsia="Amiri" w:cs="Amiri"/>
          <w:color w:val="111111"/>
          <w:sz w:val="28"/>
          <w:sz w:val="28"/>
          <w:szCs w:val="28"/>
          <w:rtl w:val="true"/>
          <w:lang w:bidi="ar-SA"/>
        </w:rPr>
        <w:t xml:space="preserve">و تغنّوا به، فمَن لم يتغنّ بالقرآن فليس مِنّي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فليس بحجّة ؛ و رفع اليد بما لا يكون حجّة عمّا يكون، ليس بجائز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خلاف الإجماع، لأنّه يدلّ على وجوب التغنّي في القرآن و لم يقل به أحد، فلا محالة يجب صرفه عن ظاهره، فحينئذٍ كما يمكن حمل الأمر فيه على الاستحباب يمكن حمله على استغنوا،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قرأ القرآن فهو غنيّ لا فقر بعده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فلا دخل له لما نحن فيه، فصار مجملاً،والمجمل لا يصلح للمعارضة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الإجمال غير مسلّم، لأنّ المعهود في الأصول أنّه إذا تعذّر حمل اللفظ على الحقيقة، فحمله على أقرب المجازات و أرجحها متعيّن ؛ و هذه القاعدة معيّنة لحمل الأمر في الرواية المذكورة على الاستحباب و السنّة، لأنّ كثرة </w:t>
      </w:r>
    </w:p>
    <w:p>
      <w:pPr>
        <w:pStyle w:val="BookText"/>
        <w:rPr/>
      </w:pPr>
      <w:r>
        <w:rPr>
          <w:rFonts w:ascii="IRNazanin" w:hAnsi="IRNazanin" w:eastAsia="IRNazanin"/>
          <w:color w:val="111111"/>
          <w:sz w:val="28"/>
          <w:sz w:val="28"/>
          <w:szCs w:val="28"/>
          <w:rtl w:val="true"/>
          <w:lang w:bidi="fa-IR"/>
        </w:rPr>
        <w:t xml:space="preserve">استعمال الأمر في الاستحباب و شيوعه في ذلک مرجّح لحمله عليه، فلا إجمال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كثرة استعمال الأمر في الاستحباب سببٌ لرجحان حمل الأمر فيما نحن فيه عليه، كذا استلزامه لمخالفة أكثر الأصحاب، بل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لمرجوحيّة ذلک ؛ و حمل الأمر على ما ذكرنا و إن كان مرجوحًا بالنسبة إلى ندرة الاستعمال، لكنّه راجحٌ بالنسبة إلى عدم استلزامه ما مرّ، فتساويا، إذ لكلّ طرفٍ رجحانٌ و مرجوحيّة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الأمر في الرواية على الاستحباب غير ممكن،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لم يتغنّ بالقرآن فليس منّي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لأنّ ترک المستحبّ لا يوجب ذلک بالبديهة، فاللازم حمله إمّا على ما ذكرناه، أو على غيره ممّا يجده الطبع السليم مناسبًا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الهادي إلى طريق الصواب ؛ و عليک بالحذر عن مخالفة الأصحاب </w:t>
      </w:r>
      <w:r>
        <w:rPr>
          <w:rFonts w:eastAsia="IRNazanin" w:cs="IRNazanin"/>
          <w:color w:val="111111"/>
          <w:sz w:val="28"/>
          <w:szCs w:val="28"/>
          <w:rtl w:val="true"/>
          <w:lang w:bidi="fa-IR"/>
        </w:rPr>
        <w:t xml:space="preserve">. </w:t>
      </w:r>
      <w:bookmarkStart w:id="248" w:name="pg14719_186631"/>
    </w:p>
    <w:p>
      <w:pPr>
        <w:pStyle w:val="Heading3"/>
        <w:numPr>
          <w:ilvl w:val="2"/>
          <w:numId w:val="1"/>
        </w:numPr>
        <w:rPr/>
      </w:pPr>
      <w:bookmarkStart w:id="249" w:name="__RefHeading___Toc553631_730472459"/>
      <w:bookmarkStart w:id="250" w:name="_Toc94"/>
      <w:bookmarkEnd w:id="248"/>
      <w:bookmarkEnd w:id="249"/>
      <w:r>
        <w:rPr>
          <w:rtl w:val="true"/>
        </w:rPr>
        <w:t>ذكر مواضع الخلاف في جواز التغنّي أو عدمه</w:t>
      </w:r>
      <w:bookmarkEnd w:id="250"/>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الخلاف بين الأصحاب في جواز التغنّي أو عدمه في مواضع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53633_730472459"/>
      <w:bookmarkStart w:id="252" w:name="_Toc95"/>
      <w:bookmarkEnd w:id="251"/>
      <w:r>
        <w:rPr>
          <w:rtl w:val="true"/>
        </w:rPr>
        <w:t>التغنّي في العرائس جائز أم لا ؟</w:t>
      </w:r>
      <w:bookmarkEnd w:id="252"/>
    </w:p>
    <w:p>
      <w:pPr>
        <w:pStyle w:val="Heading4"/>
        <w:numPr>
          <w:ilvl w:val="3"/>
          <w:numId w:val="1"/>
        </w:numPr>
        <w:rPr/>
      </w:pPr>
      <w:bookmarkStart w:id="253" w:name="__RefHeading___Toc553635_730472459"/>
      <w:bookmarkStart w:id="254" w:name="_Toc96"/>
      <w:bookmarkEnd w:id="253"/>
      <w:r>
        <w:rPr>
          <w:rtl w:val="true"/>
        </w:rPr>
        <w:t xml:space="preserve">الموضع الأوّل </w:t>
      </w:r>
      <w:r>
        <w:rPr>
          <w:rtl w:val="true"/>
        </w:rPr>
        <w:t xml:space="preserve">: </w:t>
      </w:r>
      <w:r>
        <w:rPr>
          <w:rtl w:val="true"/>
        </w:rPr>
        <w:t>في تغنّي المرأة في العرائس</w:t>
      </w:r>
      <w:bookmarkEnd w:id="254"/>
    </w:p>
    <w:p>
      <w:pPr>
        <w:pStyle w:val="Heading5"/>
        <w:numPr>
          <w:ilvl w:val="4"/>
          <w:numId w:val="1"/>
        </w:numPr>
        <w:rPr/>
      </w:pPr>
      <w:bookmarkStart w:id="255" w:name="__RefHeading___Toc553637_730472459"/>
      <w:bookmarkStart w:id="256" w:name="_Toc97"/>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تغنّي المرأة في العرائس إذا لم تتكلّم بالباطل و لم تعمل بالملاهي ولم يسمع صوتها الأجانب من الرجال، فقد نقل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إباحة ذلک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و العلّامة 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w:t>
      </w:r>
      <w:r>
        <w:rPr>
          <w:rStyle w:val="FootnoteAnchor"/>
          <w:rtl w:val="true"/>
        </w:rPr>
        <w:footnoteReference w:id="6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ومستندهم هو ما تقدّم من النصوص الدالّة على تحريم الغناء بعنوان العموم والإطلاق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المجوّزين عدّة 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في الصحيح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المغنِّية الّتي تَزُفُّ العرائس ليس به بأسٌ، ليست بالّتي يدخل عليها الرجال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الّتي تزفّ العرائس لا بأس بكسبها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سأله عن كسب المغنّيات،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يدخل عليها الرجال حرام، والّتي تُدعى إلى الأعراس ليس به بأس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استدلال المانعين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المانعة مخصّصة بهذه النصوص الخاصّة،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عليه الصحيح المذكور هو عدم البأس بأجر المغنّية، و هو لا يستلزم حلّيّة الغناء، لجواز أن يكون حرامًا و الأجر حلالاً، فلا يصلح ما دلّ على نفي البأس في أجر المغنّية في العرائس لتخصيص النصوص المانعة، لأنّ المخصّص لابدّ أن يكون واضحة الدلالة </w:t>
      </w:r>
      <w:r>
        <w:rPr>
          <w:rFonts w:eastAsia="Amiri" w:cs="Amiri" w:ascii="Amiri" w:hAnsi="Amiri"/>
          <w:color w:val="111111"/>
          <w:sz w:val="28"/>
          <w:szCs w:val="28"/>
          <w:rtl w:val="true"/>
          <w:lang w:bidi="ar-SA"/>
        </w:rPr>
        <w:t xml:space="preserve">. </w:t>
      </w:r>
      <w:bookmarkStart w:id="257" w:name="pg14719_186633"/>
    </w:p>
    <w:p>
      <w:pPr>
        <w:pStyle w:val="BookText"/>
        <w:rPr/>
      </w:pPr>
      <w:bookmarkEnd w:id="257"/>
      <w:r>
        <w:rPr>
          <w:rFonts w:ascii="Amiri" w:hAnsi="Amiri" w:eastAsia="Amiri" w:cs="Amiri"/>
          <w:color w:val="111111"/>
          <w:sz w:val="28"/>
          <w:sz w:val="28"/>
          <w:szCs w:val="28"/>
          <w:rtl w:val="true"/>
          <w:lang w:bidi="ar-SA"/>
        </w:rPr>
        <w:t xml:space="preserve">إلّا أن يدّعى الاستقراء في أنّ الشيء إذا كان حرامًا كان أجره أيضًا حرامًا، فإذا ثبت حلّيّة أجر المغنّية في العرائس يكون الغناء أيضًا حلالاً ؛ و قد نصّ جملة من النصوص الدالّة على حرمة الغناء على حرمة ثمن المغنّية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الحديثين الأخيرين قد دلّا على عدم البأس بكسب المغنّية في العرائس، و كسبها هو التغنّي </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53639_730472459"/>
      <w:bookmarkStart w:id="259" w:name="_Toc98"/>
      <w:bookmarkEnd w:id="258"/>
      <w:r>
        <w:rPr>
          <w:rtl w:val="true"/>
        </w:rPr>
        <w:t>التغنّي في الحُداء جائز أم لا ؟</w:t>
      </w:r>
      <w:bookmarkEnd w:id="259"/>
    </w:p>
    <w:p>
      <w:pPr>
        <w:pStyle w:val="Heading4"/>
        <w:numPr>
          <w:ilvl w:val="3"/>
          <w:numId w:val="1"/>
        </w:numPr>
        <w:rPr/>
      </w:pPr>
      <w:bookmarkStart w:id="260" w:name="__RefHeading___Toc553641_730472459"/>
      <w:bookmarkStart w:id="261" w:name="_Toc99"/>
      <w:bookmarkEnd w:id="260"/>
      <w:r>
        <w:rPr>
          <w:rtl w:val="true"/>
        </w:rPr>
        <w:t xml:space="preserve">الموضع الثاني </w:t>
      </w:r>
      <w:r>
        <w:rPr>
          <w:rtl w:val="true"/>
        </w:rPr>
        <w:t xml:space="preserve">: </w:t>
      </w:r>
      <w:r>
        <w:rPr>
          <w:rtl w:val="true"/>
        </w:rPr>
        <w:t>في الحُدَاء</w:t>
      </w:r>
      <w:bookmarkEnd w:id="261"/>
    </w:p>
    <w:p>
      <w:pPr>
        <w:pStyle w:val="BookText"/>
        <w:rPr/>
      </w:pPr>
      <w:r>
        <w:rPr>
          <w:rFonts w:ascii="IRNazanin" w:hAnsi="IRNazanin" w:eastAsia="IRNazanin"/>
          <w:color w:val="111111"/>
          <w:sz w:val="28"/>
          <w:sz w:val="28"/>
          <w:szCs w:val="28"/>
          <w:rtl w:val="true"/>
          <w:lang w:bidi="fa-IR"/>
        </w:rPr>
        <w:t xml:space="preserve">و الثاني من تلک المواضع المختلف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الإنشاد الّذي ينساق به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الإنشاد الّذي يحثّ به الإبل على الإسراع في السير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الأعلام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الغناء فيه ؛ وكان مستندهم ما رواه في الفقيه باسناده في كتاب الحجّ عن السكوني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المسافر الحداء و الشعر ما كان منه ليس فيه خناء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ضعف السند بالشهرة منجبر، مع أنّ ظاهر الكفاية أنّه مجمع عليه بين الأصحاب،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واستثنى الأصحاب من الغناء المحرّم الحُداء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عجيب ما يناسب المقام ما حكاه بعض الأعلام عن أبي بكر المعروف بالرقي </w:t>
      </w:r>
      <w:r>
        <w:rPr>
          <w:rStyle w:val="FootnoteAnchor"/>
          <w:rtl w:val="true"/>
        </w:rPr>
        <w:footnoteReference w:id="6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أضافني بالبادية بعض قبائل العرب وأدخلني خباءه، فرأيت عبدًا مقيّدًا و رأيت بين يدي البيت أجمالاً ميتة و بقي منها جمل حيّ ناحل زابل، فقال لي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ضيف و سيّدي مكرم للضيف لا يردّ شفاعته، فاشفع لي عساه يحلّ عنّي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الطعام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الطعام ما لم أشفع في هذا العبد،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أفقرني و أتلف جميع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صوت طيّب و كنت أعيش من ظهور هذه الأجمال، فحملها أحمالاً ثقيلة وحدا بها، فقطعت مسيرة ثلاثة أيّام في ليلة من طيب نغمته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حطّ عنها الأحمال ماتت كلّها إلّا هذا الجمل، و لكن أنت ضيف و قد وهبته لک لكرامتک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أسمع صوته، فلمّا أصبحناه أمره أن يحمل على جمل يستقي عليه من بئر هناک، فلمّا رفع صوته بالحُداء قام ذلک الجمل و قطع حباله و وقعت أنا على وجهي، فما أظنّ أنّي سمعت صوتًا أطيب منه </w:t>
      </w:r>
      <w:r>
        <w:rPr>
          <w:rStyle w:val="FootnoteAnchor"/>
          <w:rtl w:val="true"/>
        </w:rPr>
        <w:footnoteReference w:id="648"/>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 xml:space="preserve">. </w:t>
      </w:r>
      <w:bookmarkStart w:id="262" w:name="pg14719_186635"/>
    </w:p>
    <w:p>
      <w:pPr>
        <w:pStyle w:val="BookText"/>
        <w:rPr/>
      </w:pPr>
      <w:bookmarkEnd w:id="262"/>
      <w:r>
        <w:rPr>
          <w:rFonts w:ascii="Amiri" w:hAnsi="Amiri" w:eastAsia="Amiri" w:cs="Amiri"/>
          <w:color w:val="111111"/>
          <w:sz w:val="28"/>
          <w:sz w:val="28"/>
          <w:szCs w:val="28"/>
          <w:rtl w:val="true"/>
          <w:lang w:bidi="ar-SA"/>
        </w:rPr>
        <w:t xml:space="preserve">الكلام في الغناء في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553643_730472459"/>
      <w:bookmarkStart w:id="264" w:name="_Toc100"/>
      <w:bookmarkEnd w:id="263"/>
      <w:r>
        <w:rPr>
          <w:rtl w:val="true"/>
        </w:rPr>
        <w:t xml:space="preserve">الموضع الثالث </w:t>
      </w:r>
      <w:r>
        <w:rPr>
          <w:rtl w:val="true"/>
        </w:rPr>
        <w:t xml:space="preserve">: </w:t>
      </w:r>
      <w:r>
        <w:rPr>
          <w:rtl w:val="true"/>
        </w:rPr>
        <w:t xml:space="preserve">مراثي الحسين </w:t>
      </w:r>
      <w:r>
        <w:rPr>
          <w:rtl w:val="true"/>
        </w:rPr>
        <w:t>(</w:t>
      </w:r>
      <w:r>
        <w:rPr>
          <w:rtl w:val="true"/>
        </w:rPr>
        <w:t>عليه السلام</w:t>
      </w:r>
      <w:r>
        <w:rPr>
          <w:rtl w:val="true"/>
        </w:rPr>
        <w:t>)</w:t>
      </w:r>
      <w:bookmarkEnd w:id="264"/>
    </w:p>
    <w:p>
      <w:pPr>
        <w:pStyle w:val="BookText"/>
        <w:rPr/>
      </w:pPr>
      <w:r>
        <w:rPr>
          <w:rFonts w:ascii="IRNazanin" w:hAnsi="IRNazanin" w:eastAsia="IRNazanin"/>
          <w:color w:val="111111"/>
          <w:sz w:val="28"/>
          <w:sz w:val="28"/>
          <w:szCs w:val="28"/>
          <w:rtl w:val="true"/>
          <w:lang w:bidi="fa-IR"/>
        </w:rPr>
        <w:t xml:space="preserve">و الثالث من تلک المواضع المختلف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قد حكي عن بعض الأصحاب استثناء ذلک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الكفاية بعد نقل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بعيد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الشيعة بعد وقوع ذلک الخطر العظيم و الأمر الجسيم قد كانوا مشتغلين بمراثيه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كلّ عصر عصر قد استكثروا في ذلک، فعلى هذا ليس الغناء في مراثيه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الأفراد النادرة حتّى لا ينصرف إليها إطلاق النصوص المتقدّمة، فاستثناؤه يحتاج إلى دليل، و ليس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يمكن أن يستدلّ لذلک بفحوى ما دلّ على جواز التغنّي في العرائس كما تقدّم، فإنّه إذا جاز التغنّيّ في العرائس ينبغي أن يجوز فيما نحن فيه بطريق أولى، لأنّ فيه خير الدنيا و الآخرة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الاستدلال لذلک أيضًا بما يدلّ على جواز النوح عليه مطلقًا، سواء </w:t>
      </w:r>
      <w:bookmarkStart w:id="265" w:name="pg14719_186636"/>
    </w:p>
    <w:p>
      <w:pPr>
        <w:pStyle w:val="BookText"/>
        <w:rPr/>
      </w:pPr>
      <w:bookmarkEnd w:id="265"/>
      <w:r>
        <w:rPr>
          <w:rFonts w:ascii="Amiri" w:hAnsi="Amiri" w:eastAsia="Amiri" w:cs="Amiri"/>
          <w:color w:val="111111"/>
          <w:sz w:val="28"/>
          <w:sz w:val="28"/>
          <w:szCs w:val="28"/>
          <w:rtl w:val="true"/>
          <w:lang w:bidi="ar-SA"/>
        </w:rPr>
        <w:t xml:space="preserve">اشتمل على الغناء، أم لا، لكنّ التعارض بينه و بين الأدلّة المتقدّمة من تعارض العموم من وجه، فيجب الرجوع إلى الترجيح ؛ و قد عرفت أنّه من وجوهٍ مع الأدلّة المانعة، إلّا أن يدّعى أنّ الغالب في النوحة اشتمالها على الغناء، فينصرف إليه إطلاق ما دلّ على جواز النوح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التعارض بينهما من باب تعارض النصّ و الظاهر ؛ و معلومٌ أنّ النصّ مقدّم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استماع الغناء تابعٌ له في التحريم و عدمه، فكلّما كان الغناء حرامًا كان استماعه أيضًا ؛ و كلّما كان جائزًا كان استماعه أيضًا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الكلام على تحريمه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53645_730472459"/>
      <w:bookmarkStart w:id="267" w:name="_Toc101"/>
      <w:bookmarkEnd w:id="266"/>
      <w:r>
        <w:rPr>
          <w:rtl w:val="true"/>
        </w:rPr>
        <w:t>الغناء من الكبائر</w:t>
      </w:r>
      <w:bookmarkEnd w:id="2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بيان أنّه من الكبائر،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عليه جملة من النصوص،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عبدالله بن مسكان، عن محمّد </w:t>
      </w:r>
      <w:r>
        <w:rPr>
          <w:rStyle w:val="FootnoteAnchor"/>
          <w:rtl w:val="true"/>
        </w:rPr>
        <w:footnoteReference w:id="651"/>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65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أولئک لهم عذاب مُهين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محمّد في هذا السند و إن كان الظاهر أنّه محمّد بن سنان </w:t>
      </w:r>
      <w:r>
        <w:rPr>
          <w:rStyle w:val="FootnoteAnchor"/>
          <w:rtl w:val="true"/>
        </w:rPr>
        <w:footnoteReference w:id="654"/>
      </w:r>
      <w:r>
        <w:rPr>
          <w:rFonts w:ascii="Amiri" w:hAnsi="Amiri" w:eastAsia="Amiri" w:cs="Amiri"/>
          <w:color w:val="111111"/>
          <w:sz w:val="28"/>
          <w:sz w:val="28"/>
          <w:szCs w:val="28"/>
          <w:rtl w:val="true"/>
          <w:lang w:bidi="ar-SA"/>
        </w:rPr>
        <w:t xml:space="preserve">و هو ضعيف، إلّا أنّ سند الحديث إليه معتبر ؛ و قد أجمعت العصابة على تصحيح ما يصحّ عن عبدالله بن مسكان ؛ على أنّ مضمون هذا الحديث مرويّ بطرق متعدّدة بعضها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دلالة الآية على كون الغناء من الكبائر واضح، لأنّ الكبائر قد عرفت أنّها الّتي أوعدها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بالنار ؛ و قد دلّ الحديث على أنّ الغناء من ذلک، لأنّ العذاب المهين هو عذاب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المغنِّية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للرجل الجارية تُلهيه، و ما ثمنها إلّا ثمن كلب، وثمن الكلب سُحتٌ، و السُحت في النار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دلّ على أنّ ثمن المغنّية في النار ؛ و معلوم أنّه ليس المراد من كون الثمن في النار أنّ نفس الثمن في النار، بل آكله، فدلّ الحديث على أنّ آكل ثمن المغنّية في النار، فيلزم عنه كون المغنّية فيها بطريق أولى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ذلک إنّما هو لأجل الغناء، فدلّ الحديث على أنّه ممّا يوجب النار، و هو المطلوب، إذ ليس المراد من الكبائر إلّا ذلک </w:t>
      </w:r>
      <w:r>
        <w:rPr>
          <w:rFonts w:eastAsia="IRNazanin" w:cs="IRNazanin"/>
          <w:color w:val="111111"/>
          <w:sz w:val="28"/>
          <w:szCs w:val="28"/>
          <w:rtl w:val="true"/>
          <w:lang w:bidi="fa-IR"/>
        </w:rPr>
        <w:t xml:space="preserve">. </w:t>
      </w:r>
      <w:bookmarkStart w:id="268" w:name="pg14719_186638"/>
    </w:p>
    <w:p>
      <w:pPr>
        <w:pStyle w:val="BookText"/>
        <w:rPr/>
      </w:pPr>
      <w:bookmarkEnd w:id="268"/>
      <w:r>
        <w:rPr>
          <w:rFonts w:ascii="Amiri" w:hAnsi="Amiri" w:eastAsia="Amiri" w:cs="Amiri"/>
          <w:color w:val="111111"/>
          <w:sz w:val="28"/>
          <w:sz w:val="28"/>
          <w:szCs w:val="28"/>
          <w:rtl w:val="true"/>
          <w:lang w:bidi="ar-SA"/>
        </w:rPr>
        <w:t xml:space="preserve">و في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القريب من الصحيح بابن أبي عمير 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عليه النار و تلا هذه الآية </w:t>
      </w:r>
      <w:r>
        <w:rPr>
          <w:rStyle w:val="FootnoteAnchor"/>
          <w:rtl w:val="true"/>
        </w:rPr>
        <w:footnoteReference w:id="6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يشترى لهو الحديث ليُضِلَّ عن سبيل الله بغير علم و يتّخذها هزوًا أولئک لهم عذاب مُهين </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أصرح ممّا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أنّ الغناء من الكبائر، فقد ظهر لک أنّه لا تقبل شهادة فاعله و لو من غير إصرار </w:t>
      </w:r>
      <w:r>
        <w:rPr>
          <w:rFonts w:eastAsia="IRNazanin" w:cs="IRNazanin"/>
          <w:color w:val="111111"/>
          <w:sz w:val="28"/>
          <w:szCs w:val="28"/>
          <w:rtl w:val="true"/>
          <w:lang w:bidi="fa-IR"/>
        </w:rPr>
        <w:t>.</w:t>
      </w:r>
    </w:p>
    <w:p>
      <w:pPr>
        <w:pStyle w:val="Heading3"/>
        <w:numPr>
          <w:ilvl w:val="2"/>
          <w:numId w:val="1"/>
        </w:numPr>
        <w:rPr/>
      </w:pPr>
      <w:bookmarkStart w:id="269" w:name="__RefHeading___Toc553647_730472459"/>
      <w:bookmarkStart w:id="270" w:name="_Toc102"/>
      <w:bookmarkEnd w:id="269"/>
      <w:r>
        <w:rPr>
          <w:rtl w:val="true"/>
        </w:rPr>
        <w:t>استماع الغناء من الكبائر أم لا ؟</w:t>
      </w:r>
      <w:bookmarkEnd w:id="270"/>
    </w:p>
    <w:p>
      <w:pPr>
        <w:pStyle w:val="BookText"/>
        <w:rPr/>
      </w:pPr>
      <w:r>
        <w:rPr>
          <w:rFonts w:ascii="IRNazanin" w:hAnsi="IRNazanin" w:eastAsia="IRNazanin"/>
          <w:color w:val="111111"/>
          <w:sz w:val="28"/>
          <w:sz w:val="28"/>
          <w:szCs w:val="28"/>
          <w:rtl w:val="true"/>
          <w:lang w:bidi="fa-IR"/>
        </w:rPr>
        <w:t xml:space="preserve">و أمّا استماع الغناء، فحرمته ممّا لا شبهة فيه كما علمت ؛ و أمّا كونه سببًا لتفسيق مستمعه و لو من غير إصرار، فقد ادّعى الإجماع الظاهريّ على ذلک في كشف اللثام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جملة من النصوص على أنّ استماع الغناء نفاق، أو منبتٌ له ؛ و من الأوّل قد تقدّم ذكره، و من الثاني ما رواه عنبسة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bookmarkStart w:id="271" w:name="pg14719_186639"/>
    </w:p>
    <w:p>
      <w:pPr>
        <w:pStyle w:val="BookText"/>
        <w:rPr/>
      </w:pPr>
      <w:bookmarkEnd w:id="271"/>
      <w:r>
        <w:rPr>
          <w:rFonts w:ascii="Amiri" w:hAnsi="Amiri" w:eastAsia="Amiri" w:cs="Amiri"/>
          <w:color w:val="111111"/>
          <w:sz w:val="28"/>
          <w:sz w:val="28"/>
          <w:szCs w:val="28"/>
          <w:rtl w:val="true"/>
          <w:lang w:bidi="ar-SA"/>
        </w:rPr>
        <w:t xml:space="preserve">استماع الغناء و اللهو ينبت النفاق في القلب كما ينبت الماء الزرع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يمكن الاستدلال لذلک بما تقدّم من صحيحة مسعدة بن زياد المتقدّمة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كنيفًا لي و لي جيران عندهم جوارٍ يتغنّين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فاغتسل وصلّ </w:t>
      </w:r>
      <w:r>
        <w:rPr>
          <w:rStyle w:val="FootnoteAnchor"/>
          <w:rtl w:val="true"/>
        </w:rPr>
        <w:footnoteReference w:id="660"/>
      </w:r>
      <w:r>
        <w:rPr>
          <w:rFonts w:ascii="IRNazanin" w:hAnsi="IRNazanin" w:eastAsia="IRNazanin"/>
          <w:color w:val="111111"/>
          <w:sz w:val="28"/>
          <w:sz w:val="28"/>
          <w:szCs w:val="28"/>
          <w:rtl w:val="true"/>
          <w:lang w:bidi="fa-IR"/>
        </w:rPr>
        <w:t xml:space="preserve">ما بدا لک، فإنّک كنت مقيمًا على أمر عظيم ما كان أسوء حالک لو متّ على ذلک، الحديث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فإنّک كنت مقيمًا على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كان أسْوَءَ حالک لو مِتَّ على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أنّ استماع الغناء من الكبائر، فتأمّل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53649_730472459"/>
      <w:bookmarkStart w:id="273" w:name="_Toc103"/>
      <w:bookmarkEnd w:id="272"/>
      <w:r>
        <w:rPr>
          <w:rtl w:val="true"/>
        </w:rPr>
        <w:t>الاشتغال بآلات اللهو حرامٌ</w:t>
      </w:r>
      <w:bookmarkEnd w:id="273"/>
    </w:p>
    <w:p>
      <w:pPr>
        <w:pStyle w:val="Heading2"/>
        <w:numPr>
          <w:ilvl w:val="1"/>
          <w:numId w:val="1"/>
        </w:numPr>
        <w:rPr/>
      </w:pPr>
      <w:bookmarkStart w:id="274" w:name="__RefHeading___Toc553651_730472459"/>
      <w:bookmarkStart w:id="275" w:name="_Toc104"/>
      <w:bookmarkEnd w:id="274"/>
      <w:r>
        <w:rPr/>
        <w:t>8</w:t>
      </w:r>
      <w:r>
        <w:rPr>
          <w:rtl w:val="true"/>
        </w:rPr>
        <w:t xml:space="preserve">- </w:t>
      </w:r>
      <w:r>
        <w:rPr>
          <w:rtl w:val="true"/>
        </w:rPr>
        <w:t>مسألة</w:t>
      </w:r>
      <w:bookmarkEnd w:id="275"/>
    </w:p>
    <w:p>
      <w:pPr>
        <w:pStyle w:val="Heading3"/>
        <w:numPr>
          <w:ilvl w:val="2"/>
          <w:numId w:val="1"/>
        </w:numPr>
        <w:rPr/>
      </w:pPr>
      <w:bookmarkStart w:id="276" w:name="__RefHeading___Toc553653_730472459"/>
      <w:bookmarkStart w:id="277" w:name="_Toc105"/>
      <w:bookmarkEnd w:id="276"/>
      <w:r>
        <w:rPr>
          <w:rtl w:val="true"/>
        </w:rPr>
        <w:t>اشارة</w:t>
      </w:r>
      <w:bookmarkEnd w:id="2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يحرم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كالمزمار والعود والصَنج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في كشف اللثام </w:t>
      </w:r>
      <w:r>
        <w:rPr>
          <w:rStyle w:val="FootnoteAnchor"/>
          <w:rtl w:val="true"/>
        </w:rPr>
        <w:footnoteReference w:id="663"/>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أنهاكم عن الزَفْن و المِزْمَار و عن الكُوبَات والكَبَرَات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و الدفّ، و يزفنون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يزمر به، والزمر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التغنّي في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للنرد و الشطرنج والطبل الصغير و البربط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رواية عمران الزعفرانيّ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أنعم الله عليه بنعمة، فجاء عند تلک النعمة بمِزمار فقد كفرها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إيّاک والصَوانجَ</w:t>
      </w:r>
      <w:r>
        <w:rPr>
          <w:rStyle w:val="FootnoteAnchor"/>
          <w:rtl w:val="true"/>
        </w:rPr>
        <w:footnoteReference w:id="667"/>
      </w:r>
      <w:r>
        <w:rPr>
          <w:rFonts w:ascii="IRNazanin" w:hAnsi="IRNazanin" w:eastAsia="IRNazanin"/>
          <w:color w:val="111111"/>
          <w:sz w:val="28"/>
          <w:sz w:val="28"/>
          <w:szCs w:val="28"/>
          <w:rtl w:val="true"/>
          <w:lang w:bidi="fa-IR"/>
        </w:rPr>
        <w:t>فإنَّ الشيطان يركض معک والملائكة تنفر عنک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حرمة الاشتغال بها و استماع أصواتها و تفسيق الفاعل و المستمع بعنوان الإصرار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الإشكال في أنّه هل يفسقا مطلقًا و لو من غير إصرار، فلا تقبل شهادتهما كذلک، أم يعتبر في الحكم بالتفسيق و عدم قبول الشهادة إصرارهما في فعلها واستماعهما، فلا يضرّ في العدالة فعلها و استماعها من غير إصرار ؟</w:t>
      </w:r>
    </w:p>
    <w:p>
      <w:pPr>
        <w:pStyle w:val="BookText"/>
        <w:rPr/>
      </w:pPr>
      <w:r>
        <w:rPr>
          <w:rFonts w:ascii="Amiri" w:hAnsi="Amiri" w:eastAsia="Amiri" w:cs="Amiri"/>
          <w:color w:val="111111"/>
          <w:sz w:val="28"/>
          <w:sz w:val="28"/>
          <w:szCs w:val="28"/>
          <w:rtl w:val="true"/>
          <w:lang w:bidi="ar-SA"/>
        </w:rPr>
        <w:t xml:space="preserve">ظاهر المحقّق و العلّامة </w:t>
      </w:r>
      <w:r>
        <w:rPr>
          <w:rStyle w:val="FootnoteAnchor"/>
          <w:rtl w:val="true"/>
        </w:rPr>
        <w:footnoteReference w:id="669"/>
      </w:r>
      <w:r>
        <w:rPr>
          <w:rFonts w:ascii="IRNazanin" w:hAnsi="IRNazanin" w:eastAsia="IRNazanin"/>
          <w:color w:val="111111"/>
          <w:sz w:val="28"/>
          <w:sz w:val="28"/>
          <w:szCs w:val="28"/>
          <w:rtl w:val="true"/>
          <w:lang w:bidi="fa-IR"/>
        </w:rPr>
        <w:t xml:space="preserve">الأوّل، لكن إثبات ذلک من حيث الدليل مشكل، لعدم دليل على كونها من الكبائر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تقدّم فيما كتبه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المأمون في تعداد الكبائر الاشتغال بالملاهي ؛ و لا شکّ أنّ الاشتغال بآلات اللهو كلّها اشتغال بالملاهي، وكذا استماعها، إلّا أنّ بلوغ تلک الرواية في حدّ الحجّيّة فيما نحن فيه غير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الخلاف </w:t>
      </w:r>
      <w:r>
        <w:rPr>
          <w:rStyle w:val="FootnoteAnchor"/>
          <w:rtl w:val="true"/>
        </w:rPr>
        <w:footnoteReference w:id="670"/>
      </w:r>
      <w:r>
        <w:rPr>
          <w:rFonts w:ascii="IRNazanin" w:hAnsi="IRNazanin" w:eastAsia="IRNazanin"/>
          <w:color w:val="111111"/>
          <w:sz w:val="28"/>
          <w:sz w:val="28"/>
          <w:szCs w:val="28"/>
          <w:rtl w:val="true"/>
          <w:lang w:bidi="fa-IR"/>
        </w:rPr>
        <w:t xml:space="preserve">أنّه استدلّ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لتفسيق المشتغل بآلات اللهو ومستمعها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بشمول الغناء لها، فيشملها نصوصه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أفهمه، فالقول بتفسيق الفاعل و المستمع و زوال عدالتهما و لو من غير إصرار مشكل، لعدم ما يصلح دليلاً لذلک </w:t>
      </w:r>
      <w:r>
        <w:rPr>
          <w:rFonts w:eastAsia="IRNazanin" w:cs="IRNazanin"/>
          <w:color w:val="111111"/>
          <w:sz w:val="28"/>
          <w:szCs w:val="28"/>
          <w:rtl w:val="true"/>
          <w:lang w:bidi="fa-IR"/>
        </w:rPr>
        <w:t xml:space="preserve">. </w:t>
      </w:r>
      <w:bookmarkStart w:id="278" w:name="pg14719_186642"/>
    </w:p>
    <w:p>
      <w:pPr>
        <w:pStyle w:val="Heading3"/>
        <w:numPr>
          <w:ilvl w:val="2"/>
          <w:numId w:val="1"/>
        </w:numPr>
        <w:rPr/>
      </w:pPr>
      <w:bookmarkStart w:id="279" w:name="__RefHeading___Toc553655_730472459"/>
      <w:bookmarkStart w:id="280" w:name="_Toc106"/>
      <w:bookmarkEnd w:id="278"/>
      <w:bookmarkEnd w:id="279"/>
      <w:r>
        <w:rPr>
          <w:rtl w:val="true"/>
        </w:rPr>
        <w:t>الدفّ في العرائس جائز أم لا ؟</w:t>
      </w:r>
      <w:bookmarkEnd w:id="280"/>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استثنى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 العلّامة </w:t>
      </w:r>
      <w:r>
        <w:rPr>
          <w:rStyle w:val="FootnoteAnchor"/>
          <w:rtl w:val="true"/>
        </w:rPr>
        <w:footnoteReference w:id="671"/>
      </w:r>
      <w:r>
        <w:rPr>
          <w:rFonts w:ascii="Amiri" w:hAnsi="Amiri" w:eastAsia="Amiri" w:cs="Amiri"/>
          <w:color w:val="111111"/>
          <w:sz w:val="28"/>
          <w:sz w:val="28"/>
          <w:szCs w:val="28"/>
          <w:rtl w:val="true"/>
          <w:lang w:bidi="ar-SA"/>
        </w:rPr>
        <w:t xml:space="preserve">، و المحكيّ عن الشيخ و الشهيد و المحقّق الثاني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 في الأعراس و الختان، فأباحوه فيهما مع الكراهة، لما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أعلنوا النكاح و اضربوا عليه بالغربال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ما بين الحلال و الحرام الضرب بالدفّ في النكاح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التعارض بينهما و بين ما يدلّ على عدم جواز الاشتغال باللهو والدفّ من تعارض المطلق و المقيّد ؛ و معلوم أنّ المطلق يحمل على المقيّد، فيكون مآل الجمع بينهما عدم جواز الدفّ في غير النكاح و جوازه فيه ؛ و هو و إن كان أخصّ من المدّعى، لأنّ المدّعى جواز الدفّ في النكاح و الختان، و مقتضى الجمع المذكور جواز الدفّ في النكاح، إلّا أنّه يضمّ جوازه في الختان أيضًا، لعدم القول بالفصل ظاهرًا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فيه نظر، لأنّ المطلق إنّما يحمل على المقيّد إذا كان المقيّد صالحًا للتقييد ؛ وهنا ليس كذلک، لأنّ الحديثين المذكورين كِلَيهما عامّيان، و لم يبلغ فتواهم في المسألة إلى حدّ الشهرة حتّى يجبر بها ضعفهما، فعلى هذا العمل بإطلاق النهي لازم، كما نقل ذلک عن ابن إدريس و عن العلّامة في التذكرة </w:t>
      </w:r>
      <w:r>
        <w:rPr>
          <w:rStyle w:val="FootnoteAnchor"/>
          <w:rtl w:val="true"/>
        </w:rPr>
        <w:footnoteReference w:id="675"/>
      </w:r>
      <w:r>
        <w:rPr>
          <w:rFonts w:ascii="IRNazanin" w:hAnsi="IRNazanin" w:eastAsia="IRNazanin"/>
          <w:color w:val="111111"/>
          <w:sz w:val="28"/>
          <w:sz w:val="28"/>
          <w:szCs w:val="28"/>
          <w:rtl w:val="true"/>
          <w:lang w:bidi="fa-IR"/>
        </w:rPr>
        <w:t>، و قد اختاره من</w:t>
      </w:r>
    </w:p>
    <w:p>
      <w:pPr>
        <w:pStyle w:val="BookText"/>
        <w:rPr/>
      </w:pPr>
      <w:r>
        <w:rPr>
          <w:rFonts w:ascii="Amiri" w:hAnsi="Amiri" w:eastAsia="Amiri" w:cs="Amiri"/>
          <w:color w:val="111111"/>
          <w:sz w:val="28"/>
          <w:sz w:val="28"/>
          <w:szCs w:val="28"/>
          <w:rtl w:val="true"/>
          <w:lang w:bidi="ar-SA"/>
        </w:rPr>
        <w:t xml:space="preserve">المتأخّرين جماعة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يستدلّ لجواز الدفّ في العرائس بما دلّ على جواز التغنّي فيها من النصوص المتقدّمة الّتي كانت من جملتها الصحيحة، بناءً على أنّه إذا ثبت جواز التغنّي في العرائس مع كونه من الكبائر كما عرفت، فجواز الدفّ فيها بطريق أولى، لعدم ثبوت كونه من الكبائر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دلّ على جواز الدفّ في العرائس، إلّا أنّه يضمّ الختان إليها لما عرفت، لكن هذا إنّما يصحّ إذا لم يقل القائلون بجواز الدفّ فيهما أنّه من الكبائر ؛ والظاهر من المحقّق و العلّامة و كذا الشيخ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منها،فلايصحّ التمسّک بما مرّ ؛ و كلام غيرهم من القائلين بجوازه فيهما لم أعثر عليه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أن يقال بصحّة الاستدلال المذكور و إن كان القائلون بجواز الدفّ في العرائس و الختان قالوا بأنّه من الكبائر، بناءً على أنّه لا شکّ في تفاوت مراتب </w:t>
      </w:r>
    </w:p>
    <w:p>
      <w:pPr>
        <w:pStyle w:val="BookText"/>
        <w:rPr/>
      </w:pPr>
      <w:r>
        <w:rPr>
          <w:rFonts w:ascii="Amiri" w:hAnsi="Amiri" w:eastAsia="Amiri" w:cs="Amiri"/>
          <w:color w:val="111111"/>
          <w:sz w:val="28"/>
          <w:sz w:val="28"/>
          <w:szCs w:val="28"/>
          <w:rtl w:val="true"/>
          <w:lang w:bidi="ar-SA"/>
        </w:rPr>
        <w:t xml:space="preserve">الكبائر في الشدّة، كقتل النفس مثلاً مع السرقة، و الزنا مع المحصنة و غيرها، وهكذا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الدفّ و إن كان من الكبائر بناءً على القول بذلک، إلّا أنّه يجوز أن يكون حكمه أخفّ من الغناء ؛ و لهذا قد كثرت النصوص بالنسبة إلى مذمّة الغناء، و قد صرّح في بعضها أنّه ممّا وعد الله عليه بالنار كما عرفت، بخلاف الدفّ، فإنّ النصّ في شأنه ليس مثل النصّ في الغناء، و لم يصرّح في نصٍّ أنّه ممّا وعد الله عليه بالنار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قد اتّفق الأصحاب ظاهرًا على أنّ الغناء من الكبائر، بخلاف الدفّ، فإنّه مختلف فيه في كونه من الكبائر أم لا، فعلى هذا يكون الغناء بالنسبة إليه أشدّ، فإذا ثبت جوازه في النكاح مع كونه أشدّ، فثبوت الدفّ ينبغي أن يكون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ما ذكر ينبغي أن يكون جميع آلات اللهو جائزًا في النكاح، لتحقّق ما مرّ بالنسبة إلى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إن كان كذلک، إلّا أنّه لمّا كان مورد الخبرين هو الدفّ، و كانت الأولويّة لعلّها غير مستقلة في الدلالة، لكنّها صارت معتضدة للروايتين المذكورتين، فلهذا خصّوا الجواز بالدفّ، فتأمّل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مقتضى الخبرين المذكورين و الأولويّة المزبورة و إطلاق كلام جماعة من الأصحاب عدم الفرق بين كون الدفّ المستثنى في العرائس ذا صَنج، </w:t>
      </w:r>
    </w:p>
    <w:p>
      <w:pPr>
        <w:pStyle w:val="BookText"/>
        <w:rPr/>
      </w:pPr>
      <w:r>
        <w:rPr>
          <w:rFonts w:ascii="Amiri" w:hAnsi="Amiri" w:eastAsia="Amiri" w:cs="Amiri"/>
          <w:color w:val="111111"/>
          <w:sz w:val="28"/>
          <w:sz w:val="28"/>
          <w:szCs w:val="28"/>
          <w:rtl w:val="true"/>
          <w:lang w:bidi="ar-SA"/>
        </w:rPr>
        <w:t xml:space="preserve">أم لا ؛ و عن شيخنا الشهيد و المحقّق الثاني </w:t>
      </w:r>
      <w:r>
        <w:rPr>
          <w:rStyle w:val="FootnoteAnchor"/>
          <w:rtl w:val="true"/>
        </w:rPr>
        <w:footnoteReference w:id="678"/>
      </w:r>
      <w:r>
        <w:rPr>
          <w:rFonts w:ascii="Amiri" w:hAnsi="Amiri" w:eastAsia="Amiri" w:cs="Amiri"/>
          <w:color w:val="111111"/>
          <w:sz w:val="28"/>
          <w:sz w:val="28"/>
          <w:szCs w:val="28"/>
          <w:rtl w:val="true"/>
          <w:lang w:bidi="ar-SA"/>
        </w:rPr>
        <w:t xml:space="preserve">تقييده بالثاني،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الدفّ مشتملاً على صَنج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إلى هذا التقييد في المسالک أيضًا حيث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واستثنى من ذلک الدفّ الغير المشتمل على الصَنج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بقاء العموم و الإطلاق على حالهما ؛ و الفرد اليقينيّ من المخصّص في المقام هو الدفّ الغير المشتمل على ما ذكر، فيقتصر في التخصيص عليه اقتصارًا فيما خالف الأصل على الفرد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لو سلّمت صلاحيّتهما للتخصيص و التقييد ينبغي أن يقال باستثناء الدفّ مطلقًا، سواء كان مشتملاً على الصَنج، أم لا، لإطلاقهما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الصَنج الّذي اشتمل عليه 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المجمع عن المطرزي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يجعل في أطار الدفّ من النحاس المدوّرة صغارًا، إنتهى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81" w:name="pg14719_186646"/>
    </w:p>
    <w:p>
      <w:pPr>
        <w:pStyle w:val="BookText"/>
        <w:rPr/>
      </w:pPr>
      <w:bookmarkEnd w:id="281"/>
      <w:r>
        <w:rPr>
          <w:rFonts w:ascii="Amiri" w:hAnsi="Amiri" w:eastAsia="Amiri" w:cs="Amiri"/>
          <w:color w:val="111111"/>
          <w:sz w:val="28"/>
          <w:sz w:val="28"/>
          <w:szCs w:val="28"/>
          <w:rtl w:val="true"/>
          <w:lang w:bidi="ar-SA"/>
        </w:rPr>
        <w:t>لبس الحرير من الكبائر أم لا ؟</w:t>
      </w:r>
    </w:p>
    <w:p>
      <w:pPr>
        <w:pStyle w:val="Heading2"/>
        <w:numPr>
          <w:ilvl w:val="1"/>
          <w:numId w:val="1"/>
        </w:numPr>
        <w:rPr/>
      </w:pPr>
      <w:bookmarkStart w:id="282" w:name="__RefHeading___Toc553657_730472459"/>
      <w:bookmarkStart w:id="283" w:name="_Toc107"/>
      <w:bookmarkEnd w:id="282"/>
      <w:r>
        <w:rPr/>
        <w:t>9</w:t>
      </w:r>
      <w:r>
        <w:rPr>
          <w:rtl w:val="true"/>
        </w:rPr>
        <w:t xml:space="preserve">- </w:t>
      </w:r>
      <w:r>
        <w:rPr>
          <w:rtl w:val="true"/>
        </w:rPr>
        <w:t>مسألة</w:t>
      </w:r>
      <w:bookmarkEnd w:id="283"/>
    </w:p>
    <w:p>
      <w:pPr>
        <w:pStyle w:val="Heading3"/>
        <w:numPr>
          <w:ilvl w:val="2"/>
          <w:numId w:val="1"/>
        </w:numPr>
        <w:rPr/>
      </w:pPr>
      <w:bookmarkStart w:id="284" w:name="__RefHeading___Toc553659_730472459"/>
      <w:bookmarkStart w:id="285" w:name="_Toc108"/>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قد استفاض نقل الإجماع على حرمة لبس الحرير المحض للرجال ؛ و يدلّ عليه جملة من النصوص،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الذهب و الحرير للإناث من أمّتي، و حرامٌ على ذكورها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محرّمان على ذكور أمّتي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تلبسوا الحرير، فإنّ من لبسه في الدنيا لم يلبسه في الآخرة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لبس الحرير المحض للرجال ممّا لا كلام فيه، لكنّ الكلام في أنّه هل هو من الكبائر، فلا تقبل شهادة لابسه و لو من غير إصرار ؛ أم لا، بل من الصغائر، فلبسه من غير إصرار لا يقدح في العدالة، فلا تردّ شهادته إلّا مع الإصرار؟ </w:t>
      </w:r>
    </w:p>
    <w:p>
      <w:pPr>
        <w:pStyle w:val="BookText"/>
        <w:rPr/>
      </w:pPr>
      <w:r>
        <w:rPr>
          <w:rFonts w:ascii="IRNazanin" w:hAnsi="IRNazanin" w:eastAsia="IRNazanin"/>
          <w:color w:val="111111"/>
          <w:sz w:val="28"/>
          <w:sz w:val="28"/>
          <w:szCs w:val="28"/>
          <w:rtl w:val="true"/>
          <w:lang w:bidi="fa-IR"/>
        </w:rPr>
        <w:t xml:space="preserve">ظاهر النافع و الشرائع و الإرشاد و القواعد </w:t>
      </w:r>
      <w:r>
        <w:rPr>
          <w:rStyle w:val="FootnoteAnchor"/>
          <w:rtl w:val="true"/>
        </w:rPr>
        <w:footnoteReference w:id="684"/>
      </w:r>
      <w:r>
        <w:rPr>
          <w:rFonts w:ascii="Amiri" w:hAnsi="Amiri" w:eastAsia="Amiri" w:cs="Amiri"/>
          <w:color w:val="111111"/>
          <w:sz w:val="28"/>
          <w:sz w:val="28"/>
          <w:szCs w:val="28"/>
          <w:rtl w:val="true"/>
          <w:lang w:bidi="ar-SA"/>
        </w:rPr>
        <w:t>الأوّل ؛ و هو المحكيّ عن ظاهر</w:t>
      </w:r>
    </w:p>
    <w:p>
      <w:pPr>
        <w:pStyle w:val="BookText"/>
        <w:rPr/>
      </w:pPr>
      <w:r>
        <w:rPr>
          <w:rFonts w:ascii="Amiri" w:hAnsi="Amiri" w:eastAsia="Amiri" w:cs="Amiri"/>
          <w:color w:val="111111"/>
          <w:sz w:val="28"/>
          <w:sz w:val="28"/>
          <w:szCs w:val="28"/>
          <w:rtl w:val="true"/>
          <w:lang w:bidi="ar-SA"/>
        </w:rPr>
        <w:t xml:space="preserve">التحرير و التلخيص أيضًا </w:t>
      </w:r>
      <w:r>
        <w:rPr>
          <w:rStyle w:val="FootnoteAnchor"/>
          <w:rtl w:val="true"/>
        </w:rPr>
        <w:footnoteReference w:id="685"/>
      </w:r>
      <w:r>
        <w:rPr>
          <w:rFonts w:ascii="IRNazanin" w:hAnsi="IRNazanin" w:eastAsia="IRNazanin"/>
          <w:color w:val="111111"/>
          <w:sz w:val="28"/>
          <w:sz w:val="28"/>
          <w:szCs w:val="28"/>
          <w:rtl w:val="true"/>
          <w:lang w:bidi="fa-IR"/>
        </w:rPr>
        <w:t xml:space="preserve">، و لم نجد دليلاً على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الأدلّة الحرمة، و هي غير مستلزمة لكونه من الكبائر، لاشتراک الصغائر معها فيها، بل مقتضى الأصل العدم، لأنّ العدالة الثابتة الأصل بقاؤها إلى أن ثبت لها رافع يقينيّ، و هو فعل شيءٍ من الكبائر أو الصغائر، لكن مع الإصرار ؛ ولم يثبت كون لبس الحرير من الأوّل لما عرفت، فالأصل بقاء العدالة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معارضٌ بأصالة عدم قبول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الأصل قد ارتفع حكمه بتحقّق العدالة، لأنّ مفروض المسألة أنّ العدالة الثابتة هل ترتفع بلبس الحرير أم لا ؟ فلا وجه للتمسّک بأصالة عدم قبول الشهادة حينئذ، بل الأصل قبول 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الشهادة غير جائز إلّا مع الاجتناب عن الكبائر، و الاجتناب عنها إنّما يتحقّق إذا اجتنب عن كلّ ما احتمل أنّه كبيرة، فيجب الاجتناب عن لبس الحرير، لاحتمال أنّه من الكبائر ؛ و اللابس له و لو من غير إصرار لا يصدق عليه أنّه اجتنب الكبائر، فلا تقبل شهادته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فرض تسليم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إنّما يصحّ إذا علّق قبول الشهادة بالاجتناب عن الكبيرة في النصّ و لم نجده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على فرض تسليم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الاجتناب عن الكبيرة هو ما علم أنّه كبيرة، لا ما احتمل ؛ و لبس الحرير ليس من الأوّل كما عرفت، بل من الثاني، فلا يقدح في العدالة من غير إصرار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التحقيق ليس مختصًّا بخصوص هذه المسألة، بل مطّرد في كلّ ما لم يعلم أنّه من الكبائر، فلا تردّ شهادة فاعله من غير 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من حرمة لبس الحرير إنّما هو في غير حال الحرب والضرورة ؛ و أمّا فيهما، فالجواز أمّا في الأوّل فلموثّقة سماعة بن مهران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الحرير والديباج،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الحرب فلا بأس به و إن كان فيه تماثيل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 الحميري في قرب الإسناد عن الحسن بن طريف، عن الحسين بن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بلباس الحرير والديباج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فيه تماثيل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بهما يخصّص إطلاق ما يدلّ على حرمة 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لتحقيق المقام موضع أليق، و لهذا نكتفي في هذا المقام بما ذكر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اللبس في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لأنّ </w:t>
      </w:r>
    </w:p>
    <w:p>
      <w:pPr>
        <w:pStyle w:val="BookText"/>
        <w:rPr/>
      </w:pPr>
      <w:r>
        <w:rPr>
          <w:rFonts w:ascii="Amiri" w:hAnsi="Amiri" w:eastAsia="Amiri" w:cs="Amiri"/>
          <w:color w:val="111111"/>
          <w:sz w:val="28"/>
          <w:sz w:val="28"/>
          <w:szCs w:val="28"/>
          <w:rtl w:val="true"/>
          <w:lang w:bidi="ar-SA"/>
        </w:rPr>
        <w:t xml:space="preserve">الضرورات تبيح المحظورات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التحريم فيما كان مختصّ باللبس، فلا بأس بالتُكأة عليه والافتراش به و لو في حال الاختيار،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اختصاص الموجب للخروج عنه باللبس إمّا لكونه المتبادر منه و إن لم يكن اللبس مذكورًا، أو لكونه مذكورًا فيه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فراش حرير </w:t>
      </w:r>
      <w:r>
        <w:rPr>
          <w:rStyle w:val="FootnoteAnchor"/>
          <w:rtl w:val="true"/>
        </w:rPr>
        <w:footnoteReference w:id="689"/>
      </w:r>
      <w:r>
        <w:rPr>
          <w:rFonts w:ascii="Amiri" w:hAnsi="Amiri" w:eastAsia="Amiri" w:cs="Amiri"/>
          <w:color w:val="111111"/>
          <w:sz w:val="28"/>
          <w:sz w:val="28"/>
          <w:szCs w:val="28"/>
          <w:rtl w:val="true"/>
          <w:lang w:bidi="ar-SA"/>
        </w:rPr>
        <w:t xml:space="preserve">و مثله من الديباج، و مصلّى من حرير </w:t>
      </w:r>
      <w:r>
        <w:rPr>
          <w:rStyle w:val="FootnoteAnchor"/>
          <w:rtl w:val="true"/>
        </w:rPr>
        <w:footnoteReference w:id="690"/>
      </w:r>
      <w:r>
        <w:rPr>
          <w:rFonts w:ascii="Amiri" w:hAnsi="Amiri" w:eastAsia="Amiri" w:cs="Amiri"/>
          <w:color w:val="111111"/>
          <w:sz w:val="28"/>
          <w:sz w:val="28"/>
          <w:szCs w:val="28"/>
          <w:rtl w:val="true"/>
          <w:lang w:bidi="ar-SA"/>
        </w:rPr>
        <w:t xml:space="preserve">و مثله من الديباج، هل يصلح للرجل النوم عليه و التُكَأَة </w:t>
      </w:r>
      <w:r>
        <w:rPr>
          <w:rStyle w:val="FootnoteAnchor"/>
          <w:rtl w:val="true"/>
        </w:rPr>
        <w:footnoteReference w:id="691"/>
      </w:r>
      <w:r>
        <w:rPr>
          <w:rFonts w:ascii="Amiri" w:hAnsi="Amiri" w:eastAsia="Amiri" w:cs="Amiri"/>
          <w:color w:val="111111"/>
          <w:sz w:val="28"/>
          <w:sz w:val="28"/>
          <w:szCs w:val="28"/>
          <w:rtl w:val="true"/>
          <w:lang w:bidi="ar-SA"/>
        </w:rPr>
        <w:t xml:space="preserve">و الصلاة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يفترشه </w:t>
      </w:r>
      <w:r>
        <w:rPr>
          <w:rStyle w:val="FootnoteAnchor"/>
          <w:rtl w:val="true"/>
        </w:rPr>
        <w:footnoteReference w:id="692"/>
      </w:r>
      <w:r>
        <w:rPr>
          <w:rFonts w:ascii="Amiri" w:hAnsi="Amiri" w:eastAsia="Amiri" w:cs="Amiri"/>
          <w:color w:val="111111"/>
          <w:sz w:val="28"/>
          <w:sz w:val="28"/>
          <w:szCs w:val="28"/>
          <w:rtl w:val="true"/>
          <w:lang w:bidi="ar-SA"/>
        </w:rPr>
        <w:t xml:space="preserve">و يقوم عليه، ولايسجد عليه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 و الوسيلة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286" w:name="pg14719_186650"/>
    </w:p>
    <w:p>
      <w:pPr>
        <w:pStyle w:val="Heading3"/>
        <w:numPr>
          <w:ilvl w:val="2"/>
          <w:numId w:val="1"/>
        </w:numPr>
        <w:rPr/>
      </w:pPr>
      <w:bookmarkStart w:id="287" w:name="__RefHeading___Toc553661_730472459"/>
      <w:bookmarkStart w:id="288" w:name="_Toc109"/>
      <w:bookmarkEnd w:id="286"/>
      <w:bookmarkEnd w:id="287"/>
      <w:r>
        <w:rPr>
          <w:rtl w:val="true"/>
        </w:rPr>
        <w:t>لبس الذهب و التختّم به حرام على الرجال</w:t>
      </w:r>
      <w:bookmarkEnd w:id="288"/>
    </w:p>
    <w:p>
      <w:pPr>
        <w:pStyle w:val="Heading2"/>
        <w:numPr>
          <w:ilvl w:val="1"/>
          <w:numId w:val="1"/>
        </w:numPr>
        <w:rPr/>
      </w:pPr>
      <w:bookmarkStart w:id="289" w:name="__RefHeading___Toc553663_730472459"/>
      <w:bookmarkStart w:id="290" w:name="_Toc110"/>
      <w:bookmarkEnd w:id="289"/>
      <w:r>
        <w:rPr/>
        <w:t>10</w:t>
      </w:r>
      <w:r>
        <w:rPr>
          <w:rtl w:val="true"/>
        </w:rPr>
        <w:t xml:space="preserve">- </w:t>
      </w:r>
      <w:r>
        <w:rPr>
          <w:rtl w:val="true"/>
        </w:rPr>
        <w:t>مسألة</w:t>
      </w:r>
      <w:bookmarkEnd w:id="290"/>
    </w:p>
    <w:p>
      <w:pPr>
        <w:pStyle w:val="Heading3"/>
        <w:numPr>
          <w:ilvl w:val="2"/>
          <w:numId w:val="1"/>
        </w:numPr>
        <w:rPr/>
      </w:pPr>
      <w:bookmarkStart w:id="291" w:name="__RefHeading___Toc553665_730472459"/>
      <w:bookmarkStart w:id="292" w:name="_Toc111"/>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و ممّا يحرم على الرجال أيضًا لبس الذهب بلا خلاف كما صرّح به بعضهم </w:t>
      </w:r>
      <w:r>
        <w:rPr>
          <w:rStyle w:val="FootnoteAnchor"/>
          <w:rtl w:val="true"/>
        </w:rPr>
        <w:footnoteReference w:id="695"/>
      </w:r>
      <w:r>
        <w:rPr>
          <w:rFonts w:ascii="Amiri" w:hAnsi="Amiri" w:eastAsia="Amiri" w:cs="Amiri"/>
          <w:color w:val="111111"/>
          <w:sz w:val="28"/>
          <w:sz w:val="28"/>
          <w:szCs w:val="28"/>
          <w:rtl w:val="true"/>
          <w:lang w:bidi="ar-SA"/>
        </w:rPr>
        <w:t xml:space="preserve">، لما تقدّم من النبويّ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الذهب و الحرير للإناث من أمَّتي و حرامٌ على ذكورها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موسى بن أُكَيل النُمَيري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الذهب في الدنيا زينة النساء، فحرّم على الرجال لبسه و الصلاة فيه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رواه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و لا يصلّي فيه، لأنّه من لباس أهل الجنّة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تخصيصه النهي عن لبس الذهب بالرجل دلالةٌ على جواز لبسه للنساء، </w:t>
      </w:r>
    </w:p>
    <w:p>
      <w:pPr>
        <w:pStyle w:val="BookText"/>
        <w:rPr/>
      </w:pPr>
      <w:r>
        <w:rPr>
          <w:rFonts w:ascii="Amiri" w:hAnsi="Amiri" w:eastAsia="Amiri" w:cs="Amiri"/>
          <w:color w:val="111111"/>
          <w:sz w:val="28"/>
          <w:sz w:val="28"/>
          <w:szCs w:val="28"/>
          <w:rtl w:val="true"/>
          <w:lang w:bidi="ar-SA"/>
        </w:rPr>
        <w:t xml:space="preserve">كما دلّ عليه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موسى بن أكيل، إلّا أنّ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من لباس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جوازه، لكنّه لا يصلح، لمعارضة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مرّ من التحريم للرجال شاملٌ للتَّخَتُّم به أيضًا، لقول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الجَرَّاح المَدائني عنه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في يدک خاتمًا من ذهب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روح بن عبد الرحيم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تختّم بالذهب، فإنّه زينتک في الآخرة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ممّا ذكر حرمة لبس الرجال للذهب، لا أنّه من الكبائر، فعلى هذا لبسه من غير إصرار غير مضرّ في العدالة ؛ و لا تردّ بسببه 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عبارة النافع و القواعد و مثلهما </w:t>
      </w:r>
      <w:r>
        <w:rPr>
          <w:rStyle w:val="FootnoteAnchor"/>
          <w:rtl w:val="true"/>
        </w:rPr>
        <w:footnoteReference w:id="702"/>
      </w:r>
      <w:r>
        <w:rPr>
          <w:rFonts w:ascii="IRNazanin" w:hAnsi="IRNazanin" w:eastAsia="IRNazanin"/>
          <w:color w:val="111111"/>
          <w:sz w:val="28"/>
          <w:sz w:val="28"/>
          <w:szCs w:val="28"/>
          <w:rtl w:val="true"/>
          <w:lang w:bidi="fa-IR"/>
        </w:rPr>
        <w:t xml:space="preserve">أنّه من الكبائر ؛ و لا دليل على ذلک، لما عرفت من عدم دلالة الحرمة على ذلک، بل مقتضى الأصل أنّه من الصغائر على ما سبق تحقيقه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قال بعض المحقّقين من المتأخّرين </w:t>
      </w:r>
      <w:r>
        <w:rPr>
          <w:rFonts w:eastAsia="Amiri" w:cs="Amiri" w:ascii="Amiri" w:hAnsi="Amiri"/>
          <w:color w:val="111111"/>
          <w:sz w:val="28"/>
          <w:szCs w:val="28"/>
          <w:rtl w:val="true"/>
          <w:lang w:bidi="ar-SA"/>
        </w:rPr>
        <w:t xml:space="preserve">: </w:t>
      </w:r>
      <w:bookmarkStart w:id="293" w:name="pg14719_186652"/>
    </w:p>
    <w:p>
      <w:pPr>
        <w:pStyle w:val="BookText"/>
        <w:rPr/>
      </w:pPr>
      <w:bookmarkEnd w:id="293"/>
      <w:r>
        <w:rPr>
          <w:rFonts w:ascii="IRNazanin" w:hAnsi="IRNazanin" w:eastAsia="IRNazanin"/>
          <w:color w:val="111111"/>
          <w:sz w:val="28"/>
          <w:sz w:val="28"/>
          <w:szCs w:val="28"/>
          <w:rtl w:val="true"/>
          <w:lang w:bidi="fa-IR"/>
        </w:rPr>
        <w:t xml:space="preserve">أنّه يمكن أن يكون مرادهم أنّ قدحه في العدالة باعتبار الإصرار، ولاينافيه إطلاق عبائرهم، لقوّة احتمال وروده لبيان جنس ما يقدح في العدالة، من دون نظر إلى اشتراط حصول التكرار أيضًا، أو الاكتفاء فيه بالمرّة الواحدة ؛ و إنّما أحالوا تشخيص ذلک إلى الخلاف في زوال العدالة بكلّ ذنب، أو بالكبائر منها خاصّة، و ملاحظة الفقيه كلّاً من المحرّمات المزبورة مع أدلّتها، و أنّها ما تفيد كونها كبائر أو صغائر، وعليه العمل بمفادها كيفما اقتضاه مذهبه في تلک المسألة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53667_730472459"/>
      <w:bookmarkStart w:id="295" w:name="_Toc112"/>
      <w:bookmarkEnd w:id="294"/>
      <w:r>
        <w:rPr>
          <w:rtl w:val="true"/>
        </w:rPr>
        <w:t xml:space="preserve">من الأمور المحرّمة </w:t>
      </w:r>
      <w:r>
        <w:rPr>
          <w:rtl w:val="true"/>
        </w:rPr>
        <w:t xml:space="preserve">: </w:t>
      </w:r>
      <w:r>
        <w:rPr>
          <w:rtl w:val="true"/>
        </w:rPr>
        <w:t>الحسد</w:t>
      </w:r>
      <w:bookmarkEnd w:id="295"/>
    </w:p>
    <w:p>
      <w:pPr>
        <w:pStyle w:val="Heading2"/>
        <w:numPr>
          <w:ilvl w:val="1"/>
          <w:numId w:val="1"/>
        </w:numPr>
        <w:rPr/>
      </w:pPr>
      <w:bookmarkStart w:id="296" w:name="__RefHeading___Toc553669_730472459"/>
      <w:bookmarkStart w:id="297" w:name="_Toc113"/>
      <w:bookmarkEnd w:id="296"/>
      <w:r>
        <w:rPr/>
        <w:t>11</w:t>
      </w:r>
      <w:r>
        <w:rPr>
          <w:rtl w:val="true"/>
        </w:rPr>
        <w:t xml:space="preserve">- </w:t>
      </w:r>
      <w:r>
        <w:rPr>
          <w:rtl w:val="true"/>
        </w:rPr>
        <w:t>مسألة</w:t>
      </w:r>
      <w:bookmarkEnd w:id="297"/>
    </w:p>
    <w:p>
      <w:pPr>
        <w:pStyle w:val="Heading3"/>
        <w:numPr>
          <w:ilvl w:val="2"/>
          <w:numId w:val="1"/>
        </w:numPr>
        <w:rPr/>
      </w:pPr>
      <w:bookmarkStart w:id="298" w:name="__RefHeading___Toc553671_730472459"/>
      <w:bookmarkStart w:id="299" w:name="_Toc114"/>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و ممّا يحرم أيضًا الحسد ؛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زوال النعمة عن الغير، سواء قصد بلوغها إليه، أم لا، فالحاسد هو الّذي يتمنّي زوال النعمة عن غيره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حرمتها مجمع عليها ؛ و يدلّ عليها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أنهاک عن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والحرص و الكبر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صحيحة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لا يحسد بعضكم بعضًا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صحيحة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عمران، لا تحسدنّ الناس على ما آتيتهم من فضلي، و لا تمدّنّ عينيک إلى ذلک، و لا تتبعه نفسک، فإنّ الحاسد ساخطٌ لنِعَمي، صادٌّ لِقَسْمِي الّذي قسمتُ بين عبادي، و من يک كذلک فلست منه و ليس منّي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محمّد بن مسلم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ليأكل الإيمان كما تأكل النار الحطب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رواية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w:t>
      </w:r>
      <w:r>
        <w:rPr>
          <w:rStyle w:val="FootnoteAnchor"/>
          <w:rtl w:val="true"/>
        </w:rPr>
        <w:footnoteReference w:id="710"/>
      </w:r>
      <w:r>
        <w:rPr>
          <w:rFonts w:ascii="Amiri" w:hAnsi="Amiri" w:eastAsia="Amiri" w:cs="Amiri"/>
          <w:color w:val="111111"/>
          <w:sz w:val="28"/>
          <w:sz w:val="28"/>
          <w:szCs w:val="28"/>
          <w:rtl w:val="true"/>
          <w:lang w:bidi="ar-SA"/>
        </w:rPr>
        <w:t xml:space="preserve">معاوية بن وهب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الدين الحسد والعجب و الفخر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من أنّ ستّة يدخل النار قبل الحساب بستّة، منهم العلماء بالحسد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300" w:name="pg14719_186654"/>
    </w:p>
    <w:p>
      <w:pPr>
        <w:pStyle w:val="Heading3"/>
        <w:numPr>
          <w:ilvl w:val="2"/>
          <w:numId w:val="1"/>
        </w:numPr>
        <w:rPr/>
      </w:pPr>
      <w:bookmarkStart w:id="301" w:name="__RefHeading___Toc553673_730472459"/>
      <w:bookmarkStart w:id="302" w:name="_Toc115"/>
      <w:bookmarkEnd w:id="300"/>
      <w:bookmarkEnd w:id="301"/>
      <w:r>
        <w:rPr>
          <w:rtl w:val="true"/>
        </w:rPr>
        <w:t>الحسد من الكبائر أم لا ؟</w:t>
      </w:r>
      <w:bookmarkEnd w:id="302"/>
    </w:p>
    <w:p>
      <w:pPr>
        <w:pStyle w:val="BookText"/>
        <w:rPr/>
      </w:pPr>
      <w:r>
        <w:rPr>
          <w:rFonts w:ascii="Amiri" w:hAnsi="Amiri" w:eastAsia="Amiri" w:cs="Amiri"/>
          <w:color w:val="111111"/>
          <w:sz w:val="28"/>
          <w:sz w:val="28"/>
          <w:szCs w:val="28"/>
          <w:rtl w:val="true"/>
          <w:lang w:bidi="ar-SA"/>
        </w:rPr>
        <w:t xml:space="preserve">ثمّ إنّه يستفاد من جملة من هذه النصوص أنّه من الكبائر، فينقدح في العدالة مطلقًا و لو من غير 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إظهار الحسد من الكبائر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بعض هذه النصوص و العموم في بعضٍ يشمل ما لو كان المحسود كافرًا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تمنّى زوال النعمة من المال و الفضل و الحسن و الصوت و غيرها عن الغير ؛ و أمّا لو لم يتمنّي زوالها عن الغير، بل أراد مثلها له، فليس ذلک من الحسد في شيء، بل هو المسمّى بالغبطة </w:t>
      </w:r>
      <w:r>
        <w:rPr>
          <w:rStyle w:val="FootnoteAnchor"/>
          <w:rtl w:val="true"/>
        </w:rPr>
        <w:footnoteReference w:id="714"/>
      </w:r>
      <w:r>
        <w:rPr>
          <w:rFonts w:ascii="Amiri" w:hAnsi="Amiri" w:eastAsia="Amiri" w:cs="Amiri"/>
          <w:color w:val="111111"/>
          <w:sz w:val="28"/>
          <w:sz w:val="28"/>
          <w:szCs w:val="28"/>
          <w:rtl w:val="true"/>
          <w:lang w:bidi="ar-SA"/>
        </w:rPr>
        <w:t xml:space="preserve">؛ و هي محمودة كما يظهر من الأدعية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يدلّ عليه رواية </w:t>
      </w:r>
      <w:r>
        <w:rPr>
          <w:rStyle w:val="FootnoteAnchor"/>
          <w:rtl w:val="true"/>
        </w:rPr>
        <w:footnoteReference w:id="715"/>
      </w:r>
      <w:r>
        <w:rPr>
          <w:rFonts w:ascii="Amiri" w:hAnsi="Amiri" w:eastAsia="Amiri" w:cs="Amiri"/>
          <w:color w:val="111111"/>
          <w:sz w:val="28"/>
          <w:sz w:val="28"/>
          <w:szCs w:val="28"/>
          <w:rtl w:val="true"/>
          <w:lang w:bidi="ar-SA"/>
        </w:rPr>
        <w:t xml:space="preserve">فضيل بن عياض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يغبط و لا يحسد، و المنافق يحسد و لا يغبط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553675_730472459"/>
      <w:bookmarkStart w:id="304" w:name="_Toc116"/>
      <w:bookmarkEnd w:id="303"/>
      <w:r>
        <w:rPr>
          <w:rtl w:val="true"/>
        </w:rPr>
        <w:t>في تحريم بُغض المؤمن</w:t>
      </w:r>
      <w:bookmarkEnd w:id="3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المؤمن، قال في الصحاح و القاموس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البُغض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الحبّ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المستفاد منهما و من العرف أنّه نوع عداوة، 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في تحريم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الحسد 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التهديد عليهما في الأخبار مستفيض ؛ و هما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ببغض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كراهته و استثقاله لا بسبب </w:t>
      </w:r>
      <w:r>
        <w:rPr>
          <w:rStyle w:val="FootnoteAnchor"/>
          <w:rtl w:val="true"/>
        </w:rPr>
        <w:footnoteReference w:id="718"/>
      </w:r>
      <w:r>
        <w:rPr>
          <w:rFonts w:ascii="IRNazanin" w:hAnsi="IRNazanin" w:eastAsia="IRNazanin"/>
          <w:color w:val="111111"/>
          <w:sz w:val="28"/>
          <w:sz w:val="28"/>
          <w:szCs w:val="28"/>
          <w:rtl w:val="true"/>
          <w:lang w:bidi="fa-IR"/>
        </w:rPr>
        <w:t xml:space="preserve">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فيبغضه لأجله، سواء قاطعه مع ذلک، أم لا ؛ فإن هجره فهما معصيتان ؛ و قد يحصل كلّ منهما بدون الآخر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عليه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مجرّد الاستثقال ليس ببغض، لا لغة و لا عرفًا، و لو كان ذلک لأشكل الأمر، إذ قد يثقل شخص على النفس لا بسبب دينيّ، بل ليس له ميل إلى اختلاطه، بل اختلاط أحد لا بسبب، بل هكذا يقتضي طبعه، أو قد يكون بسبب غير دينيّ، مثل شغله عن أمره و لو كان من أكله و شربه و سائر لذّاته، و بالجملة هو معنى تجده في النفس غير الّذي فسّر به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بالتفسير الّذي ذكره يحتمل تحريم بغض غير المؤمن أيضًا، فإنّه إذا أبغض غيره لدنيا </w:t>
      </w:r>
      <w:r>
        <w:rPr>
          <w:rStyle w:val="FootnoteAnchor"/>
          <w:rtl w:val="true"/>
        </w:rPr>
        <w:footnoteReference w:id="720"/>
      </w:r>
      <w:r>
        <w:rPr>
          <w:rFonts w:ascii="Amiri" w:hAnsi="Amiri" w:eastAsia="Amiri" w:cs="Amiri"/>
          <w:color w:val="111111"/>
          <w:sz w:val="28"/>
          <w:sz w:val="28"/>
          <w:szCs w:val="28"/>
          <w:rtl w:val="true"/>
          <w:lang w:bidi="ar-SA"/>
        </w:rPr>
        <w:t xml:space="preserve">فليس له وجه معقول يقتضي اختصاص عدم </w:t>
      </w:r>
    </w:p>
    <w:p>
      <w:pPr>
        <w:pStyle w:val="BookText"/>
        <w:rPr/>
      </w:pPr>
      <w:r>
        <w:rPr>
          <w:rFonts w:ascii="Amiri" w:hAnsi="Amiri" w:eastAsia="Amiri" w:cs="Amiri"/>
          <w:color w:val="111111"/>
          <w:sz w:val="28"/>
          <w:sz w:val="28"/>
          <w:szCs w:val="28"/>
          <w:rtl w:val="true"/>
          <w:lang w:bidi="ar-SA"/>
        </w:rPr>
        <w:t xml:space="preserve">تحريمه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تحريم بغض المؤمن بخصوصه الّذي </w:t>
      </w:r>
      <w:r>
        <w:rPr>
          <w:rStyle w:val="FootnoteAnchor"/>
          <w:rtl w:val="true"/>
        </w:rPr>
        <w:footnoteReference w:id="721"/>
      </w:r>
      <w:r>
        <w:rPr>
          <w:rFonts w:ascii="IRNazanin" w:hAnsi="IRNazanin" w:eastAsia="IRNazanin"/>
          <w:color w:val="111111"/>
          <w:sz w:val="28"/>
          <w:sz w:val="28"/>
          <w:szCs w:val="28"/>
          <w:rtl w:val="true"/>
          <w:lang w:bidi="fa-IR"/>
        </w:rPr>
        <w:t xml:space="preserve">ادّعي استفاضة الأخبار في ذلک، فليس يحضرني الآن شيء منها، نعم ما ورد في الهجر و غيره من حقوق الإيمان، و تحريم الحجاب عنه، يدلّ عليه بالطريق الأولى، مثل رواية المفضّل،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كان بينه و بين مؤمن حجاب ضرب الله بينه و بين الجنّة سبعين ألف سُور، غِلَظُ كلّ سُور مسيرة ألف عام ما بين السُور إلى السور مسيرة ألف عام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رواية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في مسلم أتى مسلمًا </w:t>
      </w:r>
      <w:r>
        <w:rPr>
          <w:rStyle w:val="FootnoteAnchor"/>
          <w:rtl w:val="true"/>
        </w:rPr>
        <w:footnoteReference w:id="723"/>
      </w:r>
      <w:r>
        <w:rPr>
          <w:rFonts w:ascii="Amiri" w:hAnsi="Amiri" w:eastAsia="Amiri" w:cs="Amiri"/>
          <w:color w:val="111111"/>
          <w:sz w:val="28"/>
          <w:sz w:val="28"/>
          <w:szCs w:val="28"/>
          <w:rtl w:val="true"/>
          <w:lang w:bidi="ar-SA"/>
        </w:rPr>
        <w:t xml:space="preserve">و هو في منزله، فاستأذن عليه فلم يأذن له ولم يخرج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أيّما مسلم أتى مسلمًا زائرًا أو طالب حاجة و هو في منزله فاستأذن عليه فلم يأذن له </w:t>
      </w:r>
      <w:r>
        <w:rPr>
          <w:rStyle w:val="FootnoteAnchor"/>
          <w:rtl w:val="true"/>
        </w:rPr>
        <w:footnoteReference w:id="724"/>
      </w:r>
      <w:r>
        <w:rPr>
          <w:rFonts w:ascii="IRNazanin" w:hAnsi="IRNazanin" w:eastAsia="IRNazanin"/>
          <w:color w:val="111111"/>
          <w:sz w:val="28"/>
          <w:sz w:val="28"/>
          <w:szCs w:val="28"/>
          <w:rtl w:val="true"/>
          <w:lang w:bidi="fa-IR"/>
        </w:rPr>
        <w:t xml:space="preserve">و لم يخرج إليه، لم يزل في لعنة الله حتّى يلتقيا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في لعنة الله حتّى يلتقيا؟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حمزة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ورد في الرواية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زمن يوشع بن نون افترق </w:t>
      </w:r>
      <w:r>
        <w:rPr>
          <w:rStyle w:val="FootnoteAnchor"/>
          <w:rtl w:val="true"/>
        </w:rPr>
        <w:footnoteReference w:id="726"/>
      </w:r>
      <w:r>
        <w:rPr>
          <w:rFonts w:ascii="IRNazanin" w:hAnsi="IRNazanin" w:eastAsia="IRNazanin"/>
          <w:color w:val="111111"/>
          <w:sz w:val="28"/>
          <w:sz w:val="28"/>
          <w:szCs w:val="28"/>
          <w:rtl w:val="true"/>
          <w:lang w:bidi="fa-IR"/>
        </w:rPr>
        <w:t xml:space="preserve">ثلاثة من المؤمنين بسبب أن جاء إليه مؤمن آخر و دقّ عليهم الباب، فخرج غلام إليه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مولاه ليس في البيت و هو في البيت مع اثنين آخرين و رجع ذلک و ذهب الغلام إليهم و أخبرهم به، فما تكلّموا و لم يقولوا لأيّ شيء فعلت ؟</w:t>
      </w:r>
    </w:p>
    <w:p>
      <w:pPr>
        <w:pStyle w:val="BookText"/>
        <w:rPr/>
      </w:pPr>
      <w:r>
        <w:rPr>
          <w:rFonts w:ascii="IRNazanin" w:hAnsi="IRNazanin" w:eastAsia="IRNazanin"/>
          <w:color w:val="111111"/>
          <w:sz w:val="28"/>
          <w:sz w:val="28"/>
          <w:szCs w:val="28"/>
          <w:rtl w:val="true"/>
          <w:lang w:bidi="fa-IR"/>
        </w:rPr>
        <w:t xml:space="preserve">ثمّ من الصباح جاء إليهم و ما اعتذروا إليه و ذهبوا جميعًا إلى ضيعة، فجاء النار في الطريق و احترق الثلاثة، بقي الواحد متحيّرًا و سأل يوشع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جعلتهم في 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قبل هذا لنفعهم ولعلّ ينفعهم بعد ذلک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يا أخي و تأمّل في هذه ؛ و منه يعلم حال الباغض له ما علم، إنتهى كلامه أعلى الله مقامه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يدلّ عليه كلام شيخنا في المسالک من تحريم الهجر مطلقًا و إن لم يكن بسبب بغض، مشكل، بل الحقّ العدم إلّا إذا كان الهجر مع البغض ؛ و لهذا اعترضه الفاضل المقدّس المذكور بأنّه ليس كذلک، فقال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تحريم الهجر مطلقًا غير معلوم أنّه مذهب الأصحاب </w:t>
      </w:r>
      <w:r>
        <w:rPr>
          <w:rStyle w:val="FootnoteAnchor"/>
          <w:rtl w:val="true"/>
        </w:rPr>
        <w:footnoteReference w:id="729"/>
      </w:r>
      <w:r>
        <w:rPr>
          <w:rFonts w:ascii="IRNazanin" w:hAnsi="IRNazanin" w:eastAsia="IRNazanin"/>
          <w:color w:val="111111"/>
          <w:sz w:val="28"/>
          <w:sz w:val="28"/>
          <w:szCs w:val="28"/>
          <w:rtl w:val="true"/>
          <w:lang w:bidi="fa-IR"/>
        </w:rPr>
        <w:t xml:space="preserve">، و لهذا ترى </w:t>
      </w:r>
    </w:p>
    <w:p>
      <w:pPr>
        <w:pStyle w:val="BookText"/>
        <w:rPr/>
      </w:pPr>
      <w:r>
        <w:rPr>
          <w:rFonts w:ascii="Amiri" w:hAnsi="Amiri" w:eastAsia="Amiri" w:cs="Amiri"/>
          <w:color w:val="111111"/>
          <w:sz w:val="28"/>
          <w:sz w:val="28"/>
          <w:szCs w:val="28"/>
          <w:rtl w:val="true"/>
          <w:lang w:bidi="ar-SA"/>
        </w:rPr>
        <w:t xml:space="preserve">أنّه واقع من الصلحاء و الأتقياء، بل الأنبياء و الأولياء، بل لا يمكن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دلّ على تحريم الهجر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المؤمنين كثيرون، و إذا كان هجر كلّ واحد حرامًا، فلا يشتغل بشيء إلّا التزاور، فلا يشتغل بغيره إلّا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الرواية في مذمّة الهجر كثيرة، لعلّها محمولة على المهاجرة على طريق الغيظ و البغض و العداوة، مثل صحيحة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هجرة فوق ثلاث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يؤيّد ما قلناه أنّ في أكثر الأخبار إشارةٌ إلى ذلک، مثل رواية أحمد بن محمّد بن خالد، قال في رواية </w:t>
      </w:r>
      <w:r>
        <w:rPr>
          <w:rStyle w:val="FootnoteAnchor"/>
          <w:rtl w:val="true"/>
        </w:rPr>
        <w:footnoteReference w:id="731"/>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لايفترق رجلان على الهِجران إلّا استوجب أحدهما البراءة و اللعنة وربّما استحقّ ذلک كلاهما، فقال له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فداک هذا الظالم، فما بال المظلوم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يدعو أخاه إلى صلته و لا يتغامس </w:t>
      </w:r>
      <w:r>
        <w:rPr>
          <w:rStyle w:val="FootnoteAnchor"/>
          <w:rtl w:val="true"/>
        </w:rPr>
        <w:footnoteReference w:id="732"/>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 xml:space="preserve">عن كلامه،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اثنان فعازّ </w:t>
      </w:r>
      <w:r>
        <w:rPr>
          <w:rStyle w:val="FootnoteAnchor"/>
          <w:rtl w:val="true"/>
        </w:rPr>
        <w:footnoteReference w:id="733"/>
      </w:r>
      <w:r>
        <w:rPr>
          <w:rFonts w:ascii="IRNazanin" w:hAnsi="IRNazanin" w:eastAsia="IRNazanin"/>
          <w:color w:val="111111"/>
          <w:sz w:val="28"/>
          <w:sz w:val="28"/>
          <w:szCs w:val="28"/>
          <w:rtl w:val="true"/>
          <w:lang w:bidi="fa-IR"/>
        </w:rPr>
        <w:t xml:space="preserve">أحدهما الآخر، فليرجع المظلوم إلى صاحبه حتّى يقول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أخي أنا الظالم، حتّى يقطع الهجران بينه و بين صاحبه،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عدل يأخذ للمظلوم من الظالم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داود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مسلمين تهاجرا، فمكثا ثلاثًا، لا يصطلحان إلّا كانا خارجين من الإسلام و لم يكن بينهما ولاية، فأيّهما سبق إلى كلام أخيه كان السابق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يكن بينهما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فمكثا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مسلمين تهاجرا و لم يكن بينهما، إلى آخره ؛ أو عطفٌ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مسلمين لم يكن بينهما ولاية </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حسنة زرارة </w:t>
      </w:r>
      <w:r>
        <w:rPr>
          <w:rStyle w:val="FootnoteAnchor"/>
          <w:rtl w:val="true"/>
        </w:rPr>
        <w:footnoteReference w:id="736"/>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يغري بين المؤمنين ما لم يرجع أحدهم عن دينه، فإذا فعلوا ذلک استلقى على قفاه </w:t>
      </w:r>
      <w:bookmarkStart w:id="305" w:name="pg14719_186660"/>
    </w:p>
    <w:p>
      <w:pPr>
        <w:pStyle w:val="BookText"/>
        <w:rPr/>
      </w:pPr>
      <w:bookmarkEnd w:id="305"/>
      <w:r>
        <w:rPr>
          <w:rFonts w:ascii="Amiri" w:hAnsi="Amiri" w:eastAsia="Amiri" w:cs="Amiri"/>
          <w:color w:val="111111"/>
          <w:sz w:val="28"/>
          <w:sz w:val="28"/>
          <w:szCs w:val="28"/>
          <w:rtl w:val="true"/>
          <w:lang w:bidi="ar-SA"/>
        </w:rPr>
        <w:t xml:space="preserve">و تمدّد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فرحم الله امرء ألّف بين وليّين لنا، يا معاشر المؤمنين تألّفوا و تعاطفوا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53677_730472459"/>
      <w:bookmarkStart w:id="307" w:name="_Toc117"/>
      <w:bookmarkEnd w:id="306"/>
      <w:r>
        <w:rPr>
          <w:rtl w:val="true"/>
        </w:rPr>
        <w:t>أذيّة المؤمنين و تحقيرهم من الكبائر</w:t>
      </w:r>
      <w:bookmarkEnd w:id="307"/>
    </w:p>
    <w:p>
      <w:pPr>
        <w:pStyle w:val="BookText"/>
        <w:rPr/>
      </w:pPr>
      <w:r>
        <w:rPr>
          <w:rFonts w:ascii="Amiri" w:hAnsi="Amiri" w:eastAsia="Amiri" w:cs="Amiri"/>
          <w:color w:val="111111"/>
          <w:sz w:val="28"/>
          <w:sz w:val="28"/>
          <w:szCs w:val="28"/>
          <w:rtl w:val="true"/>
          <w:lang w:bidi="ar-SA"/>
        </w:rPr>
        <w:t xml:space="preserve">و من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أذيّة المؤمنين و تحقيرهم، بل هي من الكبائر، فينقدح في العدالة و لو من غير إصرار، لصحيحة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ليأذن بحرب منّي مَن أذى عبدي المؤمن، وليأمن غضبي مَن أكرم عبدي المؤمن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الصُدود </w:t>
      </w:r>
      <w:r>
        <w:rPr>
          <w:rStyle w:val="FootnoteAnchor"/>
          <w:rtl w:val="true"/>
        </w:rPr>
        <w:footnoteReference w:id="739"/>
      </w:r>
      <w:r>
        <w:rPr>
          <w:rFonts w:ascii="Amiri" w:hAnsi="Amiri" w:eastAsia="Amiri" w:cs="Amiri"/>
          <w:color w:val="111111"/>
          <w:sz w:val="28"/>
          <w:sz w:val="28"/>
          <w:szCs w:val="28"/>
          <w:rtl w:val="true"/>
          <w:lang w:bidi="ar-SA"/>
        </w:rPr>
        <w:t xml:space="preserve">لأوليائي ؟ فيقوم قومٌ ليس على وجوههم لَحم، فيقال </w:t>
      </w:r>
      <w:r>
        <w:rPr>
          <w:rFonts w:eastAsia="Amiri" w:cs="Amiri" w:ascii="Amiri" w:hAnsi="Amiri"/>
          <w:color w:val="111111"/>
          <w:sz w:val="28"/>
          <w:szCs w:val="28"/>
          <w:rtl w:val="true"/>
          <w:lang w:bidi="ar-SA"/>
        </w:rPr>
        <w:t xml:space="preserve">: </w:t>
      </w:r>
      <w:bookmarkStart w:id="308" w:name="pg14719_186661"/>
    </w:p>
    <w:p>
      <w:pPr>
        <w:pStyle w:val="BookText"/>
        <w:rPr/>
      </w:pPr>
      <w:bookmarkEnd w:id="308"/>
      <w:r>
        <w:rPr>
          <w:rFonts w:ascii="Amiri" w:hAnsi="Amiri" w:eastAsia="Amiri" w:cs="Amiri"/>
          <w:color w:val="111111"/>
          <w:sz w:val="28"/>
          <w:sz w:val="28"/>
          <w:szCs w:val="28"/>
          <w:rtl w:val="true"/>
          <w:lang w:bidi="ar-SA"/>
        </w:rPr>
        <w:t xml:space="preserve">هؤلاء الّذين آذوا المؤمنين و نصبوا لهم و عانَدوهم و عَنّفوهم في دينهم، ثمّ يؤمر بهم إلى جهنّم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مرسلة محمّد بن أبي حمزة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مؤمنًا مسكينًا أو غير مسكين لم يزل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حاقرًا له ماقتًا له حتّى يرجع عن محقرته إيّاه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هو ممّن أجمعت العصابة على تصحيح ما يصحّ عنه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53679_730472459"/>
      <w:bookmarkStart w:id="310" w:name="_Toc118"/>
      <w:bookmarkEnd w:id="309"/>
      <w:r>
        <w:rPr>
          <w:rtl w:val="true"/>
        </w:rPr>
        <w:t>إخافة المؤمنين من الكبائر</w:t>
      </w:r>
      <w:bookmarkEnd w:id="310"/>
    </w:p>
    <w:p>
      <w:pPr>
        <w:pStyle w:val="BookText"/>
        <w:rPr/>
      </w:pPr>
      <w:r>
        <w:rPr>
          <w:rFonts w:ascii="Amiri" w:hAnsi="Amiri" w:eastAsia="Amiri" w:cs="Amiri"/>
          <w:color w:val="111111"/>
          <w:sz w:val="28"/>
          <w:sz w:val="28"/>
          <w:szCs w:val="28"/>
          <w:rtl w:val="true"/>
          <w:lang w:bidi="ar-SA"/>
        </w:rPr>
        <w:t xml:space="preserve">و من الأمور المحرّمة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إخافة المؤمنين، لما رواه عبدالله بن سنان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إلى مؤمن نظرة لِيُخيفه بها، أخافه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ظِلّ إلّا ظِلّه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ابن أبي عمير عن بعض أصحابه،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مؤمن بشطر كلمة 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مكتوب بين عينيه </w:t>
      </w:r>
      <w:bookmarkStart w:id="311" w:name="pg14719_186662"/>
    </w:p>
    <w:p>
      <w:pPr>
        <w:pStyle w:val="BookText"/>
        <w:rPr/>
      </w:pPr>
      <w:bookmarkEnd w:id="311"/>
      <w:r>
        <w:rPr>
          <w:rFonts w:ascii="Amiri" w:hAnsi="Amiri" w:eastAsia="Amiri" w:cs="Amiri"/>
          <w:color w:val="111111"/>
          <w:sz w:val="28"/>
          <w:sz w:val="28"/>
          <w:szCs w:val="28"/>
          <w:rtl w:val="true"/>
          <w:lang w:bidi="ar-SA"/>
        </w:rPr>
        <w:t xml:space="preserve">آيس من رحمة الله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أبي إسحاق عن بعض الكوفيّين،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رَوّع مؤمنًا بسلطان ليصيبه منه مكروه ولم يصبه </w:t>
      </w:r>
      <w:r>
        <w:rPr>
          <w:rStyle w:val="FootnoteAnchor"/>
          <w:rtl w:val="true"/>
        </w:rPr>
        <w:footnoteReference w:id="744"/>
      </w:r>
      <w:r>
        <w:rPr>
          <w:rFonts w:ascii="Amiri" w:hAnsi="Amiri" w:eastAsia="Amiri" w:cs="Amiri"/>
          <w:color w:val="111111"/>
          <w:sz w:val="28"/>
          <w:sz w:val="28"/>
          <w:szCs w:val="28"/>
          <w:rtl w:val="true"/>
          <w:lang w:bidi="ar-SA"/>
        </w:rPr>
        <w:t xml:space="preserve">، فهو في النار ؛ و مَن روّع مؤمنًا بسلطان ليصيبه منه مكروه فأصابه، فهو مع فرعون و آل فرعون في النار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الأخيرين أنّها من الكبائر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53681_730472459"/>
      <w:bookmarkStart w:id="313" w:name="_Toc119"/>
      <w:bookmarkEnd w:id="312"/>
      <w:r>
        <w:rPr>
          <w:rtl w:val="true"/>
        </w:rPr>
        <w:t xml:space="preserve">من الأمور المحرّمة </w:t>
      </w:r>
      <w:r>
        <w:rPr>
          <w:rtl w:val="true"/>
        </w:rPr>
        <w:t xml:space="preserve">: </w:t>
      </w:r>
      <w:r>
        <w:rPr>
          <w:rtl w:val="true"/>
        </w:rPr>
        <w:t>النميمة</w:t>
      </w:r>
      <w:bookmarkEnd w:id="313"/>
    </w:p>
    <w:p>
      <w:pPr>
        <w:pStyle w:val="BookText"/>
        <w:rPr/>
      </w:pPr>
      <w:r>
        <w:rPr>
          <w:rFonts w:ascii="Amiri" w:hAnsi="Amiri" w:eastAsia="Amiri" w:cs="Amiri"/>
          <w:color w:val="111111"/>
          <w:sz w:val="28"/>
          <w:sz w:val="28"/>
          <w:szCs w:val="28"/>
          <w:rtl w:val="true"/>
          <w:lang w:bidi="ar-SA"/>
        </w:rPr>
        <w:t xml:space="preserve">و من الأمور المحرّمة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لصحيحة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أنبّئكم بشِراركم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بالنميمة، المفرّقون بين الأحبّة، الباغون </w:t>
      </w:r>
      <w:r>
        <w:rPr>
          <w:rStyle w:val="FootnoteAnchor"/>
          <w:rtl w:val="true"/>
        </w:rPr>
        <w:footnoteReference w:id="746"/>
      </w:r>
      <w:r>
        <w:rPr>
          <w:rFonts w:ascii="Amiri" w:hAnsi="Amiri" w:eastAsia="Amiri" w:cs="Amiri"/>
          <w:color w:val="111111"/>
          <w:sz w:val="28"/>
          <w:sz w:val="28"/>
          <w:szCs w:val="28"/>
          <w:rtl w:val="true"/>
          <w:lang w:bidi="ar-SA"/>
        </w:rPr>
        <w:t xml:space="preserve">للبُرَآء المعايب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الجنّةُ على القَتّاتين المَشّائين بالنميمة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قَتَّات و قَتُوت و قِتِّيتَي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نَمّامٌ، أو يسّمّع أحاديث الناس من حيث لايعلمون، سواء نمّها، أو لم يَنِمّها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نقل عن النهاية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أبي الحسن الاصبهاني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شراركم المشّاؤون بالنميمة، المفرّقون بين الأحبّة، المبتغون للبراء المعائب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النميمة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الحديث من قوم إلى قوم على جهة الإفساد ؛ و قد نمّ الحديث ينمّه فهو نمّام، و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 و نمّ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فهو متعدّ و لازم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لا يدخل الجنّة قتّات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القتّات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 يا أباذرّ صاحب النميمة لا يستريح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314" w:name="pg14719_186664"/>
    </w:p>
    <w:p>
      <w:pPr>
        <w:pStyle w:val="Heading3"/>
        <w:numPr>
          <w:ilvl w:val="2"/>
          <w:numId w:val="1"/>
        </w:numPr>
        <w:rPr/>
      </w:pPr>
      <w:bookmarkStart w:id="315" w:name="__RefHeading___Toc553683_730472459"/>
      <w:bookmarkStart w:id="316" w:name="_Toc120"/>
      <w:bookmarkEnd w:id="314"/>
      <w:bookmarkEnd w:id="315"/>
      <w:r>
        <w:rPr>
          <w:rtl w:val="true"/>
        </w:rPr>
        <w:t xml:space="preserve">من الأمور المحرّمة </w:t>
      </w:r>
      <w:r>
        <w:rPr>
          <w:rtl w:val="true"/>
        </w:rPr>
        <w:t xml:space="preserve">: </w:t>
      </w:r>
      <w:r>
        <w:rPr>
          <w:rtl w:val="true"/>
        </w:rPr>
        <w:t>إطاعة المخلوق في معصية الخالق</w:t>
      </w:r>
      <w:bookmarkEnd w:id="316"/>
    </w:p>
    <w:p>
      <w:pPr>
        <w:pStyle w:val="BookText"/>
        <w:rPr/>
      </w:pPr>
      <w:r>
        <w:rPr>
          <w:rFonts w:ascii="Amiri" w:hAnsi="Amiri" w:eastAsia="Amiri" w:cs="Amiri"/>
          <w:color w:val="111111"/>
          <w:sz w:val="28"/>
          <w:sz w:val="28"/>
          <w:szCs w:val="28"/>
          <w:rtl w:val="true"/>
          <w:lang w:bidi="ar-SA"/>
        </w:rPr>
        <w:t xml:space="preserve">و من الأمور المحرّمة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المخلوق في معصية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صحيحة محمّد بن مسلم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بطاعةِ مَن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السكوني عن مولانا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أرضى سلطانًا </w:t>
      </w:r>
      <w:r>
        <w:rPr>
          <w:rStyle w:val="FootnoteAnchor"/>
          <w:rtl w:val="true"/>
        </w:rPr>
        <w:footnoteReference w:id="754"/>
      </w:r>
      <w:r>
        <w:rPr>
          <w:rFonts w:ascii="IRNazanin" w:hAnsi="IRNazanin" w:eastAsia="IRNazanin"/>
          <w:color w:val="111111"/>
          <w:sz w:val="28"/>
          <w:sz w:val="28"/>
          <w:szCs w:val="28"/>
          <w:rtl w:val="true"/>
          <w:lang w:bidi="fa-IR"/>
        </w:rPr>
        <w:t xml:space="preserve">بسخط </w:t>
      </w:r>
      <w:r>
        <w:rPr>
          <w:rStyle w:val="FootnoteAnchor"/>
          <w:rtl w:val="true"/>
        </w:rPr>
        <w:footnoteReference w:id="755"/>
      </w:r>
      <w:r>
        <w:rPr>
          <w:rFonts w:ascii="Amiri" w:hAnsi="Amiri" w:eastAsia="Amiri" w:cs="Amiri"/>
          <w:color w:val="111111"/>
          <w:sz w:val="28"/>
          <w:sz w:val="28"/>
          <w:szCs w:val="28"/>
          <w:rtl w:val="true"/>
          <w:lang w:bidi="ar-SA"/>
        </w:rPr>
        <w:t xml:space="preserve">الله خرج من دين الله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53685_730472459"/>
      <w:bookmarkStart w:id="318" w:name="_Toc121"/>
      <w:bookmarkEnd w:id="317"/>
      <w:r>
        <w:rPr>
          <w:rtl w:val="true"/>
        </w:rPr>
        <w:t xml:space="preserve">من الأمور المحرّمة </w:t>
      </w:r>
      <w:r>
        <w:rPr>
          <w:rtl w:val="true"/>
        </w:rPr>
        <w:t xml:space="preserve">: </w:t>
      </w:r>
      <w:r>
        <w:rPr>
          <w:rtl w:val="true"/>
        </w:rPr>
        <w:t>مجالسة أهل المعاصي</w:t>
      </w:r>
      <w:bookmarkEnd w:id="3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الأمور المحرّمة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المعاصي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صحيحة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 لا تجالسوهم فتصيروا عند الناس كواحد منهم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على دين خليله و قرينه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الجعفري </w:t>
      </w:r>
      <w:r>
        <w:rPr>
          <w:rStyle w:val="FootnoteAnchor"/>
          <w:rtl w:val="true"/>
        </w:rPr>
        <w:footnoteReference w:id="7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رأيتک عند عبدالرّحمن بن يعقوب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في الله قولاً عظيمًا، يصف الله و لا يوصف، فإمّا جلست معه و تركتنا، و إمّا جلست معنا و تركته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يقول ما شاء، أيّ شيء عليّ منه إذا لم أقل ما يقول ؟</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تخاف أن تنزل به نقمة فتصيبكم جميعًا ؟ أما علمت بالّذي كان من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من أصحاب فرعون، فلمّا لحقت خيل فرعون موسى تخلّف عنه ليعظ أباه فيلحقه بموسى، فمضى أبوه حتّى </w:t>
      </w:r>
      <w:r>
        <w:rPr>
          <w:rStyle w:val="FootnoteAnchor"/>
          <w:rtl w:val="true"/>
        </w:rPr>
        <w:footnoteReference w:id="759"/>
      </w:r>
      <w:r>
        <w:rPr>
          <w:rFonts w:ascii="Amiri" w:hAnsi="Amiri" w:eastAsia="Amiri" w:cs="Amiri"/>
          <w:color w:val="111111"/>
          <w:sz w:val="28"/>
          <w:sz w:val="28"/>
          <w:szCs w:val="28"/>
          <w:rtl w:val="true"/>
          <w:lang w:bidi="ar-SA"/>
        </w:rPr>
        <w:t xml:space="preserve">يراغمه </w:t>
      </w:r>
      <w:r>
        <w:rPr>
          <w:rStyle w:val="FootnoteAnchor"/>
          <w:rtl w:val="true"/>
        </w:rPr>
        <w:footnoteReference w:id="760"/>
      </w:r>
      <w:r>
        <w:rPr>
          <w:rFonts w:ascii="Amiri" w:hAnsi="Amiri" w:eastAsia="Amiri" w:cs="Amiri"/>
          <w:color w:val="111111"/>
          <w:sz w:val="28"/>
          <w:sz w:val="28"/>
          <w:szCs w:val="28"/>
          <w:rtl w:val="true"/>
          <w:lang w:bidi="ar-SA"/>
        </w:rPr>
        <w:t xml:space="preserve">حتّى بلغا طرفًا من البحر، فغرقا جميعًا، فأُتى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رحمة الله ولكن النقمة إذا نزلت لم يكن لها عمّن قارب المذنب دفاع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عبد الأعلى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w:t>
      </w:r>
    </w:p>
    <w:p>
      <w:pPr>
        <w:pStyle w:val="BookText"/>
        <w:rPr/>
      </w:pPr>
      <w:r>
        <w:rPr>
          <w:rFonts w:ascii="Amiri" w:hAnsi="Amiri" w:eastAsia="Amiri" w:cs="Amiri"/>
          <w:color w:val="111111"/>
          <w:sz w:val="28"/>
          <w:sz w:val="28"/>
          <w:szCs w:val="28"/>
          <w:rtl w:val="true"/>
          <w:lang w:bidi="ar-SA"/>
        </w:rPr>
        <w:t xml:space="preserve">واليوم الآخر فلا يجلس مجلسًا ينتقص فيه إمام أو يعاب فيه مؤمن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عند سبّاب لأولياء الله، فقد عصى الله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وردت جملة من النصوص في عدم إعانة المؤمن إذا استعان مع القدرة على الإعانة بعضها و إن دلّ على الحرمة، لكنّه بحسب السند غير نقيّ، مثل ما رواه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من شيعتنا أتى رجلاً من إخوانه، فاستعان به في حاجة </w:t>
      </w:r>
      <w:r>
        <w:rPr>
          <w:rStyle w:val="FootnoteAnchor"/>
          <w:rtl w:val="true"/>
        </w:rPr>
        <w:footnoteReference w:id="764"/>
      </w:r>
      <w:r>
        <w:rPr>
          <w:rFonts w:ascii="Amiri" w:hAnsi="Amiri" w:eastAsia="Amiri" w:cs="Amiri"/>
          <w:color w:val="111111"/>
          <w:sz w:val="28"/>
          <w:sz w:val="28"/>
          <w:szCs w:val="28"/>
          <w:rtl w:val="true"/>
          <w:lang w:bidi="ar-SA"/>
        </w:rPr>
        <w:t xml:space="preserve">، فلم يُعِنْه و هو يقدر، إلّا ابتلاه الله بأن يقضي حوائج غيره من أعدائنا، يُعذّبه الله عليها يوم القيامة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سنده محمّد بن عيسى عن يونس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فرات بن أحنف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منع مؤمنًا شيئًا ممّا يحتاج إليه و هو يقدر عليه مِن عنده أو مِن عند غيره، أقامه الله يوم القيامة مسودًّا وجهه، مُزْرَقَّةً عيناه، مَغلُولةً يداه إلى عنقه،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الخائن الّذي خان الله ورسوله، ثمّ يؤمر به إلى النار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سنده محمّد بن سنان و فرات بن أحنف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عليّ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أخوه المؤمن في حاجة فإنّما هي رحمةٌ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ساقها إليه، فإن قبل ذلک فقد وصله بولايتنا، و هو موصول بولاية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767"/>
      </w:r>
      <w:r>
        <w:rPr>
          <w:rFonts w:ascii="Amiri" w:hAnsi="Amiri" w:eastAsia="Amiri" w:cs="Amiri"/>
          <w:color w:val="111111"/>
          <w:sz w:val="28"/>
          <w:sz w:val="28"/>
          <w:szCs w:val="28"/>
          <w:rtl w:val="true"/>
          <w:lang w:bidi="ar-SA"/>
        </w:rPr>
        <w:t xml:space="preserve">ردّه عن حاجته و هو يقدر على قضائها سلّط الله عليه شُجَاعًا من نار ينهشه في قبره إلى يوم القيامة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سنده معلّى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أبو حمزة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في مسلم أتى مسلمًا زائرًا </w:t>
      </w:r>
      <w:r>
        <w:rPr>
          <w:rStyle w:val="FootnoteAnchor"/>
          <w:rtl w:val="true"/>
        </w:rPr>
        <w:footnoteReference w:id="769"/>
      </w:r>
      <w:r>
        <w:rPr>
          <w:rFonts w:ascii="Amiri" w:hAnsi="Amiri" w:eastAsia="Amiri" w:cs="Amiri"/>
          <w:color w:val="111111"/>
          <w:sz w:val="28"/>
          <w:sz w:val="28"/>
          <w:szCs w:val="28"/>
          <w:rtl w:val="true"/>
          <w:lang w:bidi="ar-SA"/>
        </w:rPr>
        <w:t xml:space="preserve">و هو في منزله، فاستأذن عليه ولم يأذن له و لم يخرج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أيّما مسلم أتى مسلمًا زائرًا أو طالب حاجة و هو في منزله، فاستأذن عليه فلم يأذن له و لم يخرج إليه </w:t>
      </w:r>
      <w:r>
        <w:rPr>
          <w:rStyle w:val="FootnoteAnchor"/>
          <w:rtl w:val="true"/>
        </w:rPr>
        <w:footnoteReference w:id="770"/>
      </w:r>
      <w:r>
        <w:rPr>
          <w:rFonts w:ascii="IRNazanin" w:hAnsi="IRNazanin" w:eastAsia="IRNazanin"/>
          <w:color w:val="111111"/>
          <w:sz w:val="28"/>
          <w:sz w:val="28"/>
          <w:szCs w:val="28"/>
          <w:rtl w:val="true"/>
          <w:lang w:bidi="fa-IR"/>
        </w:rPr>
        <w:t xml:space="preserve">، لم يزل في لعنة الله حتّى يلتقيا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في لعنة الله حتّى يلتقيا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حمزة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سنده يحيى بن المبارک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النصوص ما رواه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رجلٌ مَعُونَةَ </w:t>
      </w:r>
      <w:bookmarkStart w:id="319" w:name="pg14719_186668"/>
    </w:p>
    <w:p>
      <w:pPr>
        <w:pStyle w:val="BookText"/>
        <w:rPr/>
      </w:pPr>
      <w:bookmarkEnd w:id="319"/>
      <w:r>
        <w:rPr>
          <w:rFonts w:ascii="Amiri" w:hAnsi="Amiri" w:eastAsia="Amiri" w:cs="Amiri"/>
          <w:color w:val="111111"/>
          <w:sz w:val="28"/>
          <w:sz w:val="28"/>
          <w:szCs w:val="28"/>
          <w:rtl w:val="true"/>
          <w:lang w:bidi="ar-SA"/>
        </w:rPr>
        <w:t xml:space="preserve">أخيه المسلم حتّى يسعى فيها و يواسيه إلّا ابتُلى بمعونة مَن يأثم و لا يؤجر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غيره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مع ضعف سندهما دلالتهما على الحرمة غير مسلّمة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553687_730472459"/>
      <w:bookmarkStart w:id="321" w:name="_Toc122"/>
      <w:bookmarkEnd w:id="320"/>
      <w:r>
        <w:rPr>
          <w:rtl w:val="true"/>
        </w:rPr>
        <w:t xml:space="preserve">من الأمور المحرّمة </w:t>
      </w:r>
      <w:r>
        <w:rPr>
          <w:rtl w:val="true"/>
        </w:rPr>
        <w:t xml:space="preserve">: </w:t>
      </w:r>
      <w:r>
        <w:rPr>
          <w:rtl w:val="true"/>
        </w:rPr>
        <w:t>الغيبة</w:t>
      </w:r>
      <w:bookmarkEnd w:id="321"/>
    </w:p>
    <w:p>
      <w:pPr>
        <w:pStyle w:val="BookText"/>
        <w:rPr/>
      </w:pPr>
      <w:r>
        <w:rPr>
          <w:rFonts w:ascii="IRNazanin" w:hAnsi="IRNazanin" w:eastAsia="IRNazanin"/>
          <w:color w:val="111111"/>
          <w:sz w:val="28"/>
          <w:sz w:val="28"/>
          <w:szCs w:val="28"/>
          <w:rtl w:val="true"/>
          <w:lang w:bidi="fa-IR"/>
        </w:rPr>
        <w:t xml:space="preserve">و من الأمور المحرّمة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و هي كما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سئل عنها،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تذكر أخاک بما يكره، فإن كان فيه فقد اغتبته، و إن لم تكن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أن تذكر أخاک في حال غيبته، و هو ظاهر ؛ و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الغيبة هو الّذي يناسبه اللفظ و يوافقه الاعتبار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دلّ عليه رواية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تقول لأخيک في دينه ما لم يَفعَل و تَبُثَّ عليه أمرًا قد ستره الله عليه </w:t>
      </w:r>
      <w:bookmarkStart w:id="322" w:name="pg14719_186669"/>
    </w:p>
    <w:p>
      <w:pPr>
        <w:pStyle w:val="BookText"/>
        <w:rPr/>
      </w:pPr>
      <w:bookmarkEnd w:id="322"/>
      <w:r>
        <w:rPr>
          <w:rFonts w:ascii="Amiri" w:hAnsi="Amiri" w:eastAsia="Amiri" w:cs="Amiri"/>
          <w:color w:val="111111"/>
          <w:sz w:val="28"/>
          <w:sz w:val="28"/>
          <w:szCs w:val="28"/>
          <w:rtl w:val="true"/>
          <w:lang w:bidi="ar-SA"/>
        </w:rPr>
        <w:t xml:space="preserve">لم يقم فيه عليه </w:t>
      </w:r>
      <w:r>
        <w:rPr>
          <w:rStyle w:val="FootnoteAnchor"/>
          <w:rtl w:val="true"/>
        </w:rPr>
        <w:footnoteReference w:id="775"/>
      </w:r>
      <w:r>
        <w:rPr>
          <w:rFonts w:ascii="Amiri" w:hAnsi="Amiri" w:eastAsia="Amiri" w:cs="Amiri"/>
          <w:color w:val="111111"/>
          <w:sz w:val="28"/>
          <w:sz w:val="28"/>
          <w:szCs w:val="28"/>
          <w:rtl w:val="true"/>
          <w:lang w:bidi="ar-SA"/>
        </w:rPr>
        <w:t xml:space="preserve">حدّ </w:t>
      </w:r>
      <w:r>
        <w:rPr>
          <w:rStyle w:val="FootnoteAnchor"/>
          <w:rtl w:val="true"/>
        </w:rPr>
        <w:footnoteReference w:id="776"/>
      </w:r>
      <w:r>
        <w:rPr>
          <w:rFonts w:ascii="IRNazanin" w:hAnsi="IRNazanin" w:eastAsia="IRNazanin"/>
          <w:color w:val="111111"/>
          <w:sz w:val="28"/>
          <w:sz w:val="28"/>
          <w:szCs w:val="28"/>
          <w:rtl w:val="true"/>
          <w:lang w:bidi="fa-IR"/>
        </w:rPr>
        <w:t xml:space="preserve">؛ حيث إنّ ظاهرها خلاف ما مرّ، فهي خلاف العقل، لأنّ العقل قاطعٌ بقبح ذكرک أخيک في حال غيبته ما يكرهه إن ذكرته في حضوره مطلقًا، سواء كان فعله، أو لم يفعله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تدلّ على أنَّ بثّ الأمر الّذي فيه حدّ ليس بغيبة مطلقًا إن لم يتمكّن من إثباته شرعًا، و لا يخفى 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الغيبة هي أن تذكر أخاک ما يكرهه في حضوره، سواء كان فعله، أو لم يفعل، واستوجب عليه حدًّا أم لا، بل لو ذكرته فيما لم يكن فيه يكون بهتانًا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الرواية غير صالحة للتخصيص و المعارضة مع ما فيها من الضعف و كون مدلولها خلاف العقل ؛ بخلاف النبويّ، فإنّه مع موافقته بالعقل قد عرفت مضمونه المناسب لجوهر لفظ الغيبة كما عرفت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53689_730472459"/>
      <w:bookmarkStart w:id="324" w:name="_Toc123"/>
      <w:bookmarkEnd w:id="323"/>
      <w:r>
        <w:rPr>
          <w:rtl w:val="true"/>
        </w:rPr>
        <w:t>الاستدلال بالكتاب و السنّة و الإجماع على حرمة الغيبة</w:t>
      </w:r>
      <w:bookmarkEnd w:id="3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حرمتها بالكتاب و السنّة و الإجماع،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يغتب بعضكم بعضًا أيحبّ أحدكم أن يأكل لحم أخيه مَيْتًا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المضاف إليه، لأنّ مضافه جزء 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غير صادق على اللحم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الاغتياب بمنزلة أكل لحم الميّت ؛ و كما أنّه إذا وجدت أخاک ميتًا لا تأكل من لحمه و تجتنب عنه، فكذلک ينبغي أن تجتنب من أكل لحمه إذا كان حيًّا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كان الطباع غير راغبة، بل متنفّرة و كارهة عن أكل لحم الميّت،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فتحقّقت كراهتكم و نفور طباعكم من أكل لحم الميّت، فاكرهوا ما هو نظيره 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امرءًا مسلمًا بطل صومه، و نُقِضَ وُضُوؤه، و جاء يوم القيامة تفوح من فيه رائحة أَنتُنَ من الجيفة يَتأذّى بها أهل الموقف، فإن مات قبل أن يتوب مات مستحِلاًّ لِما حرّم الله تعالى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مَن سَمِع فاحشة فأفشاها فهو كالّذي أتاها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الكافي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الغيبة أسرع في دين الرجل المُسْلِم من الأَكِلَة </w:t>
      </w:r>
      <w:r>
        <w:rPr>
          <w:rStyle w:val="FootnoteAnchor"/>
          <w:rtl w:val="true"/>
        </w:rPr>
        <w:footnoteReference w:id="781"/>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جوفه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فيه أيضًا عن ابن أبي عمير، في الحسن أو الصحيح،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 سمعته أذناه، فهو من الّذين قال الله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أنّ ما تضمّنه هذا الحديث هو فردٌ من أفراد الغيبة على ما تقدّم ؛ ويستفاد منه أنّه من الكبائر إمّا لكونه فردًا من الغيبة، فيلزم أن يكون مطلق الغيبة من ذلک ؛ أو لأجل خصوصيّةٍ في ذلک الفرد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بكون مطلق الغيبة من الكبائر بما مرّ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يغتب بعضكم بعضًا أيحبّ أحدكم أن يأكل لحم أخيه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الغيبة بمنزلة أكل لحم الميّت، و الحقيقة متعذّرة، فيحمل على اشتراكها معه في جميع الأحكام ؛ و الظاهر أنّ أكل لحم الميّت من الكبائر، فينبغي أن يكون الغيبة كذلک،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من كلام الشهيد في القواعد </w:t>
      </w:r>
      <w:r>
        <w:rPr>
          <w:rStyle w:val="FootnoteAnchor"/>
          <w:rtl w:val="true"/>
        </w:rPr>
        <w:footnoteReference w:id="784"/>
      </w:r>
      <w:r>
        <w:rPr>
          <w:rFonts w:ascii="IRNazanin" w:hAnsi="IRNazanin" w:eastAsia="IRNazanin"/>
          <w:color w:val="111111"/>
          <w:sz w:val="28"/>
          <w:sz w:val="28"/>
          <w:szCs w:val="28"/>
          <w:rtl w:val="true"/>
          <w:lang w:bidi="fa-IR"/>
        </w:rPr>
        <w:t xml:space="preserve">ناقلاً عن بعضهم جعل الغيبة من الكبائر، بل نقل الفاضل المجلسيّ عن جمع من العلماء ذلک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يمكن الاستدلال لذلک أيضًا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إيّاک و الغيبة، فإنّ الغيبة أشدّ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ذلک بأبي أنت و 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الرجل يزني فيتوب إلى الله فيتوب الله عليه، و الغيبة لا تغفر حتّى يغفرها صاحبها، الحديث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أشدّ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أنّ الزنا من الكبائر، فيكون أشدّه منها بطريق أولى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النصوص الدالّة على حرمتها ما رواه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على مؤمن روايةً يريد بها شَينَه و هَدْمَ مُروءَتِهِ لِيَسقُط مِن أعين الناس، أخرَجَه الله مِن وَلايته إلى وَلاية الشيطان، فلا يقبله الشيطان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325" w:name="pg14719_186673"/>
    </w:p>
    <w:p>
      <w:pPr>
        <w:pStyle w:val="BookText"/>
        <w:rPr/>
      </w:pPr>
      <w:bookmarkEnd w:id="325"/>
      <w:r>
        <w:rPr>
          <w:rFonts w:ascii="Amiri" w:hAnsi="Amiri" w:eastAsia="Amiri" w:cs="Amiri"/>
          <w:color w:val="111111"/>
          <w:sz w:val="28"/>
          <w:sz w:val="28"/>
          <w:szCs w:val="28"/>
          <w:rtl w:val="true"/>
          <w:lang w:bidi="ar-SA"/>
        </w:rPr>
        <w:t xml:space="preserve">و ما رواه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أن ينكشف فترى منه شيئًا، إنّما هو أن تروي عليه أو تَعِيبَه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عبد الأعلى بن أعين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يجلس مجلسًا ينتقص فيه إمام، أو يُغابُ </w:t>
      </w:r>
      <w:r>
        <w:rPr>
          <w:rStyle w:val="FootnoteAnchor"/>
          <w:rtl w:val="true"/>
        </w:rPr>
        <w:footnoteReference w:id="789"/>
      </w:r>
      <w:r>
        <w:rPr>
          <w:rFonts w:ascii="Amiri" w:hAnsi="Amiri" w:eastAsia="Amiri" w:cs="Amiri"/>
          <w:color w:val="111111"/>
          <w:sz w:val="28"/>
          <w:sz w:val="28"/>
          <w:szCs w:val="28"/>
          <w:rtl w:val="true"/>
          <w:lang w:bidi="ar-SA"/>
        </w:rPr>
        <w:t xml:space="preserve">فيه مؤمن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صاحب الغيبة </w:t>
      </w:r>
      <w:r>
        <w:rPr>
          <w:rStyle w:val="FootnoteAnchor"/>
          <w:rtl w:val="true"/>
        </w:rPr>
        <w:footnoteReference w:id="791"/>
      </w:r>
      <w:r>
        <w:rPr>
          <w:rFonts w:ascii="Amiri" w:hAnsi="Amiri" w:eastAsia="Amiri" w:cs="Amiri"/>
          <w:color w:val="111111"/>
          <w:sz w:val="28"/>
          <w:sz w:val="28"/>
          <w:szCs w:val="28"/>
          <w:rtl w:val="true"/>
          <w:lang w:bidi="ar-SA"/>
        </w:rPr>
        <w:t xml:space="preserve">لو تاب هو آخر مَن دخل في الجنّة، و إن لم يتب فهو أوّل مَن دخل في النار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منه أنّها من الكبائر </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53691_730472459"/>
      <w:bookmarkStart w:id="327" w:name="_Toc124"/>
      <w:bookmarkEnd w:id="326"/>
      <w:r>
        <w:rPr>
          <w:rtl w:val="true"/>
        </w:rPr>
        <w:t>تفسير الغيبة و حدّها</w:t>
      </w:r>
      <w:bookmarkEnd w:id="3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الأصحاب عرّف الغيبة بما مرّ </w:t>
      </w:r>
      <w:r>
        <w:rPr>
          <w:rStyle w:val="FootnoteAnchor"/>
          <w:rtl w:val="true"/>
        </w:rPr>
        <w:footnoteReference w:id="793"/>
      </w:r>
      <w:r>
        <w:rPr>
          <w:rFonts w:ascii="Amiri" w:hAnsi="Amiri" w:eastAsia="Amiri" w:cs="Amiri"/>
          <w:color w:val="111111"/>
          <w:sz w:val="28"/>
          <w:sz w:val="28"/>
          <w:szCs w:val="28"/>
          <w:rtl w:val="true"/>
          <w:lang w:bidi="ar-SA"/>
        </w:rPr>
        <w:t xml:space="preserve">؛ و نقل الفاضل المجلسيّ </w:t>
      </w:r>
    </w:p>
    <w:p>
      <w:pPr>
        <w:pStyle w:val="BookText"/>
        <w:rPr/>
      </w:pPr>
      <w:r>
        <w:rPr>
          <w:rFonts w:ascii="Amiri" w:hAnsi="Amiri" w:eastAsia="Amiri" w:cs="Amiri"/>
          <w:color w:val="111111"/>
          <w:sz w:val="28"/>
          <w:sz w:val="28"/>
          <w:szCs w:val="28"/>
          <w:rtl w:val="true"/>
          <w:lang w:bidi="ar-SA"/>
        </w:rPr>
        <w:t xml:space="preserve">عن الأكثر في تعريفها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الغيبة هي التنبيه في حال غيبة إنسان معيّن على أمرٍ فيه بحيث لو سمع نسبة ذلک الأمر إليه لكرهه ؛ و يكون ذلک الأمر ممّا يعدّ في العرف والعادة عيبًا و نقصًا، سواء كان ذلک التنبيه بالقول أو بالإشارة، بالتصريح أو بالكناية، باللسان كما تقدّم أو بالكتابة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الفرق بين التفسيرين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التفسير الأوّل يشمل و إن لم يكن الأمر المنسوب موجودًا في ذلک الشخص، بخلاف هذا التفسير ؛ و أنّ التفسير الأوّل ظاهره عدم شموله إلّا للقول و الكتابة دون الكناية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المأخوذ في التفسير الأوّل هو كراهة المغتاب لو سمع الأمر المنسوب إليه، سواء تحقّق مع ذلک صدق العرفيّ بكونه عيبًا و نقصًا، أم لا ؛ بخلاف التفسير الثاني، فإنّ المأخوذ فيه ليس مطلق كراهة المغتاب لو سمع الأمر المنسوب إليه، بل مع صدق العرفيّ بأنّه من العيب و النقص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الفرق بينهما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التفسير الثاني أعمّ باعتبار المورد و أخصّ باعتبار المتعلّق ؛ و التفسير الأوّل بعكس ذلک،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باعتبار المورد، إذ لم يشمل الأمر المنسوب بالكناية، بخلاف التفسير الثاني ؛ و أعمّ باعتبار المتعلّق، لصدقه ولو لم يكن الأمر المنسوب متحقّقًا في المغتاب، و كذا لو لم يصدق في العرف </w:t>
      </w:r>
    </w:p>
    <w:p>
      <w:pPr>
        <w:pStyle w:val="BookText"/>
        <w:rPr/>
      </w:pPr>
      <w:r>
        <w:rPr>
          <w:rFonts w:ascii="Amiri" w:hAnsi="Amiri" w:eastAsia="Amiri" w:cs="Amiri"/>
          <w:color w:val="111111"/>
          <w:sz w:val="28"/>
          <w:sz w:val="28"/>
          <w:szCs w:val="28"/>
          <w:rtl w:val="true"/>
          <w:lang w:bidi="ar-SA"/>
        </w:rPr>
        <w:t xml:space="preserve">والعادة على الأمر المنسوب إليه أنّه عيب و نقص، بخلاف التفسير الثاني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الظاهر هو التفسير الثاني، لأنّ ذكر ما لا يصدق أنّه عيب أو نقص لا يقال في العرف أنّ ذاكره مغتاب و إن كره المنسوب إليه لو سمعه، بل ربّما كان الوصف مدحًا عند أهل العرف، لكن صاحبه لو سمع ذكر ذلک لكرهه، كذكر بعض عباداته ونقل بعض أحواله الممدوحة و أوصافه المحبوبة، لكنّ الغالب أنّ الوصف الّذي يكره بسماعه المنسوب إليه هو عيب أو نقص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ذكر العيب الّذي ليس في المنسوب إليه، فهو بهتان ؛ و قد دلّت به جملة من النصُوص و تقدّم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التقييد بالإنسان المعيّن، للتنبيه على أنّه لو ذكر عيب إنسان مبهم لم يكن غيبة، كما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هذا البلد أو هذا المصر واحد منهم شأنه كذا، أو واحد من أهل هذا البيت فعل كذا، لكن بحيث لم يتعيّن ؛ أمّا لو قال بحيث يفهم المخاطب أو السامع أنّ مراده ذلک الشخص المعيّن، فيكون غيبة أيضًا و إن لم يصرّح باسمه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واحدًا من زيد و عمرو فيه عيب كذا، يكون غيبة أيضًا بالنسبة إليهما، لإدخاله كلاًّ منهما في معرض هذا الاحتمال ؛ و به يظهر لهما نقص الشأن و الجلال، و كون هذا الكلام ممّا يكرهه كلٌّ منهما، كما شهد به الوجدان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التقييد بأمرٍ فيه، للتنبيه على أنّه لو نسب عيب إلى شخص و لم يكن ذلک فيه، </w:t>
      </w:r>
    </w:p>
    <w:p>
      <w:pPr>
        <w:pStyle w:val="BookText"/>
        <w:rPr/>
      </w:pPr>
      <w:r>
        <w:rPr>
          <w:rFonts w:ascii="IRNazanin" w:hAnsi="IRNazanin" w:eastAsia="IRNazanin"/>
          <w:color w:val="111111"/>
          <w:sz w:val="28"/>
          <w:sz w:val="28"/>
          <w:szCs w:val="28"/>
          <w:rtl w:val="true"/>
          <w:lang w:bidi="fa-IR"/>
        </w:rPr>
        <w:t xml:space="preserve">لما كان ذلک غيبة، بل بهتان كما عرفت، لأنّ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الغيبة ذكر ما يوجب العيب أو النقص إذا كان فيه، و إلّا يكون بهتانًا، لكنّ الغيبة قد أطلقت عليهما في العرف و العادة ؛ و يشهد لذلک بعض النصوص الواردة، كرواية داود بن سِرحان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سأله عن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Style w:val="FootnoteAnchor"/>
          <w:rtl w:val="true"/>
        </w:rPr>
        <w:footnoteReference w:id="796"/>
      </w:r>
      <w:r>
        <w:rPr>
          <w:rFonts w:ascii="IRNazanin" w:hAnsi="IRNazanin" w:eastAsia="IRNazanin"/>
          <w:color w:val="111111"/>
          <w:sz w:val="28"/>
          <w:sz w:val="28"/>
          <w:szCs w:val="28"/>
          <w:rtl w:val="true"/>
          <w:lang w:bidi="fa-IR"/>
        </w:rPr>
        <w:t xml:space="preserve">أن تقول لأخيک في دِينه ما لم يفعل و تبثّ عليه أمرًا قد ستره الله عليه،الحديث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التقييد بكون ذلک الأمر ممّا يُعدّ في العرف و العادة عيبًا و نقصًا، لإخراج بعض ما يكرهه الشخص الموصوف و لم يكن عيبًا و نقصًا كما عرفت ؛ و أمّا إذا كان ممّا يعدّ عيبًا و نقصًا فهو غيبة، سواء كان ذلک في الخلقة، أو في الخلق، أو في العمل، أو في النسب، لعموم الدليل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التعميم بقولنا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كان ذلک التنبيه بالقول صريحًا، أو كناية، أو بالإشارة، أو بالكتابة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للتنبيه على عدم اختصاص الغيبة بالقول الصريح، بل تتحقّق و لو بالكناية، كما إذا قلت مثلاً عند ذكر اسم شخص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لم يجعلني من العاصين، أو من المحبّين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غرضک إثبات ذلک 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تحقّق الغيبة بالإشارة، كما تشير بالعين مثلاً إلى عيب لذلک الشخص ؛ وكذا تحقّق بالكتابة أيضًا، كما إذا كتبت أوصافه الغير الجيّدة إلى ثالث </w:t>
      </w:r>
      <w:r>
        <w:rPr>
          <w:rFonts w:eastAsia="IRNazanin" w:cs="IRNazanin"/>
          <w:color w:val="111111"/>
          <w:sz w:val="28"/>
          <w:szCs w:val="28"/>
          <w:rtl w:val="true"/>
          <w:lang w:bidi="fa-IR"/>
        </w:rPr>
        <w:t xml:space="preserve">. </w:t>
      </w:r>
      <w:bookmarkStart w:id="328" w:name="pg14719_186677"/>
    </w:p>
    <w:p>
      <w:pPr>
        <w:pStyle w:val="Heading3"/>
        <w:numPr>
          <w:ilvl w:val="2"/>
          <w:numId w:val="1"/>
        </w:numPr>
        <w:rPr/>
      </w:pPr>
      <w:bookmarkStart w:id="329" w:name="__RefHeading___Toc553693_730472459"/>
      <w:bookmarkStart w:id="330" w:name="_Toc125"/>
      <w:bookmarkEnd w:id="328"/>
      <w:bookmarkEnd w:id="329"/>
      <w:r>
        <w:rPr>
          <w:rtl w:val="true"/>
        </w:rPr>
        <w:t>المواضع الّتي استثنيت الغيبة فيها</w:t>
      </w:r>
      <w:bookmarkEnd w:id="330"/>
    </w:p>
    <w:p>
      <w:pPr>
        <w:pStyle w:val="Heading4"/>
        <w:numPr>
          <w:ilvl w:val="3"/>
          <w:numId w:val="1"/>
        </w:numPr>
        <w:rPr/>
      </w:pPr>
      <w:bookmarkStart w:id="331" w:name="__RefHeading___Toc553695_730472459"/>
      <w:bookmarkStart w:id="332" w:name="_Toc126"/>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 عن الأصحاب استثناء الغيبة المحرّمة في عشرة مواضع</w:t>
      </w:r>
      <w:r>
        <w:rPr>
          <w:rFonts w:eastAsia="IRNazanin" w:cs="IRNazanin"/>
          <w:color w:val="111111"/>
          <w:sz w:val="28"/>
          <w:szCs w:val="28"/>
          <w:rtl w:val="true"/>
          <w:lang w:bidi="fa-IR"/>
        </w:rPr>
        <w:t>:</w:t>
      </w:r>
    </w:p>
    <w:p>
      <w:pPr>
        <w:pStyle w:val="Heading4"/>
        <w:numPr>
          <w:ilvl w:val="3"/>
          <w:numId w:val="1"/>
        </w:numPr>
        <w:rPr/>
      </w:pPr>
      <w:bookmarkStart w:id="333" w:name="__RefHeading___Toc553697_730472459"/>
      <w:bookmarkStart w:id="334" w:name="_Toc127"/>
      <w:bookmarkEnd w:id="333"/>
      <w:r>
        <w:rPr>
          <w:rtl w:val="true"/>
        </w:rPr>
        <w:t xml:space="preserve">الموضع الأوّل </w:t>
      </w:r>
      <w:r>
        <w:rPr>
          <w:rtl w:val="true"/>
        </w:rPr>
        <w:t xml:space="preserve">: </w:t>
      </w:r>
      <w:r>
        <w:rPr>
          <w:rtl w:val="true"/>
        </w:rPr>
        <w:t>إذا كان شخص معروفًا بوصف الغيبة</w:t>
      </w:r>
      <w:bookmarkEnd w:id="33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شخص معروفًا بوصف الغيبة، كفلان الأعرج، أو الأحول، أو الأعمى، أو الأشلّ، و هكذا ؛ فإنّه يجوز لكلّ أحد عند الإخبار عنه ذكره مع ذلک الوصف و لا إثم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جواز ذلک فيما إذا كانت معرفة ذلک الشخص موقوفةً على ذكر الوصف الكذائيّ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الغيبة إمّا لاستلزامها كشف عيوب الناس و الاطّلاع عليها، أو لاستلزامها ذكر الوصف الّذي يكره المغتاب أن يذكر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الأوّل ينبغي أن يجوز ذكر الأوصاف الّتي في شخص عند مَن تعرف تلک الأوصاف فيه مطلقًا، لأنّ مع العلم بتلک الصفات لا يصدق الكشف عن عيوب الناس و الاطّلاع عليها و لا يقصد المتكلّم ذلک أيضًا، و هو واضح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على الثاني ينبغي أن يتبع كراهة المغتاب، فكلّما تحقّقت وجب الاجتناب، وإلّا فلا، إلّا على قدر الحاجة، فيجوز لک ذكر ذلک الوصف إذا كانت معرفة صاحبه منحصرة بذكره، لكن يجب الاقتصار على أقلّ ما تندفع به الضرورة، إلّا إذا ثبت الإجماع على الجواز، فيتبع كيف تحقّق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يظهر من بعض النصوص جواز الغيبة فيما إذا كان الوصف معلومًا مطلقًا، بل عدم كون ذكر الوصف المعلوم غيبة، كرواية أبان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إلّا يحيى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رجلاً مِن خَلْفِه بما هو فيه ممّا عرفه الناس لم يغتبه، و مَن ذكره مِن خَلْفِه بما هو فيه ممّا لايعرفه الناس اغتابه، و مَن ذكره بما ليس فيه فقد بَهَتَه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عبد الرّحمن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أن تقول في أخيک ما سَتَرَ الله </w:t>
      </w:r>
      <w:r>
        <w:rPr>
          <w:rStyle w:val="FootnoteAnchor"/>
          <w:rtl w:val="true"/>
        </w:rPr>
        <w:footnoteReference w:id="799"/>
      </w:r>
      <w:r>
        <w:rPr>
          <w:rFonts w:ascii="Amiri" w:hAnsi="Amiri" w:eastAsia="Amiri" w:cs="Amiri"/>
          <w:color w:val="111111"/>
          <w:sz w:val="28"/>
          <w:sz w:val="28"/>
          <w:szCs w:val="28"/>
          <w:rtl w:val="true"/>
          <w:lang w:bidi="ar-SA"/>
        </w:rPr>
        <w:t xml:space="preserve">عليه، و أمّا الأمر الظاهر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و العَجَلَة فلا ؛ والبُهتَان أن تقولَ فيه ما ليس فيه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سندهما كلامًا </w:t>
      </w:r>
      <w:r>
        <w:rPr>
          <w:rStyle w:val="FootnoteAnchor"/>
          <w:rtl w:val="true"/>
        </w:rPr>
        <w:footnoteReference w:id="801"/>
      </w:r>
      <w:r>
        <w:rPr>
          <w:rFonts w:ascii="Amiri" w:hAnsi="Amiri" w:eastAsia="Amiri" w:cs="Amiri"/>
          <w:color w:val="111111"/>
          <w:sz w:val="28"/>
          <w:sz w:val="28"/>
          <w:szCs w:val="28"/>
          <w:rtl w:val="true"/>
          <w:lang w:bidi="ar-SA"/>
        </w:rPr>
        <w:t xml:space="preserve">؛ و التعليلان المذكوران مستنبطان، فالحقّ ما مرّ </w:t>
      </w:r>
      <w:r>
        <w:rPr>
          <w:rFonts w:eastAsia="Amiri" w:cs="Amiri" w:ascii="Amiri" w:hAnsi="Amiri"/>
          <w:color w:val="111111"/>
          <w:sz w:val="28"/>
          <w:szCs w:val="28"/>
          <w:rtl w:val="true"/>
          <w:lang w:bidi="ar-SA"/>
        </w:rPr>
        <w:t xml:space="preserve">. </w:t>
      </w:r>
      <w:bookmarkStart w:id="335" w:name="pg14719_186679"/>
    </w:p>
    <w:p>
      <w:pPr>
        <w:pStyle w:val="Heading4"/>
        <w:numPr>
          <w:ilvl w:val="3"/>
          <w:numId w:val="1"/>
        </w:numPr>
        <w:rPr/>
      </w:pPr>
      <w:bookmarkStart w:id="336" w:name="__RefHeading___Toc553699_730472459"/>
      <w:bookmarkStart w:id="337" w:name="_Toc128"/>
      <w:bookmarkEnd w:id="335"/>
      <w:bookmarkEnd w:id="336"/>
      <w:r>
        <w:rPr>
          <w:rtl w:val="true"/>
        </w:rPr>
        <w:t xml:space="preserve">الموضع الثاني </w:t>
      </w:r>
      <w:r>
        <w:rPr>
          <w:rtl w:val="true"/>
        </w:rPr>
        <w:t xml:space="preserve">: </w:t>
      </w:r>
      <w:r>
        <w:rPr>
          <w:rtl w:val="true"/>
        </w:rPr>
        <w:t>أن يكون المغتاب متظاهرًا بالفسق</w:t>
      </w:r>
      <w:bookmarkEnd w:id="337"/>
    </w:p>
    <w:p>
      <w:pPr>
        <w:pStyle w:val="BookText"/>
        <w:rPr/>
      </w:pPr>
      <w:r>
        <w:rPr>
          <w:rFonts w:ascii="IRNazanin" w:hAnsi="IRNazanin" w:eastAsia="IRNazanin"/>
          <w:color w:val="111111"/>
          <w:sz w:val="28"/>
          <w:sz w:val="28"/>
          <w:szCs w:val="28"/>
          <w:rtl w:val="true"/>
          <w:lang w:bidi="fa-IR"/>
        </w:rPr>
        <w:t xml:space="preserve">و الثاني من تلک المواضع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المغتاب متظاهرًا بالفسق و متجاهرًا به ؛ و الظاهر أنّ المراد به مَن يرتكب المعاصي كلاًّ أو بعضًا علانية بحيث لايستنكر من أن يذكر بتلک المعاصي مثلاً، كأرباب مناصب الجور و الظلم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دليل الاستثناء في هذا المقام ما روي عن الصدوق في المحاسن </w:t>
      </w:r>
      <w:r>
        <w:rPr>
          <w:rStyle w:val="FootnoteAnchor"/>
          <w:rtl w:val="true"/>
        </w:rPr>
        <w:footnoteReference w:id="802"/>
      </w:r>
      <w:r>
        <w:rPr>
          <w:rFonts w:ascii="IRNazanin" w:hAnsi="IRNazanin" w:eastAsia="IRNazanin"/>
          <w:color w:val="111111"/>
          <w:sz w:val="28"/>
          <w:sz w:val="28"/>
          <w:szCs w:val="28"/>
          <w:rtl w:val="true"/>
          <w:lang w:bidi="fa-IR"/>
        </w:rPr>
        <w:t xml:space="preserve">عن هارون بن جهم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جاهر الفاسق بفسقه فلا حرمة له و لا غيبة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في المجلس العاشر من الأمالي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البختري </w:t>
      </w:r>
      <w:r>
        <w:rPr>
          <w:rStyle w:val="FootnoteAnchor"/>
          <w:rtl w:val="true"/>
        </w:rPr>
        <w:footnoteReference w:id="806"/>
      </w:r>
      <w:r>
        <w:rPr>
          <w:rFonts w:ascii="Amiri" w:hAnsi="Amiri" w:eastAsia="Amiri" w:cs="Amiri"/>
          <w:color w:val="111111"/>
          <w:sz w:val="28"/>
          <w:sz w:val="28"/>
          <w:szCs w:val="28"/>
          <w:rtl w:val="true"/>
          <w:lang w:bidi="ar-SA"/>
        </w:rPr>
        <w:t xml:space="preserve">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ليس </w:t>
      </w:r>
      <w:r>
        <w:rPr>
          <w:rStyle w:val="FootnoteAnchor"/>
          <w:rtl w:val="true"/>
        </w:rPr>
        <w:footnoteReference w:id="807"/>
      </w:r>
      <w:r>
        <w:rPr>
          <w:rFonts w:ascii="Amiri" w:hAnsi="Amiri" w:eastAsia="Amiri" w:cs="Amiri"/>
          <w:color w:val="111111"/>
          <w:sz w:val="28"/>
          <w:sz w:val="28"/>
          <w:szCs w:val="28"/>
          <w:rtl w:val="true"/>
          <w:lang w:bidi="ar-SA"/>
        </w:rPr>
        <w:t xml:space="preserve">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هوى مبتدع، و الإمام الجائر، و الفاسق المعلن بفسقه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ألقى جلباب </w:t>
      </w:r>
      <w:r>
        <w:rPr>
          <w:rStyle w:val="FootnoteAnchor"/>
          <w:rtl w:val="true"/>
        </w:rPr>
        <w:footnoteReference w:id="809"/>
      </w:r>
      <w:r>
        <w:rPr>
          <w:rFonts w:ascii="Amiri" w:hAnsi="Amiri" w:eastAsia="Amiri" w:cs="Amiri"/>
          <w:color w:val="111111"/>
          <w:sz w:val="28"/>
          <w:sz w:val="28"/>
          <w:szCs w:val="28"/>
          <w:rtl w:val="true"/>
          <w:lang w:bidi="ar-SA"/>
        </w:rPr>
        <w:t xml:space="preserve">الحياء عن وجهه </w:t>
      </w:r>
      <w:r>
        <w:rPr>
          <w:rStyle w:val="FootnoteAnchor"/>
          <w:rtl w:val="true"/>
        </w:rPr>
        <w:footnoteReference w:id="810"/>
      </w:r>
      <w:r>
        <w:rPr>
          <w:rFonts w:ascii="Amiri" w:hAnsi="Amiri" w:eastAsia="Amiri" w:cs="Amiri"/>
          <w:color w:val="111111"/>
          <w:sz w:val="28"/>
          <w:sz w:val="28"/>
          <w:szCs w:val="28"/>
          <w:rtl w:val="true"/>
          <w:lang w:bidi="ar-SA"/>
        </w:rPr>
        <w:t xml:space="preserve">، فلا غيبة </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أمّا في الأوّل فظاهر، و أمّا في الثاني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المعلن بالفسق ليس له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وقعت في سياق النفي، فيفيد العموم، فيدلّ على أنّ المعلن بالفسق مثلاً لا احترام له كلية ؛ و معلوم أنّ ترک الغيبة احترام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الغيبة و إن كان احترامًا في الواقع، لكنّ المتبادر من الحرمة والاحترام في العرف غير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إنّما ينفع في العموم الإطلاقيّ، لا في العموم الاستغراقيّ ؛ ومعلوم أنّ النكرة في سياق النفي يفيد العموم الاستغراقي، و ذلک واضح، لأنّ العموم الإطلاقيّ ثابتٌ للنكرة و إن وقعت في سياق الإثبات، فلا وجه لتخصيص النكرة الواقعة في سياق النفي بهذا الحكم، فالتبادر غير نافع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 الثالث فلأنّه أوضح من الثاني،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غيبة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خلاف ذلک له من حيث انّ في الثاني قد صرّح بالفاسق المعلن بفسقه، بخلاف الثالث ؛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ألقى جلباب الحياء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له أيضًا، لأنّ المعلن بالفسق فردٌ من أفرادِ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ألقى جلباب الحياء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العموم، فيشمل جميع الأفراد و مِن جملتها ما نحن فيه، فثبت المطلوب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هل يختصّ جواز الغيبة في المتظاهر و المتجاهر بالفسق بخصوص الذنب الّذي فعله متجاهرًا و علانيةً، أو يعمّه و غيره و لو لم يتجاهر به مطلقًا، أو التفصيل بأنّه إن لم يستنكر من أن يذكر جميع أفعاله القبيحة فالجواز، و إلّا فالعدم، إلّا في خصوص الفعل المتجاهر به ؟</w:t>
      </w:r>
    </w:p>
    <w:p>
      <w:pPr>
        <w:pStyle w:val="BookText"/>
        <w:rPr/>
      </w:pPr>
      <w:r>
        <w:rPr>
          <w:rFonts w:ascii="Amiri" w:hAnsi="Amiri" w:eastAsia="Amiri" w:cs="Amiri"/>
          <w:color w:val="111111"/>
          <w:sz w:val="28"/>
          <w:sz w:val="28"/>
          <w:szCs w:val="28"/>
          <w:rtl w:val="true"/>
          <w:lang w:bidi="ar-SA"/>
        </w:rPr>
        <w:t xml:space="preserve">و الظاهر التعميم، فيجوز غيبته و لو في غير الفعل المتجاهر به مطلقًا وإن استنكف بذكره، عملاً بعموم ما عرفت من الدليل ؛ على أنّه لو لم يستنكف بذكره لم يكن ذكره غيبة، لما عرفت في تعريف الغيبة من أخذ الاستنكاف و الكراهة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المتجاهر بالفسق ؛ و أمّا لو كان فاسقًا لكنّه لم يكن متجاهرًا به، فيمكن الاستدلال لجواز غيبته أيضًا بما روي عنه صلي الله عليه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غيبة للفاسق </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المتبادر منه نفي حرمة الغيبة عنه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بعضهم </w:t>
      </w:r>
      <w:r>
        <w:rPr>
          <w:rStyle w:val="FootnoteAnchor"/>
          <w:rtl w:val="true"/>
        </w:rPr>
        <w:footnoteReference w:id="813"/>
      </w:r>
      <w:r>
        <w:rPr>
          <w:rFonts w:ascii="IRNazanin" w:hAnsi="IRNazanin" w:eastAsia="IRNazanin"/>
          <w:color w:val="111111"/>
          <w:sz w:val="28"/>
          <w:sz w:val="28"/>
          <w:szCs w:val="28"/>
          <w:rtl w:val="true"/>
          <w:lang w:bidi="fa-IR"/>
        </w:rPr>
        <w:t xml:space="preserve">من حمل ذلک على النهي عن غيبة الفاسق، فبعيد ؛ على أنّه لو كان المراد ذلک لا وجه لاختصاص ذلک بالفاسق مع اشتراک غيره معه في هذا الحكم، لكنّه ليس بشيء، لأنّ ثبوت الحرمة لغيبة الفاسق يدلّ على ثبوتها لغيبة غيره بطريق أولى، فالحقّ ما قدّمناه من أنّ المتبادر من مثل هذا الكلام نفي الحرمة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ترى أنّ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صحيحة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إلّا لِمَن صلّى في بيته و رغب عن جماعتنا، و مَن رغب عن جماعة المسلمين وجب على المسلمين غيبته، الحديث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يعلم منه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غيبة إلّا لِمَن صلّى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لا النهي عن الغيبة، فيصير مؤيّدًا في الجملة لما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الغيبة قد ثبتت بالكتاب والنصوص المستفيضة قد تقدّم إلى كثيرٍ منها الإشارة ؛ و هما يعمّان الفاسق و غيره، والتخصيص يحتاج إلى مخصّص يصلح للتخصيص، و الرواية المذكورة بعد إغماض النظر عن الدلالة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سندها غير معلوم، فلا تكون حجّة، فكيف يخصّص به عموم الكتاب و 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الاستدلال للمطلوب بالصحيح المرويّ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الفاسق أنقص من كلّ أحد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عامٌّ شاملٌ للفاسق المتجاهر والمتظاهر بالفسق و غيره، فلازم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حرمة الفاسق أنقص 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حرمته حتّى من اليهود و النصارى و غيرهما من طوائف الكفّار، فكما يجوز غيبتهم ينبغي أن يجوز غيبة الفاسق أيضًا، بل بطريق أولى، لكونه أنقص، </w:t>
      </w:r>
      <w:bookmarkStart w:id="338" w:name="pg14719_186683"/>
    </w:p>
    <w:p>
      <w:pPr>
        <w:pStyle w:val="BookText"/>
        <w:rPr/>
      </w:pPr>
      <w:bookmarkEnd w:id="338"/>
      <w:r>
        <w:rPr>
          <w:rFonts w:ascii="IRNazanin" w:hAnsi="IRNazanin" w:eastAsia="IRNazanin"/>
          <w:color w:val="111111"/>
          <w:sz w:val="28"/>
          <w:sz w:val="28"/>
          <w:szCs w:val="28"/>
          <w:rtl w:val="true"/>
          <w:lang w:bidi="fa-IR"/>
        </w:rPr>
        <w:t xml:space="preserve">لكن مع ذلک بعد في النفس شيء، فتخصيص الكتاب و السنّة المستفيضة بمثل هذا لا يخلو من إشكال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تعلّق بذلک غرض دينيّ يعود إلى المغتاب، مثل غيبته لارتداعه عن المعصية من باب الأمر بالمعروف و النهي عن المنكر جازت حينئذٍ إذا انحصر الوجه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بقي الكلام فيما اشتملت عليه صحيحة ابن أبي يعفور من الحكم بوجوب الغيبة في مَن ترک حضور الجماعة ؛ و كيف يكون ذلک مع أنّ الحضور في الجماعة مستحبّ، و ترک المستحبّ كيف يكون موجبًا لهذا الأمر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أنّها إمّا محمولةٌ على مَن ترک حضور الجماعة بقصد التهاون، كما يشعر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رغب عن جماعتنا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عنها ؛ أو محمولةٌ على ما حملها الشهيد عليه مِن أنّ المراد تارک الجمعة، لا الجماعة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553701_730472459"/>
      <w:bookmarkStart w:id="340" w:name="_Toc129"/>
      <w:bookmarkEnd w:id="339"/>
      <w:r>
        <w:rPr>
          <w:rtl w:val="true"/>
        </w:rPr>
        <w:t xml:space="preserve">الموضع الثالث </w:t>
      </w:r>
      <w:r>
        <w:rPr>
          <w:rtl w:val="true"/>
        </w:rPr>
        <w:t xml:space="preserve">: </w:t>
      </w:r>
      <w:r>
        <w:rPr>
          <w:rtl w:val="true"/>
        </w:rPr>
        <w:t>غيبة المبتدعين في الدين</w:t>
      </w:r>
      <w:bookmarkEnd w:id="340"/>
    </w:p>
    <w:p>
      <w:pPr>
        <w:pStyle w:val="BookText"/>
        <w:rPr/>
      </w:pPr>
      <w:r>
        <w:rPr>
          <w:rFonts w:ascii="IRNazanin" w:hAnsi="IRNazanin" w:eastAsia="IRNazanin"/>
          <w:color w:val="111111"/>
          <w:sz w:val="28"/>
          <w:sz w:val="28"/>
          <w:szCs w:val="28"/>
          <w:rtl w:val="true"/>
          <w:lang w:bidi="fa-IR"/>
        </w:rPr>
        <w:t xml:space="preserve">الثالث 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المبتدعين في الدين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البدعة عبارةٌ عن إدخال ما ليس في الدين في الدين عمدًا، كما إذا </w:t>
      </w:r>
    </w:p>
    <w:p>
      <w:pPr>
        <w:pStyle w:val="BookText"/>
        <w:rPr/>
      </w:pPr>
      <w:r>
        <w:rPr>
          <w:rFonts w:ascii="IRNazanin" w:hAnsi="IRNazanin" w:eastAsia="IRNazanin"/>
          <w:color w:val="111111"/>
          <w:sz w:val="28"/>
          <w:sz w:val="28"/>
          <w:szCs w:val="28"/>
          <w:rtl w:val="true"/>
          <w:lang w:bidi="fa-IR"/>
        </w:rPr>
        <w:t xml:space="preserve">جعل ما أحلّ الله حرامًا، و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أو ما أباحه الله مكروهًا أو مستحبًّا أو واجبًا، أو بعكس ذلک ؛ و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إذا رأيت أرباب البدائع أحدثوا في الدين ما ليس بحقّ و أرادوا بذلک إخداع الناس و ردعهم عن الحقّ و جلبهم إلى الباطل، بل مطلقًا، يجوز لک بل يجب أن تبيّن فساد ما ابتدعوه، و بطلان ما استحدثوه، و منع الناس عن متابعتهم، و إظهار فسقهم عندهم حتّى لا يتّبعهم الغافل، و لا يقفهم الجاهل، و لا يستحسن أفعالهم الذاهل، و ليتميّز الحقّ من الباطل، بل لک أن تسبّهم و تباهتهم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رواه ثقة الإسلام في كتاب الكفر و الإيمان في باب مجالسة أهل المعاصي بسند صحيح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أهل الريب و البِدَع من بعدي فأظهِروا البَراءة منهم، و أكثروا من سَبّهم و القول فيهم والوَقِيعَة </w:t>
      </w:r>
      <w:r>
        <w:rPr>
          <w:rStyle w:val="FootnoteAnchor"/>
          <w:rtl w:val="true"/>
        </w:rPr>
        <w:footnoteReference w:id="817"/>
      </w:r>
      <w:r>
        <w:rPr>
          <w:rFonts w:ascii="Amiri" w:hAnsi="Amiri" w:eastAsia="Amiri" w:cs="Amiri"/>
          <w:color w:val="111111"/>
          <w:sz w:val="28"/>
          <w:sz w:val="28"/>
          <w:szCs w:val="28"/>
          <w:rtl w:val="true"/>
          <w:lang w:bidi="ar-SA"/>
        </w:rPr>
        <w:t xml:space="preserve">، و باهتوهم كَيلا يطمعوا في الفساد في الإسلام، و يَحْذَرَهُمُ الناس، ولايتعلّمون من بِدَعِهم، يَكتُبِ اللهُ لكم بذلک الحسنات، و يرفع لكم به الدرجات في الآخرة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الآخر المرويّ 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ولاتُجَالِسُوهم، فتصيروا عند الناس كواحدٍ منهم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341" w:name="pg14719_186685"/>
    </w:p>
    <w:p>
      <w:pPr>
        <w:pStyle w:val="Heading4"/>
        <w:numPr>
          <w:ilvl w:val="3"/>
          <w:numId w:val="1"/>
        </w:numPr>
        <w:rPr/>
      </w:pPr>
      <w:bookmarkStart w:id="342" w:name="__RefHeading___Toc553703_730472459"/>
      <w:bookmarkStart w:id="343" w:name="_Toc130"/>
      <w:bookmarkEnd w:id="341"/>
      <w:bookmarkEnd w:id="342"/>
      <w:r>
        <w:rPr>
          <w:rtl w:val="true"/>
        </w:rPr>
        <w:t xml:space="preserve">الموضع الرابع </w:t>
      </w:r>
      <w:r>
        <w:rPr>
          <w:rtl w:val="true"/>
        </w:rPr>
        <w:t xml:space="preserve">: </w:t>
      </w:r>
      <w:r>
        <w:rPr>
          <w:rtl w:val="true"/>
        </w:rPr>
        <w:t>بيان خطأ المجتهد</w:t>
      </w:r>
      <w:bookmarkEnd w:id="343"/>
    </w:p>
    <w:p>
      <w:pPr>
        <w:pStyle w:val="BookText"/>
        <w:rPr/>
      </w:pPr>
      <w:r>
        <w:rPr>
          <w:rFonts w:ascii="IRNazanin" w:hAnsi="IRNazanin" w:eastAsia="IRNazanin"/>
          <w:color w:val="111111"/>
          <w:sz w:val="28"/>
          <w:sz w:val="28"/>
          <w:szCs w:val="28"/>
          <w:rtl w:val="true"/>
          <w:lang w:bidi="fa-IR"/>
        </w:rPr>
        <w:t xml:space="preserve">الرابع 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الخطأ الّذي صدر من المجتهد من غير اختيار، فإنّه يجوز لمجتهدٍ آخرٍ إظهارُ خطائه و ردّه و إقامة الدليل عليه، سواء كان المجتهد المخطئ حيًّا أو ميّتًا، فإنّه و إن لم نجد نصًّا بذلک، إلّا أنّ العلماء لا زال في الأعصار و الأمصار ديدنهم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ينبغي أن لا يتجاوز حدّ الضرورة و لم يبالغ في التشييع و المذمّة، و كان غرضه من ذلک إظهارًا للحقّ في المسألة، و تحصيلاً لرضاء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متابعة النفس و هوى الرياسة و قصد اعتقاد رفعة شأنه في العامّة و الخاصّة ؛ وبالجملة ما لم يكن المقصود الأغراض الباطلة و المطالب الفاسدة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مثل هذا المقام كثيرًا ما يزلّ القدم عن الجادّة، و للشيطان حيل كثيرة، عصمنا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برحمته الواسعة و رأفته الشاملة و قدرته الكاملة، بحقّ محمّد وآله الكرام البررة و أوصيائه العظام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صلواته و سلامه إلى قيام القيامة و بقاء النعم في الجنّة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لم يبلغ رتبة الاجتهاد، و لم يطلق عنان اختياره في ذلک الطريق السداد، و لم يصل إليه حظّ من ذلک الوصف الرشاد، و لم يأخذ ثمرة من بستان منّان العباد، لعلّه غير جائز بالنسبة إليه و لو من غير الجدل و العناد، بل لبيان الحقّ ومحض الإرشاد </w:t>
      </w:r>
      <w:r>
        <w:rPr>
          <w:rFonts w:eastAsia="IRNazanin" w:cs="IRNazanin"/>
          <w:color w:val="111111"/>
          <w:sz w:val="28"/>
          <w:szCs w:val="28"/>
          <w:rtl w:val="true"/>
          <w:lang w:bidi="fa-IR"/>
        </w:rPr>
        <w:t xml:space="preserve">. </w:t>
      </w:r>
      <w:bookmarkStart w:id="344" w:name="pg14719_186686"/>
    </w:p>
    <w:p>
      <w:pPr>
        <w:pStyle w:val="BookText"/>
        <w:rPr/>
      </w:pPr>
      <w:bookmarkEnd w:id="344"/>
      <w:r>
        <w:rPr>
          <w:rFonts w:ascii="IRNazanin" w:hAnsi="IRNazanin" w:eastAsia="IRNazanin"/>
          <w:color w:val="111111"/>
          <w:sz w:val="28"/>
          <w:sz w:val="28"/>
          <w:szCs w:val="28"/>
          <w:rtl w:val="true"/>
          <w:lang w:bidi="fa-IR"/>
        </w:rPr>
        <w:t xml:space="preserve">لما عرفت من فقدان الدليل على هذا الاستثناء، سوى فعل المجتهدين، إذ فعل غيرهم ليس بحجّة، و فعلهم لا يدلّ على الجواز مطلقًا، بل بالنسبة إلى المجتهدين، لعموم الأدلّة الدالّة على تحريم الغيبة من الكتاب و السنّة، خرج من ذلک بفعل المجتهدين ما يصدر عنهم في هذا المقام، و أمّا غيرهم فمشكوکٌ تخصيص العمومات الدالّة على التحريم، فالأصل بقاؤها و عدم التخصيص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المذكورة من الكتاب و السنّة قد دلّت على حرمة الغيبة ؛ و الظاهر عدم صدقها بالنسبة إلى مفروض المسألة في العرف و العادة </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53705_730472459"/>
      <w:bookmarkStart w:id="346" w:name="_Toc131"/>
      <w:bookmarkEnd w:id="345"/>
      <w:r>
        <w:rPr>
          <w:rtl w:val="true"/>
        </w:rPr>
        <w:t xml:space="preserve">الموضع الخامس </w:t>
      </w:r>
      <w:r>
        <w:rPr>
          <w:rtl w:val="true"/>
        </w:rPr>
        <w:t xml:space="preserve">: </w:t>
      </w:r>
      <w:r>
        <w:rPr>
          <w:rtl w:val="true"/>
        </w:rPr>
        <w:t>في مقام النهي عن المنكر</w:t>
      </w:r>
      <w:bookmarkEnd w:id="346"/>
    </w:p>
    <w:p>
      <w:pPr>
        <w:pStyle w:val="Heading5"/>
        <w:numPr>
          <w:ilvl w:val="4"/>
          <w:numId w:val="1"/>
        </w:numPr>
        <w:rPr/>
      </w:pPr>
      <w:bookmarkStart w:id="347" w:name="__RefHeading___Toc553707_730472459"/>
      <w:bookmarkStart w:id="348" w:name="_Toc132"/>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 xml:space="preserve">الخامس من تلک المواضع في مقام النهي عن المنكر، كما إذا علمت معصية من شخص و أردت أن تمنعه و تنكره من ذلک الفعل، فإنّه يجوز لک أن تذكر ذلک الفعل عنه في المحاضر و المجالس لأن يصير ذلک سببًا لتركه ذلک الفعل المذموم، لكنّه مشروطٌ بشرائط </w:t>
      </w:r>
      <w:r>
        <w:rPr>
          <w:rFonts w:eastAsia="IRNazanin" w:cs="IRNazanin"/>
          <w:color w:val="111111"/>
          <w:sz w:val="28"/>
          <w:szCs w:val="28"/>
          <w:rtl w:val="true"/>
          <w:lang w:bidi="fa-IR"/>
        </w:rPr>
        <w:t>:</w:t>
      </w:r>
    </w:p>
    <w:p>
      <w:pPr>
        <w:pStyle w:val="Heading5"/>
        <w:numPr>
          <w:ilvl w:val="4"/>
          <w:numId w:val="1"/>
        </w:numPr>
        <w:rPr/>
      </w:pPr>
      <w:bookmarkStart w:id="349" w:name="__RefHeading___Toc553709_730472459"/>
      <w:bookmarkStart w:id="350" w:name="_Toc133"/>
      <w:bookmarkEnd w:id="349"/>
      <w:r>
        <w:rPr>
          <w:rtl w:val="true"/>
        </w:rPr>
        <w:t>الشرط الأوّل</w:t>
      </w:r>
      <w:bookmarkEnd w:id="3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تعلم أنّ ذلک الفعل مذمومٌ و قبيحٌ شرعًا و لم تجد لفعله وجه صحّة، كأن تكون المسألة إجماعيّة وارتكب خلاف المجمع عليه، أو خلافيّة، لكن فعله تلک المسألة ليس مبنيًّا على اجتهاد و لا تقليد لمجتهدٍ آخر </w:t>
      </w:r>
      <w:r>
        <w:rPr>
          <w:rFonts w:eastAsia="IRNazanin" w:cs="IRNazanin"/>
          <w:color w:val="111111"/>
          <w:sz w:val="28"/>
          <w:szCs w:val="28"/>
          <w:rtl w:val="true"/>
          <w:lang w:bidi="fa-IR"/>
        </w:rPr>
        <w:t xml:space="preserve">. </w:t>
      </w:r>
      <w:bookmarkStart w:id="351" w:name="pg14719_186687"/>
    </w:p>
    <w:p>
      <w:pPr>
        <w:pStyle w:val="BookText"/>
        <w:rPr/>
      </w:pPr>
      <w:bookmarkEnd w:id="351"/>
      <w:r>
        <w:rPr>
          <w:rFonts w:ascii="IRNazanin" w:hAnsi="IRNazanin" w:eastAsia="IRNazanin"/>
          <w:color w:val="111111"/>
          <w:sz w:val="28"/>
          <w:sz w:val="28"/>
          <w:szCs w:val="28"/>
          <w:rtl w:val="true"/>
          <w:lang w:bidi="fa-IR"/>
        </w:rPr>
        <w:t xml:space="preserve">و أمّا لو احتملت لفعله وجه صحّة بأن تكون المسألة خلافيّة، فاحتملت أنّ ارتكابه ذلک يمكن أن يكون لتقليد ذلک المجتهد الّذي هذا الفعل مباح عنده، أو لم يعلم أنّ ذلک الفعل قبيحٌ شرعًا، فلا يجوز له الغيبة حينئذ </w:t>
      </w:r>
      <w:r>
        <w:rPr>
          <w:rFonts w:eastAsia="IRNazanin" w:cs="IRNazanin"/>
          <w:color w:val="111111"/>
          <w:sz w:val="28"/>
          <w:szCs w:val="28"/>
          <w:rtl w:val="true"/>
          <w:lang w:bidi="fa-IR"/>
        </w:rPr>
        <w:t>.</w:t>
      </w:r>
    </w:p>
    <w:p>
      <w:pPr>
        <w:pStyle w:val="Heading5"/>
        <w:numPr>
          <w:ilvl w:val="4"/>
          <w:numId w:val="1"/>
        </w:numPr>
        <w:rPr/>
      </w:pPr>
      <w:bookmarkStart w:id="352" w:name="__RefHeading___Toc553711_730472459"/>
      <w:bookmarkStart w:id="353" w:name="_Toc134"/>
      <w:bookmarkEnd w:id="352"/>
      <w:r>
        <w:rPr>
          <w:rtl w:val="true"/>
        </w:rPr>
        <w:t>الشرط الثاني</w:t>
      </w:r>
      <w:bookmarkEnd w:id="353"/>
    </w:p>
    <w:p>
      <w:pPr>
        <w:pStyle w:val="BookText"/>
        <w:rPr/>
      </w:pPr>
      <w:r>
        <w:rPr>
          <w:rFonts w:ascii="IRNazanin" w:hAnsi="IRNazanin" w:eastAsia="IRNazanin"/>
          <w:color w:val="111111"/>
          <w:sz w:val="28"/>
          <w:sz w:val="28"/>
          <w:szCs w:val="28"/>
          <w:rtl w:val="true"/>
          <w:lang w:bidi="fa-IR"/>
        </w:rPr>
        <w:t xml:space="preserve">و الشرط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يجوّز تأثير غيبته على ترک تلک المعصية، بخلاف ما لو لم يجوز ذلک، فلا يجوز له ذلک، لأنّ من شرائط الأمر بالمعروف تجويز التأثير </w:t>
      </w:r>
      <w:r>
        <w:rPr>
          <w:rFonts w:eastAsia="IRNazanin" w:cs="IRNazanin"/>
          <w:color w:val="111111"/>
          <w:sz w:val="28"/>
          <w:szCs w:val="28"/>
          <w:rtl w:val="true"/>
          <w:lang w:bidi="fa-IR"/>
        </w:rPr>
        <w:t>.</w:t>
      </w:r>
    </w:p>
    <w:p>
      <w:pPr>
        <w:pStyle w:val="Heading5"/>
        <w:numPr>
          <w:ilvl w:val="4"/>
          <w:numId w:val="1"/>
        </w:numPr>
        <w:rPr/>
      </w:pPr>
      <w:bookmarkStart w:id="354" w:name="__RefHeading___Toc553713_730472459"/>
      <w:bookmarkStart w:id="355" w:name="_Toc135"/>
      <w:bookmarkEnd w:id="354"/>
      <w:r>
        <w:rPr>
          <w:rtl w:val="true"/>
        </w:rPr>
        <w:t>الشرط الثالث</w:t>
      </w:r>
      <w:bookmarkEnd w:id="355"/>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يمكن له منع ذلک الشخص عن فعل تلک المعصية من غير جهة الغيبة، فلو أمكن له ذلک بأن يعظه في خلوة و يخوّفه عن فعل المعصية بذكر العقاب المترتّب عليها و الحرمان من المنافع الكثيرة الناشئ من فعلها، و بالجملة لم يجد وجه منعه عن فعل تلک المعصية منحصرًا في الغيبة، لا يجوز له الغيبة أيضًا </w:t>
      </w:r>
      <w:r>
        <w:rPr>
          <w:rFonts w:eastAsia="IRNazanin" w:cs="IRNazanin"/>
          <w:color w:val="111111"/>
          <w:sz w:val="28"/>
          <w:szCs w:val="28"/>
          <w:rtl w:val="true"/>
          <w:lang w:bidi="fa-IR"/>
        </w:rPr>
        <w:t>.</w:t>
      </w:r>
    </w:p>
    <w:p>
      <w:pPr>
        <w:pStyle w:val="Heading5"/>
        <w:numPr>
          <w:ilvl w:val="4"/>
          <w:numId w:val="1"/>
        </w:numPr>
        <w:rPr/>
      </w:pPr>
      <w:bookmarkStart w:id="356" w:name="__RefHeading___Toc553715_730472459"/>
      <w:bookmarkStart w:id="357" w:name="_Toc136"/>
      <w:bookmarkEnd w:id="356"/>
      <w:r>
        <w:rPr>
          <w:rtl w:val="true"/>
        </w:rPr>
        <w:t>الشرط الرابع</w:t>
      </w:r>
      <w:bookmarkEnd w:id="3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إيمنًا عن إيصال الضرر إليه، أو إلى عرضه، أو إلى ماله، أو إلى أحد المؤمنين، فلو لم يأمن من ذلک لا يجوز له ذلک، سواء علم إيصال الضرر بسبب غيبته، أو ظنّ ذلک </w:t>
      </w:r>
      <w:r>
        <w:rPr>
          <w:rFonts w:eastAsia="IRNazanin" w:cs="IRNazanin"/>
          <w:color w:val="111111"/>
          <w:sz w:val="28"/>
          <w:szCs w:val="28"/>
          <w:rtl w:val="true"/>
          <w:lang w:bidi="fa-IR"/>
        </w:rPr>
        <w:t xml:space="preserve">. </w:t>
      </w:r>
      <w:bookmarkStart w:id="358" w:name="pg14719_186688"/>
    </w:p>
    <w:p>
      <w:pPr>
        <w:pStyle w:val="Heading5"/>
        <w:numPr>
          <w:ilvl w:val="4"/>
          <w:numId w:val="1"/>
        </w:numPr>
        <w:rPr/>
      </w:pPr>
      <w:bookmarkStart w:id="359" w:name="__RefHeading___Toc553717_730472459"/>
      <w:bookmarkStart w:id="360" w:name="_Toc137"/>
      <w:bookmarkEnd w:id="358"/>
      <w:bookmarkEnd w:id="359"/>
      <w:r>
        <w:rPr>
          <w:rtl w:val="true"/>
        </w:rPr>
        <w:t>الشرط الخامس</w:t>
      </w:r>
      <w:bookmarkEnd w:id="360"/>
    </w:p>
    <w:p>
      <w:pPr>
        <w:pStyle w:val="BookText"/>
        <w:rPr/>
      </w:pP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مقصوده من ذلک إلّا تحصيلاً لرضاء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وامتثالاً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منعًا ذلک الشخص عن فعل المعصية المسخطة ؛ بخلاف ما لو لم يكن المقصود ذلک، بل ذكر غيبته إنّما هو للحسد أو العداوة أو لهما دخلٌ في ذلک، فلا يجوز له ذلک أيضًا، لأنّ ذلک حينئذٍ ليس من باب النهي عن المنكر، بل إنّما هو متابعة لهوى النفس و النهي عن المنكر وسيلة إلى التوصّل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اجتمعت الشرائط المذكورة يجوز الغيبة حينئذ، بل يجب ؛ و ذلک للأدلّة الدالّة على وجوب الأمر بالمعروف و النهي عن المنكر من الكتاب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التعارض بينها و بين الأدلّة الدالّة على حرمة الغيبة و إن كان عمومًا من وجه، لأنّ الأدلّة الدالّة على الأمر بالمعروف و النهي عن المنكر مطلقةٌ شاملةٌ لما إذا تضمّن كلّ منهما الغيبة أم لا، و كذا الأدلّة الدالّة على تحريم الغيبة، فإنّها تدلّ على حرمة الغيبة، سواء وجدت في ضمن الأمر بالمعروف و النهي عن المنكر، أم لا ؛ إلّا أنّ الترجيح لتلک الأدلّة الدالّة على وجوب الأمر بالمعروف و النهي عن المنكر، لعمل الأصحاب، لما عرفت من نقل اتّفاقهم على استثناء حرمة الغيبة في عشرة مواضع الّتي من جملتها ما نحن فيه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انّ الآيات الدالّة على الأمر بالمعروف و النهي عن المنكر كثيرة،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وَلْتَكُنْ منكم أمّةٌ يَدعُون إلى الخير و يَأمُرُون بالمعروف و يَنْهَونَ عن </w:t>
      </w:r>
    </w:p>
    <w:p>
      <w:pPr>
        <w:pStyle w:val="BookText"/>
        <w:rPr/>
      </w:pP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مَكّنّاهم في الأرض أقامُوا الصلاةَ و آتَوُا الزَكاةَ وَ أَمَرُوا بالمعروفِ و نَهَوا عن المُنْكَر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 و غير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جلس رجلٌ من المسلمين يبكي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عجزتُ عن نفسي كُلِّفتُ أهلي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حَسبُک أن تَأمُرهم بما تأمُرُ به نفسَک و تَنهَاهم عمّا تنهى عنه نفسَک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في الغيبة ليس على ما ذكر، بل الظاهر أنّ الدالّ على حرمتها من الكتاب ليس إلّا ما تقدّم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يغتب بعضكم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 لا شکّ أنّ الترجيح للأكثر في مثل ما نحن فيه </w:t>
      </w:r>
      <w:r>
        <w:rPr>
          <w:rFonts w:eastAsia="IRNazanin" w:cs="IRNazanin"/>
          <w:color w:val="111111"/>
          <w:sz w:val="28"/>
          <w:szCs w:val="28"/>
          <w:rtl w:val="true"/>
          <w:lang w:bidi="fa-IR"/>
        </w:rPr>
        <w:t xml:space="preserve">. </w:t>
      </w:r>
      <w:bookmarkStart w:id="361" w:name="pg14719_186690"/>
    </w:p>
    <w:p>
      <w:pPr>
        <w:pStyle w:val="Heading4"/>
        <w:numPr>
          <w:ilvl w:val="3"/>
          <w:numId w:val="1"/>
        </w:numPr>
        <w:rPr/>
      </w:pPr>
      <w:bookmarkStart w:id="362" w:name="__RefHeading___Toc553719_730472459"/>
      <w:bookmarkStart w:id="363" w:name="_Toc138"/>
      <w:bookmarkEnd w:id="361"/>
      <w:bookmarkEnd w:id="362"/>
      <w:r>
        <w:rPr>
          <w:rtl w:val="true"/>
        </w:rPr>
        <w:t xml:space="preserve">الموضع السادس </w:t>
      </w:r>
      <w:r>
        <w:rPr>
          <w:rtl w:val="true"/>
        </w:rPr>
        <w:t xml:space="preserve">: </w:t>
      </w:r>
      <w:r>
        <w:rPr>
          <w:rtl w:val="true"/>
        </w:rPr>
        <w:t>نصح المستشير</w:t>
      </w:r>
      <w:bookmarkEnd w:id="363"/>
    </w:p>
    <w:p>
      <w:pPr>
        <w:pStyle w:val="BookText"/>
        <w:rPr/>
      </w:pPr>
      <w:r>
        <w:rPr>
          <w:rFonts w:ascii="IRNazanin" w:hAnsi="IRNazanin" w:eastAsia="IRNazanin"/>
          <w:color w:val="111111"/>
          <w:sz w:val="28"/>
          <w:sz w:val="28"/>
          <w:szCs w:val="28"/>
          <w:rtl w:val="true"/>
          <w:lang w:bidi="fa-IR"/>
        </w:rPr>
        <w:t xml:space="preserve">و السادس 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المُستشير، كما إذا استشار منک أخوک في الدين في تعلّق أمرٍ من أموره على فلان، كأن تخلف عياله في بيته، أو تزوّج بنته عليه، أو يعطيه ماله بالقرض أو بالمضاربة، و هكذا، فإنّه يجوز لک بل يجب أن تذكّر له ما تعلم من خيره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ذلک الفعل، لأنّه ليس صلاحک وخيرک في فعله و لا يذكر له عيبه صريحًا، لعموم الأدلّة الدالّة على تحريم الغيبة، خرج منها في هذا المقام المقدار الّذي ذكرناه باليقين، و غيره مشكوکٌ فيه، فالأصل عدم الخروج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جمعٌ من الأصحاب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المستشير لو لم يكتف في مقام المشورة بهذا المقدار يجوز التصريح بخصوص العيب المتعلّق بذلک الفعل، فإن ثبت اتّفاقهم في ذلک فمطاع، و إلّا فمقتضى القاعدة ما ذكرناه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الشهيد الثاني أنّه قال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أترعوون </w:t>
      </w:r>
      <w:r>
        <w:rPr>
          <w:rStyle w:val="FootnoteAnchor"/>
          <w:rtl w:val="true"/>
        </w:rPr>
        <w:footnoteReference w:id="827"/>
      </w:r>
      <w:r>
        <w:rPr>
          <w:rFonts w:ascii="Amiri" w:hAnsi="Amiri" w:eastAsia="Amiri" w:cs="Amiri"/>
          <w:color w:val="111111"/>
          <w:sz w:val="28"/>
          <w:sz w:val="28"/>
          <w:szCs w:val="28"/>
          <w:rtl w:val="true"/>
          <w:lang w:bidi="ar-SA"/>
        </w:rPr>
        <w:t>عن ذكر الفاجر حتّى يعرفه الناس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أذكروه بما فيه يحذره الناس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بنت قيس </w:t>
      </w:r>
      <w:bookmarkStart w:id="364" w:name="pg14719_186691"/>
    </w:p>
    <w:p>
      <w:pPr>
        <w:pStyle w:val="BookText"/>
        <w:rPr/>
      </w:pPr>
      <w:bookmarkEnd w:id="364"/>
      <w:r>
        <w:rPr>
          <w:rFonts w:ascii="Amiri" w:hAnsi="Amiri" w:eastAsia="Amiri" w:cs="Amiri"/>
          <w:color w:val="111111"/>
          <w:sz w:val="28"/>
          <w:sz w:val="28"/>
          <w:szCs w:val="28"/>
          <w:rtl w:val="true"/>
          <w:lang w:bidi="ar-SA"/>
        </w:rPr>
        <w:t xml:space="preserve">حين شاورته في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معاوية فرجلٌ صعلون </w:t>
      </w:r>
      <w:r>
        <w:rPr>
          <w:rStyle w:val="FootnoteAnchor"/>
          <w:rtl w:val="true"/>
        </w:rPr>
        <w:footnoteReference w:id="829"/>
      </w:r>
      <w:r>
        <w:rPr>
          <w:rFonts w:ascii="Amiri" w:hAnsi="Amiri" w:eastAsia="Amiri" w:cs="Amiri"/>
          <w:color w:val="111111"/>
          <w:sz w:val="28"/>
          <w:sz w:val="28"/>
          <w:szCs w:val="28"/>
          <w:rtl w:val="true"/>
          <w:lang w:bidi="ar-SA"/>
        </w:rPr>
        <w:t xml:space="preserve">لا مال له، و أمّا أبو جهم فلا يضع العصا من </w:t>
      </w:r>
      <w:r>
        <w:rPr>
          <w:rStyle w:val="FootnoteAnchor"/>
          <w:rtl w:val="true"/>
        </w:rPr>
        <w:footnoteReference w:id="830"/>
      </w:r>
      <w:r>
        <w:rPr>
          <w:rFonts w:ascii="IRNazanin" w:hAnsi="IRNazanin" w:eastAsia="IRNazanin"/>
          <w:color w:val="111111"/>
          <w:sz w:val="28"/>
          <w:sz w:val="28"/>
          <w:szCs w:val="28"/>
          <w:rtl w:val="true"/>
          <w:lang w:bidi="fa-IR"/>
        </w:rPr>
        <w:t xml:space="preserve">عاتقه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اللّازم أن لا يقصد في ذكر العيب مجملاً أو مفصّلاً بالنسبة إلى خصوص العيب المتعلّق بذلک الأمر إلّا حقّ الاستشارة و ترک الخيانة، لا العداوة و غيرها من الأغراض الفاسدة </w:t>
      </w:r>
      <w:r>
        <w:rPr>
          <w:rFonts w:eastAsia="IRNazanin" w:cs="IRNazanin"/>
          <w:color w:val="111111"/>
          <w:sz w:val="28"/>
          <w:szCs w:val="28"/>
          <w:rtl w:val="true"/>
          <w:lang w:bidi="fa-IR"/>
        </w:rPr>
        <w:t>.</w:t>
      </w:r>
    </w:p>
    <w:p>
      <w:pPr>
        <w:pStyle w:val="Heading4"/>
        <w:numPr>
          <w:ilvl w:val="3"/>
          <w:numId w:val="1"/>
        </w:numPr>
        <w:rPr/>
      </w:pPr>
      <w:bookmarkStart w:id="365" w:name="__RefHeading___Toc553721_730472459"/>
      <w:bookmarkStart w:id="366" w:name="_Toc139"/>
      <w:bookmarkEnd w:id="365"/>
      <w:r>
        <w:rPr>
          <w:rtl w:val="true"/>
        </w:rPr>
        <w:t xml:space="preserve">الموضع السابع </w:t>
      </w:r>
      <w:r>
        <w:rPr>
          <w:rtl w:val="true"/>
        </w:rPr>
        <w:t xml:space="preserve">: </w:t>
      </w:r>
      <w:r>
        <w:rPr>
          <w:rtl w:val="true"/>
        </w:rPr>
        <w:t>في مقام الاستفتاء</w:t>
      </w:r>
      <w:bookmarkEnd w:id="366"/>
    </w:p>
    <w:p>
      <w:pPr>
        <w:pStyle w:val="BookText"/>
        <w:rPr/>
      </w:pPr>
      <w:r>
        <w:rPr>
          <w:rFonts w:ascii="IRNazanin" w:hAnsi="IRNazanin" w:eastAsia="IRNazanin"/>
          <w:color w:val="111111"/>
          <w:sz w:val="28"/>
          <w:sz w:val="28"/>
          <w:szCs w:val="28"/>
          <w:rtl w:val="true"/>
          <w:lang w:bidi="fa-IR"/>
        </w:rPr>
        <w:t xml:space="preserve">و السابع من تلک المواضع في مقام الاستفتاء، كأن يستفتى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أبي ظلمني، فكيف سبيلي إلى الخلاص ؟ أو أخذ مالي، هل يمكن لي مطالبة منه ؟ أو سبّني فلان ما يمكن لي في مقابلته ؟ و هكذا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يدلّ على جواز الغيبة في مثل المقام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هندًا قالت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أباسفيان رجل شحيح، لا يعطيني ما يكفيني أنا و ولدي، أفآخذ من غير علمه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ما يكفيک و ولدک بالمعروف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367" w:name="pg14719_186692"/>
    </w:p>
    <w:p>
      <w:pPr>
        <w:pStyle w:val="BookText"/>
        <w:rPr/>
      </w:pPr>
      <w:bookmarkEnd w:id="367"/>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وصفت أبا سفيان في مقام الاستفتاء بوصفين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إعطاء ما يكفيها و ولدها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يزجرها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إلّا لنقل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الجواب عنه بأنّ عدم انزجاره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لاحتمال فسق المغتاب، لا لجواز الغيبة في مقام الاستفتاء، فلا يدلّ على جواز الغيبة مطلقًا في ما نحن فيه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 إن كان فاسقًا في نفس الأمر، إلّا أنّه كان على ظاهر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السالم عن الاعتراض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ضعيفة، فلا يجوز التعويل عليها في تخصيص ما تقدّم من الأدلّة الكثيرة ؛ لكنّ المسألة من المسائل الّتي تقدّم نقل اتّفاق الأصحاب على استثناء حرمة الغيبة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كيف كان و لا شکّ أنّ الأسلمَ الاحترازُ عن ذكر الاسم بأن يقول في المسألة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طريق خلاص رجل ظلمه أبوه ؟ و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دعوى الولد ومطالبته مع والده إذا أخذ من ماله ؟ و هكذا </w:t>
      </w:r>
      <w:r>
        <w:rPr>
          <w:rFonts w:eastAsia="IRNazanin" w:cs="IRNazanin"/>
          <w:color w:val="111111"/>
          <w:sz w:val="28"/>
          <w:szCs w:val="28"/>
          <w:rtl w:val="true"/>
          <w:lang w:bidi="fa-IR"/>
        </w:rPr>
        <w:t>.</w:t>
      </w:r>
    </w:p>
    <w:p>
      <w:pPr>
        <w:pStyle w:val="Heading4"/>
        <w:numPr>
          <w:ilvl w:val="3"/>
          <w:numId w:val="1"/>
        </w:numPr>
        <w:rPr/>
      </w:pPr>
      <w:bookmarkStart w:id="368" w:name="__RefHeading___Toc553723_730472459"/>
      <w:bookmarkStart w:id="369" w:name="_Toc140"/>
      <w:bookmarkEnd w:id="368"/>
      <w:r>
        <w:rPr>
          <w:rtl w:val="true"/>
        </w:rPr>
        <w:t xml:space="preserve">الموضع الثامن </w:t>
      </w:r>
      <w:r>
        <w:rPr>
          <w:rtl w:val="true"/>
        </w:rPr>
        <w:t xml:space="preserve">: </w:t>
      </w:r>
      <w:r>
        <w:rPr>
          <w:rtl w:val="true"/>
        </w:rPr>
        <w:t>تظلّم المظلوم عند مَن يرجو إزالة ظلمه</w:t>
      </w:r>
      <w:bookmarkEnd w:id="3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المظلوم عند مَن يرجو إزالة ظلمه، فإنّه يجوز له ذكر ظلم ظالمه و بيانه له إذا كان مراده إزالة الظلم عنه، و يجوز لذلک الشخص استماعه أيضًا، لكن إذا كان قادرًا على دفع ظلمه عنه و كان الغرض من الاستماع أيضًا ذلک، و مهما أمكن لابدّ أن لا يُسْمِع غير ذلک الشخص </w:t>
      </w:r>
      <w:r>
        <w:rPr>
          <w:rFonts w:eastAsia="IRNazanin" w:cs="IRNazanin"/>
          <w:color w:val="111111"/>
          <w:sz w:val="28"/>
          <w:szCs w:val="28"/>
          <w:rtl w:val="true"/>
          <w:lang w:bidi="fa-IR"/>
        </w:rPr>
        <w:t xml:space="preserve">. </w:t>
      </w:r>
      <w:bookmarkStart w:id="370" w:name="pg14719_186693"/>
    </w:p>
    <w:p>
      <w:pPr>
        <w:pStyle w:val="BookText"/>
        <w:rPr/>
      </w:pPr>
      <w:bookmarkEnd w:id="370"/>
      <w:r>
        <w:rPr>
          <w:rFonts w:ascii="Amiri" w:hAnsi="Amiri" w:eastAsia="Amiri" w:cs="Amiri"/>
          <w:color w:val="111111"/>
          <w:sz w:val="28"/>
          <w:sz w:val="28"/>
          <w:szCs w:val="28"/>
          <w:rtl w:val="true"/>
          <w:lang w:bidi="ar-SA"/>
        </w:rPr>
        <w:t xml:space="preserve">و دليل الجواز و الاستثناء في المقام ما تقدّم من نقل الاتّفاق و وجوب دفع الضرر من النفس ؛ و المفروض أنّه لا يمكن إلّا بما ذكر، فيكون جائزًا، بل واجبًا </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553725_730472459"/>
      <w:bookmarkStart w:id="372" w:name="_Toc141"/>
      <w:bookmarkEnd w:id="371"/>
      <w:r>
        <w:rPr>
          <w:rtl w:val="true"/>
        </w:rPr>
        <w:t xml:space="preserve">الموضع التاسع </w:t>
      </w:r>
      <w:r>
        <w:rPr>
          <w:rtl w:val="true"/>
        </w:rPr>
        <w:t xml:space="preserve">: </w:t>
      </w:r>
      <w:r>
        <w:rPr>
          <w:rtl w:val="true"/>
        </w:rPr>
        <w:t>جرح الرواة</w:t>
      </w:r>
      <w:bookmarkEnd w:id="372"/>
    </w:p>
    <w:p>
      <w:pPr>
        <w:pStyle w:val="BookText"/>
        <w:rPr/>
      </w:pPr>
      <w:r>
        <w:rPr>
          <w:rFonts w:ascii="IRNazanin" w:hAnsi="IRNazanin" w:eastAsia="IRNazanin"/>
          <w:color w:val="111111"/>
          <w:sz w:val="28"/>
          <w:sz w:val="28"/>
          <w:szCs w:val="28"/>
          <w:rtl w:val="true"/>
          <w:lang w:bidi="fa-IR"/>
        </w:rPr>
        <w:t xml:space="preserve">و التاسع من تلک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الرواة، كما فعله علماء الرجال حيث ذكروا لبعض رواة الأخبار جرحًا و مذمّةً، و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لأنّ حفظ الشريعة واجب، والتكاليف ثابتة، فمعرفة الأحكام لازمة، وامتياز الحقّ من الباطل ممّا لابدّ منه، ولا يتمّ إلّا بمعرفة أحوال الرواة و امتياز الثقة منها عن غيرها، و هكذا ؛ لكن يشترط في ذلک أيضًا الإخلاص و قصد حفظ الشريعة و السنن </w:t>
      </w:r>
      <w:r>
        <w:rPr>
          <w:rFonts w:eastAsia="IRNazanin" w:cs="IRNazanin"/>
          <w:color w:val="111111"/>
          <w:sz w:val="28"/>
          <w:szCs w:val="28"/>
          <w:rtl w:val="true"/>
          <w:lang w:bidi="fa-IR"/>
        </w:rPr>
        <w:t>.</w:t>
      </w:r>
    </w:p>
    <w:p>
      <w:pPr>
        <w:pStyle w:val="Heading4"/>
        <w:numPr>
          <w:ilvl w:val="3"/>
          <w:numId w:val="1"/>
        </w:numPr>
        <w:rPr/>
      </w:pPr>
      <w:bookmarkStart w:id="373" w:name="__RefHeading___Toc553727_730472459"/>
      <w:bookmarkStart w:id="374" w:name="_Toc142"/>
      <w:bookmarkEnd w:id="373"/>
      <w:r>
        <w:rPr>
          <w:rtl w:val="true"/>
        </w:rPr>
        <w:t xml:space="preserve">الموضع العاشر </w:t>
      </w:r>
      <w:r>
        <w:rPr>
          <w:rtl w:val="true"/>
        </w:rPr>
        <w:t xml:space="preserve">: </w:t>
      </w:r>
      <w:r>
        <w:rPr>
          <w:rtl w:val="true"/>
        </w:rPr>
        <w:t>ما لو اطّلع جمعٌ على معصيةٍ توجب الحدّ</w:t>
      </w:r>
      <w:bookmarkEnd w:id="374"/>
    </w:p>
    <w:p>
      <w:pPr>
        <w:pStyle w:val="BookText"/>
        <w:rPr/>
      </w:pPr>
      <w:r>
        <w:rPr>
          <w:rFonts w:ascii="IRNazanin" w:hAnsi="IRNazanin" w:eastAsia="IRNazanin"/>
          <w:color w:val="111111"/>
          <w:sz w:val="28"/>
          <w:sz w:val="28"/>
          <w:szCs w:val="28"/>
          <w:rtl w:val="true"/>
          <w:lang w:bidi="fa-IR"/>
        </w:rPr>
        <w:t xml:space="preserve">و العاشر من تلک المواضع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اطّلع جمعٌ على معصيةٍ توجب الحدّ، فإنّه جاز لهم إخبار الحاكم ذلک، ليجرى على فاعلها الحدّ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يجوز ذلک إذا كان عددهم كافيًا في إثبات الحدّ عليه ؛ و جواز ما ذكر إنّما هو عند حاكم الشرع، فلا يجوز عند غيره، عملاً بالعمومات الدالّة على التحريم </w:t>
      </w:r>
      <w:r>
        <w:rPr>
          <w:rFonts w:eastAsia="IRNazanin" w:cs="IRNazanin"/>
          <w:color w:val="111111"/>
          <w:sz w:val="28"/>
          <w:szCs w:val="28"/>
          <w:rtl w:val="true"/>
          <w:lang w:bidi="fa-IR"/>
        </w:rPr>
        <w:t xml:space="preserve">. </w:t>
      </w:r>
      <w:bookmarkStart w:id="375" w:name="pg14719_186694"/>
    </w:p>
    <w:p>
      <w:pPr>
        <w:pStyle w:val="Heading3"/>
        <w:numPr>
          <w:ilvl w:val="2"/>
          <w:numId w:val="1"/>
        </w:numPr>
        <w:rPr/>
      </w:pPr>
      <w:bookmarkStart w:id="376" w:name="__RefHeading___Toc553729_730472459"/>
      <w:bookmarkStart w:id="377" w:name="_Toc143"/>
      <w:bookmarkEnd w:id="375"/>
      <w:bookmarkEnd w:id="376"/>
      <w:r>
        <w:rPr>
          <w:rtl w:val="true"/>
        </w:rPr>
        <w:t>استماع الغيبة كالغيبة في الحرمة</w:t>
      </w:r>
      <w:bookmarkEnd w:id="377"/>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الأعلام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استماع الغيبة بالرضا و الرغبة و كذا التصديق عليها كالغيبة في الحرمة و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مستمع الغيبة أحد المغتابين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عبد الأعلى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يجلس مجلسًا ينتقص فيه إمام، أو يغاب </w:t>
      </w:r>
      <w:r>
        <w:rPr>
          <w:rStyle w:val="FootnoteAnchor"/>
          <w:rtl w:val="true"/>
        </w:rPr>
        <w:footnoteReference w:id="835"/>
      </w:r>
      <w:r>
        <w:rPr>
          <w:rFonts w:ascii="Amiri" w:hAnsi="Amiri" w:eastAsia="Amiri" w:cs="Amiri"/>
          <w:color w:val="111111"/>
          <w:sz w:val="28"/>
          <w:sz w:val="28"/>
          <w:szCs w:val="28"/>
          <w:rtl w:val="true"/>
          <w:lang w:bidi="ar-SA"/>
        </w:rPr>
        <w:t xml:space="preserve">فيه مؤمن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ابتليت في مجلس يغاب فيه المؤمن فانصره بمنع الغيبة عنه إن أمكنک ذلک، و إلّا فقم في ذلک المجلس و لا تكن فيه إن أمكنک ذلک، و إلّا فكن كارهًا عليها غير راض بها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من ذبّ عن أخيه المسلم </w:t>
      </w:r>
      <w:r>
        <w:rPr>
          <w:rStyle w:val="FootnoteAnchor"/>
          <w:rtl w:val="true"/>
        </w:rPr>
        <w:footnoteReference w:id="837"/>
      </w:r>
      <w:r>
        <w:rPr>
          <w:rFonts w:ascii="Amiri" w:hAnsi="Amiri" w:eastAsia="Amiri" w:cs="Amiri"/>
          <w:color w:val="111111"/>
          <w:sz w:val="28"/>
          <w:sz w:val="28"/>
          <w:szCs w:val="28"/>
          <w:rtl w:val="true"/>
          <w:lang w:bidi="ar-SA"/>
        </w:rPr>
        <w:t xml:space="preserve">الغيبة كان حقًّا </w:t>
      </w:r>
      <w:r>
        <w:rPr>
          <w:rStyle w:val="FootnoteAnchor"/>
          <w:rtl w:val="true"/>
        </w:rPr>
        <w:footnoteReference w:id="838"/>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من اغتيب عنده أخوه المسلم وهو يستطيع نصره فنصره،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إن خذله وهو يستطيع نصره، خذله </w:t>
      </w:r>
      <w:r>
        <w:rPr>
          <w:rStyle w:val="FootnoteAnchor"/>
          <w:rtl w:val="true"/>
        </w:rPr>
        <w:footnoteReference w:id="839"/>
      </w:r>
      <w:r>
        <w:rPr>
          <w:rFonts w:ascii="Amiri" w:hAnsi="Amiri" w:eastAsia="Amiri" w:cs="Amiri"/>
          <w:color w:val="111111"/>
          <w:sz w:val="28"/>
          <w:sz w:val="28"/>
          <w:szCs w:val="28"/>
          <w:rtl w:val="true"/>
          <w:lang w:bidi="ar-SA"/>
        </w:rPr>
        <w:t xml:space="preserve">في الدنيا و الآخرة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أنّ ما ذكر إذا كان الرجل المغتاب ممّن نعلم أنّه لا يحلّ غيبته واضح، وأمّا إذا لم نعلم ذلک بأن لم نعرف ذلک الشخص، أو نعرف لكن حاله غير معلوم، فقال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هذا الشخص لو اغتابه شخص آخر لا يجوز نهيه عن ذلک و الحكم بتفسيقه بسبب الغيبة، لأنّ أفعال المسلمين و أحوالهم محمولةٌ على الصحّة، فيمكن أن يكون له غرض صحيح بذلک ؛ و نهيه عنها من غير ظهور فساد فعله لا وجه له، لأنّه إيذاء له من غير سبب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في المقام ما ذكره بعض المحقّقين </w:t>
      </w:r>
      <w:r>
        <w:rPr>
          <w:rStyle w:val="FootnoteAnchor"/>
          <w:rtl w:val="true"/>
        </w:rPr>
        <w:footnoteReference w:id="841"/>
      </w:r>
      <w:r>
        <w:rPr>
          <w:rFonts w:ascii="IRNazanin" w:hAnsi="IRNazanin" w:eastAsia="IRNazanin"/>
          <w:color w:val="111111"/>
          <w:sz w:val="28"/>
          <w:sz w:val="28"/>
          <w:szCs w:val="28"/>
          <w:rtl w:val="true"/>
          <w:lang w:bidi="fa-IR"/>
        </w:rPr>
        <w:t xml:space="preserve">من التفصيل بين كون الّذي يذكر الغيبة من أهل الصلاح و الورع و كان أكثر أموره على التديّن و الوجه الشرعيّ ؛ وبين كونه ممّن يشهد ظاهر حاله أنّه لا غرض صحيح له من ذلک و لم يكن من أهل الصلاح و الورع، فإن كان الأوّل لا يجوز نهيه عنها، و إلّا فالجواز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ريب أنّ الأحوط في الأوّل أيضًا أنّه لو أمكن له النهي على وجهٍ </w:t>
      </w:r>
      <w:bookmarkStart w:id="378" w:name="pg14719_186696"/>
    </w:p>
    <w:p>
      <w:pPr>
        <w:pStyle w:val="BookText"/>
        <w:rPr/>
      </w:pPr>
      <w:bookmarkEnd w:id="378"/>
      <w:r>
        <w:rPr>
          <w:rFonts w:ascii="IRNazanin" w:hAnsi="IRNazanin" w:eastAsia="IRNazanin"/>
          <w:color w:val="111111"/>
          <w:sz w:val="28"/>
          <w:sz w:val="28"/>
          <w:szCs w:val="28"/>
          <w:rtl w:val="true"/>
          <w:lang w:bidi="fa-IR"/>
        </w:rPr>
        <w:t>حسنٍ بحيث لم يستلزم انزجار طبع ذلک الشخص ينهاه ؛ و إلّا فإن أمكن له القيام من ذلک المجلس بحيث لم يستلزم الأذيّة فيقوم، وإلّا فيقعد كارهًا لها غير راضٍ بها</w:t>
      </w:r>
      <w:r>
        <w:rPr>
          <w:rFonts w:eastAsia="IRNazanin" w:cs="IRNazanin"/>
          <w:color w:val="111111"/>
          <w:sz w:val="28"/>
          <w:szCs w:val="28"/>
          <w:rtl w:val="true"/>
          <w:lang w:bidi="fa-IR"/>
        </w:rPr>
        <w:t>.</w:t>
      </w:r>
    </w:p>
    <w:p>
      <w:pPr>
        <w:pStyle w:val="Heading3"/>
        <w:numPr>
          <w:ilvl w:val="2"/>
          <w:numId w:val="1"/>
        </w:numPr>
        <w:rPr/>
      </w:pPr>
      <w:bookmarkStart w:id="379" w:name="__RefHeading___Toc553731_730472459"/>
      <w:bookmarkStart w:id="380" w:name="_Toc144"/>
      <w:bookmarkEnd w:id="379"/>
      <w:r>
        <w:rPr>
          <w:rtl w:val="true"/>
        </w:rPr>
        <w:t>بيان كفّارة الغيبة و توبتها</w:t>
      </w:r>
      <w:bookmarkEnd w:id="380"/>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حيث قد طوّلنا الكلام بإعانة الملک العلّام في الغيبة، فلا بأس أن نذكر الكلام في كفّارتها و التوبة عنها، لئلّا يختلج الناظر للرجوع في معرفة ذلک إلى كتابٍ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الكافي في كتاب الكفر و الإيمان، في باب الغيبة، عن حفص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الاغتياب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كُلّما ذَكَرْتَه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الرواية الأخرى إلّا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ذكرته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إيّاک و الغيبة، فإنّ الغيبة أشدّ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ذلک </w:t>
      </w:r>
      <w:r>
        <w:rPr>
          <w:rStyle w:val="FootnoteAnchor"/>
          <w:rtl w:val="true"/>
        </w:rPr>
        <w:footnoteReference w:id="844"/>
      </w:r>
      <w:r>
        <w:rPr>
          <w:rFonts w:ascii="Amiri" w:hAnsi="Amiri" w:eastAsia="Amiri" w:cs="Amiri"/>
          <w:color w:val="111111"/>
          <w:sz w:val="28"/>
          <w:sz w:val="28"/>
          <w:szCs w:val="28"/>
          <w:rtl w:val="true"/>
          <w:lang w:bidi="ar-SA"/>
        </w:rPr>
        <w:t xml:space="preserve">بأبي أنت و 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يزني فيتوب إلى </w:t>
      </w:r>
    </w:p>
    <w:p>
      <w:pPr>
        <w:pStyle w:val="BookText"/>
        <w:rPr/>
      </w:pPr>
      <w:r>
        <w:rPr>
          <w:rFonts w:ascii="Amiri" w:hAnsi="Amiri" w:eastAsia="Amiri" w:cs="Amiri"/>
          <w:color w:val="111111"/>
          <w:sz w:val="28"/>
          <w:sz w:val="28"/>
          <w:szCs w:val="28"/>
          <w:rtl w:val="true"/>
          <w:lang w:bidi="ar-SA"/>
        </w:rPr>
        <w:t xml:space="preserve">الله فيتوب الله عليه، و الغيبة لا تغفر حتّى يغفرها صاحبها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عليک أنّ مدلول الروايتين الأوليين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كفّارة الغيبة الاستغفار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للمغتاب مطلقًا، سواء وصلت الغيبة إليه، أم لا و أمكن الاسترضاء منه بأن كان حيًّا و حاضرًا، أو غائبًا و أمكن الوصول إليه، أم لا يمكن الاسترضاء منه بأن كان ميّتًا، أو غائبًا بحيث لم يمكن التوصّل إليه، أو عسر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مدلول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الاستغفار للمغتاب في كفّارة الغيبة غير كاف، بل لابدّ من الاسترضاء و الاستبراء من المغتاب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مطلقٌ شاملٌ لما إذا كان حيًّا و ميّتًا حاضرًا و غائبًا، فعلى هذا لو كان المغتاب ميّتًا أو غائبًا لم يمكن التوصّل إليه لا يغفر ذنبه و لا تقبل توبته، لأنّ شرط قبول توبته غفران صاحب الغيبة ؛ و المفروض أنّه غير ممكن، لعدم امكان الاسترضاء و الاستبراء منه، فلا تقبل توبته، لأنّ المشروط منتف بانتفاء شرطه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بعيدٌ من كَرَمِ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موافقٍ للشريعة السهلة السمحة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يبعد القطع على عدم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من قوله الشريف المذكور، فيكون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أمكن و لم يشقّ الاستبراء من صاحب </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أيضًا اختلاف الأشخاص و اختلاف أنواع الاغتياب، فربّ شخص بسبب الاستبراء عنه يطّلع على الغيبة، فيتأذّي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الكلام في أنواع الاغتياب، إذ ربّ نوع منها قلّما اتّفق شخص بعدم الانزجار و التأذّي منه، فعلى هذا يستلزم الاستبراء الأذيّة وانزجار طبع المؤمن، فيكون إفساده أكثر من إصلاحه، فينبغي أن لا يكون هذا أيضًا مرادًا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غفران صاحب الغيبة شرطًا لقبول التوبة فيما إذا سمعها صاحب الغيبة و اطّلع عليها، لما مرّ ؛ و لأنّ الّذي لم يطّلع عليها و لم ينزجر أيضًا باستماعها لو استبرأ منه غير معلوم غالبًا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مقيّدًا لإطلاق الروايتين الأوليين بحمل الروايتين فيما إذا لم يطّلع صاحب الغيبة عليها، أو اطّلع و لم يمكن أو يشقّ الاستبراء لموتٍ أو لبُعدِ مسافة، لكن لمّا كانت الروايتان ضعيفتين بحسب السند، فعلى هذا مهما أمكن الاستبراء بحيث لم يستلزم الإيذاء لا يترک و لو بعنوان الإجمال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منک عفو كلّما كان مِن حقّک على ذمّتي، أو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أمكن لابدّ أن يذكر صاحب الغيبة بالجميل عند كلّ مَن ذكر غيبته عنده حتّى يمحو من خاطرهم ما أثبته له بواسطة الغيبة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381" w:name="pg14719_186699"/>
    </w:p>
    <w:p>
      <w:pPr>
        <w:pStyle w:val="BookText"/>
        <w:rPr/>
      </w:pPr>
      <w:bookmarkEnd w:id="381"/>
      <w:r>
        <w:rPr>
          <w:rFonts w:ascii="Amiri" w:hAnsi="Amiri" w:eastAsia="Amiri" w:cs="Amiri"/>
          <w:color w:val="111111"/>
          <w:sz w:val="28"/>
          <w:sz w:val="28"/>
          <w:szCs w:val="28"/>
          <w:rtl w:val="true"/>
          <w:lang w:bidi="ar-SA"/>
        </w:rPr>
        <w:t xml:space="preserve">ثمّ إنّ هذا في كفّارة الغيبة، و أمّا توبتها فَكَتَوبَةِ غيرها من الذنوب </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553733_730472459"/>
      <w:bookmarkStart w:id="383" w:name="_Toc145"/>
      <w:bookmarkEnd w:id="382"/>
      <w:r>
        <w:rPr>
          <w:rtl w:val="true"/>
        </w:rPr>
        <w:t>الكلام في قاطع الرحم</w:t>
      </w:r>
      <w:bookmarkEnd w:id="383"/>
    </w:p>
    <w:p>
      <w:pPr>
        <w:pStyle w:val="Heading2"/>
        <w:numPr>
          <w:ilvl w:val="1"/>
          <w:numId w:val="1"/>
        </w:numPr>
        <w:rPr/>
      </w:pPr>
      <w:bookmarkStart w:id="384" w:name="__RefHeading___Toc553735_730472459"/>
      <w:bookmarkStart w:id="385" w:name="_Toc146"/>
      <w:bookmarkEnd w:id="384"/>
      <w:r>
        <w:rPr/>
        <w:t>12</w:t>
      </w:r>
      <w:r>
        <w:rPr>
          <w:rtl w:val="true"/>
        </w:rPr>
        <w:t xml:space="preserve">- </w:t>
      </w:r>
      <w:r>
        <w:rPr>
          <w:rtl w:val="true"/>
        </w:rPr>
        <w:t>مسألة</w:t>
      </w:r>
      <w:bookmarkEnd w:id="385"/>
    </w:p>
    <w:p>
      <w:pPr>
        <w:pStyle w:val="Heading3"/>
        <w:numPr>
          <w:ilvl w:val="2"/>
          <w:numId w:val="1"/>
        </w:numPr>
        <w:rPr/>
      </w:pPr>
      <w:bookmarkStart w:id="386" w:name="__RefHeading___Toc553737_730472459"/>
      <w:bookmarkStart w:id="387" w:name="_Toc147"/>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سابقًا أنّ من جملة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الرحم </w:t>
      </w:r>
      <w:r>
        <w:rPr>
          <w:rStyle w:val="FootnoteAnchor"/>
          <w:rtl w:val="true"/>
        </w:rPr>
        <w:footnoteReference w:id="847"/>
      </w:r>
      <w:r>
        <w:rPr>
          <w:rFonts w:ascii="IRNazanin" w:hAnsi="IRNazanin" w:eastAsia="IRNazanin"/>
          <w:color w:val="111111"/>
          <w:sz w:val="28"/>
          <w:sz w:val="28"/>
          <w:szCs w:val="28"/>
          <w:rtl w:val="true"/>
          <w:lang w:bidi="fa-IR"/>
        </w:rPr>
        <w:t xml:space="preserve">، فها أنا أذكر في هذا المقام جملة من النصوص المتعلّقة بذلک، 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كتاب الإيمان و الكفر، في باب مجالسة أهل المعاصي، عن محمّد بن مسلم أو أبي حمزة،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انظُر خمسةً فلا تُصاحبهم ولا تُحادثهم و لا تُرافقهم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إيّاک و مصاحبة الكذّاب، فإنّه بمنزلة السراب، يقرّب لک البعيد و يباعد لک القريب ؛ و إيّاک و مصاحبة الفاسق، فإنّه بائعک بِأُكْلَةٍ أو أقلّ من ذلک ؛ و إيّاک و مصاحبة البخيل، فإنّه يَخذُلُکَ في مال </w:t>
      </w:r>
      <w:r>
        <w:rPr>
          <w:rStyle w:val="FootnoteAnchor"/>
          <w:rtl w:val="true"/>
        </w:rPr>
        <w:footnoteReference w:id="849"/>
      </w:r>
      <w:r>
        <w:rPr>
          <w:rFonts w:ascii="Amiri" w:hAnsi="Amiri" w:eastAsia="Amiri" w:cs="Amiri"/>
          <w:color w:val="111111"/>
          <w:sz w:val="28"/>
          <w:sz w:val="28"/>
          <w:szCs w:val="28"/>
          <w:rtl w:val="true"/>
          <w:lang w:bidi="ar-SA"/>
        </w:rPr>
        <w:t xml:space="preserve">أَحْوَجَ ما </w:t>
      </w:r>
    </w:p>
    <w:p>
      <w:pPr>
        <w:pStyle w:val="BookText"/>
        <w:rPr/>
      </w:pPr>
      <w:r>
        <w:rPr>
          <w:rFonts w:ascii="Amiri" w:hAnsi="Amiri" w:eastAsia="Amiri" w:cs="Amiri"/>
          <w:color w:val="111111"/>
          <w:sz w:val="28"/>
          <w:sz w:val="28"/>
          <w:szCs w:val="28"/>
          <w:rtl w:val="true"/>
          <w:lang w:bidi="ar-SA"/>
        </w:rPr>
        <w:t xml:space="preserve">تكون إليه ؛ و إيّاک و مصاحبة الأحمق، فإنّه يُريد أن يَنْفعک فيضُرُّکَ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إيّاک و مصاحبة القاطع لرحمه، فإنّي وجدته ملعونًا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الّذين لَعَنَهُمُ اللهُ فَأصَمَّهُمْ و أعمَى أبصارَهم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أولئک لَهُمُ اللَّعْنَةُ و لهم سُوءُ الدار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البقرة </w:t>
      </w:r>
      <w:r>
        <w:rPr>
          <w:rStyle w:val="FootnoteAnchor"/>
          <w:rtl w:val="true"/>
        </w:rPr>
        <w:footnoteReference w:id="8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الكتاب المذكور، في باب قطيعة الرحم،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تَقطعْ رَحِمک و إن قَطَعَتْکَ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المذكور من الكتاب المزبور،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الكَوّاء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ويلک قطيعة الرحم، إنّ أهل البيت يَجْتَمِعُون </w:t>
      </w:r>
      <w:r>
        <w:rPr>
          <w:rStyle w:val="FootnoteAnchor"/>
          <w:rtl w:val="true"/>
        </w:rPr>
        <w:footnoteReference w:id="856"/>
      </w:r>
      <w:r>
        <w:rPr>
          <w:rFonts w:ascii="Amiri" w:hAnsi="Amiri" w:eastAsia="Amiri" w:cs="Amiri"/>
          <w:color w:val="111111"/>
          <w:sz w:val="28"/>
          <w:sz w:val="28"/>
          <w:szCs w:val="28"/>
          <w:rtl w:val="true"/>
          <w:lang w:bidi="ar-SA"/>
        </w:rPr>
        <w:t xml:space="preserve">ويَتَواسَون و هم فَجَرة، فيرزُقُهُم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أهلَ البيت لَيَتَفَرَّقُون و يقطعُ بعضُهم بَعضًا فَيَحرِمُهُم الله و هم أتقياء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w:t>
      </w:r>
    </w:p>
    <w:p>
      <w:pPr>
        <w:pStyle w:val="BookText"/>
        <w:rPr/>
      </w:pPr>
      <w:r>
        <w:rPr>
          <w:rFonts w:ascii="Amiri" w:hAnsi="Amiri" w:eastAsia="Amiri" w:cs="Amiri"/>
          <w:color w:val="111111"/>
          <w:sz w:val="28"/>
          <w:sz w:val="28"/>
          <w:szCs w:val="28"/>
          <w:rtl w:val="true"/>
          <w:lang w:bidi="ar-SA"/>
        </w:rPr>
        <w:t xml:space="preserve">الأموال في أيدي الأشرار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المذكور حذيفة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إتَّقوا الحَالِقَة، فإنّها تُمِيتُ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الحالقة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عثمان بن عيسى، عن بعض أصحابه </w:t>
      </w:r>
      <w:r>
        <w:rPr>
          <w:rStyle w:val="FootnoteAnchor"/>
          <w:rtl w:val="true"/>
        </w:rPr>
        <w:footnoteReference w:id="861"/>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إِخوتي و بني عمّي قد ضَيَّقُوا عليَّ الدار وألْجَئُوني منها إلى بيتٍ و لو تَكَلَّمْتُ أَخَذت 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فإنَّ الله سيجعل لک فَرَجًا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 وقع الوباء في سنة إحدى و ثلاثين </w:t>
      </w:r>
      <w:r>
        <w:rPr>
          <w:rStyle w:val="FootnoteAnchor"/>
          <w:rtl w:val="true"/>
        </w:rPr>
        <w:footnoteReference w:id="862"/>
      </w:r>
      <w:r>
        <w:rPr>
          <w:rFonts w:ascii="IRNazanin" w:hAnsi="IRNazanin" w:eastAsia="IRNazanin"/>
          <w:color w:val="111111"/>
          <w:sz w:val="28"/>
          <w:sz w:val="28"/>
          <w:szCs w:val="28"/>
          <w:rtl w:val="true"/>
          <w:lang w:bidi="fa-IR"/>
        </w:rPr>
        <w:t xml:space="preserve">، فماتوا والله كُلُّهم، فما بقي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فلمّا دخلت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أهل بيتک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ماتوا والله كُلُّهم، فما بقي منهم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بما صنعوا بک و بعُقُوقهم إيّاک و قطع رَحِمِهِم تبروا </w:t>
      </w:r>
      <w:r>
        <w:rPr>
          <w:rStyle w:val="FootnoteAnchor"/>
          <w:rtl w:val="true"/>
        </w:rPr>
        <w:footnoteReference w:id="863"/>
      </w:r>
      <w:r>
        <w:rPr>
          <w:rFonts w:ascii="Amiri" w:hAnsi="Amiri" w:eastAsia="Amiri" w:cs="Amiri"/>
          <w:color w:val="111111"/>
          <w:sz w:val="28"/>
          <w:sz w:val="28"/>
          <w:szCs w:val="28"/>
          <w:rtl w:val="true"/>
          <w:lang w:bidi="ar-SA"/>
        </w:rPr>
        <w:t xml:space="preserve">، أَتُحِبُّ أنّهم بقوا وأنّهم ضَيَّقوا عليک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لا يموتُ صاحبُهُنّ أبدًا حتّى يَرَى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 قطيعة الرحم، و اليمينُ الكاذبة يُبارز الله بها ؛ و إنَّ أعْجَلَ الطاعة ثوابًا لَصِلَةُ الرحم، و إنَّ القوم ليكونون فُجّارًا فيتواصَلُون فَتَنمِي أموالُهُم ويُثيرُون </w:t>
      </w:r>
      <w:r>
        <w:rPr>
          <w:rStyle w:val="FootnoteAnchor"/>
          <w:rtl w:val="true"/>
        </w:rPr>
        <w:footnoteReference w:id="865"/>
      </w:r>
      <w:r>
        <w:rPr>
          <w:rFonts w:ascii="Amiri" w:hAnsi="Amiri" w:eastAsia="Amiri" w:cs="Amiri"/>
          <w:color w:val="111111"/>
          <w:sz w:val="28"/>
          <w:sz w:val="28"/>
          <w:szCs w:val="28"/>
          <w:rtl w:val="true"/>
          <w:lang w:bidi="ar-SA"/>
        </w:rPr>
        <w:t xml:space="preserve">، وأنّ اليمين الكاذبة و قطيعة الرحم لَتَذَرانِ الدِّيار بَلاقِعَ </w:t>
      </w:r>
      <w:r>
        <w:rPr>
          <w:rStyle w:val="FootnoteAnchor"/>
          <w:rtl w:val="true"/>
        </w:rPr>
        <w:footnoteReference w:id="866"/>
      </w:r>
      <w:r>
        <w:rPr>
          <w:rFonts w:ascii="Amiri" w:hAnsi="Amiri" w:eastAsia="Amiri" w:cs="Amiri"/>
          <w:color w:val="111111"/>
          <w:sz w:val="28"/>
          <w:sz w:val="28"/>
          <w:szCs w:val="28"/>
          <w:rtl w:val="true"/>
          <w:lang w:bidi="ar-SA"/>
        </w:rPr>
        <w:t xml:space="preserve">مِنْ أَهلِها وينْقُل </w:t>
      </w:r>
      <w:r>
        <w:rPr>
          <w:rStyle w:val="FootnoteAnchor"/>
          <w:rtl w:val="true"/>
        </w:rPr>
        <w:footnoteReference w:id="867"/>
      </w:r>
      <w:r>
        <w:rPr>
          <w:rFonts w:ascii="Amiri" w:hAnsi="Amiri" w:eastAsia="Amiri" w:cs="Amiri"/>
          <w:color w:val="111111"/>
          <w:sz w:val="28"/>
          <w:sz w:val="28"/>
          <w:szCs w:val="28"/>
          <w:rtl w:val="true"/>
          <w:lang w:bidi="ar-SA"/>
        </w:rPr>
        <w:t xml:space="preserve">الرَّحِم </w:t>
      </w:r>
      <w:r>
        <w:rPr>
          <w:rStyle w:val="FootnoteAnchor"/>
          <w:rtl w:val="true"/>
        </w:rPr>
        <w:footnoteReference w:id="868"/>
      </w:r>
      <w:r>
        <w:rPr>
          <w:rFonts w:ascii="Amiri" w:hAnsi="Amiri" w:eastAsia="Amiri" w:cs="Amiri"/>
          <w:color w:val="111111"/>
          <w:sz w:val="28"/>
          <w:sz w:val="28"/>
          <w:szCs w:val="28"/>
          <w:rtl w:val="true"/>
          <w:lang w:bidi="ar-SA"/>
        </w:rPr>
        <w:t xml:space="preserve">، و أنَّ نقلَ الرَّحِم انقطاعُ النسل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الباب عن عَنبسة العابِد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فشكا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أقارِبَه،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أكظِم غيظک وافعل،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يَفعلون و يَفعلون،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تكون مثلهم فلا ينظرَ الله إِلَيكُم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388" w:name="pg14719_186703"/>
    </w:p>
    <w:p>
      <w:pPr>
        <w:pStyle w:val="Heading3"/>
        <w:numPr>
          <w:ilvl w:val="2"/>
          <w:numId w:val="1"/>
        </w:numPr>
        <w:rPr/>
      </w:pPr>
      <w:bookmarkStart w:id="389" w:name="__RefHeading___Toc553739_730472459"/>
      <w:bookmarkStart w:id="390" w:name="_Toc148"/>
      <w:bookmarkEnd w:id="388"/>
      <w:bookmarkEnd w:id="389"/>
      <w:r>
        <w:rPr>
          <w:rtl w:val="true"/>
        </w:rPr>
        <w:t>الكلام في تحريم الفخر و الكبر</w:t>
      </w:r>
      <w:bookmarkEnd w:id="390"/>
    </w:p>
    <w:p>
      <w:pPr>
        <w:pStyle w:val="Heading2"/>
        <w:numPr>
          <w:ilvl w:val="1"/>
          <w:numId w:val="1"/>
        </w:numPr>
        <w:rPr/>
      </w:pPr>
      <w:bookmarkStart w:id="391" w:name="__RefHeading___Toc553741_730472459"/>
      <w:bookmarkStart w:id="392" w:name="_Toc149"/>
      <w:bookmarkEnd w:id="391"/>
      <w:r>
        <w:rPr/>
        <w:t>13</w:t>
      </w:r>
      <w:r>
        <w:rPr>
          <w:rtl w:val="true"/>
        </w:rPr>
        <w:t xml:space="preserve">- </w:t>
      </w:r>
      <w:r>
        <w:rPr>
          <w:rtl w:val="true"/>
        </w:rPr>
        <w:t>مسألة</w:t>
      </w:r>
      <w:bookmarkEnd w:id="392"/>
    </w:p>
    <w:p>
      <w:pPr>
        <w:pStyle w:val="Heading3"/>
        <w:numPr>
          <w:ilvl w:val="2"/>
          <w:numId w:val="1"/>
        </w:numPr>
        <w:rPr/>
      </w:pPr>
      <w:bookmarkStart w:id="393" w:name="__RefHeading___Toc553743_730472459"/>
      <w:bookmarkStart w:id="394" w:name="_Toc150"/>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و من الأمور المحرّمة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و الكبر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في الكافي، في كتاب الإيمان و الكفر، في باب الفخر و الكبر،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فلان بن فلان حتّى عدّ تسعة،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 عاشرهم في النار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الباب أيضًا صحيحًا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للمتكبّر الفَخُور الّذي كان بالأمس نطفة، ثمّ هو غدًا جِيفَة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في الباب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الحسب الافتخار و العُجْب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أيضًا في الباب عن عُقْبَة بن بشير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عُقْبَة بن بشير الأسديّ و أنا في الحسب الضَّخْمِ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تَمُنُّ علينا بِحَسَبِک، إنَّ الله رفع بالإيمان مَن كان الناس يُسَمُّونه وضيعًا إذا كان مؤمنًا ووضع بالكفر مَن كان الناس يُسَمُّونه شَريفًا إذا كان كافرًا، فَلَيسَ لأحدٍ فضلٌ على أحدٍ إلّا بالتقوى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يدلّ شيء من النصوص المذكورة على كون مطلق الافتخار و الكبر من الكبائر، لكن في المقام نصوصٌ أُخَر يدلّ على أنّ الكبر من الكبائر،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باب الكبر من الكتاب المذكور، عن 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 رِداءُ الله، و الكِبرُ إِزارُه، فمَن تناول شيئًا منهُ أكَبَّه الله في جهنّم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سنده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الباب عن ليثٍ المراديّ،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رداء الله، فمَن نازع الله شيئًا من ذلک أكبّه الله في النار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جملة من الأمور المحرّمة قد أحببنا إيرادها في المقام ؛ بعضها من الكبائر، فينقدح في العدالة بمجرّد فعله ؛ و بعضها من الصغائر، فلا ينقدح فيها إلّا مع الإصرار </w:t>
      </w:r>
      <w:r>
        <w:rPr>
          <w:rFonts w:eastAsia="Amiri" w:cs="Amiri" w:ascii="Amiri" w:hAnsi="Amiri"/>
          <w:color w:val="111111"/>
          <w:sz w:val="28"/>
          <w:szCs w:val="28"/>
          <w:rtl w:val="true"/>
          <w:lang w:bidi="ar-SA"/>
        </w:rPr>
        <w:t xml:space="preserve">. </w:t>
      </w:r>
      <w:bookmarkStart w:id="395" w:name="pg14719_186705"/>
    </w:p>
    <w:p>
      <w:pPr>
        <w:pStyle w:val="BookText"/>
        <w:rPr/>
      </w:pPr>
      <w:bookmarkEnd w:id="395"/>
      <w:r>
        <w:rPr>
          <w:rFonts w:ascii="Amiri" w:hAnsi="Amiri" w:eastAsia="Amiri" w:cs="Amiri"/>
          <w:color w:val="111111"/>
          <w:sz w:val="28"/>
          <w:sz w:val="28"/>
          <w:szCs w:val="28"/>
          <w:rtl w:val="true"/>
          <w:lang w:bidi="ar-SA"/>
        </w:rPr>
        <w:t xml:space="preserve">جعلنا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المصرّين على اجتناب المعاصي، و من الملازمين بتقواه الناجي يوم يفوز فيه الأولياء برحمته الجليّ، بمنّه و لطفه الخفيّ العليّ</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53745_730472459"/>
      <w:bookmarkStart w:id="397" w:name="_Toc151"/>
      <w:bookmarkEnd w:id="396"/>
      <w:r>
        <w:rPr>
          <w:rtl w:val="true"/>
        </w:rPr>
        <w:t>ترک المندوبات لا ينقدح في العدالة</w:t>
      </w:r>
      <w:bookmarkEnd w:id="397"/>
    </w:p>
    <w:p>
      <w:pPr>
        <w:pStyle w:val="Heading2"/>
        <w:numPr>
          <w:ilvl w:val="1"/>
          <w:numId w:val="1"/>
        </w:numPr>
        <w:rPr/>
      </w:pPr>
      <w:bookmarkStart w:id="398" w:name="__RefHeading___Toc553747_730472459"/>
      <w:bookmarkStart w:id="399" w:name="_Toc152"/>
      <w:bookmarkEnd w:id="398"/>
      <w:r>
        <w:rPr/>
        <w:t>14</w:t>
      </w:r>
      <w:r>
        <w:rPr>
          <w:rtl w:val="true"/>
        </w:rPr>
        <w:t xml:space="preserve">- </w:t>
      </w:r>
      <w:r>
        <w:rPr>
          <w:rtl w:val="true"/>
        </w:rPr>
        <w:t>مسألة</w:t>
      </w:r>
      <w:bookmarkEnd w:id="399"/>
    </w:p>
    <w:p>
      <w:pPr>
        <w:pStyle w:val="Heading3"/>
        <w:numPr>
          <w:ilvl w:val="2"/>
          <w:numId w:val="1"/>
        </w:numPr>
        <w:rPr/>
      </w:pPr>
      <w:bookmarkStart w:id="400" w:name="__RefHeading___Toc553749_730472459"/>
      <w:bookmarkStart w:id="401" w:name="_Toc153"/>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لا ينقدح في العدالة ترک المندوبات و إن أصرّ، لأنّ المندوب جائزٌ تركه، والشيء الجائز لا ينقدح في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بلغ الترک إلى التهاون بها ينقدح حينئذ، و الترک حينئذٍ ليس جائزًا، بل حرامٌ، إمّا من الصغيرة فينقدح مع الإصرار، أو من الكبيرة فينقدح و لو بدونه </w:t>
      </w:r>
      <w:r>
        <w:rPr>
          <w:rFonts w:eastAsia="IRNazanin" w:cs="IRNazanin"/>
          <w:color w:val="111111"/>
          <w:sz w:val="28"/>
          <w:szCs w:val="28"/>
          <w:rtl w:val="true"/>
          <w:lang w:bidi="fa-IR"/>
        </w:rPr>
        <w:t>.</w:t>
      </w:r>
    </w:p>
    <w:p>
      <w:pPr>
        <w:pStyle w:val="Heading3"/>
        <w:numPr>
          <w:ilvl w:val="2"/>
          <w:numId w:val="1"/>
        </w:numPr>
        <w:rPr/>
      </w:pPr>
      <w:bookmarkStart w:id="402" w:name="__RefHeading___Toc553751_730472459"/>
      <w:bookmarkStart w:id="403" w:name="_Toc154"/>
      <w:bookmarkEnd w:id="402"/>
      <w:r>
        <w:rPr>
          <w:rtl w:val="true"/>
        </w:rPr>
        <w:t>الاشتغال بالصنائع المباحةوالمكروهة والدنيّة غير قادح في العدالة</w:t>
      </w:r>
      <w:bookmarkEnd w:id="403"/>
    </w:p>
    <w:p>
      <w:pPr>
        <w:pStyle w:val="Heading2"/>
        <w:numPr>
          <w:ilvl w:val="1"/>
          <w:numId w:val="1"/>
        </w:numPr>
        <w:rPr/>
      </w:pPr>
      <w:bookmarkStart w:id="404" w:name="__RefHeading___Toc553753_730472459"/>
      <w:bookmarkStart w:id="405" w:name="_Toc155"/>
      <w:bookmarkEnd w:id="404"/>
      <w:r>
        <w:rPr/>
        <w:t>15</w:t>
      </w:r>
      <w:r>
        <w:rPr>
          <w:rtl w:val="true"/>
        </w:rPr>
        <w:t xml:space="preserve">- </w:t>
      </w:r>
      <w:r>
        <w:rPr>
          <w:rtl w:val="true"/>
        </w:rPr>
        <w:t>مسألة</w:t>
      </w:r>
      <w:bookmarkEnd w:id="405"/>
    </w:p>
    <w:p>
      <w:pPr>
        <w:pStyle w:val="Heading3"/>
        <w:numPr>
          <w:ilvl w:val="2"/>
          <w:numId w:val="1"/>
        </w:numPr>
        <w:rPr/>
      </w:pPr>
      <w:bookmarkStart w:id="406" w:name="__RefHeading___Toc553755_730472459"/>
      <w:bookmarkStart w:id="407" w:name="_Toc156"/>
      <w:bookmarkEnd w:id="406"/>
      <w:r>
        <w:rPr>
          <w:rtl w:val="true"/>
        </w:rPr>
        <w:t>اشارة</w:t>
      </w:r>
      <w:bookmarkEnd w:id="4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الاشتغال بالصنائع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و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الصنائع المكروهة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كالصباغة و الحياكة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الصنائع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كالحجامة و الزبالة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العدالة، لا أعرف فيه خلافًا عندنا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الخلاف قد نقل عن بعض أهل الخلاف في الصنائع المكروهة و الدنيّة، فقال بانقداحهما فيها، لأنّ الاشتغال بهذه الحرف يشعر بالخسّة و قلّة المروّة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ذلک مطلقًا ؛ و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الأمور ممّا لابدّ فيه الإنسان ويتوقّف عليه النظام، فالاشتغال به في بعض الأحيان واجب، و تركه يكون قادحًا في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لو سلّمنا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قدح العدالة إنّما هو لفعل المنافي للمروّة، لا لخصوص الاشتغال بهذه الحرف، إذ أيّ فعلٍ و صنعةٍ حصل منهما ذلک يقدح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بعضٌ آخر منهم بين كون هذه الحرف صنعة آباء المشتغل بها، فلا يقدح في العدالة، و إلّا فيقدح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نظر، إذ ربما يكون الشيء بالنسبة إلى الأب غير مناف للمروّة وبالنسبة إلى الإبن منافيًا لها و بالعكس، كما هو ظاهر يشهد به الوجدان ونشاهد بالعيان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الّذي يظهر في هذه الأعصار في كثير من الديار و الأمصار عدم قبول شهادة أكثر أهل الحرف، لأنّ كِذبهم قد بلغ مرتبة كأنّه قد عدم الصدق في مقابله </w:t>
      </w:r>
      <w:r>
        <w:rPr>
          <w:rFonts w:eastAsia="Amiri" w:cs="Amiri" w:ascii="Amiri" w:hAnsi="Amiri"/>
          <w:color w:val="111111"/>
          <w:sz w:val="28"/>
          <w:szCs w:val="28"/>
          <w:rtl w:val="true"/>
          <w:lang w:bidi="ar-SA"/>
        </w:rPr>
        <w:t xml:space="preserve">. </w:t>
      </w:r>
      <w:bookmarkStart w:id="408" w:name="pg14719_186707"/>
    </w:p>
    <w:p>
      <w:pPr>
        <w:pStyle w:val="Heading3"/>
        <w:numPr>
          <w:ilvl w:val="2"/>
          <w:numId w:val="1"/>
        </w:numPr>
        <w:rPr/>
      </w:pPr>
      <w:bookmarkStart w:id="409" w:name="__RefHeading___Toc553757_730472459"/>
      <w:bookmarkStart w:id="410" w:name="_Toc157"/>
      <w:bookmarkEnd w:id="408"/>
      <w:bookmarkEnd w:id="409"/>
      <w:r>
        <w:rPr>
          <w:rtl w:val="true"/>
        </w:rPr>
        <w:t>حكم الحَمَام</w:t>
      </w:r>
      <w:bookmarkEnd w:id="410"/>
    </w:p>
    <w:p>
      <w:pPr>
        <w:pStyle w:val="Heading2"/>
        <w:numPr>
          <w:ilvl w:val="1"/>
          <w:numId w:val="1"/>
        </w:numPr>
        <w:rPr/>
      </w:pPr>
      <w:bookmarkStart w:id="411" w:name="__RefHeading___Toc553759_730472459"/>
      <w:bookmarkStart w:id="412" w:name="_Toc158"/>
      <w:bookmarkEnd w:id="411"/>
      <w:r>
        <w:rPr/>
        <w:t>16</w:t>
      </w:r>
      <w:r>
        <w:rPr>
          <w:rtl w:val="true"/>
        </w:rPr>
        <w:t xml:space="preserve">- </w:t>
      </w:r>
      <w:r>
        <w:rPr>
          <w:rtl w:val="true"/>
        </w:rPr>
        <w:t>مسألة</w:t>
      </w:r>
      <w:bookmarkEnd w:id="412"/>
    </w:p>
    <w:p>
      <w:pPr>
        <w:pStyle w:val="Heading3"/>
        <w:numPr>
          <w:ilvl w:val="2"/>
          <w:numId w:val="1"/>
        </w:numPr>
        <w:rPr/>
      </w:pPr>
      <w:bookmarkStart w:id="413" w:name="__RefHeading___Toc553761_730472459"/>
      <w:bookmarkStart w:id="414" w:name="_Toc159"/>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في حكم الحَمَام ؛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الحَمَام يقع في مقامات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553763_730472459"/>
      <w:bookmarkStart w:id="416" w:name="_Toc160"/>
      <w:bookmarkEnd w:id="415"/>
      <w:r>
        <w:rPr>
          <w:rtl w:val="true"/>
        </w:rPr>
        <w:t>المقام الأوّل</w:t>
      </w:r>
      <w:r>
        <w:rPr>
          <w:rtl w:val="true"/>
        </w:rPr>
        <w:t xml:space="preserve">: </w:t>
      </w:r>
      <w:r>
        <w:rPr>
          <w:rtl w:val="true"/>
        </w:rPr>
        <w:t>في اتّخاذ الحمام لنحو الاُنس</w:t>
      </w:r>
      <w:bookmarkEnd w:id="416"/>
    </w:p>
    <w:p>
      <w:pPr>
        <w:pStyle w:val="Heading4"/>
        <w:numPr>
          <w:ilvl w:val="3"/>
          <w:numId w:val="1"/>
        </w:numPr>
        <w:rPr/>
      </w:pPr>
      <w:bookmarkStart w:id="417" w:name="__RefHeading___Toc553765_730472459"/>
      <w:bookmarkStart w:id="418" w:name="_Toc161"/>
      <w:bookmarkEnd w:id="417"/>
      <w:r>
        <w:rPr>
          <w:rtl w:val="true"/>
        </w:rPr>
        <w:t>والفرخ و إرسال الكتب إلى البلدان</w:t>
      </w:r>
      <w:bookmarkEnd w:id="418"/>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جائزٌ من غير كراهة، للأصل و العمومات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الكفاية </w:t>
      </w:r>
      <w:r>
        <w:rPr>
          <w:rStyle w:val="FootnoteAnchor"/>
          <w:rtl w:val="true"/>
        </w:rPr>
        <w:footnoteReference w:id="881"/>
      </w:r>
      <w:r>
        <w:rPr>
          <w:rFonts w:ascii="IRNazanin" w:hAnsi="IRNazanin" w:eastAsia="IRNazanin"/>
          <w:color w:val="111111"/>
          <w:sz w:val="28"/>
          <w:sz w:val="28"/>
          <w:szCs w:val="28"/>
          <w:rtl w:val="true"/>
          <w:lang w:bidi="fa-IR"/>
        </w:rPr>
        <w:t xml:space="preserve">في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فيه خلافًا، بل المستفاد من جملة من النصوص الترغيب في ذلک و استحبابه، منها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بيتٍ فيه حمامٌ إلّا لم يصب أهل ذلک البيت آفةٌ من الجنّ، إنّ سُفهاء الجنّ يعبثون في البيت فيعبثون بالحمام و يدعون </w:t>
      </w:r>
      <w:r>
        <w:rPr>
          <w:rStyle w:val="FootnoteAnchor"/>
          <w:rtl w:val="true"/>
        </w:rPr>
        <w:footnoteReference w:id="883"/>
      </w:r>
      <w:r>
        <w:rPr>
          <w:rFonts w:ascii="IRNazanin" w:hAnsi="IRNazanin" w:eastAsia="IRNazanin"/>
          <w:color w:val="111111"/>
          <w:sz w:val="28"/>
          <w:sz w:val="28"/>
          <w:szCs w:val="28"/>
          <w:rtl w:val="true"/>
          <w:lang w:bidi="fa-IR"/>
        </w:rPr>
        <w:t xml:space="preserve">الإنسان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419" w:name="pg14719_186708"/>
    </w:p>
    <w:p>
      <w:pPr>
        <w:pStyle w:val="BookText"/>
        <w:rPr/>
      </w:pPr>
      <w:bookmarkEnd w:id="419"/>
      <w:r>
        <w:rPr>
          <w:rFonts w:ascii="IRNazanin" w:hAnsi="IRNazanin" w:eastAsia="IRNazanin"/>
          <w:color w:val="111111"/>
          <w:sz w:val="28"/>
          <w:sz w:val="28"/>
          <w:szCs w:val="28"/>
          <w:rtl w:val="true"/>
          <w:lang w:bidi="fa-IR"/>
        </w:rPr>
        <w:t xml:space="preserve">و منها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على فِراشه ثلاث حماماتٍ</w:t>
      </w:r>
    </w:p>
    <w:p>
      <w:pPr>
        <w:pStyle w:val="BookText"/>
        <w:rPr/>
      </w:pPr>
      <w:r>
        <w:rPr>
          <w:rFonts w:ascii="Amiri" w:hAnsi="Amiri" w:eastAsia="Amiri" w:cs="Amiri"/>
          <w:color w:val="111111"/>
          <w:sz w:val="28"/>
          <w:sz w:val="28"/>
          <w:szCs w:val="28"/>
          <w:rtl w:val="true"/>
          <w:lang w:bidi="ar-SA"/>
        </w:rPr>
        <w:t xml:space="preserve">خُضرٍ قد ذَرَقْنَ على الفِراش،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هؤلاء الحمام يقذر </w:t>
      </w:r>
      <w:r>
        <w:rPr>
          <w:rStyle w:val="FootnoteAnchor"/>
          <w:rtl w:val="true"/>
        </w:rPr>
        <w:footnoteReference w:id="886"/>
      </w:r>
      <w:r>
        <w:rPr>
          <w:rFonts w:ascii="IRNazanin" w:hAnsi="IRNazanin" w:eastAsia="IRNazanin"/>
          <w:color w:val="111111"/>
          <w:sz w:val="28"/>
          <w:sz w:val="28"/>
          <w:szCs w:val="28"/>
          <w:rtl w:val="true"/>
          <w:lang w:bidi="fa-IR"/>
        </w:rPr>
        <w:t>الفراش،</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يستحبّ أن يسكن </w:t>
      </w:r>
      <w:r>
        <w:rPr>
          <w:rStyle w:val="FootnoteAnchor"/>
          <w:rtl w:val="true"/>
        </w:rPr>
        <w:footnoteReference w:id="887"/>
      </w:r>
      <w:r>
        <w:rPr>
          <w:rFonts w:ascii="Amiri" w:hAnsi="Amiri" w:eastAsia="Amiri" w:cs="Amiri"/>
          <w:color w:val="111111"/>
          <w:sz w:val="28"/>
          <w:sz w:val="28"/>
          <w:szCs w:val="28"/>
          <w:rtl w:val="true"/>
          <w:lang w:bidi="ar-SA"/>
        </w:rPr>
        <w:t xml:space="preserve">في البيت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يضرّ في قبول الشهادة مجرّد اتّخاذ الحمام، لعموم دليل قبول الشهادة مع عدم ما يخصّصه و يمنع قبولها إلّا اتّخاذ الحمام، كما هو المفروض ؛ و هو غير صالح لذلک لا عقلاً و لا شرعًا </w:t>
      </w:r>
      <w:r>
        <w:rPr>
          <w:rFonts w:eastAsia="IRNazanin" w:cs="IRNazanin"/>
          <w:color w:val="111111"/>
          <w:sz w:val="28"/>
          <w:szCs w:val="28"/>
          <w:rtl w:val="true"/>
          <w:lang w:bidi="fa-IR"/>
        </w:rPr>
        <w:t>.</w:t>
      </w:r>
    </w:p>
    <w:p>
      <w:pPr>
        <w:pStyle w:val="Heading3"/>
        <w:numPr>
          <w:ilvl w:val="2"/>
          <w:numId w:val="1"/>
        </w:numPr>
        <w:rPr/>
      </w:pPr>
      <w:bookmarkStart w:id="420" w:name="__RefHeading___Toc553767_730472459"/>
      <w:bookmarkStart w:id="421" w:name="_Toc162"/>
      <w:bookmarkEnd w:id="420"/>
      <w:r>
        <w:rPr>
          <w:rtl w:val="true"/>
        </w:rPr>
        <w:t>المقام الثاني</w:t>
      </w:r>
      <w:r>
        <w:rPr>
          <w:rtl w:val="true"/>
        </w:rPr>
        <w:t xml:space="preserve">: </w:t>
      </w:r>
      <w:r>
        <w:rPr>
          <w:rtl w:val="true"/>
        </w:rPr>
        <w:t>في اقتنائها واتّخاذها للّعب بها من غير رهان</w:t>
      </w:r>
      <w:bookmarkEnd w:id="421"/>
    </w:p>
    <w:p>
      <w:pPr>
        <w:pStyle w:val="BookText"/>
        <w:rPr/>
      </w:pPr>
      <w:r>
        <w:rPr>
          <w:rFonts w:ascii="Amiri" w:hAnsi="Amiri" w:eastAsia="Amiri" w:cs="Amiri"/>
          <w:color w:val="111111"/>
          <w:sz w:val="28"/>
          <w:sz w:val="28"/>
          <w:szCs w:val="28"/>
          <w:rtl w:val="true"/>
          <w:lang w:bidi="ar-SA"/>
        </w:rPr>
        <w:t xml:space="preserve">كأن يطيّرها ليتقلّب في السماء و تجيء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إدريس </w:t>
      </w:r>
      <w:r>
        <w:rPr>
          <w:rStyle w:val="FootnoteAnchor"/>
          <w:rtl w:val="true"/>
        </w:rPr>
        <w:footnoteReference w:id="889"/>
      </w:r>
      <w:r>
        <w:rPr>
          <w:rFonts w:ascii="IRNazanin" w:hAnsi="IRNazanin" w:eastAsia="IRNazanin"/>
          <w:color w:val="111111"/>
          <w:sz w:val="28"/>
          <w:sz w:val="28"/>
          <w:szCs w:val="28"/>
          <w:rtl w:val="true"/>
          <w:lang w:bidi="fa-IR"/>
        </w:rPr>
        <w:t xml:space="preserve">إلى حرمة ذلک و قدحه في العدالة و قبول الشهادة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نقله في الكفاية </w:t>
      </w:r>
      <w:r>
        <w:rPr>
          <w:rStyle w:val="FootnoteAnchor"/>
          <w:rtl w:val="true"/>
        </w:rPr>
        <w:footnoteReference w:id="890"/>
      </w:r>
      <w:r>
        <w:rPr>
          <w:rFonts w:ascii="Amiri" w:hAnsi="Amiri" w:eastAsia="Amiri" w:cs="Amiri"/>
          <w:color w:val="111111"/>
          <w:sz w:val="28"/>
          <w:sz w:val="28"/>
          <w:szCs w:val="28"/>
          <w:rtl w:val="true"/>
          <w:lang w:bidi="ar-SA"/>
        </w:rPr>
        <w:t xml:space="preserve">عن ابن حمزة، لقبح مطلق اللعب، لورود المذمّة عليه في الآيات و الأخبار، و هذا 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نقل عن كافّة متأَخّري الأصحاب جواز ذلک مع الكراهة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المحكىّ عن الشيخ في المبسوط و النهاية و ابن البرّاج </w:t>
      </w:r>
      <w:r>
        <w:rPr>
          <w:rStyle w:val="FootnoteAnchor"/>
          <w:rtl w:val="true"/>
        </w:rPr>
        <w:footnoteReference w:id="892"/>
      </w:r>
      <w:r>
        <w:rPr>
          <w:rFonts w:ascii="Amiri" w:hAnsi="Amiri" w:eastAsia="Amiri" w:cs="Amiri"/>
          <w:color w:val="111111"/>
          <w:sz w:val="28"/>
          <w:sz w:val="28"/>
          <w:szCs w:val="28"/>
          <w:rtl w:val="true"/>
          <w:lang w:bidi="ar-SA"/>
        </w:rPr>
        <w:t xml:space="preserve">، بل ظاهر الأوّل أنّه مجمع عليه بيننا على ما حكي عنه من أنّه قال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اقتنائها للّعب بها، و هو أن يطيّرها و يتقلّب </w:t>
      </w:r>
      <w:r>
        <w:rPr>
          <w:rStyle w:val="FootnoteAnchor"/>
          <w:rtl w:val="true"/>
        </w:rPr>
        <w:footnoteReference w:id="893"/>
      </w:r>
      <w:r>
        <w:rPr>
          <w:rFonts w:ascii="Amiri" w:hAnsi="Amiri" w:eastAsia="Amiri" w:cs="Amiri"/>
          <w:color w:val="111111"/>
          <w:sz w:val="28"/>
          <w:sz w:val="28"/>
          <w:szCs w:val="28"/>
          <w:rtl w:val="true"/>
          <w:lang w:bidi="ar-SA"/>
        </w:rPr>
        <w:t xml:space="preserve">في السماء و نحو هذا، فإنّه مكروه عندنا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هذا هو الأظهر، لما عرفت من الإجماع الظاهر ممّا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في التهذيب عن علا </w:t>
      </w:r>
      <w:r>
        <w:rPr>
          <w:rStyle w:val="FootnoteAnchor"/>
          <w:rtl w:val="true"/>
        </w:rPr>
        <w:footnoteReference w:id="895"/>
      </w:r>
      <w:r>
        <w:rPr>
          <w:rFonts w:ascii="Amiri" w:hAnsi="Amiri" w:eastAsia="Amiri" w:cs="Amiri"/>
          <w:color w:val="111111"/>
          <w:sz w:val="28"/>
          <w:sz w:val="28"/>
          <w:szCs w:val="28"/>
          <w:rtl w:val="true"/>
          <w:lang w:bidi="ar-SA"/>
        </w:rPr>
        <w:t xml:space="preserve">بن سيابة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مَن يلعب بالحمام،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الخبر غير مضرّ، لانجباره بالشهرة، بل الإجماع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عمّا ذكره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يجب تقييد الآيات والأخبار الدالّة على حرمة مطلق اللعب بغير ما نحن فيه، بقرينة ما مرّ من الإجماع الظاهر و الرواية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الرواية مستندةً في الحكم المذكور، ينبغي الحكم بعدم </w:t>
      </w:r>
    </w:p>
    <w:p>
      <w:pPr>
        <w:pStyle w:val="BookText"/>
        <w:rPr/>
      </w:pPr>
      <w:r>
        <w:rPr>
          <w:rFonts w:ascii="Amiri" w:hAnsi="Amiri" w:eastAsia="Amiri" w:cs="Amiri"/>
          <w:color w:val="111111"/>
          <w:sz w:val="28"/>
          <w:sz w:val="28"/>
          <w:szCs w:val="28"/>
          <w:rtl w:val="true"/>
          <w:lang w:bidi="ar-SA"/>
        </w:rPr>
        <w:t xml:space="preserve">الكراهة أيضًا، لأنّ البأسَ المنفيّ فيها نكرةٌ في سياق النفي، فتفيد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النكرة للعموم في سياق النفي مسلّمة، لكن إنّما تفيده بحسب معناها ؛ و معنى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يستفاد من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قال في القاموس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إفادته العموم بالنسبة إلى أفراد العذاب، و نحن نقول به ؛ و معلوم أنّ الكراهة ليست بعذاب، فلا ينافيها الرواية، لأنّ نفي العذاب المستفاد من نفي البأس في الرواية أعمّ من نفي الكراهة، فلا يستلزمه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تسليم نقل هذه العبارة في العرف و العادة إلى ما يستفاد منه نفي الكراهة أيضًا و تسليم تقديم العرف على اللغة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ليست بحجّة بنفسها، لضعفها ؛ و حجّيّتها إنّما هي لما تقدّم، و هو إنّما دلّ على عدم الحرمة، لا على عدم الكراهة، بل دلّ على إثباتها، فتأمّل </w:t>
      </w:r>
      <w:r>
        <w:rPr>
          <w:rFonts w:eastAsia="Amiri" w:cs="Amiri" w:ascii="Amiri" w:hAnsi="Amiri"/>
          <w:color w:val="111111"/>
          <w:sz w:val="28"/>
          <w:szCs w:val="28"/>
          <w:rtl w:val="true"/>
          <w:lang w:bidi="ar-SA"/>
        </w:rPr>
        <w:t xml:space="preserve">. </w:t>
      </w:r>
      <w:bookmarkStart w:id="422" w:name="pg14719_186711"/>
    </w:p>
    <w:p>
      <w:pPr>
        <w:pStyle w:val="Heading3"/>
        <w:numPr>
          <w:ilvl w:val="2"/>
          <w:numId w:val="1"/>
        </w:numPr>
        <w:rPr/>
      </w:pPr>
      <w:bookmarkStart w:id="423" w:name="__RefHeading___Toc553769_730472459"/>
      <w:bookmarkStart w:id="424" w:name="_Toc163"/>
      <w:bookmarkEnd w:id="422"/>
      <w:bookmarkEnd w:id="423"/>
      <w:r>
        <w:rPr>
          <w:rtl w:val="true"/>
        </w:rPr>
        <w:t>و المقام الثالث</w:t>
      </w:r>
      <w:r>
        <w:rPr>
          <w:rtl w:val="true"/>
        </w:rPr>
        <w:t xml:space="preserve">: </w:t>
      </w:r>
      <w:r>
        <w:rPr>
          <w:rtl w:val="true"/>
        </w:rPr>
        <w:t>في اتّخاذها للّعب بها مع الرهان</w:t>
      </w:r>
      <w:bookmarkEnd w:id="424"/>
    </w:p>
    <w:p>
      <w:pPr>
        <w:pStyle w:val="BookText"/>
        <w:rPr/>
      </w:pPr>
      <w:r>
        <w:rPr>
          <w:rFonts w:ascii="IRNazanin" w:hAnsi="IRNazanin" w:eastAsia="IRNazanin"/>
          <w:color w:val="111111"/>
          <w:sz w:val="28"/>
          <w:sz w:val="28"/>
          <w:szCs w:val="28"/>
          <w:rtl w:val="true"/>
          <w:lang w:bidi="fa-IR"/>
        </w:rPr>
        <w:t xml:space="preserve">و هو حرام، قادحٌ في العدالة، فلا تقبل من فاعله الشهادة ؛ قد نقل على ذلک إجماع الطائفة، و لما دلّ على اختصاص جواز الرهان في الخفّ و الحافر من الحيوان و النصل من غيره، كالسيف و السهم و غيرهما </w:t>
      </w:r>
      <w:r>
        <w:rPr>
          <w:rStyle w:val="FootnoteAnchor"/>
          <w:rtl w:val="true"/>
        </w:rPr>
        <w:footnoteReference w:id="899"/>
      </w:r>
      <w:r>
        <w:rPr>
          <w:rFonts w:ascii="Amiri" w:hAnsi="Amiri" w:eastAsia="Amiri" w:cs="Amiri"/>
          <w:color w:val="111111"/>
          <w:sz w:val="28"/>
          <w:sz w:val="28"/>
          <w:szCs w:val="28"/>
          <w:rtl w:val="true"/>
          <w:lang w:bidi="ar-SA"/>
        </w:rPr>
        <w:t>؛ و لتحقيق المقام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عليه الرواية المرويّة في الفقيه عن علاء </w:t>
      </w:r>
      <w:r>
        <w:rPr>
          <w:rStyle w:val="FootnoteAnchor"/>
          <w:rtl w:val="true"/>
        </w:rPr>
        <w:footnoteReference w:id="900"/>
      </w:r>
      <w:r>
        <w:rPr>
          <w:rFonts w:ascii="Amiri" w:hAnsi="Amiri" w:eastAsia="Amiri" w:cs="Amiri"/>
          <w:color w:val="111111"/>
          <w:sz w:val="28"/>
          <w:sz w:val="28"/>
          <w:szCs w:val="28"/>
          <w:rtl w:val="true"/>
          <w:lang w:bidi="ar-SA"/>
        </w:rPr>
        <w:t xml:space="preserve">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عن شهادة من يلعب بالحمام،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قِبَلِنا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الرهان و تَلْعَنُ صاحِبَه ما خلا الحافر و الخُفّ و الريش و النصل، فإنَّها تَحْضُرُها الملائكة و قد سابق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 أجرى الخيل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ظاهرها يدلّ على جواز الرهان على الحمام و غيره من الطيور، بناءً </w:t>
      </w:r>
    </w:p>
    <w:p>
      <w:pPr>
        <w:pStyle w:val="BookText"/>
        <w:rPr/>
      </w:pPr>
      <w:r>
        <w:rPr>
          <w:rFonts w:ascii="IRNazanin" w:hAnsi="IRNazanin" w:eastAsia="IRNazanin"/>
          <w:color w:val="111111"/>
          <w:sz w:val="28"/>
          <w:sz w:val="28"/>
          <w:szCs w:val="28"/>
          <w:rtl w:val="true"/>
          <w:lang w:bidi="fa-IR"/>
        </w:rPr>
        <w:t xml:space="preserve">على أنّ المراد من الريش مطلق الطيور، فغير معمول بها، لما عرفت من نقل الإجماع على عدم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عن العلّامة في التذكرة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المسابقة على الطيور من الحمامات و غيرها بالعوض عند علمائنا، و هو أصحّ قولي الشافعي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عنه أيضًا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الرهان عليها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الطيور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حمل بعض الأصحاب الريش في الرواية على السهام، لأنّ فيها ريشًا ؛ مع أنّ علاء بن سيابة مجهول، إلّا أنّ قبله أبان بن عثمان، و هو ممّن أجمعت العصابة على تصحيح ما يصحّ عنه، و السند إليه معتبر، لأنّه قال في المشيخة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فيه عن العلاء بن سيابة فقد رويته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أحمد بن محمّد بن عيسى، عن الحسن بن عليّ الوشاء، عن أبان بن عثمان، عن العلاء بن سيابة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الحقّ هو ما تقدّم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ربّما حملت على التقيّة </w:t>
      </w:r>
      <w:r>
        <w:rPr>
          <w:rStyle w:val="FootnoteAnchor"/>
          <w:rtl w:val="true"/>
        </w:rPr>
        <w:footnoteReference w:id="906"/>
      </w:r>
      <w:r>
        <w:rPr>
          <w:rFonts w:ascii="IRNazanin" w:hAnsi="IRNazanin" w:eastAsia="IRNazanin"/>
          <w:color w:val="111111"/>
          <w:sz w:val="28"/>
          <w:sz w:val="28"/>
          <w:szCs w:val="28"/>
          <w:rtl w:val="true"/>
          <w:lang w:bidi="fa-IR"/>
        </w:rPr>
        <w:t xml:space="preserve">؛ 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حفص بن غياث وضع للمهديّ العبّاسي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سبق إلّا في نصل أو خفّ أو حافر </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ليدخل فيه الحمام، تقرّبًا إلى قلب الخليفة حيث رآه يحبّ الحمام، فلمّا خرج من عنده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قفاه قفا كذّاب،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ريش، ولكنّه أراد التقرّب إلينا بذلک </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 ثمّ أمر بذبح الحمام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سابق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وأجرى الخيل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 الظاهر أنّه لمّا استبعد في نظر الراوي مطلق الرهان و السباقة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الاستبعاد ؛ هذا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بعضهم </w:t>
      </w:r>
      <w:r>
        <w:rPr>
          <w:rStyle w:val="FootnoteAnchor"/>
          <w:rtl w:val="true"/>
        </w:rPr>
        <w:footnoteReference w:id="911"/>
      </w:r>
      <w:r>
        <w:rPr>
          <w:rFonts w:ascii="Amiri" w:hAnsi="Amiri" w:eastAsia="Amiri" w:cs="Amiri"/>
          <w:color w:val="111111"/>
          <w:sz w:val="28"/>
          <w:sz w:val="28"/>
          <w:szCs w:val="28"/>
          <w:rtl w:val="true"/>
          <w:lang w:bidi="ar-SA"/>
        </w:rPr>
        <w:t xml:space="preserve">أنّ المراد بلعب الحمام عند أهل مكّة هو لعب الخيل، </w:t>
      </w:r>
    </w:p>
    <w:p>
      <w:pPr>
        <w:pStyle w:val="BookText"/>
        <w:rPr/>
      </w:pPr>
      <w:r>
        <w:rPr>
          <w:rFonts w:ascii="IRNazanin" w:hAnsi="IRNazanin" w:eastAsia="IRNazanin"/>
          <w:color w:val="111111"/>
          <w:sz w:val="28"/>
          <w:sz w:val="28"/>
          <w:szCs w:val="28"/>
          <w:rtl w:val="true"/>
          <w:lang w:bidi="fa-IR"/>
        </w:rPr>
        <w:t xml:space="preserve">فاحتمل ورود الخبر على مصطلحهم، و أيّد ذلک بما وجد في ذيله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سابق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العبارة المتقدّمة من التذكرة جواز المسابقة على الطيور من الحمامات و غيرها بغير العوض، مع أنّه نقل عن العلّامة فيها </w:t>
      </w:r>
      <w:r>
        <w:rPr>
          <w:rStyle w:val="FootnoteAnchor"/>
          <w:rtl w:val="true"/>
        </w:rPr>
        <w:footnoteReference w:id="912"/>
      </w:r>
      <w:r>
        <w:rPr>
          <w:rFonts w:ascii="IRNazanin" w:hAnsi="IRNazanin" w:eastAsia="IRNazanin"/>
          <w:color w:val="111111"/>
          <w:sz w:val="28"/>
          <w:sz w:val="28"/>
          <w:szCs w:val="28"/>
          <w:rtl w:val="true"/>
          <w:lang w:bidi="fa-IR"/>
        </w:rPr>
        <w:t xml:space="preserve">أنّه نقل عن المبسوط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المسابقة بالطيور فإن كان بغير عوض جاز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بعوض فعلى قولين، و عندنا لا يجوز للخبر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عنه أنّه قال بعد نقل هذه العبارة عن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يقتضي المنع من المسابقة عليها بغير عوض، مع أنّ المشهور عندنا أنّه يجوز اتّخاذ الحمام للأنس و إنفاذ الكتب، و يكره للتفرّج والتطيّر</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الأدلّة الدالّة على النهي عن مطلق اللعب و بين ما دلّ على جوازه في الحمام عمومًا من وجه، لأنّ الأدلّة الناهية تدلّ على النهي عن اللعب مطلقًا، سواء كان مع الحمام و غيرها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مرّ آنفًا و إن كان قد دلّ على جواز اللعب مع الحمام إذا كان من غير رهان، لكنّه أعمّ من أن يكون بطريق المسابقة أم لا ؛ و الترجيح للأدلّة الناهية من وجوهٍ </w:t>
      </w:r>
      <w:bookmarkStart w:id="425" w:name="pg14719_186715"/>
    </w:p>
    <w:p>
      <w:pPr>
        <w:pStyle w:val="BookText"/>
        <w:rPr/>
      </w:pPr>
      <w:bookmarkEnd w:id="425"/>
      <w:r>
        <w:rPr>
          <w:rFonts w:ascii="Amiri" w:hAnsi="Amiri" w:eastAsia="Amiri" w:cs="Amiri"/>
          <w:color w:val="111111"/>
          <w:sz w:val="28"/>
          <w:sz w:val="28"/>
          <w:szCs w:val="28"/>
          <w:rtl w:val="true"/>
          <w:lang w:bidi="ar-SA"/>
        </w:rPr>
        <w:t xml:space="preserve">عديدة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التعارض بينهما عموم مطلق، لأنّ الأدلّة الناهية عامّة، وما مرّ ممّا دلّ على جواز اللعب بالحمام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فالجواب الحقّ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الخاصّ بنفسه كان ضعيفًا، فلا يصلح لتخصيص العمومات الناهية، لكن قلنا بجواز اللعب بها، و تخصيص العمومات الناهية لانجباره بالشهرة ؛ و ليست فيما نحن فيه قطعًا، فلا يجوز تخصيص العمومات بالنسبة إليه بسبب ذلک الخاصّ، سيّما بعد ما عرفت من كلام المبسوط من نسبة عدم جواز ذلک إلينا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عندنا لا يجوز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553771_730472459"/>
      <w:bookmarkStart w:id="427" w:name="_Toc164"/>
      <w:bookmarkEnd w:id="426"/>
      <w:r>
        <w:rPr>
          <w:rtl w:val="true"/>
        </w:rPr>
        <w:t>ولد الزنا شهادته غير مقبولة</w:t>
      </w:r>
      <w:bookmarkEnd w:id="427"/>
    </w:p>
    <w:p>
      <w:pPr>
        <w:pStyle w:val="Heading2"/>
        <w:numPr>
          <w:ilvl w:val="1"/>
          <w:numId w:val="1"/>
        </w:numPr>
        <w:rPr/>
      </w:pPr>
      <w:bookmarkStart w:id="428" w:name="__RefHeading___Toc553773_730472459"/>
      <w:bookmarkStart w:id="429" w:name="_Toc165"/>
      <w:bookmarkEnd w:id="428"/>
      <w:r>
        <w:rPr/>
        <w:t>17</w:t>
      </w:r>
      <w:r>
        <w:rPr>
          <w:rtl w:val="true"/>
        </w:rPr>
        <w:t xml:space="preserve">- </w:t>
      </w:r>
      <w:r>
        <w:rPr>
          <w:rtl w:val="true"/>
        </w:rPr>
        <w:t>مسألة</w:t>
      </w:r>
      <w:bookmarkEnd w:id="429"/>
    </w:p>
    <w:p>
      <w:pPr>
        <w:pStyle w:val="Heading3"/>
        <w:numPr>
          <w:ilvl w:val="2"/>
          <w:numId w:val="1"/>
        </w:numPr>
        <w:rPr/>
      </w:pPr>
      <w:bookmarkStart w:id="430" w:name="__RefHeading___Toc553775_730472459"/>
      <w:bookmarkStart w:id="431" w:name="_Toc166"/>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و يشترط في الشاهد أيضًا طهارة المولد، فلا تقبل شهادة ولد الزنا، للأصل والإجماع، كما في الانتصار حيث 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انفردت به الإماميّة القول بأنّ شهادة ولد الزنا لا تقبل و إن كان على ظاهر العدالة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دليلنا على ذلک إجماع الطائفة عليه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الإجماع على ذلک من الخلاف و الغنية </w:t>
      </w:r>
      <w:r>
        <w:rPr>
          <w:rStyle w:val="FootnoteAnchor"/>
          <w:rtl w:val="true"/>
        </w:rPr>
        <w:footnoteReference w:id="917"/>
      </w:r>
      <w:r>
        <w:rPr>
          <w:rFonts w:ascii="Amiri" w:hAnsi="Amiri" w:eastAsia="Amiri" w:cs="Amiri"/>
          <w:color w:val="111111"/>
          <w:sz w:val="28"/>
          <w:sz w:val="28"/>
          <w:szCs w:val="28"/>
          <w:rtl w:val="true"/>
          <w:lang w:bidi="ar-SA"/>
        </w:rPr>
        <w:t>، و النصوص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ولد 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أيّوب الخزّاز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لايجوز </w:t>
      </w:r>
      <w:r>
        <w:rPr>
          <w:rStyle w:val="FootnoteAnchor"/>
          <w:rtl w:val="true"/>
        </w:rPr>
        <w:footnoteReference w:id="919"/>
      </w:r>
      <w:r>
        <w:rPr>
          <w:rFonts w:ascii="Amiri" w:hAnsi="Amiri" w:eastAsia="Amiri" w:cs="Amiri"/>
          <w:color w:val="111111"/>
          <w:sz w:val="28"/>
          <w:sz w:val="28"/>
          <w:szCs w:val="28"/>
          <w:rtl w:val="true"/>
          <w:lang w:bidi="ar-SA"/>
        </w:rPr>
        <w:t xml:space="preserve">شهادة ولد الزنا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أتجوز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2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w:t>
      </w:r>
      <w:r>
        <w:rPr>
          <w:rStyle w:val="FootnoteAnchor"/>
          <w:rtl w:val="true"/>
        </w:rPr>
        <w:footnoteReference w:id="922"/>
      </w:r>
      <w:r>
        <w:rPr>
          <w:rFonts w:ascii="Amiri" w:hAnsi="Amiri" w:eastAsia="Amiri" w:cs="Amiri"/>
          <w:color w:val="111111"/>
          <w:sz w:val="28"/>
          <w:sz w:val="28"/>
          <w:szCs w:val="28"/>
          <w:rtl w:val="true"/>
          <w:lang w:bidi="ar-SA"/>
        </w:rPr>
        <w:t xml:space="preserve">يزعم أنّها تجوز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p>
    <w:p>
      <w:pPr>
        <w:pStyle w:val="BookText"/>
        <w:rPr/>
      </w:pPr>
      <w:r>
        <w:rPr>
          <w:rFonts w:ascii="Amiri" w:hAnsi="Amiri" w:eastAsia="Amiri" w:cs="Amiri"/>
          <w:color w:val="111111"/>
          <w:sz w:val="28"/>
          <w:sz w:val="28"/>
          <w:szCs w:val="28"/>
          <w:rtl w:val="true"/>
          <w:lang w:bidi="ar-SA"/>
        </w:rPr>
        <w:t xml:space="preserve">أربعةً شهدوا عندي على رجلٍ بالزنا و فيهم ولد زنا </w:t>
      </w:r>
      <w:r>
        <w:rPr>
          <w:rStyle w:val="FootnoteAnchor"/>
          <w:rtl w:val="true"/>
        </w:rPr>
        <w:footnoteReference w:id="924"/>
      </w:r>
      <w:r>
        <w:rPr>
          <w:rFonts w:ascii="Amiri" w:hAnsi="Amiri" w:eastAsia="Amiri" w:cs="Amiri"/>
          <w:color w:val="111111"/>
          <w:sz w:val="28"/>
          <w:sz w:val="28"/>
          <w:szCs w:val="28"/>
          <w:rtl w:val="true"/>
          <w:lang w:bidi="ar-SA"/>
        </w:rPr>
        <w:t xml:space="preserve">، لحدّدتهم جميعًا، لأنّه لاتجوز شهادته و لا يؤمّ الناس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الانتصار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ظواهر الآيات الّتي احتججتم بها تقتضي قبول شهادة ولد الزنا إذا كان عدلاً، فكيف امتنعتم من قبول شهادته مع العدالة و هو داخلٌ في ظواهر الآيات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لطيف لابدّ من تحقيقه، و قد حقّقناه في مسألة أمليناها قديمًا في الخبر الّذي يروي بأنّ ولد الزنا لا يدخل الجنّة، و بسطنا القول فيها، لأنّ ولد الزنا لا يتعدّى إليه ذنب من خلق من نطفته و له حكم نفسه، فما المانع من أن يكون عدلاً مرضيًّا ؟</w:t>
      </w:r>
    </w:p>
    <w:p>
      <w:pPr>
        <w:pStyle w:val="BookText"/>
        <w:rPr/>
      </w:pPr>
      <w:r>
        <w:rPr>
          <w:rFonts w:ascii="Amiri" w:hAnsi="Amiri" w:eastAsia="Amiri" w:cs="Amiri"/>
          <w:color w:val="111111"/>
          <w:sz w:val="28"/>
          <w:sz w:val="28"/>
          <w:szCs w:val="28"/>
          <w:rtl w:val="true"/>
          <w:lang w:bidi="ar-SA"/>
        </w:rPr>
        <w:t xml:space="preserve">و الّذي نقول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طائفتنا مجمعة على أنّ ولد الزنا لا يكون نجيًّا </w:t>
      </w:r>
      <w:r>
        <w:rPr>
          <w:rStyle w:val="FootnoteAnchor"/>
          <w:rtl w:val="true"/>
        </w:rPr>
        <w:footnoteReference w:id="927"/>
      </w:r>
      <w:r>
        <w:rPr>
          <w:rFonts w:ascii="IRNazanin" w:hAnsi="IRNazanin" w:eastAsia="IRNazanin"/>
          <w:color w:val="111111"/>
          <w:sz w:val="28"/>
          <w:sz w:val="28"/>
          <w:szCs w:val="28"/>
          <w:rtl w:val="true"/>
          <w:lang w:bidi="fa-IR"/>
        </w:rPr>
        <w:t xml:space="preserve">ولا مرضيًّا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معنى ذلک أن يكون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فيمن خلق من نطفة زنا أن لا يختار هو الخير و الصلاح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علمنا بدليلٍ قاطعٍ عدم نجابة ولد الزنا و عدالته و شهد و هو مظهر للعدالة مع غيره لم يلتفت إلى ظاهره المقتضي لظنّ العدالة به، و نحن </w:t>
      </w:r>
    </w:p>
    <w:p>
      <w:pPr>
        <w:pStyle w:val="BookText"/>
        <w:rPr/>
      </w:pPr>
      <w:r>
        <w:rPr>
          <w:rFonts w:ascii="Amiri" w:hAnsi="Amiri" w:eastAsia="Amiri" w:cs="Amiri"/>
          <w:color w:val="111111"/>
          <w:sz w:val="28"/>
          <w:sz w:val="28"/>
          <w:szCs w:val="28"/>
          <w:rtl w:val="true"/>
          <w:lang w:bidi="ar-SA"/>
        </w:rPr>
        <w:t xml:space="preserve">قاطعون على خبث باطنه و قبح سريرته، فلا تقبل شهادته، لأنّه عندنا غير عدل و لا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الوجه يجب أن يقع الاعتماد دون ما تعلّق به أبو عليّ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لا نقبل شهادة الزاني و الزانية كان ردّنا لشهادة مَن هو شرّ منهما أولى، 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ولد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شرّ الثلاثة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غير معتمد، لأنّ الخبر الّذي رواه خبر واحد لا يوجب علمًا ولاعملاً، و لا يرجع بمثله عن ظواهر الكتاب الموجبة للعلم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شرّ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لم تقبل شهادته أبدًا و قبلت شهادة الزانيين إذا تابا، فقد كان يجب على ابن الجنيد أن يبيّن من أىّ وجه لم تقبل شهادته على التأبيد، و كيف كان أسوأ حالاً في هذا الحكم من الكافر الّذي تقبل شهادته بعد التوبة من الكفر و الرجوع إلى الإيمان، و يبيّن كيف لم تقبل شهادته مع إظهار العدالة و الصلاح والنسک والعبادة، و أنّه بذلک داخل في ظواهر آيات قبول الشهادة و ما شرع في ذلک و لا اهتدى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هو ما نبّهنا عليه الموافق للقول بالعدل، إنتهى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432" w:name="pg14719_186719"/>
    </w:p>
    <w:p>
      <w:pPr>
        <w:pStyle w:val="Heading3"/>
        <w:numPr>
          <w:ilvl w:val="2"/>
          <w:numId w:val="1"/>
        </w:numPr>
        <w:rPr/>
      </w:pPr>
      <w:bookmarkStart w:id="433" w:name="__RefHeading___Toc553777_730472459"/>
      <w:bookmarkStart w:id="434" w:name="_Toc167"/>
      <w:bookmarkEnd w:id="432"/>
      <w:bookmarkEnd w:id="433"/>
      <w:r>
        <w:rPr>
          <w:rtl w:val="true"/>
        </w:rPr>
        <w:t>في الجواب عن الاعتراض الّذي أورده</w:t>
      </w:r>
      <w:bookmarkEnd w:id="434"/>
    </w:p>
    <w:p>
      <w:pPr>
        <w:pStyle w:val="Heading3"/>
        <w:numPr>
          <w:ilvl w:val="2"/>
          <w:numId w:val="1"/>
        </w:numPr>
        <w:rPr/>
      </w:pPr>
      <w:bookmarkStart w:id="435" w:name="__RefHeading___Toc553779_730472459"/>
      <w:bookmarkStart w:id="436" w:name="_Toc168"/>
      <w:bookmarkEnd w:id="435"/>
      <w:r>
        <w:rPr>
          <w:rtl w:val="true"/>
        </w:rPr>
        <w:t>العلّامة و الشهيد الثاني على السيّد المرتضى</w:t>
      </w:r>
      <w:bookmarkEnd w:id="436"/>
    </w:p>
    <w:p>
      <w:pPr>
        <w:pStyle w:val="BookText"/>
        <w:rPr/>
      </w:pPr>
      <w:r>
        <w:rPr>
          <w:rFonts w:ascii="Amiri" w:hAnsi="Amiri" w:eastAsia="Amiri" w:cs="Amiri"/>
          <w:color w:val="111111"/>
          <w:sz w:val="28"/>
          <w:sz w:val="28"/>
          <w:szCs w:val="28"/>
          <w:rtl w:val="true"/>
          <w:lang w:bidi="ar-SA"/>
        </w:rPr>
        <w:t xml:space="preserve">و اعترض عليه في المختلف </w:t>
      </w:r>
      <w:r>
        <w:rPr>
          <w:rStyle w:val="FootnoteAnchor"/>
          <w:rtl w:val="true"/>
        </w:rPr>
        <w:footnoteReference w:id="930"/>
      </w:r>
      <w:r>
        <w:rPr>
          <w:rFonts w:ascii="IRNazanin" w:hAnsi="IRNazanin" w:eastAsia="IRNazanin"/>
          <w:color w:val="111111"/>
          <w:sz w:val="28"/>
          <w:sz w:val="28"/>
          <w:szCs w:val="28"/>
          <w:rtl w:val="true"/>
          <w:lang w:bidi="fa-IR"/>
        </w:rPr>
        <w:t xml:space="preserve">بأنّه لا فرق بين دليليهما، لأنّ ما ذكره في الردّ على ابن الجنيد من كون الخبر الّذي استدلّ به على عدم قبول شهادة ولد الزنا خبرًا واحدًا مشترک الورود، إذ كما أنّ الخبر الّذي رواه أبو عليّ خبر واحد كذلک الخبر الّذي ذكره هو،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يدخل الجنّة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إلّا أن يكون متواترًا في زمن السيّد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شيخنا الشهيد الثاني في المسالک في أصل الاعتراض،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w:t>
      </w:r>
      <w:r>
        <w:rPr>
          <w:rStyle w:val="FootnoteAnchor"/>
          <w:rtl w:val="true"/>
        </w:rPr>
        <w:footnoteReference w:id="931"/>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قبول شهادة ولد الزنا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والخبر </w:t>
      </w:r>
      <w:r>
        <w:rPr>
          <w:rStyle w:val="FootnoteAnchor"/>
          <w:rtl w:val="true"/>
        </w:rPr>
        <w:footnoteReference w:id="933"/>
      </w:r>
      <w:r>
        <w:rPr>
          <w:rFonts w:ascii="Amiri" w:hAnsi="Amiri" w:eastAsia="Amiri" w:cs="Amiri"/>
          <w:color w:val="111111"/>
          <w:sz w:val="28"/>
          <w:sz w:val="28"/>
          <w:szCs w:val="28"/>
          <w:rtl w:val="true"/>
          <w:lang w:bidi="ar-SA"/>
        </w:rPr>
        <w:t xml:space="preserve">الّذي ورد أنّ ولد الزنا لا ينجب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كلّه مبنيّ على ثبوت الخبر الوارد بذلک، بل تواتره، لأنّ غير المتواتر لا يوجب الحجّة عنده ؛ و نحن و مَن قبلنا لم يمكنا إثباته بسندٍ معتمد، فضلاً عن كونه متواترًا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اعتذر له في المختلف </w:t>
      </w:r>
      <w:r>
        <w:rPr>
          <w:rStyle w:val="FootnoteAnchor"/>
          <w:rtl w:val="true"/>
        </w:rPr>
        <w:footnoteReference w:id="934"/>
      </w:r>
      <w:r>
        <w:rPr>
          <w:rFonts w:ascii="Amiri" w:hAnsi="Amiri" w:eastAsia="Amiri" w:cs="Amiri"/>
          <w:color w:val="111111"/>
          <w:sz w:val="28"/>
          <w:sz w:val="28"/>
          <w:szCs w:val="28"/>
          <w:rtl w:val="true"/>
          <w:lang w:bidi="ar-SA"/>
        </w:rPr>
        <w:t xml:space="preserve">بجواز كونه متواترًا في زمانه، ثمّ 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ما فيه من التكلّف و ظهور المنع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أورداه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لأنّه مبنيّ على عدم التأمّل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النظر بالنسبة إلى ما أورده في المختلف،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نسلّم أنّ الخبرين مشتركان في كونهما خبرًا واحدًا، لكنّ السيّد لم يجعل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ولد الزنا لا يدخل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دليلاً لعدم قبول شهادة ولد الزنا، بل إنّما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حقّقت </w:t>
      </w:r>
      <w:r>
        <w:rPr>
          <w:rStyle w:val="FootnoteAnchor"/>
          <w:rtl w:val="true"/>
        </w:rPr>
        <w:footnoteReference w:id="936"/>
      </w:r>
      <w:r>
        <w:rPr>
          <w:rFonts w:ascii="IRNazanin" w:hAnsi="IRNazanin" w:eastAsia="IRNazanin"/>
          <w:color w:val="111111"/>
          <w:sz w:val="28"/>
          <w:sz w:val="28"/>
          <w:szCs w:val="28"/>
          <w:rtl w:val="true"/>
          <w:lang w:bidi="fa-IR"/>
        </w:rPr>
        <w:t xml:space="preserve">ذلک في مسألة أمليناها قديمًا في الخبر الّذي يروي بأنّ ولد الزنا لايدخل الجنّة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عرفت من عبارته المتقدّمة، بل دليله في ذلک هو ما ذكره بعد ذلک من الإجماع على عدم نجابة ولد الزنا، حيث قال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نقول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طائفتنا مجمعة على أنّ ولد الزنا لا يكون نجيبًا ومرضيًّا</w:t>
      </w:r>
      <w:r>
        <w:rPr>
          <w:rStyle w:val="FootnoteAnchor"/>
          <w:rtl w:val="true"/>
        </w:rPr>
        <w:footnoteReference w:id="939"/>
      </w:r>
      <w:r>
        <w:rPr>
          <w:rFonts w:ascii="Amiri" w:hAnsi="Amiri" w:eastAsia="Amiri" w:cs="Amiri"/>
          <w:color w:val="111111"/>
          <w:sz w:val="28"/>
          <w:sz w:val="28"/>
          <w:szCs w:val="28"/>
          <w:rtl w:val="true"/>
          <w:lang w:bidi="ar-SA"/>
        </w:rPr>
        <w:t xml:space="preserve">؛ إلى آخر ما ذكره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أمّا وجه النظر بالنسبة إلى ما أورد عليه في المسالک، فهو الّذي عرفته، مضافًا إلى أنّ ما ذكره من استناد السيّد في عدم قبول شهادة ولد الزنا إلى الخبر الّذي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ولد الزنا لا ينجب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له في كلام السيّد أثر، فراجع حتّى يظهر لک، بل مستنده في ذلک هو ما عرفته من الإجماع على عدم نجابة ولد الزنا و كونه مرضيًّا عند الله، بناءً على ما ذكره من 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ذلک أن يكون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فيمن خلق من نطفة زنا أن لايختار هو الخير و الصلاح، فإذا علمنا بدليل قاطع عدم نجابة ولد الزنا وعدالته و شهد و هو مظهر للعدالة مع غيره لم يلتفت إلى ظاهره المقتضي لظنّ العدالة به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من الدليل القاطع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علمنا بدليل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طائفتنا 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ليس استناده في ذلک إلى الخبر الّذي ذكره،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ولد الزنا لا يدخل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يعترض عليه أنّه غير متواتر ؛ على أنّه لو ثبت عدم تواتره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الّذي ذكره السيّد قرينته، فيكون من الخبر الواحد القطعيّ المحفوف بالقرينة، فيكون حجّةً أيضًا عند الجميع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 شيخنا الشهيد الثاني في عبارته المتقدّمة من أنّ غير المتواتر لا يوجب الحجّة عنده، ليس على إطلاقه، لأنّ الخبر الواحد المحفوف بالقرينة مثل المتواتر </w:t>
      </w:r>
    </w:p>
    <w:p>
      <w:pPr>
        <w:pStyle w:val="BookText"/>
        <w:rPr/>
      </w:pPr>
      <w:r>
        <w:rPr>
          <w:rFonts w:ascii="Amiri" w:hAnsi="Amiri" w:eastAsia="Amiri" w:cs="Amiri"/>
          <w:color w:val="111111"/>
          <w:sz w:val="28"/>
          <w:sz w:val="28"/>
          <w:szCs w:val="28"/>
          <w:rtl w:val="true"/>
          <w:lang w:bidi="ar-SA"/>
        </w:rPr>
        <w:t xml:space="preserve">في إفادة القطع، فيكون حجّةً عند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غير المتواتر إنّما لا يكون حجّة عنده إذا لم يكن محفوفًا بالقرينة القطعيّة،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كلام السيّد في مقام الردّ على ابن الجنيد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خبر واحد لا يوجب علمًا و لا عملاً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مفهومه أنّه لو يوجب العلم ليس كذلک، والله العاصم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ناقش في المسالک في النصوص المتقدّمة أيضًا، فقال بعد ذكرها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أجودها سندًا الخبر الأوّل، لكن دلالته لا تخلو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فصحّته ممنوعة، و إن شهد له بها العلّامة في المختلف </w:t>
      </w:r>
      <w:r>
        <w:rPr>
          <w:rStyle w:val="FootnoteAnchor"/>
          <w:rtl w:val="true"/>
        </w:rPr>
        <w:footnoteReference w:id="943"/>
      </w:r>
      <w:r>
        <w:rPr>
          <w:rFonts w:ascii="Amiri" w:hAnsi="Amiri" w:eastAsia="Amiri" w:cs="Amiri"/>
          <w:color w:val="111111"/>
          <w:sz w:val="28"/>
          <w:sz w:val="28"/>
          <w:szCs w:val="28"/>
          <w:rtl w:val="true"/>
          <w:lang w:bidi="ar-SA"/>
        </w:rPr>
        <w:t>و ولده في</w:t>
      </w:r>
    </w:p>
    <w:p>
      <w:pPr>
        <w:pStyle w:val="BookText"/>
        <w:rPr/>
      </w:pPr>
      <w:r>
        <w:rPr>
          <w:rFonts w:ascii="IRNazanin" w:hAnsi="IRNazanin" w:eastAsia="IRNazanin"/>
          <w:color w:val="111111"/>
          <w:sz w:val="28"/>
          <w:sz w:val="28"/>
          <w:szCs w:val="28"/>
          <w:rtl w:val="true"/>
          <w:lang w:bidi="fa-IR"/>
        </w:rPr>
        <w:t xml:space="preserve">الشرح </w:t>
      </w:r>
      <w:r>
        <w:rPr>
          <w:rStyle w:val="FootnoteAnchor"/>
          <w:rtl w:val="true"/>
        </w:rPr>
        <w:footnoteReference w:id="944"/>
      </w:r>
      <w:r>
        <w:rPr>
          <w:rFonts w:ascii="Amiri" w:hAnsi="Amiri" w:eastAsia="Amiri" w:cs="Amiri"/>
          <w:color w:val="111111"/>
          <w:sz w:val="28"/>
          <w:sz w:val="28"/>
          <w:szCs w:val="28"/>
          <w:rtl w:val="true"/>
          <w:lang w:bidi="ar-SA"/>
        </w:rPr>
        <w:t xml:space="preserve">، لأنّ في طريقها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يونس، و هو مقدوحٌ إمّا مطلقًا، أو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وأبوبصير، و هما مشتركان بين الثقة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و حاله مشهور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قصور الدلالة في الرواية الأولى فوجهه غير ظاهر، لأنّها </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سألته عن شهادة ولد الزنا،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 و لا شکّ أنّ المفهوم العرفيّ منه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سألته عن قبول شهادة ولد الزنا أو عن جوازها، و أيًّا ما كان يثبت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ذكره من عدم ظهور صحّة الثاني، لأنّ في طريقها محمّد بن عيسى عن يونس،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 إن تقدّم منّا مكرّرًا قدح الحديث بذلک، إلّا أنّ الظاهر أنّه لايقدح، فالحديث كما ذكره العلّامة و ولده 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ذكره في الحديث الثالث من أنّ في طريقه أبان و أبو بصير، و هما مشتركان بين الثقة و غيره، فأقول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أبان فهو و إن كان مشتركًا بين الثقة</w:t>
      </w:r>
    </w:p>
    <w:p>
      <w:pPr>
        <w:pStyle w:val="BookText"/>
        <w:rPr/>
      </w:pPr>
      <w:r>
        <w:rPr>
          <w:rFonts w:ascii="Amiri" w:hAnsi="Amiri" w:eastAsia="Amiri" w:cs="Amiri"/>
          <w:color w:val="111111"/>
          <w:sz w:val="28"/>
          <w:sz w:val="28"/>
          <w:szCs w:val="28"/>
          <w:rtl w:val="true"/>
          <w:lang w:bidi="ar-SA"/>
        </w:rPr>
        <w:t xml:space="preserve">وغيره، إلّا أنّ الظاهر أنّه أبان بن عثمان، لأنّه الغالب، فينبغي أن ينصرف إليه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بصير، فالأمر فيه و إن كان كما ذكر، إلّا أنّ أبان ممّن أجمعت العصابة على تصحيح ما يصحّ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فضّال، فهو موثّق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فرض تسليم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 المذكورة منجبرة بعمل الطائفة، فلا وجه للتأمّل في المسألة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المتقدّمة من النصوص و الإجماعات المنقولة مقتضاها عدم قبول شهادة ولد الزنا مطلقًا و إن كان في الشيء اليسير، خلافًا للمحكيّ عن الشيخ في النهاية و ابن حمزة في الوسيلة </w:t>
      </w:r>
      <w:r>
        <w:rPr>
          <w:rStyle w:val="FootnoteAnchor"/>
          <w:rtl w:val="true"/>
        </w:rPr>
        <w:footnoteReference w:id="949"/>
      </w:r>
      <w:r>
        <w:rPr>
          <w:rFonts w:ascii="Amiri" w:hAnsi="Amiri" w:eastAsia="Amiri" w:cs="Amiri"/>
          <w:color w:val="111111"/>
          <w:sz w:val="28"/>
          <w:sz w:val="28"/>
          <w:szCs w:val="28"/>
          <w:rtl w:val="true"/>
          <w:lang w:bidi="ar-SA"/>
        </w:rPr>
        <w:t xml:space="preserve">، مجوّزا قبول شهادته في الشيء الدون مع ظهور صلاحه، لما رواه عيسى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عن شهادة ولد 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إلّا في الشيء اليسير إذا رأيت منه صلاحًا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الحديث معتبر، بل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المتقدّمة قد دلّت على عدم جواز قبول شهادة ولد الزنا بقولٍ مطلق، و الحديث المذكور قد دلّ على جواز قبول شهادته في الشيء اليسير دون الكثير ؛ و مقتضى القاعدة حمل المطلق على المقيّد، فيجب تقييد تلک النصوص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هذا الحديث في المختلف بأنّا نقول بموجبه، فإنّه يعطي بمفهومه الردّ في الكثير، و ما من يسير إلّا و هو كثيرٌ بالنسبة إلى ما دونه، فلا تقبل شهادته إلّا في أقلّ الأشياء الّذي لا يكون كثيرًا بالنسبة إلى شيء، و مثله لا يتملّک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أنّ هذا غير مناسب للجواب، لأنّ الألفاظ محمولة على معانيها العرفيّة، فينبغي أن تقبل شهادته فيما يقال في العرف أنّه يسير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المطلق على المقيّد إنّما يكون إذا لم يكن مدلول المقيّد شاذًّا، و القول بقبول شهادته في الشيء اليسير شاذّ، فلا يصلح المقيّد المذكور لتقييد المطلق المعمول به عند المشهور، بل المجمع عليه كما عرفت، سيّما بعد رجوع الشيخ عن قوله في النهاية في الخلاف </w:t>
      </w:r>
      <w:r>
        <w:rPr>
          <w:rStyle w:val="FootnoteAnchor"/>
          <w:rtl w:val="true"/>
        </w:rPr>
        <w:footnoteReference w:id="952"/>
      </w:r>
      <w:r>
        <w:rPr>
          <w:rFonts w:ascii="Amiri" w:hAnsi="Amiri" w:eastAsia="Amiri" w:cs="Amiri"/>
          <w:color w:val="111111"/>
          <w:sz w:val="28"/>
          <w:sz w:val="28"/>
          <w:szCs w:val="28"/>
          <w:rtl w:val="true"/>
          <w:lang w:bidi="ar-SA"/>
        </w:rPr>
        <w:t xml:space="preserve">، فقد حكي عنه أنّه قد منع عن قبول شهادته فيه مطلقًا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المبسوط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شهادة ولد الزنا إذا كان عدلاً مقبول </w:t>
      </w:r>
      <w:r>
        <w:rPr>
          <w:rStyle w:val="FootnoteAnchor"/>
          <w:rtl w:val="true"/>
        </w:rPr>
        <w:footnoteReference w:id="954"/>
      </w:r>
      <w:r>
        <w:rPr>
          <w:rFonts w:ascii="Amiri" w:hAnsi="Amiri" w:eastAsia="Amiri" w:cs="Amiri"/>
          <w:color w:val="111111"/>
          <w:sz w:val="28"/>
          <w:sz w:val="28"/>
          <w:szCs w:val="28"/>
          <w:rtl w:val="true"/>
          <w:lang w:bidi="ar-SA"/>
        </w:rPr>
        <w:t xml:space="preserve">عند قوم في الزنا و في غيره، وهو قوىّ، لكن أخبار أصحابنا يدلّ على أنّه لا تقبل </w:t>
      </w:r>
      <w:r>
        <w:rPr>
          <w:rStyle w:val="FootnoteAnchor"/>
          <w:rtl w:val="true"/>
        </w:rPr>
        <w:footnoteReference w:id="955"/>
      </w:r>
      <w:r>
        <w:rPr>
          <w:rFonts w:ascii="IRNazanin" w:hAnsi="IRNazanin" w:eastAsia="IRNazanin"/>
          <w:color w:val="111111"/>
          <w:sz w:val="28"/>
          <w:sz w:val="28"/>
          <w:szCs w:val="28"/>
          <w:rtl w:val="true"/>
          <w:lang w:bidi="fa-IR"/>
        </w:rPr>
        <w:t xml:space="preserve">شهادته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المحكيّ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كفره، و الكافر لا تقبل شهادته و لو في الشيء اليسير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يخفى عليک أنّ ما مرّ من عدم جواز قبول شهادة ولد الزنا إنّما هو إذا ثبت شرعًا أنّه من ذلک ؛ و أمّا إذا لم يثبت ذلک، فتقبل شهادته بعد استجماع الشرائط الأخر و إن نسب إلى الزنا، كما صرّح به جمع من الأصحاب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437" w:name="pg14719_186726"/>
    </w:p>
    <w:p>
      <w:pPr>
        <w:pStyle w:val="BookText"/>
        <w:rPr/>
      </w:pPr>
      <w:bookmarkEnd w:id="437"/>
      <w:r>
        <w:rPr>
          <w:rFonts w:ascii="IRNazanin" w:hAnsi="IRNazanin" w:eastAsia="IRNazanin"/>
          <w:color w:val="111111"/>
          <w:sz w:val="28"/>
          <w:sz w:val="28"/>
          <w:szCs w:val="28"/>
          <w:rtl w:val="true"/>
          <w:lang w:bidi="fa-IR"/>
        </w:rPr>
        <w:t xml:space="preserve">لأنّ المتبادر من ولد الزنا في النصوص المذكورة و عبارات الأصحاب هو ما علم ذلک، فتنصرف إليه، فيبقى الإطلاقات الدالّة على قبول الشهادة بالنسبة إلى ما نحن فيه سالمة عمّا يصلح للمعارضة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يتبادر من ولد الزنا في النصوص الدالّة على عدم جواز قبول شهادة ولد الزنا ما علم أنّه ولد زنا، كذا يتبادر من العدالة في الأدلّة الدالّة على اعتبارها العدالة المعلومة ؛ و معلوم أنّ مَن احتمل أنّه ولد الزنا ليست عدالته معلومة، و ليس قبول الشهادة على وفق الأصل حتّى نقبلها فيما نحن فيه عملاً بالأصل، بل على خلاف الأصل، لأنّ الحكم على شخصٍ بشيءٍ لآخرٍ خلاف الأصل، فلا يجوز قبول شهادة مَن احتمل أنّه ولد الزنا عملاً بالأصل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بالعدالة إمّا أن يكون هو العلم بتحقّقها في نفس الأمر، أو العلم بها ظاهرًا،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بحسن الظاهر ؛ و معلوم أنّ الأوّل غير مراد في المقام، لعدم تمكّنه، فالمراد هو الثاني ؛ و حصوله بالنسبة إلى مَن احتمل أنّه ولد الزنا ممكن، والكلام فيما إذا حصل ذلک </w:t>
      </w:r>
      <w:r>
        <w:rPr>
          <w:rFonts w:eastAsia="IRNazanin" w:cs="IRNazanin"/>
          <w:color w:val="111111"/>
          <w:sz w:val="28"/>
          <w:szCs w:val="28"/>
          <w:rtl w:val="true"/>
          <w:lang w:bidi="fa-IR"/>
        </w:rPr>
        <w:t>.</w:t>
      </w:r>
    </w:p>
    <w:p>
      <w:pPr>
        <w:pStyle w:val="Heading3"/>
        <w:numPr>
          <w:ilvl w:val="2"/>
          <w:numId w:val="1"/>
        </w:numPr>
        <w:rPr/>
      </w:pPr>
      <w:bookmarkStart w:id="438" w:name="__RefHeading___Toc553781_730472459"/>
      <w:bookmarkStart w:id="439" w:name="_Toc169"/>
      <w:bookmarkEnd w:id="438"/>
      <w:r>
        <w:rPr>
          <w:rtl w:val="true"/>
        </w:rPr>
        <w:t>ارتفاع التهمة شرطٌ في قبول الشهادة</w:t>
      </w:r>
      <w:bookmarkEnd w:id="439"/>
    </w:p>
    <w:p>
      <w:pPr>
        <w:pStyle w:val="Heading2"/>
        <w:numPr>
          <w:ilvl w:val="1"/>
          <w:numId w:val="1"/>
        </w:numPr>
        <w:rPr/>
      </w:pPr>
      <w:bookmarkStart w:id="440" w:name="__RefHeading___Toc553783_730472459"/>
      <w:bookmarkStart w:id="441" w:name="_Toc170"/>
      <w:bookmarkEnd w:id="440"/>
      <w:r>
        <w:rPr/>
        <w:t>18</w:t>
      </w:r>
      <w:r>
        <w:rPr>
          <w:rtl w:val="true"/>
        </w:rPr>
        <w:t xml:space="preserve">- </w:t>
      </w:r>
      <w:r>
        <w:rPr>
          <w:rtl w:val="true"/>
        </w:rPr>
        <w:t>مسألة</w:t>
      </w:r>
      <w:bookmarkEnd w:id="441"/>
    </w:p>
    <w:p>
      <w:pPr>
        <w:pStyle w:val="Heading3"/>
        <w:numPr>
          <w:ilvl w:val="2"/>
          <w:numId w:val="1"/>
        </w:numPr>
        <w:rPr/>
      </w:pPr>
      <w:bookmarkStart w:id="442" w:name="__RefHeading___Toc553785_730472459"/>
      <w:bookmarkStart w:id="443" w:name="_Toc171"/>
      <w:bookmarkEnd w:id="442"/>
      <w:r>
        <w:rPr>
          <w:rtl w:val="true"/>
        </w:rPr>
        <w:t>اشارة</w:t>
      </w:r>
      <w:bookmarkEnd w:id="44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أيضًا في الشاهد ارتفاع التهمة بالإجماع، كما ادّعاه بعض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959"/>
      </w:r>
      <w:r>
        <w:rPr>
          <w:rFonts w:ascii="Amiri" w:hAnsi="Amiri" w:eastAsia="Amiri" w:cs="Amiri"/>
          <w:color w:val="111111"/>
          <w:sz w:val="28"/>
          <w:sz w:val="28"/>
          <w:szCs w:val="28"/>
          <w:rtl w:val="true"/>
          <w:lang w:bidi="ar-SA"/>
        </w:rPr>
        <w:t xml:space="preserve">؛ والنصوص المستفيضة، بل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لعلّها متواترة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عن الّذي يُرَدُّ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و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 الخائن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يدخل في الظنين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الظنين بمعنى المتّهم، صيغة فعيل بمعنى مفعول، فعطف الخصم عليه من قبيل عطف الخاصّ على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تُردّ </w:t>
      </w:r>
      <w:r>
        <w:rPr>
          <w:rStyle w:val="FootnoteAnchor"/>
          <w:rtl w:val="true"/>
        </w:rPr>
        <w:footnoteReference w:id="962"/>
      </w:r>
      <w:r>
        <w:rPr>
          <w:rFonts w:ascii="IRNazanin" w:hAnsi="IRNazanin" w:eastAsia="IRNazanin"/>
          <w:color w:val="111111"/>
          <w:sz w:val="28"/>
          <w:sz w:val="28"/>
          <w:szCs w:val="28"/>
          <w:rtl w:val="true"/>
          <w:lang w:bidi="fa-IR"/>
        </w:rPr>
        <w:t xml:space="preserve">مِنَ الشهود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الظنين و المتّهم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فالفاسق و الخائن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963"/>
      </w:r>
      <w:r>
        <w:rPr>
          <w:rFonts w:ascii="Amiri" w:hAnsi="Amiri" w:eastAsia="Amiri" w:cs="Amiri"/>
          <w:color w:val="111111"/>
          <w:sz w:val="28"/>
          <w:sz w:val="28"/>
          <w:szCs w:val="28"/>
          <w:rtl w:val="true"/>
          <w:lang w:bidi="ar-SA"/>
        </w:rPr>
        <w:t xml:space="preserve">يدخل في الظنين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يونس، و هو غير مضرّ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قد عرفت أنّ الظنين هو المتّهم، فعطف المتّهم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العطف للتفسير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الظنين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 في دينه، فعيل بمعنى مفعول من الظنة، و هي التهمة، وأريد بالمتّهم المتّهم في ذلک </w:t>
      </w:r>
      <w:r>
        <w:rPr>
          <w:rStyle w:val="FootnoteAnchor"/>
          <w:rtl w:val="true"/>
        </w:rPr>
        <w:footnoteReference w:id="965"/>
      </w:r>
      <w:r>
        <w:rPr>
          <w:rFonts w:ascii="Amiri" w:hAnsi="Amiri" w:eastAsia="Amiri" w:cs="Amiri"/>
          <w:color w:val="111111"/>
          <w:sz w:val="28"/>
          <w:sz w:val="28"/>
          <w:szCs w:val="28"/>
          <w:rtl w:val="true"/>
          <w:lang w:bidi="ar-SA"/>
        </w:rPr>
        <w:t xml:space="preserve">القضيّة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سأله عن الّذي يردّ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و المتّهم و الخصم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والخائن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يدخل في الظنين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أبا بصير في هذا السند هو يحيى بن القاسم، بقرينة شعيب، لأنّه قائده وابن أخته </w:t>
      </w:r>
      <w:r>
        <w:rPr>
          <w:rStyle w:val="FootnoteAnchor"/>
          <w:rtl w:val="true"/>
        </w:rPr>
        <w:footnoteReference w:id="968"/>
      </w:r>
      <w:r>
        <w:rPr>
          <w:rFonts w:ascii="Amiri" w:hAnsi="Amiri" w:eastAsia="Amiri" w:cs="Amiri"/>
          <w:color w:val="111111"/>
          <w:sz w:val="28"/>
          <w:sz w:val="28"/>
          <w:szCs w:val="28"/>
          <w:rtl w:val="true"/>
          <w:lang w:bidi="ar-SA"/>
        </w:rPr>
        <w:t xml:space="preserve">، فيكون الحديث موثّقًا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الحديث مرويّ في الفقيه </w:t>
      </w:r>
      <w:r>
        <w:rPr>
          <w:rStyle w:val="FootnoteAnchor"/>
          <w:rtl w:val="true"/>
        </w:rPr>
        <w:footnoteReference w:id="969"/>
      </w:r>
      <w:r>
        <w:rPr>
          <w:rFonts w:ascii="Amiri" w:hAnsi="Amiri" w:eastAsia="Amiri" w:cs="Amiri"/>
          <w:color w:val="111111"/>
          <w:sz w:val="28"/>
          <w:sz w:val="28"/>
          <w:szCs w:val="28"/>
          <w:rtl w:val="true"/>
          <w:lang w:bidi="ar-SA"/>
        </w:rPr>
        <w:t xml:space="preserve">باسناده إلى عبيد الله بن عليّ الحلبي، و طريقه إليه صحيح، لأنّه قال في المشيخة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عن عبيد الله بن عليّ الحلبي فقد رويته عن أبي و محمّد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عبدالله و الحميريّ جميعًا عن أحمد و عبدالله ابني محمّد بن عيسى، عن محمّد بن أبي عمير، عن حمّاد بن عثمان، عن عبيد الله بن عليّ الحلبىّ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المسلمين عدول بعضهم على بعض إلّا مجلود </w:t>
      </w:r>
      <w:r>
        <w:rPr>
          <w:rStyle w:val="FootnoteAnchor"/>
          <w:rtl w:val="true"/>
        </w:rPr>
        <w:footnoteReference w:id="971"/>
      </w:r>
      <w:r>
        <w:rPr>
          <w:rFonts w:ascii="Amiri" w:hAnsi="Amiri" w:eastAsia="Amiri" w:cs="Amiri"/>
          <w:color w:val="111111"/>
          <w:sz w:val="28"/>
          <w:sz w:val="28"/>
          <w:szCs w:val="28"/>
          <w:rtl w:val="true"/>
          <w:lang w:bidi="ar-SA"/>
        </w:rPr>
        <w:t xml:space="preserve">في حدّ لم يتب منه، أومعروف بشهادة زور، أو ظنين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النصوص المذكورة عدم قبول شهادة المتّهم مطلقًا، فيستفاد منها أصلٌ كلّيّ،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المتّهم ليست بمقبولة، فعلى هذا لابدّ في الحكم بقبول شهادة المتّهم في بعض المواضع من دليل إجماعٍ أو نصٍّ صالحٍ لتقييد النصوص الصحيحة المعتبرة المستفيضة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حيث ثبت ذلک نقيّد إطلاق النصوص المذكورة و نقول بمضمونه، و إلّا نعمل بإطلاق النصوص و نحكم بعدم جواز قبول شهادته، إلّا أن يوجد هناک فردٌ غيرُ غالبٍ بحيث لا ينصرف إليه إطلاق المتّهم في النصوص، فهناک نعمل بالأدلّة الدالّة على قبول الشهادة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لو شکّ في الموضوع، أي بأنّ ذلک الشاهد هل يصدق عليه أنّه متّهم، أم لا؟ بل بطريقٍ أولى </w:t>
      </w:r>
      <w:r>
        <w:rPr>
          <w:rFonts w:eastAsia="IRNazanin" w:cs="IRNazanin"/>
          <w:color w:val="111111"/>
          <w:sz w:val="28"/>
          <w:szCs w:val="28"/>
          <w:rtl w:val="true"/>
          <w:lang w:bidi="fa-IR"/>
        </w:rPr>
        <w:t xml:space="preserve">. </w:t>
      </w:r>
      <w:bookmarkStart w:id="444" w:name="pg14719_186730"/>
    </w:p>
    <w:p>
      <w:pPr>
        <w:pStyle w:val="Heading3"/>
        <w:numPr>
          <w:ilvl w:val="2"/>
          <w:numId w:val="1"/>
        </w:numPr>
        <w:rPr/>
      </w:pPr>
      <w:bookmarkStart w:id="445" w:name="__RefHeading___Toc553787_730472459"/>
      <w:bookmarkStart w:id="446" w:name="_Toc172"/>
      <w:bookmarkEnd w:id="444"/>
      <w:bookmarkEnd w:id="445"/>
      <w:r>
        <w:rPr>
          <w:rtl w:val="true"/>
        </w:rPr>
        <w:t>المواضع الّتي حكم فيها بقبول شهادة المتّهم</w:t>
      </w:r>
      <w:bookmarkEnd w:id="446"/>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نذكر في هذا المقام المواضع الّتي حكم فيها بقبول شهادة المتّهم، فإن وجدنا لها كلاًّ أو بعضًا مستندًا نذكره و نقول به، و إلّا فنعمل بالأصل الّذي استفدناه من النصوص المذكورة </w:t>
      </w:r>
      <w:r>
        <w:rPr>
          <w:rFonts w:eastAsia="IRNazanin" w:cs="IRNazanin"/>
          <w:color w:val="111111"/>
          <w:sz w:val="28"/>
          <w:szCs w:val="28"/>
          <w:rtl w:val="true"/>
          <w:lang w:bidi="fa-IR"/>
        </w:rPr>
        <w:t>.</w:t>
      </w:r>
    </w:p>
    <w:p>
      <w:pPr>
        <w:pStyle w:val="Heading3"/>
        <w:numPr>
          <w:ilvl w:val="2"/>
          <w:numId w:val="1"/>
        </w:numPr>
        <w:rPr/>
      </w:pPr>
      <w:bookmarkStart w:id="447" w:name="__RefHeading___Toc553789_730472459"/>
      <w:bookmarkStart w:id="448" w:name="_Toc173"/>
      <w:bookmarkEnd w:id="447"/>
      <w:r>
        <w:rPr>
          <w:rtl w:val="true"/>
        </w:rPr>
        <w:t>شهادة ذي الأقارب بعضهم لبعضهم مقبولة</w:t>
      </w:r>
      <w:bookmarkEnd w:id="448"/>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المواضع شهادة ذي الأقارب بعضهم لبعض، كالوالد للولد وبالعكس، و الأخ للأخ، و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في ذلک الإجماع و النصوص، أمّا الإجماع فقد ادّعاه السيّد الأجلّ في الانتصار،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انفردت به الإماميّة </w:t>
      </w:r>
      <w:r>
        <w:rPr>
          <w:rStyle w:val="FootnoteAnchor"/>
          <w:rtl w:val="true"/>
        </w:rPr>
        <w:footnoteReference w:id="973"/>
      </w:r>
      <w:r>
        <w:rPr>
          <w:rFonts w:ascii="Amiri" w:hAnsi="Amiri" w:eastAsia="Amiri" w:cs="Amiri"/>
          <w:color w:val="111111"/>
          <w:sz w:val="28"/>
          <w:sz w:val="28"/>
          <w:szCs w:val="28"/>
          <w:rtl w:val="true"/>
          <w:lang w:bidi="ar-SA"/>
        </w:rPr>
        <w:t xml:space="preserve">في هذه الأعصار و إن روي لها وفاق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شهادات ذوي الأرحام و القرابات بعضهم لبعض إذا كانوا عدولاً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هذا القول عن كثيرٍ من العامّة،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 نقل الخلاف </w:t>
      </w:r>
    </w:p>
    <w:p>
      <w:pPr>
        <w:pStyle w:val="BookText"/>
        <w:rPr/>
      </w:pPr>
      <w:r>
        <w:rPr>
          <w:rFonts w:ascii="Amiri" w:hAnsi="Amiri" w:eastAsia="Amiri" w:cs="Amiri"/>
          <w:color w:val="111111"/>
          <w:sz w:val="28"/>
          <w:sz w:val="28"/>
          <w:szCs w:val="28"/>
          <w:rtl w:val="true"/>
          <w:lang w:bidi="ar-SA"/>
        </w:rPr>
        <w:t xml:space="preserve">عن بعضهم أيضًا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على صحّة ما ذهبنا إليه الإجماع المتردّد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الإجماع عن الغنية أيضًا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ظاهر جملة من المتأخّرين أيضًا، كصاحب المسالک و الكفاية و كشف اللثام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النصوص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الولد لوالده، و الوالد لولده، و الأخ لأخيه،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لأبيه، أو الأب يشهد لابنه، أو الأخ لأخيه،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980"/>
      </w:r>
      <w:r>
        <w:rPr>
          <w:rFonts w:ascii="Amiri" w:hAnsi="Amiri" w:eastAsia="Amiri" w:cs="Amiri"/>
          <w:color w:val="111111"/>
          <w:sz w:val="28"/>
          <w:sz w:val="28"/>
          <w:szCs w:val="28"/>
          <w:rtl w:val="true"/>
          <w:lang w:bidi="ar-SA"/>
        </w:rPr>
        <w:t xml:space="preserve">إذا كان خيرًا جازت شهادته لأبيه، و الأب لابنه، و الأخ لأخيه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الولد لوالده، والوالد لولده، والأخ لأخيه،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الوالد لولده والولد لوالده والأخ لأخيه،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الأدلّة من الإجماعات و النصوص المذكورة نقيّد إطلاق ما تقدّم من الأدلّة على عدم جواز شهادة ذي التهمة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النصوص المذكورة و إن لم تشمل جميع أفراد المسألة صريحًا، لاختصاصها بشهادة الأب للابن، أو عكس ذلک، أو الأخ للأخ، فلا يدلّ على جواز شهادة مطلق ذي القرابات صريحًا، لكنّها دالّة على ذلک بالفحوى، بناءً على أنّه لو لم يمنع التهمة من قبول شهادة الأب للابن مثلاً و الأخ للأخ، فعدم منعها قبول شهادة الجدّ أو العمّ و هكذا بطريق أولى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يخفى عليک أنّ الأدّلة المذكورة من الإجماعات و النصوص المعتبرة قد دلّت على جواز قبول شهادة ذي النسب مطلقًا و إن لم يضمّ إليه عدل آخر أجنبيّ، فالحكم مطلق </w:t>
      </w:r>
      <w:r>
        <w:rPr>
          <w:rFonts w:eastAsia="IRNazanin" w:cs="IRNazanin"/>
          <w:color w:val="111111"/>
          <w:sz w:val="28"/>
          <w:szCs w:val="28"/>
          <w:rtl w:val="true"/>
          <w:lang w:bidi="fa-IR"/>
        </w:rPr>
        <w:t xml:space="preserve">. </w:t>
      </w:r>
      <w:bookmarkStart w:id="449" w:name="pg14719_186733"/>
    </w:p>
    <w:p>
      <w:pPr>
        <w:pStyle w:val="BookText"/>
        <w:rPr/>
      </w:pPr>
      <w:bookmarkEnd w:id="449"/>
      <w:r>
        <w:rPr>
          <w:rFonts w:ascii="Amiri" w:hAnsi="Amiri" w:eastAsia="Amiri" w:cs="Amiri"/>
          <w:color w:val="111111"/>
          <w:sz w:val="28"/>
          <w:sz w:val="28"/>
          <w:szCs w:val="28"/>
          <w:rtl w:val="true"/>
          <w:lang w:bidi="ar-SA"/>
        </w:rPr>
        <w:t xml:space="preserve">خلافًا للمحكيّ عن النهاية </w:t>
      </w:r>
      <w:r>
        <w:rPr>
          <w:rStyle w:val="FootnoteAnchor"/>
          <w:rtl w:val="true"/>
        </w:rPr>
        <w:footnoteReference w:id="984"/>
      </w:r>
      <w:r>
        <w:rPr>
          <w:rFonts w:ascii="Amiri" w:hAnsi="Amiri" w:eastAsia="Amiri" w:cs="Amiri"/>
          <w:color w:val="111111"/>
          <w:sz w:val="28"/>
          <w:sz w:val="28"/>
          <w:szCs w:val="28"/>
          <w:rtl w:val="true"/>
          <w:lang w:bidi="ar-SA"/>
        </w:rPr>
        <w:t xml:space="preserve">، فاعتبر في قبول الشهادة الضميمة، لرواية السكوني عن مولانا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الأخ لأخيه تجوز إذا كان مرضيًّا و معه شاهد آخر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السكونيّ حاله معلوم، و الراوي عنه في سند الحديث النوفليّ، و هو حسين بن يزيد ؛ و قد حكى النجاشي عن قوم من القميّين أنّ حسين بن يزيد غلا في آخر عمره </w:t>
      </w:r>
      <w:r>
        <w:rPr>
          <w:rStyle w:val="FootnoteAnchor"/>
          <w:rtl w:val="true"/>
        </w:rPr>
        <w:footnoteReference w:id="986"/>
      </w:r>
      <w:r>
        <w:rPr>
          <w:rFonts w:ascii="Amiri" w:hAnsi="Amiri" w:eastAsia="Amiri" w:cs="Amiri"/>
          <w:color w:val="111111"/>
          <w:sz w:val="28"/>
          <w:sz w:val="28"/>
          <w:szCs w:val="28"/>
          <w:rtl w:val="true"/>
          <w:lang w:bidi="ar-SA"/>
        </w:rPr>
        <w:t xml:space="preserve">، فلا يصلح لتقييد النصوص 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على تسليم اعتبار السند أيضًا، لما عرفت من كون تلک النصوص موافقة للإجماعات المنقولة، سيّما بعد أخصّيّة الرواية من المدّعى و ضعف الدلالة، لاحتمال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قبول شهادة الأخ بانفراده غير جائز، إلّا إذا انضمّ إليه شاهد آخر، سواء كان من الأخ أو غيره، و نحن نقول بمضمونه، فتأمّل </w:t>
      </w:r>
      <w:r>
        <w:rPr>
          <w:rFonts w:eastAsia="IRNazanin" w:cs="IRNazanin"/>
          <w:color w:val="111111"/>
          <w:sz w:val="28"/>
          <w:szCs w:val="28"/>
          <w:rtl w:val="true"/>
          <w:lang w:bidi="fa-IR"/>
        </w:rPr>
        <w:t>.</w:t>
      </w:r>
    </w:p>
    <w:p>
      <w:pPr>
        <w:pStyle w:val="Heading3"/>
        <w:numPr>
          <w:ilvl w:val="2"/>
          <w:numId w:val="1"/>
        </w:numPr>
        <w:rPr/>
      </w:pPr>
      <w:bookmarkStart w:id="450" w:name="__RefHeading___Toc553791_730472459"/>
      <w:bookmarkStart w:id="451" w:name="_Toc174"/>
      <w:bookmarkEnd w:id="450"/>
      <w:r>
        <w:rPr>
          <w:rtl w:val="true"/>
        </w:rPr>
        <w:t>تجوز شهادة الرجل لامرأته</w:t>
      </w:r>
      <w:bookmarkEnd w:id="451"/>
    </w:p>
    <w:p>
      <w:pPr>
        <w:pStyle w:val="BookText"/>
        <w:rPr/>
      </w:pPr>
      <w:r>
        <w:rPr>
          <w:rFonts w:ascii="IRNazanin" w:hAnsi="IRNazanin" w:eastAsia="IRNazanin"/>
          <w:color w:val="111111"/>
          <w:sz w:val="28"/>
          <w:sz w:val="28"/>
          <w:szCs w:val="28"/>
          <w:rtl w:val="true"/>
          <w:lang w:bidi="fa-IR"/>
        </w:rPr>
        <w:t xml:space="preserve">و من تلک المواضع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الرجل لامرأته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من النصوص صحيحة الحلبي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الرجل لامرأته، و المرأة لزوجها إذا كان معها غيرها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صحيحة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خيرًا جازت شهادته لامرأته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الرجل لامرأته،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والمرأة لزوجها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معها غيرها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النهاية و ابن البرّاج وابن حمزة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الزوج لامرأته إلّا بعد انضمام غيره من أهل الشهادة إليه ؛ و كان مستندهم هو ما تقدّم من النصوص المستفيضة الدالّة على عدم قبول شهادة ذي التهمة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النصوص و إن دلّت على ذلک، إلّا أنّ دلالتها كانت بعنوان الإطلاق، و المطلق يجب تقييده بعد وجود المقيّد، و هو ما ذكرناه آنفًا من جملة من النصوص المعتبرة، إذ هي واضحة الدلالة على قبول شهادة الرجل لامرأته، سيّما الرواية الأولى و الثالثة،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انضمام الغير شرطًا لقبول شهادة المرأة للزوج بعد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شهادة الزوج للمرأة، فهما كالصريحين في عدم اشتراط انضمام الغير في قبول شهادة الزوج للزوجة، فيجب تقييد تلک النصوص المطلقة بهذه النصوص المقيّدة حملاً للمطلق على المقيّد، فلا إشكال في </w:t>
      </w:r>
    </w:p>
    <w:p>
      <w:pPr>
        <w:pStyle w:val="BookText"/>
        <w:rPr/>
      </w:pPr>
      <w:r>
        <w:rPr>
          <w:rFonts w:ascii="Amiri" w:hAnsi="Amiri" w:eastAsia="Amiri" w:cs="Amiri"/>
          <w:color w:val="111111"/>
          <w:sz w:val="28"/>
          <w:sz w:val="28"/>
          <w:szCs w:val="28"/>
          <w:rtl w:val="true"/>
          <w:lang w:bidi="ar-SA"/>
        </w:rPr>
        <w:t xml:space="preserve">المسألة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الأمر في صورة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المرأة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النصوص الناهية عن قبول شهادة المتّهم عدم قبول شهادتها له، و المقيّد لم نجده إلّا ما عرفت من الصحيح و الموثّق، حيث دلّا على جواز قبول شهادتها للزوج مع انضمام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التفصيل إشكالاً،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يخلو إمّا أن يكون المراد من عدم قبول شهادة الزوجة للزوج عدمُ قبولها إذا كانت منفردة، كما دلّت عليه الصحيحة و الموثّقة، فالزوج أيضًا كذلک، لأنّ شهادة رجل واحد غير مقبولة، إلّا بعد انضمام رجل آخر إليه، فلا فرق بينهما، فما وجه تفصيل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w:t>
      </w:r>
    </w:p>
    <w:p>
      <w:pPr>
        <w:pStyle w:val="BookText"/>
        <w:rPr/>
      </w:pPr>
      <w:r>
        <w:rPr>
          <w:rFonts w:ascii="Amiri" w:hAnsi="Amiri" w:eastAsia="Amiri" w:cs="Amiri"/>
          <w:color w:val="111111"/>
          <w:sz w:val="28"/>
          <w:sz w:val="28"/>
          <w:szCs w:val="28"/>
          <w:rtl w:val="true"/>
          <w:lang w:bidi="ar-SA"/>
        </w:rPr>
        <w:t>و على هذا الاحتمال لا فرق بين الزوجة و غيرها من النساء كائنة من كانت، لأنّ شهادتها من غير انضمام الغير غير مقبولة، فما وجه اختصاص الحكم بالزوجة ؟</w:t>
      </w:r>
    </w:p>
    <w:p>
      <w:pPr>
        <w:pStyle w:val="BookText"/>
        <w:rPr/>
      </w:pPr>
      <w:r>
        <w:rPr>
          <w:rFonts w:ascii="Amiri" w:hAnsi="Amiri" w:eastAsia="Amiri" w:cs="Amiri"/>
          <w:color w:val="111111"/>
          <w:sz w:val="28"/>
          <w:sz w:val="28"/>
          <w:szCs w:val="28"/>
          <w:rtl w:val="true"/>
          <w:lang w:bidi="ar-SA"/>
        </w:rPr>
        <w:t xml:space="preserve">و إمّا أن يكون المراد من عدم قبول شهادة الزوجة مطلقًا و لو كانت مع الغير، فيكون المراد من قبول شهادة الزوج لها إذا كان له شاهد آخر، بمعنى أنّ الزوج يجوز أن يكون أحد الشاهدين للزوجة، بخلاف الزوجة، فإنّها لا تكون ممّن تقبل شهادته و لو كانت مع النساء الاخر، بناءً على ما مرّ من الأدلّة المانعة عن قبول شهادة المتّهم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 ناسب التقابل بينهما، إلّا أنّ هذا الاحتمال غير صحيح،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صريحٌ في جواز شهادتها إذا كان معها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الجواب عن الإشكال باختيار الشقّ الأوّل من الاحتمالين،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عدم قبول شهادة الزوجة إذا كانت منفردة ؛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فالزوج أيضًا كذلک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بل تقبل شهادته منفردًا من غير حاجةٍ إلى شاهدٍ آخر بشرط انضمام اليمين إليه بأن تحلف المرأة بعد شهادة الزوج لها، فيقضى لها، بخلاف شهادة الزوجة، فإنّها لابدّ من انضمام الغير، فلا يكفي حلف الزوج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اختصاص الزوجة بالذكر مع شمول الحكم لكلّ نساء، فلعلّه لأجل أنّه لمّا حَكَم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قبول شهادة الزوج للزوجة، ربّما يتوهّم جواز قبول شهادة الزوجة للزوج، فَحَكَمَ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ذلک إلّا بعد انضمام الغير إليها بعد السؤال عن شهادتها له كما في صحيحة عمّار بن مروان </w:t>
      </w:r>
      <w:r>
        <w:rPr>
          <w:rStyle w:val="FootnoteAnchor"/>
          <w:rtl w:val="true"/>
        </w:rPr>
        <w:footnoteReference w:id="991"/>
      </w:r>
      <w:r>
        <w:rPr>
          <w:rFonts w:ascii="Amiri" w:hAnsi="Amiri" w:eastAsia="Amiri" w:cs="Amiri"/>
          <w:color w:val="111111"/>
          <w:sz w:val="28"/>
          <w:sz w:val="28"/>
          <w:szCs w:val="28"/>
          <w:rtl w:val="true"/>
          <w:lang w:bidi="ar-SA"/>
        </w:rPr>
        <w:t>، و من غير سؤال كما</w:t>
      </w:r>
    </w:p>
    <w:p>
      <w:pPr>
        <w:pStyle w:val="BookText"/>
        <w:rPr/>
      </w:pPr>
      <w:r>
        <w:rPr>
          <w:rFonts w:ascii="Amiri" w:hAnsi="Amiri" w:eastAsia="Amiri" w:cs="Amiri"/>
          <w:color w:val="111111"/>
          <w:sz w:val="28"/>
          <w:sz w:val="28"/>
          <w:szCs w:val="28"/>
          <w:rtl w:val="true"/>
          <w:lang w:bidi="ar-SA"/>
        </w:rPr>
        <w:t xml:space="preserve">في الصحيحة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فرق بين الزوج و غيره من الرجال، بناءً على أنّ كلّ رجل عادل يكتفى بشهادته مع حلف المدّعي فيما يثبت بشاهد و يمين، و قد حقّقناه في كتاب القضاء </w:t>
      </w:r>
      <w:r>
        <w:rPr>
          <w:rStyle w:val="FootnoteAnchor"/>
          <w:rtl w:val="true"/>
        </w:rPr>
        <w:footnoteReference w:id="993"/>
      </w:r>
      <w:r>
        <w:rPr>
          <w:rFonts w:ascii="Amiri" w:hAnsi="Amiri" w:eastAsia="Amiri" w:cs="Amiri"/>
          <w:color w:val="111111"/>
          <w:sz w:val="28"/>
          <w:sz w:val="28"/>
          <w:szCs w:val="28"/>
          <w:rtl w:val="true"/>
          <w:lang w:bidi="ar-SA"/>
        </w:rPr>
        <w:t>، فما وجه اختصاص الزوج بالذكر؟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ذلک لأجل أنّه لمّا كان الزوج من أهل التهمة و كان حكم غيره من الرجال معلومًا من أدلّة قبول الشهادة من الكتاب و السنّة، فصار الزوج لأجل </w:t>
      </w:r>
      <w:bookmarkStart w:id="452" w:name="pg14719_186737"/>
    </w:p>
    <w:p>
      <w:pPr>
        <w:pStyle w:val="BookText"/>
        <w:rPr/>
      </w:pPr>
      <w:bookmarkEnd w:id="452"/>
      <w:r>
        <w:rPr>
          <w:rFonts w:ascii="IRNazanin" w:hAnsi="IRNazanin" w:eastAsia="IRNazanin"/>
          <w:color w:val="111111"/>
          <w:sz w:val="28"/>
          <w:sz w:val="28"/>
          <w:szCs w:val="28"/>
          <w:rtl w:val="true"/>
          <w:lang w:bidi="fa-IR"/>
        </w:rPr>
        <w:t xml:space="preserve">التهمة في معرض الشکّ، فاختصّ بالذكر في كلام المعصوم و الراوي للتنبيه على عدم قدح التهمة في شهادة الزوج للزوجة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جواز قبول شهادة الزوج للزوجة يدلّ على جواز قبول شهادة غيره من الرجال لها بطريق أولى، بناءً على أنّه لو جاز قبول شهادة الزوج للزوجة مع كونه من أهل التهمة، فجواز قبول شهادة غيره لها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الصحيحة و الموثّقة المزبورتين مقيّدتين للنصوص المتقدّمة الدالّة على عدم قبول شهادة ذي التهمة بالنسبة إلى شهادة الزوجة لزوجها أيضًا، فارتفع الإشكال في هذه الصورة أيضًا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53793_730472459"/>
      <w:bookmarkStart w:id="454" w:name="_Toc175"/>
      <w:bookmarkEnd w:id="453"/>
      <w:r>
        <w:rPr>
          <w:rtl w:val="true"/>
        </w:rPr>
        <w:t>شهادة الزوجة منفردة مقبولة في الوصيّة</w:t>
      </w:r>
      <w:bookmarkEnd w:id="454"/>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الحديثين المذكورين عدم قبول شهادة الزوجة من غير انضمام الغير مطلقًا و لو كانت الشهادة في الوصيّة، إلّا أنّ الظاهر من بعض الأصحاب أنّ قبول شهادة الزوجة منفردة في الوصيّة إجماعيّ بيننا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صحيحة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تشهدها </w:t>
      </w:r>
      <w:r>
        <w:rPr>
          <w:rStyle w:val="FootnoteAnchor"/>
          <w:rtl w:val="true"/>
        </w:rPr>
        <w:footnoteReference w:id="995"/>
      </w:r>
      <w:r>
        <w:rPr>
          <w:rFonts w:ascii="Amiri" w:hAnsi="Amiri" w:eastAsia="Amiri" w:cs="Amiri"/>
          <w:color w:val="111111"/>
          <w:sz w:val="28"/>
          <w:sz w:val="28"/>
          <w:szCs w:val="28"/>
          <w:rtl w:val="true"/>
          <w:lang w:bidi="ar-SA"/>
        </w:rPr>
        <w:t xml:space="preserve">إلّا امرأة، أن يجوز </w:t>
      </w:r>
      <w:r>
        <w:rPr>
          <w:rStyle w:val="FootnoteAnchor"/>
          <w:rtl w:val="true"/>
        </w:rPr>
        <w:footnoteReference w:id="996"/>
      </w:r>
      <w:r>
        <w:rPr>
          <w:rFonts w:ascii="Amiri" w:hAnsi="Amiri" w:eastAsia="Amiri" w:cs="Amiri"/>
          <w:color w:val="111111"/>
          <w:sz w:val="28"/>
          <w:sz w:val="28"/>
          <w:szCs w:val="28"/>
          <w:rtl w:val="true"/>
          <w:lang w:bidi="ar-SA"/>
        </w:rPr>
        <w:t xml:space="preserve">شهادة المرأة في </w:t>
      </w:r>
    </w:p>
    <w:p>
      <w:pPr>
        <w:pStyle w:val="BookText"/>
        <w:rPr/>
      </w:pPr>
      <w:r>
        <w:rPr>
          <w:rFonts w:ascii="Amiri" w:hAnsi="Amiri" w:eastAsia="Amiri" w:cs="Amiri"/>
          <w:color w:val="111111"/>
          <w:sz w:val="28"/>
          <w:sz w:val="28"/>
          <w:szCs w:val="28"/>
          <w:rtl w:val="true"/>
          <w:lang w:bidi="ar-SA"/>
        </w:rPr>
        <w:t xml:space="preserve">ربع الوصيّة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بها إطلاق الحديثين المذكورين و ما تقدّم من النصوص المانعة عن شهادة مطلق ذي التهمة، خلافًا للمحكيّ عن المحقّق </w:t>
      </w:r>
      <w:r>
        <w:rPr>
          <w:rStyle w:val="FootnoteAnchor"/>
          <w:rtl w:val="true"/>
        </w:rPr>
        <w:footnoteReference w:id="998"/>
      </w:r>
      <w:r>
        <w:rPr>
          <w:rFonts w:ascii="Amiri" w:hAnsi="Amiri" w:eastAsia="Amiri" w:cs="Amiri"/>
          <w:color w:val="111111"/>
          <w:sz w:val="28"/>
          <w:sz w:val="28"/>
          <w:szCs w:val="28"/>
          <w:rtl w:val="true"/>
          <w:lang w:bidi="ar-SA"/>
        </w:rPr>
        <w:t xml:space="preserve">، فاشترط في قبول شهادتها فيها انضمام الغير أيضًا ؛ و لعلّه مصير إلى الإطلاق المشار إليه، و قد عرفت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في الحديثين المذكورين يحتمل ورودهما مورد الغالب، فلا عبرة بمفهومهما، كما صرّح به جمع من الأصحاب، كشيخنا الشهيد الثاني، حيث قال في الجواب عنهما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التقييد في الرواية أنّ المرأة لا يثبت بها الحقّ منفردة و لا منضمّة إلى اليمين، بل يشترط أن يكون معها غيرها، إلّا ما استثني نادرًا و هو الوصيّة، بخلاف الزوج، فإنّه يثبت بشهادته الحقّ مع اليمين، فالرواية </w:t>
      </w:r>
      <w:r>
        <w:rPr>
          <w:rStyle w:val="FootnoteAnchor"/>
          <w:rtl w:val="true"/>
        </w:rPr>
        <w:footnoteReference w:id="999"/>
      </w:r>
      <w:r>
        <w:rPr>
          <w:rFonts w:ascii="Amiri" w:hAnsi="Amiri" w:eastAsia="Amiri" w:cs="Amiri"/>
          <w:color w:val="111111"/>
          <w:sz w:val="28"/>
          <w:sz w:val="28"/>
          <w:szCs w:val="28"/>
          <w:rtl w:val="true"/>
          <w:lang w:bidi="ar-SA"/>
        </w:rPr>
        <w:t xml:space="preserve">باشتراط الضميمة معها مبنيّة على الغالب في الحقوق، و هي ما عدا الوصيّة، إنتهى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455" w:name="pg14719_186739"/>
    </w:p>
    <w:p>
      <w:pPr>
        <w:pStyle w:val="Heading3"/>
        <w:numPr>
          <w:ilvl w:val="2"/>
          <w:numId w:val="1"/>
        </w:numPr>
        <w:rPr/>
      </w:pPr>
      <w:bookmarkStart w:id="456" w:name="__RefHeading___Toc553795_730472459"/>
      <w:bookmarkStart w:id="457" w:name="_Toc176"/>
      <w:bookmarkEnd w:id="455"/>
      <w:bookmarkEnd w:id="456"/>
      <w:r>
        <w:rPr>
          <w:rtl w:val="true"/>
        </w:rPr>
        <w:t>شهادة الضيف للمضيف</w:t>
      </w:r>
      <w:bookmarkEnd w:id="457"/>
    </w:p>
    <w:p>
      <w:pPr>
        <w:pStyle w:val="BookText"/>
        <w:rPr/>
      </w:pPr>
      <w:r>
        <w:rPr>
          <w:rFonts w:ascii="IRNazanin" w:hAnsi="IRNazanin" w:eastAsia="IRNazanin"/>
          <w:color w:val="111111"/>
          <w:sz w:val="28"/>
          <w:sz w:val="28"/>
          <w:szCs w:val="28"/>
          <w:rtl w:val="true"/>
          <w:lang w:bidi="fa-IR"/>
        </w:rPr>
        <w:t xml:space="preserve">و من تلک المواضع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الضيف للمضيف، فإنّها مقبولة بلا خلاف، كما في المسالک و الكفاية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يدلّ على ذلک موثّقة أبي بصير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بشهادة الضيف إذا كان عفيفًا صائنًا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بها يقيّد ما تقدّم من النصوص الناهية عن قبول شهادة ذي التهمة ؛ على أنّ في صدق المتّهم عليه كلامًا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فرض التسليم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المتبادر من تلک النصوص الناهية غير مثل هذا الفرد، فلا تنصرف إليه، فيبقى العمومات الدالّة على قبول شهادة </w:t>
      </w:r>
      <w:r>
        <w:rPr>
          <w:rStyle w:val="FootnoteAnchor"/>
          <w:rtl w:val="true"/>
        </w:rPr>
        <w:footnoteReference w:id="1003"/>
      </w:r>
      <w:r>
        <w:rPr>
          <w:rFonts w:ascii="Amiri" w:hAnsi="Amiri" w:eastAsia="Amiri" w:cs="Amiri"/>
          <w:color w:val="111111"/>
          <w:sz w:val="28"/>
          <w:sz w:val="28"/>
          <w:szCs w:val="28"/>
          <w:rtl w:val="true"/>
          <w:lang w:bidi="ar-SA"/>
        </w:rPr>
        <w:t xml:space="preserve">سالمة عمّا يصلح للمعارضة، فيجب العمل بمقتضاها بالبديهة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53797_730472459"/>
      <w:bookmarkStart w:id="459" w:name="_Toc177"/>
      <w:bookmarkEnd w:id="458"/>
      <w:r>
        <w:rPr>
          <w:rtl w:val="true"/>
        </w:rPr>
        <w:t>شهادة الأجير</w:t>
      </w:r>
      <w:bookmarkEnd w:id="4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تلک المواضع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الأجير للمستأجر، فإنّ مقتضى النصوص المتقدّمة الناهية عن قبول شهادة ذي التهمة عدم قبول شهادته، كما هو المحكيّ عن الصدوقين، و الشيخ في النهاية و الاستبصار، و الحلبي، و بني زهرة و حمزة </w:t>
      </w:r>
    </w:p>
    <w:p>
      <w:pPr>
        <w:pStyle w:val="BookText"/>
        <w:rPr/>
      </w:pPr>
      <w:r>
        <w:rPr>
          <w:rFonts w:ascii="Amiri" w:hAnsi="Amiri" w:eastAsia="Amiri" w:cs="Amiri"/>
          <w:color w:val="111111"/>
          <w:sz w:val="28"/>
          <w:sz w:val="28"/>
          <w:szCs w:val="28"/>
          <w:rtl w:val="true"/>
          <w:lang w:bidi="ar-SA"/>
        </w:rPr>
        <w:t xml:space="preserve">وسعيد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خصوص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علا </w:t>
      </w:r>
      <w:r>
        <w:rPr>
          <w:rStyle w:val="FootnoteAnchor"/>
          <w:rtl w:val="true"/>
        </w:rPr>
        <w:footnoteReference w:id="1005"/>
      </w:r>
      <w:r>
        <w:rPr>
          <w:rFonts w:ascii="Amiri" w:hAnsi="Amiri" w:eastAsia="Amiri" w:cs="Amiri"/>
          <w:color w:val="111111"/>
          <w:sz w:val="28"/>
          <w:sz w:val="28"/>
          <w:szCs w:val="28"/>
          <w:rtl w:val="true"/>
          <w:lang w:bidi="ar-SA"/>
        </w:rPr>
        <w:t xml:space="preserve">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 شهادة الأجير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w:t>
      </w:r>
      <w:r>
        <w:rPr>
          <w:rStyle w:val="FootnoteAnchor"/>
          <w:rtl w:val="true"/>
        </w:rPr>
        <w:footnoteReference w:id="1007"/>
      </w:r>
      <w:r>
        <w:rPr>
          <w:rFonts w:ascii="IRNazanin" w:hAnsi="IRNazanin" w:eastAsia="IRNazanin"/>
          <w:color w:val="111111"/>
          <w:sz w:val="28"/>
          <w:sz w:val="28"/>
          <w:szCs w:val="28"/>
          <w:rtl w:val="true"/>
          <w:lang w:bidi="fa-IR"/>
        </w:rPr>
        <w:t xml:space="preserve">يردّ من الشهود،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المريب والخصم و الشريک و دافع مغرم و الأجير و العبد و التابع و المتّهم، كلّ هؤلاء تردّ شهاداتهم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الفقيه مرسلاً بتغيير قليل و زيادة،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w:t>
      </w:r>
      <w:r>
        <w:rPr>
          <w:rStyle w:val="FootnoteAnchor"/>
          <w:rtl w:val="true"/>
        </w:rPr>
        <w:footnoteReference w:id="1009"/>
      </w:r>
      <w:r>
        <w:rPr>
          <w:rFonts w:ascii="IRNazanin" w:hAnsi="IRNazanin" w:eastAsia="IRNazanin"/>
          <w:color w:val="111111"/>
          <w:sz w:val="28"/>
          <w:sz w:val="28"/>
          <w:szCs w:val="28"/>
          <w:rtl w:val="true"/>
          <w:lang w:bidi="fa-IR"/>
        </w:rPr>
        <w:t xml:space="preserve">شهادة المريب و الخصم و دافع مغرم أو أجير أو شريک أو متّهم أو بائع </w:t>
      </w:r>
      <w:r>
        <w:rPr>
          <w:rStyle w:val="FootnoteAnchor"/>
          <w:rtl w:val="true"/>
        </w:rPr>
        <w:footnoteReference w:id="1010"/>
      </w:r>
      <w:r>
        <w:rPr>
          <w:rFonts w:ascii="Amiri" w:hAnsi="Amiri" w:eastAsia="Amiri" w:cs="Amiri"/>
          <w:color w:val="111111"/>
          <w:sz w:val="28"/>
          <w:sz w:val="28"/>
          <w:szCs w:val="28"/>
          <w:rtl w:val="true"/>
          <w:lang w:bidi="ar-SA"/>
        </w:rPr>
        <w:t xml:space="preserve">، و لا تقبل شهادة شارب الخمر، و لا شهادة اللّاعب بالشطرنج و النرد، و لا شهادة المقامر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نسخة بدل 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صحيحة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أشهد أجيره على شهادة، ثمّ فارقه، أتجوز شهادته له بعد أن يفارقه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الراوي أنّه عالم بأنّه قبل المفارقة غير جائز، لكون الأجير حينئذٍ متّهمًا، لكن سأل عن حكم بعد المفارقة، بناءً على ارتفاع التهمة حينئذ، فقرّره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فهمه، فأجاب بحكم بعد المفارقة ؛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المحقّق و العلّامة و الشهيد الثاني إلى القبول </w:t>
      </w:r>
      <w:r>
        <w:rPr>
          <w:rStyle w:val="FootnoteAnchor"/>
          <w:rtl w:val="true"/>
        </w:rPr>
        <w:footnoteReference w:id="1013"/>
      </w:r>
      <w:r>
        <w:rPr>
          <w:rFonts w:ascii="IRNazanin" w:hAnsi="IRNazanin" w:eastAsia="IRNazanin"/>
          <w:color w:val="111111"/>
          <w:sz w:val="28"/>
          <w:sz w:val="28"/>
          <w:szCs w:val="28"/>
          <w:rtl w:val="true"/>
          <w:lang w:bidi="fa-IR"/>
        </w:rPr>
        <w:t xml:space="preserve">، بل نقله في المسالک عن المتأخّرين </w:t>
      </w:r>
      <w:r>
        <w:rPr>
          <w:rStyle w:val="FootnoteAnchor"/>
          <w:rtl w:val="true"/>
        </w:rPr>
        <w:footnoteReference w:id="1014"/>
      </w:r>
      <w:r>
        <w:rPr>
          <w:rFonts w:ascii="Amiri" w:hAnsi="Amiri" w:eastAsia="Amiri" w:cs="Amiri"/>
          <w:color w:val="111111"/>
          <w:sz w:val="28"/>
          <w:sz w:val="28"/>
          <w:szCs w:val="28"/>
          <w:rtl w:val="true"/>
          <w:lang w:bidi="ar-SA"/>
        </w:rPr>
        <w:t xml:space="preserve">، حيث قال بعد ذكر الأجير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الأصحاب في شأنه، فجزم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ابن إدريس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بقبول شهادة الأجير، و عليه المتأخّرون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الكفاية، حيث قال بعد نقل الخلاف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فالمتأخّرون على القبول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استدلّ لذلک في المسالک بالأصل و 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واستشهدوا شهيدين من رجالكم </w:t>
      </w:r>
      <w:r>
        <w:rPr>
          <w:rFonts w:eastAsia="IRNazanin" w:cs="IRNazanin"/>
          <w:color w:val="111111"/>
          <w:sz w:val="28"/>
          <w:szCs w:val="28"/>
          <w:rtl w:val="true"/>
          <w:lang w:bidi="fa-IR"/>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ذكره من الدليل نظر، أمّا في الأصل فلأنّ الظاهر أنّ الأصل في كلّ شهادة عدم القبول، كما مرّ غير مرّة في كتاب القضاء و الشهادة، لأنّ الحكم على شخصٍ بمالٍ أو غيره لشخصٍ آخرٍ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عموم الآيتين فلأنّ العامّ يجب تخصيصه بعد وجود المخصّص، و هو ما عرفت من النصوص المعتبرة الّتي منها الموثّقة و الصحيحة ؛ و لمّا لم يذكر هو إلّا رواية علا </w:t>
      </w:r>
      <w:r>
        <w:rPr>
          <w:rStyle w:val="FootnoteAnchor"/>
          <w:rtl w:val="true"/>
        </w:rPr>
        <w:footnoteReference w:id="1020"/>
      </w:r>
      <w:r>
        <w:rPr>
          <w:rFonts w:ascii="Amiri" w:hAnsi="Amiri" w:eastAsia="Amiri" w:cs="Amiri"/>
          <w:color w:val="111111"/>
          <w:sz w:val="28"/>
          <w:sz w:val="28"/>
          <w:szCs w:val="28"/>
          <w:rtl w:val="true"/>
          <w:lang w:bidi="ar-SA"/>
        </w:rPr>
        <w:t xml:space="preserve">بن سيابة و رواية سماعة، و هما لم تكونا عنده حجّة، لم يقل بتخصيص العموم، لما أجاب عن الأولى بأنّ في طريقها أحمد بن فضّال عن أبيه، وعن الثانية بأنّها ضعيفة موقوفة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الجوابين نظر، 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المذكور في سند الحديث الأوّل ليس أحمد بن فضّال، بل أحمد بن الحسن بن عليّ عن أبيه ؛ و الموجود في السند هكذا </w:t>
      </w:r>
      <w:r>
        <w:rPr>
          <w:rStyle w:val="FootnoteAnchor"/>
          <w:rtl w:val="true"/>
        </w:rPr>
        <w:footnoteReference w:id="1021"/>
      </w:r>
      <w:r>
        <w:rPr>
          <w:rFonts w:ascii="Amiri" w:hAnsi="Amiri" w:eastAsia="Amiri" w:cs="Amiri"/>
          <w:color w:val="111111"/>
          <w:sz w:val="28"/>
          <w:sz w:val="28"/>
          <w:szCs w:val="28"/>
          <w:rtl w:val="true"/>
          <w:lang w:bidi="ar-SA"/>
        </w:rPr>
        <w:t xml:space="preserve">؛ نعم، فضّال هو جدّ عليّ الّذي هو جدّ أحمد،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w:t>
      </w:r>
    </w:p>
    <w:p>
      <w:pPr>
        <w:pStyle w:val="BookText"/>
        <w:rPr/>
      </w:pPr>
      <w:r>
        <w:rPr>
          <w:rFonts w:ascii="Amiri" w:hAnsi="Amiri" w:eastAsia="Amiri" w:cs="Amiri"/>
          <w:color w:val="111111"/>
          <w:sz w:val="28"/>
          <w:sz w:val="28"/>
          <w:szCs w:val="28"/>
          <w:rtl w:val="true"/>
          <w:lang w:bidi="ar-SA"/>
        </w:rPr>
        <w:t xml:space="preserve">بن عليّ بن محمّد بن فضّال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إغماض النظر عنه بناءً على أنّه لمّا اشتهر بابن فضّال عبّر به،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بضعيف حتّى يرفع اليد بسببه عن الحديث، بل موثّق ؛ و كذا أبوه حسن، فالأولى أن يسند قدح الرواية إلى علا بن سيابة، لأنّه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الجواب عن الرواية الثانية، فلأنّها ليست بضعيفة، لأنّ الشيخ رواه بإسناده إلى حسين بن سعيد، عن الحسن، عن زرعة، عن سماعة </w:t>
      </w:r>
      <w:r>
        <w:rPr>
          <w:rStyle w:val="FootnoteAnchor"/>
          <w:rtl w:val="true"/>
        </w:rPr>
        <w:footnoteReference w:id="1022"/>
      </w:r>
      <w:r>
        <w:rPr>
          <w:rFonts w:ascii="Amiri" w:hAnsi="Amiri" w:eastAsia="Amiri" w:cs="Amiri"/>
          <w:color w:val="111111"/>
          <w:sz w:val="28"/>
          <w:sz w:val="28"/>
          <w:szCs w:val="28"/>
          <w:rtl w:val="true"/>
          <w:lang w:bidi="ar-SA"/>
        </w:rPr>
        <w:t xml:space="preserve">؛ و ليس واحد من هؤلاء المذكورين ممّن يصير الحديث به ضعيفًا، لأنّ حسين بن سعيد وثاقته معلومة، و الحسن المرويّ عنه أخوه ثقة أيضًا، و زرعة و سماعة موثّقان، فالحديث موثّق، لا ضعيف ؛و الضعيف في الاصطلاح غير الموثّق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في المسألة ليس منحصرًا في هاتين الروايتين، بل و قد عرفت الجميع ؛ و على هذا طرح النصوص كلّها و القول بجواز قبول شهادة الأجير جرأة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المتقدّمة الدالّة على جواز شهادة الوالد للولد وبالعكس، يدلّ على جواز قبول شهادة الأجير بالفحوى، بناءً على أنّه لو جاز قبول شهادة الوالد للولد مثلاً مع ما فيه من التهمة، فجواز قبول شهادة الأجير للمستأجر بطريق أولى، لأنّ التهمة فيه ليس مثل التهمة في الوالد مثلاً قطعًا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فيقيّد بتلک النصوص من حيث الفحوى النصوص المتقدّمة الدالّة على عدم جواز قبول شهادة ذي التهمة، و يبقى التعارض بين مفهوم تلک النصوص الدالّة على جواز شهادة الوالد للولد و بين النصوص المذكورة في المسألة الدالّة على </w:t>
      </w:r>
    </w:p>
    <w:p>
      <w:pPr>
        <w:pStyle w:val="BookText"/>
        <w:rPr/>
      </w:pPr>
      <w:r>
        <w:rPr>
          <w:rFonts w:ascii="Amiri" w:hAnsi="Amiri" w:eastAsia="Amiri" w:cs="Amiri"/>
          <w:color w:val="111111"/>
          <w:sz w:val="28"/>
          <w:sz w:val="28"/>
          <w:szCs w:val="28"/>
          <w:rtl w:val="true"/>
          <w:lang w:bidi="ar-SA"/>
        </w:rPr>
        <w:t xml:space="preserve">عدم جواز قبول شهادة الأجير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لكنّک قد عرفت من المسالک و الكفاية </w:t>
      </w:r>
      <w:r>
        <w:rPr>
          <w:rStyle w:val="FootnoteAnchor"/>
          <w:rtl w:val="true"/>
        </w:rPr>
        <w:footnoteReference w:id="1023"/>
      </w:r>
      <w:r>
        <w:rPr>
          <w:rFonts w:ascii="IRNazanin" w:hAnsi="IRNazanin" w:eastAsia="IRNazanin"/>
          <w:color w:val="111111"/>
          <w:sz w:val="28"/>
          <w:sz w:val="28"/>
          <w:szCs w:val="28"/>
          <w:rtl w:val="true"/>
          <w:lang w:bidi="fa-IR"/>
        </w:rPr>
        <w:t xml:space="preserve">أنّ قبول شهادة الأجير ممّا اتّفق عليه المتأخّرون، فيترجّح بذلک تلک النصوص على النصوص في المسألة، فيحكم بقبول الشهادة ؛ على أنّ اتّفاقهم يكفي للفتوى بذلک، فالفتوى القبول، و الأحوط عدمه إن تمكن من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المسالک بعد ما تقدّم منه من جواب الروايتين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حملهما على الكراهة، جمعًا بينهما و بين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Style w:val="FootnoteAnchor"/>
          <w:rtl w:val="true"/>
        </w:rPr>
        <w:footnoteReference w:id="1024"/>
      </w:r>
      <w:r>
        <w:rPr>
          <w:rFonts w:ascii="Amiri" w:hAnsi="Amiri" w:eastAsia="Amiri" w:cs="Amiri"/>
          <w:color w:val="111111"/>
          <w:sz w:val="28"/>
          <w:sz w:val="28"/>
          <w:szCs w:val="28"/>
          <w:rtl w:val="true"/>
          <w:lang w:bidi="ar-SA"/>
        </w:rPr>
        <w:t>شهادة الأجير لصاحبه، و لا بأس</w:t>
      </w:r>
    </w:p>
    <w:p>
      <w:pPr>
        <w:pStyle w:val="BookText"/>
        <w:rPr/>
      </w:pPr>
      <w:r>
        <w:rPr>
          <w:rFonts w:ascii="Amiri" w:hAnsi="Amiri" w:eastAsia="Amiri" w:cs="Amiri"/>
          <w:color w:val="111111"/>
          <w:sz w:val="28"/>
          <w:sz w:val="28"/>
          <w:szCs w:val="28"/>
          <w:rtl w:val="true"/>
          <w:lang w:bidi="ar-SA"/>
        </w:rPr>
        <w:t xml:space="preserve">بشهادته لغيره، و لا بأس به له بعد مفارقته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ما إذا كان هناک تهمة بجلب نفع أو دفع ضرر، كما لو شهد لمن استأجره على قصارة الثوب أو خياطته به و نحو ذلک، فإنّها لا تقبل قطعًا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على ما كان هناک 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عطفٌ 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يمكن حملهما على الكراهة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الحملين واضح، لأنّ النهي في الروايتين في الحمل الثاني باقٍ على حقيقته من الحرمة، بخلافه في الحمل الأوّل، فكان الأولى تقديم الثاني عليه، لأنّ </w:t>
      </w:r>
    </w:p>
    <w:p>
      <w:pPr>
        <w:pStyle w:val="BookText"/>
        <w:rPr/>
      </w:pPr>
      <w:r>
        <w:rPr>
          <w:rFonts w:ascii="Amiri" w:hAnsi="Amiri" w:eastAsia="Amiri" w:cs="Amiri"/>
          <w:color w:val="111111"/>
          <w:sz w:val="28"/>
          <w:sz w:val="28"/>
          <w:szCs w:val="28"/>
          <w:rtl w:val="true"/>
          <w:lang w:bidi="ar-SA"/>
        </w:rPr>
        <w:t xml:space="preserve">الحمل الأوّل مجاز، و الثاني تقييد، و التقييد خيرٌ من المجاز، فكان الأولى بالتقديم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الثاني لا بأس به، و أمّا الأوّل ففيه نظر من وجهين، أمّا الأوّل فلأنّه لا معنى لكراهة الشهادة، لأنّ الشهادة لو كانت مقبولة كانت واجبة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أقيموا الشهادة لله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تَكتُمُوا الشَهَادَة</w:t>
      </w:r>
    </w:p>
    <w:p>
      <w:pPr>
        <w:pStyle w:val="BookText"/>
        <w:rPr/>
      </w:pP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يختلف الوجوب بالنسبة إلى انحصار الشاهد في الأجير و العدم بأنّه في الأوّل عينيّ، و في الثاني كفائيّ ؛ و أيًّا ما كان لا معنى للكراهة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الروايتين على الكراهة إنّما يمتنع إذا كان متعلّق الوجوب و الكراهة شيئًا واحدًا ؛ و ليس الأمر فيما نحن فيه كذلک، لأنّ متعلّق الوجوب هو الشهادة، و لم نقل انّها متعلّقة للكراهة،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قبولها مكروه، فاختلف المتعلّقان، فلا وجه في منع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لو كانت واجبة يلزم أن يكون قبولها أيضًا واجبًا على نحو وجوب الشهادة عينًا أو كفايةً، فلو كان قبولها مكروهًا يلزم المحذور أيضًا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الواجب قد يكون مكروهًا، كالصلاة في الأماكن </w:t>
      </w:r>
    </w:p>
    <w:p>
      <w:pPr>
        <w:pStyle w:val="BookText"/>
        <w:rPr/>
      </w:pPr>
      <w:r>
        <w:rPr>
          <w:rFonts w:ascii="Amiri" w:hAnsi="Amiri" w:eastAsia="Amiri" w:cs="Amiri"/>
          <w:color w:val="111111"/>
          <w:sz w:val="28"/>
          <w:sz w:val="28"/>
          <w:szCs w:val="28"/>
          <w:rtl w:val="true"/>
          <w:lang w:bidi="ar-SA"/>
        </w:rPr>
        <w:t xml:space="preserve">المكروهة كالحمام و غيره ؛ و المقام يقتضي تحقيقًا يستلزم زيادة في الطول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الثاني فلأنّ هذا الحمل غير ممكن هنا ؛ توضيح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الحمل على فرض تسليمه إنّما يتوجّه إذا كان الروايتان بنحوٍ لا تقبل شهادة الأجير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المذكور إنّما يتوجّه إذا كانت الروايتان بطريقة النهي الّذي لا يمنع عن حمله على الكراهة مانع، بناءً على أنّه لمّا كان النهي مستعملاً في التحريم و الكراهة، يحمل على الكراهة حيثما وجدت قرينة على عدم كون المراد معناه الحقيقيّ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ليس الأمر في الروايتين كذلک، لأنّ الرواية الأولى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يجيز شهادة الأجير </w:t>
      </w:r>
      <w:r>
        <w:rPr>
          <w:rFonts w:eastAsia="IRNazanin" w:cs="IRNazanin"/>
          <w:color w:val="111111"/>
          <w:sz w:val="28"/>
          <w:szCs w:val="28"/>
          <w:rtl w:val="true"/>
          <w:lang w:bidi="fa-IR"/>
        </w:rPr>
        <w:t xml:space="preserve">»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نصّ في عدم الجواز، فلايحتمل الكراهة حتّى يحمل عليه، لأنّ مادّة الصيغة يمنع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الرواية الثانية ليس فيها نهي و لا نفي، بل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عمّا يردّ من الشهود،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المريب و الخصم و الشريک و دافع مغرم و الأجير </w:t>
      </w:r>
      <w:r>
        <w:rPr>
          <w:rFonts w:eastAsia="IRNazanin" w:cs="IRNazanin"/>
          <w:color w:val="111111"/>
          <w:sz w:val="28"/>
          <w:szCs w:val="28"/>
          <w:rtl w:val="true"/>
          <w:lang w:bidi="fa-IR"/>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النهي فيها حتّى يحمل على الكراهة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سلّمنا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مانعًا من الحمل على الكراهة، لاستلزامه استعمال اللفظ في المعنى الحقيقيّ و المجازيّ في استعمال واحد، بناءً على أنّ مثل الخصم و الشريک لا يجوز قبول شهادته، كما سنذكر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bookmarkStart w:id="460" w:name="pg14719_186747"/>
    </w:p>
    <w:p>
      <w:pPr>
        <w:pStyle w:val="BookText"/>
        <w:rPr/>
      </w:pPr>
      <w:bookmarkEnd w:id="460"/>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في حمل الروايتين هو ما مرّ من حملهما فيما إذا كان هناک تهمة بجلب النفع أو دفع الضرر </w:t>
      </w:r>
      <w:r>
        <w:rPr>
          <w:rFonts w:eastAsia="IRNazanin" w:cs="IRNazanin"/>
          <w:color w:val="111111"/>
          <w:sz w:val="28"/>
          <w:szCs w:val="28"/>
          <w:rtl w:val="true"/>
          <w:lang w:bidi="fa-IR"/>
        </w:rPr>
        <w:t>.</w:t>
      </w:r>
    </w:p>
    <w:p>
      <w:pPr>
        <w:pStyle w:val="Heading3"/>
        <w:numPr>
          <w:ilvl w:val="2"/>
          <w:numId w:val="1"/>
        </w:numPr>
        <w:rPr/>
      </w:pPr>
      <w:bookmarkStart w:id="461" w:name="__RefHeading___Toc553799_730472459"/>
      <w:bookmarkStart w:id="462" w:name="_Toc178"/>
      <w:bookmarkEnd w:id="461"/>
      <w:r>
        <w:rPr>
          <w:rtl w:val="true"/>
        </w:rPr>
        <w:t>شهادة الصديق لصديقه مقبولة</w:t>
      </w:r>
      <w:bookmarkEnd w:id="462"/>
    </w:p>
    <w:p>
      <w:pPr>
        <w:pStyle w:val="BookText"/>
        <w:rPr/>
      </w:pPr>
      <w:r>
        <w:rPr>
          <w:rFonts w:ascii="IRNazanin" w:hAnsi="IRNazanin" w:eastAsia="IRNazanin"/>
          <w:color w:val="111111"/>
          <w:sz w:val="28"/>
          <w:sz w:val="28"/>
          <w:szCs w:val="28"/>
          <w:rtl w:val="true"/>
          <w:lang w:bidi="fa-IR"/>
        </w:rPr>
        <w:t xml:space="preserve">و من تلک المواضع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الصديق لصديقه، فإنّه صرّح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شهادة الصديق لصديقه مقبولة و إن تأكّدت الصداقة بينهما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لا يخلو إمّا أن لا تكون التهمة بالنسبة إليه صادقة و لو بعد تأكّد الصداقة و المصاحبة، أو تكون ؛ و على الأوّل لا شکّ في جواز قبول شهادته لوجود المقتضي وانتفاء المانع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وجود المقتضي فلعموم الأدلّة الدالّة على قبول الشهادة ؛ و أمّا انتفاء المانع فلأنّ المفروض عدم المانع إلّا التهمة و المقدّر أنّها غير صادقة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النصوص المتقدّمة عدم جواز قبول شهادته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النصوص المشار إليها عدم جواز قبول شهادته، كذا يكون مقتضى الأدلّة الدالّة على 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فما وجه تقديم تلک النصوص على هذه الأدلّة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تقديم تلک النصوص على ما ذكر من الأدلّة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التعارض بينهما تعارض المطلق و المقيّد، لأنّ أدلّة قبول الشهادة دالّة على قبول شهادة العادل مطلقًا، سواء كان متّهمًا أو لا ؛ و النصوص المشار إليها دالّة على أنّ الشاهد المتّهم لاتقبل شهادته ؛ و معلوم أنّ المقيّد مقدّم في العمل و المطلق محمول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التعارض بينهما من تعارض المطلق و المقيّد، بل التعارض بينهما من تعارض العموم من وجهٍ ؛ أمّا خصوص الأدلّة الدالّة على قبول الشهادة فللتصريح فيها بالعادل ؛ و أمّا عمومها فلما مرّ من أنّ العادل أعمّ من أن يكون متّهمًا،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عموم النصوص المشار إليها، فلأنّ المتّهم الّذي قد نهى فيها عن قبول شهادته أعمٌّ من أن يكون عادلاً، أم لا ؛ و أمّا خصوصها فلأجل ورودها في المتّهم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المشار إليها و إن لم يقيّد المتّهم فيها بالعادل ظاهرًا، إلّا أنّ الظاهر أنّ المراد هو المتّهم العادل، لأنّ غير العادل شهادته غير مقبولة، سواء كان متّهمًا أم لا، فيظهر من تعلّق النهي على المتّهم أنّ المراد هو المتّهم العادل، فيكون </w:t>
      </w:r>
    </w:p>
    <w:p>
      <w:pPr>
        <w:pStyle w:val="BookText"/>
        <w:rPr/>
      </w:pPr>
      <w:r>
        <w:rPr>
          <w:rFonts w:ascii="Amiri" w:hAnsi="Amiri" w:eastAsia="Amiri" w:cs="Amiri"/>
          <w:color w:val="111111"/>
          <w:sz w:val="28"/>
          <w:sz w:val="28"/>
          <w:szCs w:val="28"/>
          <w:rtl w:val="true"/>
          <w:lang w:bidi="ar-SA"/>
        </w:rPr>
        <w:t xml:space="preserve">تعارضهما تعارض المطلق و المقيّد، فيجب تقديم المقيّد و حمل المطلق عليه،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تسليم كون التعارض بينهما من تعارض العموم من وجهٍ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عند تعارض العموم من وجهٍ الرجوع إلى الترجيح، و هو فيما نحن فيه مع النصوص المانعة، لأكثريّتها و موافقتها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أنّ الأصل في كلّ شاهدٍ عدمُ 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بالاعتبار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التحقيق ينفعک في كلّ موضعٍ يتحقّق فيه التهمة ؛ و لهذا طوّلت الكلام في ذلک و إن كان الحقّ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الصديق لصديقه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الشهادة، لا لعدم تسليم التحقيق المذكور، بل لأجل أنّ الظاهر اتّفاق أصحابنا على القبول، حيث صرّح كثير منهم بالقبول من غير إشكال و لا نقل خلاف إلّا من العامّة </w:t>
      </w:r>
      <w:r>
        <w:rPr>
          <w:rStyle w:val="FootnoteAnchor"/>
          <w:rtl w:val="true"/>
        </w:rPr>
        <w:footnoteReference w:id="1034"/>
      </w:r>
      <w:r>
        <w:rPr>
          <w:rFonts w:ascii="Amiri" w:hAnsi="Amiri" w:eastAsia="Amiri" w:cs="Amiri"/>
          <w:color w:val="111111"/>
          <w:sz w:val="28"/>
          <w:sz w:val="28"/>
          <w:szCs w:val="28"/>
          <w:rtl w:val="true"/>
          <w:lang w:bidi="ar-SA"/>
        </w:rPr>
        <w:t xml:space="preserve">، مع أنّ في الكفاية صرّح بنفي الخلاف حيث قال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تقبل </w:t>
      </w:r>
      <w:r>
        <w:rPr>
          <w:rStyle w:val="FootnoteAnchor"/>
          <w:rtl w:val="true"/>
        </w:rPr>
        <w:footnoteReference w:id="1035"/>
      </w:r>
      <w:r>
        <w:rPr>
          <w:rFonts w:ascii="IRNazanin" w:hAnsi="IRNazanin" w:eastAsia="IRNazanin"/>
          <w:color w:val="111111"/>
          <w:sz w:val="28"/>
          <w:sz w:val="28"/>
          <w:szCs w:val="28"/>
          <w:rtl w:val="true"/>
          <w:lang w:bidi="fa-IR"/>
        </w:rPr>
        <w:t xml:space="preserve">شهادة الصديق و الضيف بلا خلاف في ذلک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463" w:name="pg14719_186750"/>
    </w:p>
    <w:p>
      <w:pPr>
        <w:pStyle w:val="Heading3"/>
        <w:numPr>
          <w:ilvl w:val="2"/>
          <w:numId w:val="1"/>
        </w:numPr>
        <w:rPr/>
      </w:pPr>
      <w:bookmarkStart w:id="464" w:name="__RefHeading___Toc553801_730472459"/>
      <w:bookmarkStart w:id="465" w:name="_Toc179"/>
      <w:bookmarkEnd w:id="463"/>
      <w:bookmarkEnd w:id="464"/>
      <w:r>
        <w:rPr>
          <w:rtl w:val="true"/>
        </w:rPr>
        <w:t>شهادة العبد لمولاه مقبولة</w:t>
      </w:r>
      <w:bookmarkEnd w:id="465"/>
    </w:p>
    <w:p>
      <w:pPr>
        <w:pStyle w:val="BookText"/>
        <w:rPr/>
      </w:pPr>
      <w:r>
        <w:rPr>
          <w:rFonts w:ascii="Amiri" w:hAnsi="Amiri" w:eastAsia="Amiri" w:cs="Amiri"/>
          <w:color w:val="111111"/>
          <w:sz w:val="28"/>
          <w:sz w:val="28"/>
          <w:szCs w:val="28"/>
          <w:rtl w:val="true"/>
          <w:lang w:bidi="ar-SA"/>
        </w:rPr>
        <w:t xml:space="preserve">و من المواضع المذكورة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العبد لمولاه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يدلّ على قبول ذلک الإجماع المدّعى في الانتصار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اتّفق عليه الإماميّة إلّا من شذّ من جملتهم </w:t>
      </w:r>
      <w:r>
        <w:rPr>
          <w:rStyle w:val="FootnoteAnchor"/>
          <w:rtl w:val="true"/>
        </w:rPr>
        <w:footnoteReference w:id="1037"/>
      </w:r>
      <w:r>
        <w:rPr>
          <w:rFonts w:ascii="Amiri" w:hAnsi="Amiri" w:eastAsia="Amiri" w:cs="Amiri"/>
          <w:color w:val="111111"/>
          <w:sz w:val="28"/>
          <w:sz w:val="28"/>
          <w:szCs w:val="28"/>
          <w:rtl w:val="true"/>
          <w:lang w:bidi="ar-SA"/>
        </w:rPr>
        <w:t xml:space="preserve">القول بأنّ شهادة العبيد لساداتهم إذا كان العبيد عدولاً مقبولة، و تقبل أيضًا على غيرهم ولهم، و لا تقبل على ساداتهم و إن كانوا عدولاً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دليلنا على صحّة ما ذهبنا إليه إجماع الطائفة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ادّعى الإجماع على ذلک في الخلاف أيضًا على ما حكي عنه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يدلّ عليه أيضًا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الحجّاج المتقدّمة في كتاب القضاء الواردة في درع طلحة، حيث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بعد ردّ شريح شهادة قنبر لكونه مملوكًا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بشهادة المملوک إذا كان عدلاً </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 بعد أن 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نفسه</w:t>
      </w:r>
      <w:r>
        <w:rPr>
          <w:rFonts w:eastAsia="Amiri" w:cs="Amiri" w:ascii="Amiri" w:hAnsi="Amiri"/>
          <w:color w:val="111111"/>
          <w:sz w:val="28"/>
          <w:szCs w:val="28"/>
          <w:rtl w:val="true"/>
          <w:lang w:bidi="ar-SA"/>
        </w:rPr>
        <w:t xml:space="preserve">. </w:t>
      </w:r>
      <w:bookmarkStart w:id="466" w:name="pg14719_186751"/>
    </w:p>
    <w:p>
      <w:pPr>
        <w:pStyle w:val="BookText"/>
        <w:rPr/>
      </w:pPr>
      <w:bookmarkEnd w:id="466"/>
      <w:r>
        <w:rPr>
          <w:rFonts w:ascii="Amiri" w:hAnsi="Amiri" w:eastAsia="Amiri" w:cs="Amiri"/>
          <w:color w:val="111111"/>
          <w:sz w:val="28"/>
          <w:sz w:val="28"/>
          <w:szCs w:val="28"/>
          <w:rtl w:val="true"/>
          <w:lang w:bidi="ar-SA"/>
        </w:rPr>
        <w:t xml:space="preserve">و هو صريحٌ في قبول شهادة العبد للمولى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الآتية ؛ و بما ذكر من الإجماع و النصّ يقيّد إطلاق النصوص المتقدّمة الدالّة على عدم جواز قبول شهادة ذي التهمة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53803_730472459"/>
      <w:bookmarkStart w:id="468" w:name="_Toc180"/>
      <w:bookmarkEnd w:id="467"/>
      <w:r>
        <w:rPr>
          <w:rtl w:val="true"/>
        </w:rPr>
        <w:t>ذكر الخلاف في حكم شهادة العبد لمولاه</w:t>
      </w:r>
      <w:bookmarkEnd w:id="468"/>
    </w:p>
    <w:p>
      <w:pPr>
        <w:pStyle w:val="Heading4"/>
        <w:numPr>
          <w:ilvl w:val="3"/>
          <w:numId w:val="1"/>
        </w:numPr>
        <w:rPr/>
      </w:pPr>
      <w:bookmarkStart w:id="469" w:name="__RefHeading___Toc553805_730472459"/>
      <w:bookmarkStart w:id="470" w:name="_Toc181"/>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لمّا ذكرنا حكم شهادة العبد لمولاه، فلا بأس بإرخاء عنان القلم في بيان حكم شهادته مطلقًا،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بين الأصحاب في حكم شهادة العبد على أقوال </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553807_730472459"/>
      <w:bookmarkStart w:id="472" w:name="_Toc182"/>
      <w:bookmarkEnd w:id="471"/>
      <w:r>
        <w:rPr>
          <w:rtl w:val="true"/>
        </w:rPr>
        <w:t>القول الأوّل</w:t>
      </w:r>
      <w:bookmarkEnd w:id="472"/>
    </w:p>
    <w:p>
      <w:pPr>
        <w:pStyle w:val="Heading5"/>
        <w:numPr>
          <w:ilvl w:val="4"/>
          <w:numId w:val="1"/>
        </w:numPr>
        <w:rPr/>
      </w:pPr>
      <w:bookmarkStart w:id="473" w:name="__RefHeading___Toc553809_730472459"/>
      <w:bookmarkStart w:id="474" w:name="_Toc183"/>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مقبولة مطلقًا، إلّا على المولى،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مقبولة بالنسبة إلى المولى إذا كانت له، لا عليه ؛ و أمّا بالنسبة إلى غير مولاه فتقبل مطلقًا له، أو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قد اختاره السيّد و المحقّق و العلّامة، و عن الشيخين و سلّار وابن البرّاج و بني زهرة و حمزة و إدريس و أكثر المتأخّرين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الشرائع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475" w:name="pg14719_186752"/>
    </w:p>
    <w:p>
      <w:pPr>
        <w:pStyle w:val="BookText"/>
        <w:rPr/>
      </w:pPr>
      <w:bookmarkEnd w:id="475"/>
      <w:r>
        <w:rPr>
          <w:rFonts w:ascii="Amiri" w:hAnsi="Amiri" w:eastAsia="Amiri" w:cs="Amiri"/>
          <w:color w:val="111111"/>
          <w:sz w:val="28"/>
          <w:sz w:val="28"/>
          <w:szCs w:val="28"/>
          <w:rtl w:val="true"/>
          <w:lang w:bidi="ar-SA"/>
        </w:rPr>
        <w:t xml:space="preserve">بل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و قد مرّت عبارته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الإجماع أيضًا عن الغنية و السرائر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كنز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شهادة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أشهرها و أقواها القبول إلّا على سيّده خاصّة، فتقبل لسيّده و لغيره وعلى غيره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الّتي ذكرها لم نجدها في كتب الأخبار، و لا ذكرها أحدٌ من الأصحاب في كتاب الاستدلال </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53811_730472459"/>
      <w:bookmarkStart w:id="477" w:name="_Toc184"/>
      <w:bookmarkEnd w:id="476"/>
      <w:r>
        <w:rPr>
          <w:rtl w:val="true"/>
        </w:rPr>
        <w:t xml:space="preserve">رأي المصنّف </w:t>
      </w:r>
      <w:r>
        <w:rPr>
          <w:rtl w:val="true"/>
        </w:rPr>
        <w:t>(</w:t>
      </w:r>
      <w:r>
        <w:rPr>
          <w:rtl w:val="true"/>
        </w:rPr>
        <w:t>قدس سره</w:t>
      </w:r>
      <w:r>
        <w:rPr>
          <w:rtl w:val="true"/>
        </w:rPr>
        <w:t xml:space="preserve">) </w:t>
      </w:r>
      <w:r>
        <w:rPr>
          <w:rtl w:val="true"/>
        </w:rPr>
        <w:t>في المسألة</w:t>
      </w:r>
      <w:bookmarkEnd w:id="47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هو الأقوى، أمّا قبولها مطلقًا إذا لم يكن على المولى فللإجماعات المنقولة ؛ و عن الخلاف </w:t>
      </w:r>
      <w:r>
        <w:rPr>
          <w:rStyle w:val="FootnoteAnchor"/>
          <w:rtl w:val="true"/>
        </w:rPr>
        <w:footnoteReference w:id="1046"/>
      </w:r>
      <w:r>
        <w:rPr>
          <w:rFonts w:ascii="IRNazanin" w:hAnsi="IRNazanin" w:eastAsia="IRNazanin"/>
          <w:color w:val="111111"/>
          <w:sz w:val="28"/>
          <w:sz w:val="28"/>
          <w:szCs w:val="28"/>
          <w:rtl w:val="true"/>
          <w:lang w:bidi="fa-IR"/>
        </w:rPr>
        <w:t xml:space="preserve">الإجماع على ذلک أيضًا ؛ و النصوص المطلقة الّتي سيجيء إلى كثيرٍ منها الإشارة بإعانة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صحيحة عبد الرّحمن بن الحجّاج الواردة في درع طلحة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478" w:name="pg14719_186753"/>
    </w:p>
    <w:p>
      <w:pPr>
        <w:pStyle w:val="BookText"/>
        <w:rPr/>
      </w:pPr>
      <w:bookmarkEnd w:id="478"/>
      <w:r>
        <w:rPr>
          <w:rFonts w:ascii="Amiri" w:hAnsi="Amiri" w:eastAsia="Amiri" w:cs="Amiri"/>
          <w:color w:val="111111"/>
          <w:sz w:val="28"/>
          <w:sz w:val="28"/>
          <w:szCs w:val="28"/>
          <w:rtl w:val="true"/>
          <w:lang w:bidi="ar-SA"/>
        </w:rPr>
        <w:t xml:space="preserve">و أمّا عدم قبولها إذا كانت على المولى، فللإجماعات المتقدّمة في الانتصار وعن السرائر و الغنية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لذلک بأنّ تجويز شهادته على السيّد يستلزم التكذيب للسيّد، و هو عقوقٌ في حقّه، فيكون كشهادة الوَلَد على الوالد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يدلّ على ترجيح هذا القول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بين النصوص المجوّزة لشهادته على الإطلاق و المانعة عنها كذلک بحمل النصوص المجوّزة إذا لم تكن شهادته على المولى و المانعة إذا كانت عليه ؛ و الشاهد الإجماعات المنقولة </w:t>
      </w:r>
      <w:r>
        <w:rPr>
          <w:rFonts w:eastAsia="IRNazanin" w:cs="IRNazanin"/>
          <w:color w:val="111111"/>
          <w:sz w:val="28"/>
          <w:szCs w:val="28"/>
          <w:rtl w:val="true"/>
          <w:lang w:bidi="fa-IR"/>
        </w:rPr>
        <w:t>.</w:t>
      </w:r>
    </w:p>
    <w:p>
      <w:pPr>
        <w:pStyle w:val="Heading4"/>
        <w:numPr>
          <w:ilvl w:val="3"/>
          <w:numId w:val="1"/>
        </w:numPr>
        <w:rPr/>
      </w:pPr>
      <w:bookmarkStart w:id="479" w:name="__RefHeading___Toc553813_730472459"/>
      <w:bookmarkStart w:id="480" w:name="_Toc185"/>
      <w:bookmarkEnd w:id="479"/>
      <w:r>
        <w:rPr>
          <w:rtl w:val="true"/>
        </w:rPr>
        <w:t>القول الثاني</w:t>
      </w:r>
      <w:bookmarkEnd w:id="480"/>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قبولها مطلقًا حتّى على المولى، نقله المحقّق في الشرائع،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مطلقًا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المسالک صرّح أنّه اختيار ابن عمّه نجيب الدين يحيى بن سعيد في جامعه </w:t>
      </w:r>
      <w:r>
        <w:rPr>
          <w:rStyle w:val="FootnoteAnchor"/>
          <w:rtl w:val="true"/>
        </w:rPr>
        <w:footnoteReference w:id="1051"/>
      </w:r>
      <w:r>
        <w:rPr>
          <w:rFonts w:ascii="Amiri" w:hAnsi="Amiri" w:eastAsia="Amiri" w:cs="Amiri"/>
          <w:color w:val="111111"/>
          <w:sz w:val="28"/>
          <w:sz w:val="28"/>
          <w:szCs w:val="28"/>
          <w:rtl w:val="true"/>
          <w:lang w:bidi="ar-SA"/>
        </w:rPr>
        <w:t xml:space="preserve">، و هو الّذي اختاره </w:t>
      </w:r>
      <w:r>
        <w:rPr>
          <w:rStyle w:val="FootnoteAnchor"/>
          <w:rtl w:val="true"/>
        </w:rPr>
        <w:footnoteReference w:id="1052"/>
      </w:r>
      <w:r>
        <w:rPr>
          <w:rFonts w:ascii="IRNazanin" w:hAnsi="IRNazanin" w:eastAsia="IRNazanin"/>
          <w:color w:val="111111"/>
          <w:sz w:val="28"/>
          <w:sz w:val="28"/>
          <w:szCs w:val="28"/>
          <w:rtl w:val="true"/>
          <w:lang w:bidi="fa-IR"/>
        </w:rPr>
        <w:t xml:space="preserve">، و تبعه على ذلک صاحب المفاتيح و الكفاية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مستندهم في ذلک 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أشهدوا ذوي عدلٍ منكم </w:t>
      </w:r>
      <w:r>
        <w:rPr>
          <w:rFonts w:eastAsia="IRNazanin" w:cs="IRNazanin"/>
          <w:color w:val="111111"/>
          <w:sz w:val="28"/>
          <w:szCs w:val="28"/>
          <w:rtl w:val="true"/>
          <w:lang w:bidi="fa-IR"/>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 و مثلهما </w:t>
      </w:r>
      <w:r>
        <w:rPr>
          <w:rStyle w:val="FootnoteAnchor"/>
          <w:rtl w:val="true"/>
        </w:rPr>
        <w:footnoteReference w:id="1056"/>
      </w:r>
      <w:r>
        <w:rPr>
          <w:rFonts w:ascii="IRNazanin" w:hAnsi="IRNazanin" w:eastAsia="IRNazanin"/>
          <w:color w:val="111111"/>
          <w:sz w:val="28"/>
          <w:sz w:val="28"/>
          <w:szCs w:val="28"/>
          <w:rtl w:val="true"/>
          <w:lang w:bidi="fa-IR"/>
        </w:rPr>
        <w:t xml:space="preserve">، فإنّها تتناول المملوک كما تتناول الحرّ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خصوص النصوص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العبد المسلم على الحرّ المسلم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و إن كانت أخصّ من المدّعى، لأنّ المدّعى قبول شهادة العبد مطلقًا، سواء كانت على الحرّ أو العبد ؛ و الحديث دلّ على جواز قبولها على الحرّ، لكنّه يدلّ على جواز قبول الشهادة على العبد بالفحوى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أو الحسن عن عبد 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بشهادة المملوک إذا كان عدلاً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هذا أخذ من الصحيحة المتقدّمة الواردة في درع طلحة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المملوک،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كان عدلاً فهو جائز الشهادة، إنّ أوّل مَن ردّ شهادة المملوک عمرُ بن الخطّاب، وذلک أنّه تقدّم إليه مملوکٌ في شهادة،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أقمتُ الشهادة تخوّفتُ على نفسي، و إن كَتمتُها أثمتُ بربّي،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شهادَتک، أمَا إنّا لا نجيز شهادة مملوکٍ بعدک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خوفه من مولاه أن يصيبه منه ضررٌ، أو من المدّعى عليه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لأَمَا ؛ و كان اللازم إدخال الفاء عليه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فلانجيز، لكن من شدّة فطانة قائله لا يبعد وقوع مثل ذلک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بُرَيْد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المملوک تجوز شهادته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w:t>
      </w:r>
      <w:r>
        <w:rPr>
          <w:rStyle w:val="FootnoteAnchor"/>
          <w:rtl w:val="true"/>
        </w:rPr>
        <w:footnoteReference w:id="1062"/>
      </w:r>
      <w:r>
        <w:rPr>
          <w:rFonts w:ascii="Amiri" w:hAnsi="Amiri" w:eastAsia="Amiri" w:cs="Amiri"/>
          <w:color w:val="111111"/>
          <w:sz w:val="28"/>
          <w:sz w:val="28"/>
          <w:szCs w:val="28"/>
          <w:rtl w:val="true"/>
          <w:lang w:bidi="ar-SA"/>
        </w:rPr>
        <w:t xml:space="preserve">إنّ أوّل مَن ردّ شهادة المملوک لفلان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به عُمَر، بقرينة ما مرّ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المذكورة كلّها دالّة على جواز شهادة المملوک بعنوان الإطلاق، سواء كانت للمولى أو عليه مثلاً ؛ و تقييدها بما إذا </w:t>
      </w:r>
    </w:p>
    <w:p>
      <w:pPr>
        <w:pStyle w:val="BookText"/>
        <w:rPr/>
      </w:pPr>
      <w:r>
        <w:rPr>
          <w:rFonts w:ascii="Amiri" w:hAnsi="Amiri" w:eastAsia="Amiri" w:cs="Amiri"/>
          <w:color w:val="111111"/>
          <w:sz w:val="28"/>
          <w:sz w:val="28"/>
          <w:szCs w:val="28"/>
          <w:rtl w:val="true"/>
          <w:lang w:bidi="ar-SA"/>
        </w:rPr>
        <w:t xml:space="preserve">لم تكن عليه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مرارًا أنّ شرط انصراف الإطلاق إلى جميع الأفراد شيئان،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غلبة بعضها و ندرة الآخر ؛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الإطلاق في مقام بيانِ حكمٍ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إن سلّمنا تحقّق الشرط الأوّل، نمنع تحقّق الثاني، لأنّ الظاهر منها أنّها واردةٌ لإثبات جواز شهادة المملوک في الجملة ردًّا على المانع عنها مطلقًا، فيصير المطلق بالنسبة إلى الفرد المشكوک فيه مجملاً، فيجب الرجوع فيه إلى حكم الأصل، و هو في المقام عدم القبول، كما عرفت مكرّرًا أنّ الأصل في كلّ شهادة عدم القبول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فرض تسليم تحقّق الشرطين لانصراف الإطلاق إلى جميع الأفراد 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لا ينفع بعد وجود المقيّد، و هو الإجماع المنقول في الانتصار و عن الغنية و السرائر </w:t>
      </w:r>
      <w:r>
        <w:rPr>
          <w:rStyle w:val="FootnoteAnchor"/>
          <w:rtl w:val="true"/>
        </w:rPr>
        <w:footnoteReference w:id="1064"/>
      </w:r>
      <w:r>
        <w:rPr>
          <w:rFonts w:ascii="Amiri" w:hAnsi="Amiri" w:eastAsia="Amiri" w:cs="Amiri"/>
          <w:color w:val="111111"/>
          <w:sz w:val="28"/>
          <w:sz w:val="28"/>
          <w:szCs w:val="28"/>
          <w:rtl w:val="true"/>
          <w:lang w:bidi="ar-SA"/>
        </w:rPr>
        <w:t xml:space="preserve">المعتضد بالشهرة العظيمة، سيّما بعد ندرة القائل بقبول شهادته على الإطلاق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ترى في الشرائع ذكره بعنوان القيل </w:t>
      </w:r>
      <w:r>
        <w:rPr>
          <w:rStyle w:val="FootnoteAnchor"/>
          <w:rtl w:val="true"/>
        </w:rPr>
        <w:footnoteReference w:id="1065"/>
      </w:r>
      <w:r>
        <w:rPr>
          <w:rFonts w:ascii="Amiri" w:hAnsi="Amiri" w:eastAsia="Amiri" w:cs="Amiri"/>
          <w:color w:val="111111"/>
          <w:sz w:val="28"/>
          <w:sz w:val="28"/>
          <w:szCs w:val="28"/>
          <w:rtl w:val="true"/>
          <w:lang w:bidi="ar-SA"/>
        </w:rPr>
        <w:t xml:space="preserve">، و القائل لم يظهر قبل شيخنا الشهيد الثاني إلّا مَن ذكره، و هو الشيخ نجيب الدين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481" w:name="pg14719_186757"/>
    </w:p>
    <w:p>
      <w:pPr>
        <w:pStyle w:val="Heading4"/>
        <w:numPr>
          <w:ilvl w:val="3"/>
          <w:numId w:val="1"/>
        </w:numPr>
        <w:rPr/>
      </w:pPr>
      <w:bookmarkStart w:id="482" w:name="__RefHeading___Toc553815_730472459"/>
      <w:bookmarkStart w:id="483" w:name="_Toc186"/>
      <w:bookmarkEnd w:id="481"/>
      <w:bookmarkEnd w:id="482"/>
      <w:r>
        <w:rPr>
          <w:rtl w:val="true"/>
        </w:rPr>
        <w:t>القول الثالث</w:t>
      </w:r>
      <w:bookmarkEnd w:id="483"/>
    </w:p>
    <w:p>
      <w:pPr>
        <w:pStyle w:val="BookText"/>
        <w:rPr/>
      </w:pPr>
      <w:r>
        <w:rPr>
          <w:rFonts w:ascii="IRNazanin" w:hAnsi="IRNazanin" w:eastAsia="IRNazanin"/>
          <w:color w:val="111111"/>
          <w:sz w:val="28"/>
          <w:sz w:val="28"/>
          <w:szCs w:val="28"/>
          <w:rtl w:val="true"/>
          <w:lang w:bidi="fa-IR"/>
        </w:rPr>
        <w:t xml:space="preserve">و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شهادة المملوک مطلقًا، لا للمولى و لا للغير و لا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المحكيّ عن ابن أبي عقيل </w:t>
      </w:r>
      <w:r>
        <w:rPr>
          <w:rStyle w:val="FootnoteAnchor"/>
          <w:rtl w:val="true"/>
        </w:rPr>
        <w:footnoteReference w:id="1067"/>
      </w:r>
      <w:r>
        <w:rPr>
          <w:rFonts w:ascii="Amiri" w:hAnsi="Amiri" w:eastAsia="Amiri" w:cs="Amiri"/>
          <w:color w:val="111111"/>
          <w:sz w:val="28"/>
          <w:sz w:val="28"/>
          <w:szCs w:val="28"/>
          <w:rtl w:val="true"/>
          <w:lang w:bidi="ar-SA"/>
        </w:rPr>
        <w:t xml:space="preserve">من أصحابنا، و أكثر العامّة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مستنده في ذلک جملةٌ من النصوص الدالّة على عدم قبول شهادته بعنوان الإطلاق،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ولد الزنا،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عبد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المملوک من أهل القبلة على أهل الكتاب،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المملوک لا تجوز شهادته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يردّ من الشهود،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المريب، والخصم، و الشريک، و دافع مَغْرَم، و الأجير، و العبد، و التابع، و المتّهم، كلّ هؤلاء تُردُّ شهاداتهم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النصوص معارضة بالنصوص المتقدّمة الدالّة على جواز </w:t>
      </w:r>
    </w:p>
    <w:p>
      <w:pPr>
        <w:pStyle w:val="BookText"/>
        <w:rPr/>
      </w:pPr>
      <w:r>
        <w:rPr>
          <w:rFonts w:ascii="IRNazanin" w:hAnsi="IRNazanin" w:eastAsia="IRNazanin"/>
          <w:color w:val="111111"/>
          <w:sz w:val="28"/>
          <w:sz w:val="28"/>
          <w:szCs w:val="28"/>
          <w:rtl w:val="true"/>
          <w:lang w:bidi="fa-IR"/>
        </w:rPr>
        <w:t xml:space="preserve">شهادته، فيجب الرجوع إلى الترجيح، و هو مع تلک النصوص من وجوهٍ كثيرة، لأنّ هذه النصوص موافقةٌ لمذهب العامّة، لما عرفت الحكاية عن أكثرهم عدم قبول شهادتهم </w:t>
      </w:r>
      <w:r>
        <w:rPr>
          <w:rStyle w:val="FootnoteAnchor"/>
          <w:rtl w:val="true"/>
        </w:rPr>
        <w:footnoteReference w:id="1072"/>
      </w:r>
      <w:r>
        <w:rPr>
          <w:rFonts w:ascii="Amiri" w:hAnsi="Amiri" w:eastAsia="Amiri" w:cs="Amiri"/>
          <w:color w:val="111111"/>
          <w:sz w:val="28"/>
          <w:sz w:val="28"/>
          <w:szCs w:val="28"/>
          <w:rtl w:val="true"/>
          <w:lang w:bidi="ar-SA"/>
        </w:rPr>
        <w:t xml:space="preserve">، بل في كنز العرفان </w:t>
      </w:r>
      <w:r>
        <w:rPr>
          <w:rStyle w:val="FootnoteAnchor"/>
          <w:rtl w:val="true"/>
        </w:rPr>
        <w:footnoteReference w:id="1073"/>
      </w:r>
      <w:r>
        <w:rPr>
          <w:rFonts w:ascii="IRNazanin" w:hAnsi="IRNazanin" w:eastAsia="IRNazanin"/>
          <w:color w:val="111111"/>
          <w:sz w:val="28"/>
          <w:sz w:val="28"/>
          <w:szCs w:val="28"/>
          <w:rtl w:val="true"/>
          <w:lang w:bidi="fa-IR"/>
        </w:rPr>
        <w:t xml:space="preserve">نسبة ذلک إلى فقهائهم الأربعة ؛ و النصوص المتقدّمة مخالفةٌ لهم ؛ و لا شکّ أنّ الأخذ بما خالفهم أولى، لأنّ الرشد في خلافهم </w:t>
      </w:r>
      <w:r>
        <w:rPr>
          <w:rStyle w:val="FootnoteAnchor"/>
          <w:rtl w:val="true"/>
        </w:rPr>
        <w:footnoteReference w:id="1074"/>
      </w:r>
      <w:r>
        <w:rPr>
          <w:rFonts w:ascii="IRNazanin" w:hAnsi="IRNazanin" w:eastAsia="IRNazanin"/>
          <w:color w:val="111111"/>
          <w:sz w:val="28"/>
          <w:sz w:val="28"/>
          <w:szCs w:val="28"/>
          <w:rtl w:val="true"/>
          <w:lang w:bidi="fa-IR"/>
        </w:rPr>
        <w:t xml:space="preserve">، سيّما بعد ما عرفت في اثنين من تلک النصوص بعد الحكم بقبول شهادته من نسبة الردّ و عدم القبول إلى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تلک النصوص موافقةٌ بعمل أكثر الأصحاب و المشهور بينهم، بل الإجماع كما عرفت من جماعةٍ منهم، بخلاف هذه النصوص ؛ و لا شکّ أنّ الأخذ بما وافق المشهور و ترک خلافه أولى من العكس، سيّما بعد اعتضاده بما عرفت من الإجماعات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تلک النصوص موافقةٌ بظواهر الكتاب بخلاف هذه، فإنّها مخالفةٌ لها ؛ ومعلوم أنّ الأخذ بما وافق الكتاب أولى من الأخذ بما 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تلک النصوص أكثر عددًا من هذه النصوص ؛ و الكثرة مرجّحة لمتعلّقها على الأقلّ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تلک النصوص أوضح من حيث الدلالة على القبول، بخلاف هذه النصوص، فإنّ من جملتها صحيحة محمّد بن مسلم و صدرها ينافي ذيلها، حيث </w:t>
      </w:r>
    </w:p>
    <w:p>
      <w:pPr>
        <w:pStyle w:val="BookText"/>
        <w:rPr/>
      </w:pPr>
      <w:r>
        <w:rPr>
          <w:rFonts w:ascii="IRNazanin" w:hAnsi="IRNazanin" w:eastAsia="IRNazanin"/>
          <w:color w:val="111111"/>
          <w:sz w:val="28"/>
          <w:sz w:val="28"/>
          <w:szCs w:val="28"/>
          <w:rtl w:val="true"/>
          <w:lang w:bidi="fa-IR"/>
        </w:rPr>
        <w:t xml:space="preserve">انّ صدرها دالّ على قبول شهادة المملوک على أهل الكتاب، و هو ينافي عدم قبول شهادته مطلقًا، كما أنّ هذا القول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ضعف هذا القول و ترجيح النصوص المتقدّمة على هذه النصوص، فلابدّ من حملها إمّا على التقيّة، كما فعله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Style w:val="FootnoteAnchor"/>
          <w:rtl w:val="true"/>
        </w:rPr>
        <w:footnoteReference w:id="1075"/>
      </w:r>
      <w:r>
        <w:rPr>
          <w:rFonts w:ascii="Amiri" w:hAnsi="Amiri" w:eastAsia="Amiri" w:cs="Amiri"/>
          <w:color w:val="111111"/>
          <w:sz w:val="28"/>
          <w:sz w:val="28"/>
          <w:szCs w:val="28"/>
          <w:rtl w:val="true"/>
          <w:lang w:bidi="ar-SA"/>
        </w:rPr>
        <w:t xml:space="preserve">؛ أو على ما إذا صدر تحمّل الشهادة و أدائها من غير إذن مولاه، كما حمله بعضهم </w:t>
      </w:r>
      <w:r>
        <w:rPr>
          <w:rStyle w:val="FootnoteAnchor"/>
          <w:rtl w:val="true"/>
        </w:rPr>
        <w:footnoteReference w:id="1076"/>
      </w:r>
      <w:r>
        <w:rPr>
          <w:rFonts w:ascii="Amiri" w:hAnsi="Amiri" w:eastAsia="Amiri" w:cs="Amiri"/>
          <w:color w:val="111111"/>
          <w:sz w:val="28"/>
          <w:sz w:val="28"/>
          <w:szCs w:val="28"/>
          <w:rtl w:val="true"/>
          <w:lang w:bidi="ar-SA"/>
        </w:rPr>
        <w:t xml:space="preserve">، فأيّده بما 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w:t>
      </w:r>
      <w:r>
        <w:rPr>
          <w:rStyle w:val="FootnoteAnchor"/>
          <w:rtl w:val="true"/>
        </w:rPr>
        <w:footnoteReference w:id="107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يذاكرنا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أحراركم دون عبيدكم، فإنّ الله قد شغل العبيد بخدمة مواليهم عن تحمّل الشهادات و عن أدائها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على ما ذكرناه سابقًا حيث أزلنا التعارض بينهما بحمل النصوص المانعة فيما إذا كانت الشهادة على المولى، و النصوص المجوّزة فيما إذا لم تكن كذلک ؛ وشاهد هذا الجمع ما عرفت من الإجماعات، فارتفع الإشكال بتوفيق الله المتعال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أورده شيخنا الشهيد في المسالک ردًّا على هذا الجمع بعد جعله مستندًا </w:t>
      </w:r>
    </w:p>
    <w:p>
      <w:pPr>
        <w:pStyle w:val="BookText"/>
        <w:rPr/>
      </w:pPr>
      <w:r>
        <w:rPr>
          <w:rFonts w:ascii="Amiri" w:hAnsi="Amiri" w:eastAsia="Amiri" w:cs="Amiri"/>
          <w:color w:val="111111"/>
          <w:sz w:val="28"/>
          <w:sz w:val="28"/>
          <w:szCs w:val="28"/>
          <w:rtl w:val="true"/>
          <w:lang w:bidi="ar-SA"/>
        </w:rPr>
        <w:t xml:space="preserve">للقول الأوّل المختار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فإنّ </w:t>
      </w:r>
      <w:r>
        <w:rPr>
          <w:rStyle w:val="FootnoteAnchor"/>
          <w:rtl w:val="true"/>
        </w:rPr>
        <w:footnoteReference w:id="1080"/>
      </w:r>
      <w:r>
        <w:rPr>
          <w:rFonts w:ascii="IRNazanin" w:hAnsi="IRNazanin" w:eastAsia="IRNazanin"/>
          <w:color w:val="111111"/>
          <w:sz w:val="28"/>
          <w:sz w:val="28"/>
          <w:szCs w:val="28"/>
          <w:rtl w:val="true"/>
          <w:lang w:bidi="fa-IR"/>
        </w:rPr>
        <w:t xml:space="preserve">حمل أخبار المنع على ذلک غير متعيّن، لما ذكرناه سابقًا، و لما سيأتي من الأخبار الدالّة على المنع من شهادته على غيره من الأحرار، فيمكن حملها عليه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فجوابه قد ظهر ممّا قلناه بعنوان الإجمال و إن ارتضاه بعض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أردت توضيح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بين النصوص المتعارضة المتكافئة بحمل البعض على شيء و الآخر على الآخر لم يكن حجّة إلّا إذا كان هناک شاهد و دلالة من الكتاب أو الإجماع أو السنّة، إذ لم يقم لنا دليلٌ على حجّيّة ذلک مطلقًا و لو من غير شاهد و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جمعنا بين النصوص المجوّزة و المانعة بحمل الأولى على ما إذا لم تكن شهادة المملوک على المولى، و الثانية على ما كانت كذلک، بقرينة ما عرفت من الإجماعات المنقولة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لأنّا لمّا نظرنا إلى الإجماعات المنقولة حصل لنا الظنّ بأنّ مدلولها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حصل لنا الظنّ بأنّ المراد من النصوص المجوّزة و المانعة ما ذكرناه، فحملناها عليه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وجدنا بعد النظر في المسألة دليلها على ثلاثة أنواع،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جواز قبول شهادة المملوک بعنوان الإطلاق،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على المولى مثلاً، أم لا ؛ 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جواز ذلک كذلک ؛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جواز قبول شهادته في موضعٍ مثلاً، و على عدم جوازه في موضعٍ آخر ؛ فيكون هذا القسم مقيّدًا و القسمان الأوّلان مطلقين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المقيّدَ مقدّمٌ في مقام العمل و المطلقُ محمولٌ عليه، فحملنا النوع الأوّل و الثاني من الدليل على النوع الثالث حملاً للمطلق على المقيّد، فصار الجمع بينهما ما مرّ ؛ و لهذا صار المشهور في المسألة عدم جواز قبول شهادة العبد إذا كانت على المولى، و جواز قبولها إذا لم تكن عليه، سواء كانت له، أو لغيره، أو على غيره ؛ و كان مبنى عملهم على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ذكره في المسالک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حمل أخبار المنع على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الشهادة على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متعيّن، لما ذكرناه سابقًا، و لما سيأتي من الأخبار الدالّة على المنع من شهادته على غيره من الأحرار، فيمكن حملها عليه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لأنّ الجمع بين النصوص إنّما هو على ما دلّ عليه الشاهد، وقد عرفت أنّ مدلول الشاهد بالنسبة إلى أخبار المنع هو ما مرّ من عدم قبول الشهادة إذا كانت على المولى، فتعيّن حملها عليه،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أخبار المنع على ذلک غير متعيّن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ذكرناه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أوّلاً التنبيه على مراده، ثمّ الكلام عليه،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حمل الأخبار المانعة الدالّة على عدم جواز شهادة العبد على عدم الجواز بمعناه الظاهريّ،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بإرادة عدم جواز شهادته بدون إذن مولاه، لما في ذلک من تعطيل حقّ سيّده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ممّا يكاد أن يقطع بعدم كونه مرادًا من النصوص المانعة، إذ الظاهر منها أنّها سيقت لأجل بيان ما يقبل من الشهادة و ما يردّ، سيّما أنّها في مقابلة الأخبار الدالّة على قبول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قد سئل فيها عمّا يردّ من الشهود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يردّ من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083"/>
      </w:r>
      <w:r>
        <w:rPr>
          <w:rFonts w:ascii="IRNazanin" w:hAnsi="IRNazanin" w:eastAsia="IRNazanin"/>
          <w:color w:val="111111"/>
          <w:sz w:val="28"/>
          <w:sz w:val="28"/>
          <w:szCs w:val="28"/>
          <w:rtl w:val="true"/>
          <w:lang w:bidi="fa-IR"/>
        </w:rPr>
        <w:t xml:space="preserve">، و هو أيضًا اعترف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و هي أيضًا كالصريح في أنّ المراد من عدم الجواز عدم جواز القبول،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شهادة ولد الزنا،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عبد</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المعلوم أن ليس المراد من السؤال عن شهادة ولد الزنا إلّا من جهة جواز القبول أو العدم،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العبد أيضًا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الظاهر من صحيحة محمّد بن مسلم أيضًا ذلک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تقدير تسليم صحّة هذا الاحتمال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النصّ في مقام الجمع على أيّ احتمال يكون، بل يحمل على ما دلّ عليه الشاهد، و هو ما ذكروه من عدم قبول الشهادة إذا كانت على المولى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سيأتي من الأخبار الدالّة على المنع من شهادته على غيره من الأحرار، فيمكن حملها عليه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 ففيه أيضًا نظر ؛ و نحن نذكر الأخبار الّتي أشار إليها بهذه العبارة و ذكرها بعد ذلک، ثمّ نشير إلى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w:t>
      </w:r>
      <w:r>
        <w:rPr>
          <w:rStyle w:val="FootnoteAnchor"/>
          <w:rtl w:val="true"/>
        </w:rPr>
        <w:footnoteReference w:id="1087"/>
      </w:r>
      <w:r>
        <w:rPr>
          <w:rFonts w:ascii="Amiri" w:hAnsi="Amiri" w:eastAsia="Amiri" w:cs="Amiri"/>
          <w:color w:val="111111"/>
          <w:sz w:val="28"/>
          <w:sz w:val="28"/>
          <w:szCs w:val="28"/>
          <w:rtl w:val="true"/>
          <w:lang w:bidi="ar-SA"/>
        </w:rPr>
        <w:t xml:space="preserve">شهادة العبد المسلم على الحرّ المسلم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الخلاف </w:t>
      </w:r>
      <w:r>
        <w:rPr>
          <w:rStyle w:val="FootnoteAnchor"/>
          <w:rtl w:val="true"/>
        </w:rPr>
        <w:footnoteReference w:id="1089"/>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يقبل شهادة بعضهم على بعض، و لا تقبل شهادتهم على الأحرار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النظر في الأوّل، فلأنّه لا يصلح أن يكون شاهدًا للجمع، لأنّا لو حملنا </w:t>
      </w:r>
    </w:p>
    <w:p>
      <w:pPr>
        <w:pStyle w:val="BookText"/>
        <w:rPr/>
      </w:pPr>
      <w:r>
        <w:rPr>
          <w:rFonts w:ascii="IRNazanin" w:hAnsi="IRNazanin" w:eastAsia="IRNazanin"/>
          <w:color w:val="111111"/>
          <w:sz w:val="28"/>
          <w:sz w:val="28"/>
          <w:szCs w:val="28"/>
          <w:rtl w:val="true"/>
          <w:lang w:bidi="fa-IR"/>
        </w:rPr>
        <w:t xml:space="preserve">الأخبار الناهية على ما إذا كانت شهادة العبيد على الأحرار، يلزم من ذلک حمل الأخبار الدالّة على قبول شهادتهم على ما إذا كانت شهادة بعضهم لبعضهم، و هو لايجوز إلّا بشاهدٍ يدلّ على جواز شهادة بعضهم لبعض و عدم جوازها للأحرار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الأمر في الحديث المذكور كذلک، لأنّه إنّما دلّ على عدم جواز شهادتهم للأحرار فقط، لا على جواز شهادة بعضهم لبعضٍ أيضًا، إلّا على القول بحجّيّة مفهوم اللقب، و هو ضعيف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بصحيحة أخرى لمحمّد بن مسلم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العبد المسلم على الحرّ المسلم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الحديث الثاني، فهو و إن دلّ على الحكمين المختلفين، إلّا أنّ حجّيّته من حيث السند غير معلومة، و هو قد صرّح بذلک،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له استناد يعتمد </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غير ممكن، لاستلزامه مخالفة الإجماعات المنقولة و الشهرة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حديثًا آخر أيضًا تركناه، لأنّ عدم صلاحيّته شاهدًا للجمع المذكور كان بديهيًّا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النصوص المتعارضة إنّما يحتاج إلى الشاهد إذا كان </w:t>
      </w:r>
    </w:p>
    <w:p>
      <w:pPr>
        <w:pStyle w:val="BookText"/>
        <w:rPr/>
      </w:pPr>
      <w:r>
        <w:rPr>
          <w:rFonts w:ascii="Amiri" w:hAnsi="Amiri" w:eastAsia="Amiri" w:cs="Amiri"/>
          <w:color w:val="111111"/>
          <w:sz w:val="28"/>
          <w:sz w:val="28"/>
          <w:szCs w:val="28"/>
          <w:rtl w:val="true"/>
          <w:lang w:bidi="ar-SA"/>
        </w:rPr>
        <w:t xml:space="preserve">الجمع بحيث يتحصّل منه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إنّما يطلب للجمع بين النصوص إذا كانت النصوص المتعارضة متكافئة ؛ و أمّا إذا كانت لبعضها رجحان فلا، بل العمل على الراجح، و يحمل المرجوح على أيّ نحوٍ كان بحيث يرجع إلى الراجح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نحن فيه من هذا القبيل لما اعترفت به سابقًا من ترجيح الأخبار الدالّة على جواز قبول شهادة المملوک على الأخبار المانعة بترجيحاتٍ كثيرة، فلا حاجة إلى 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هناک كان من حيثيّةٍ و هنا من حيثيّةٍ أخرى ؛ بيان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هناک في مقابلة ابن أبي عقيل </w:t>
      </w:r>
      <w:r>
        <w:rPr>
          <w:rStyle w:val="FootnoteAnchor"/>
          <w:rtl w:val="true"/>
        </w:rPr>
        <w:footnoteReference w:id="1093"/>
      </w:r>
      <w:r>
        <w:rPr>
          <w:rFonts w:ascii="IRNazanin" w:hAnsi="IRNazanin" w:eastAsia="IRNazanin"/>
          <w:color w:val="111111"/>
          <w:sz w:val="28"/>
          <w:sz w:val="28"/>
          <w:szCs w:val="28"/>
          <w:rtl w:val="true"/>
          <w:lang w:bidi="fa-IR"/>
        </w:rPr>
        <w:t xml:space="preserve">، حيث منع قبول الشهادة من العبد مطلقًا، وكان مقصودنا ردّ ذلک و إثبات القبول في الجملة، و كانت الأخبار الدالّة على القبول من تلک الحيثيّة لها المرجّحات المذكورة دون المانعة رجّحناها عليها بتلک المرجّحات المزبورة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الكلام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مقابلة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تلک الحيثيّة، بل من حيث جواز قبول شهادة العبد على مولاه و عدمه ؛ و ليست للأخبار الدالّة على جواز قبول شهادة العبد من هذه الحيثيّة المرجّحات المزبورة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في انصراف تلک الأخبار إلى ما نحن فيه كلامًا، كما عرفت ممّا ذكرناه سابقًا </w:t>
      </w:r>
      <w:r>
        <w:rPr>
          <w:rFonts w:eastAsia="IRNazanin" w:cs="IRNazanin"/>
          <w:color w:val="111111"/>
          <w:sz w:val="28"/>
          <w:szCs w:val="28"/>
          <w:rtl w:val="true"/>
          <w:lang w:bidi="fa-IR"/>
        </w:rPr>
        <w:t xml:space="preserve">. </w:t>
      </w:r>
      <w:bookmarkStart w:id="484" w:name="pg14719_186766"/>
    </w:p>
    <w:p>
      <w:pPr>
        <w:pStyle w:val="BookText"/>
        <w:rPr/>
      </w:pPr>
      <w:bookmarkEnd w:id="484"/>
      <w:r>
        <w:rPr>
          <w:rFonts w:ascii="IRNazanin" w:hAnsi="IRNazanin" w:eastAsia="IRNazanin"/>
          <w:color w:val="111111"/>
          <w:sz w:val="28"/>
          <w:sz w:val="28"/>
          <w:szCs w:val="28"/>
          <w:rtl w:val="true"/>
          <w:lang w:bidi="fa-IR"/>
        </w:rPr>
        <w:t xml:space="preserve">و أيضًا أنّ من جملة المرجّحات هناک كان عمل المشهور و الموافقة بالإجماع المنقول، و هاهنا على خلاف ذلک،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المانعة راجحةٌ على الأخبار الدالّة على القبول من حيث انّها موافقة بعمل المشهور و الإجماع المنقول بالنسبة إلى ما نحن فيه ؛ بخلاف الأخبار الدالّة على القبول، فإنّها مخالفةٌ للمشهور والإجماع المنقول بالنسبة إلى ذلک ؛ و هذا الرجحان من أقوى المرجّحات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الأخبار الدالّة على القبول لها بعض ترجيحات أيضًا بالنسبة إلى ما نحن فيه، كالكثرة و غيرها، فكذلک تكافات النصوص المجوّزة و المانعة، فلايجوز الجمع بينهما إلّا بعد شاهد </w:t>
      </w:r>
      <w:r>
        <w:rPr>
          <w:rFonts w:eastAsia="IRNazanin" w:cs="IRNazanin"/>
          <w:color w:val="111111"/>
          <w:sz w:val="28"/>
          <w:szCs w:val="28"/>
          <w:rtl w:val="true"/>
          <w:lang w:bidi="fa-IR"/>
        </w:rPr>
        <w:t>.</w:t>
      </w:r>
    </w:p>
    <w:p>
      <w:pPr>
        <w:pStyle w:val="Heading4"/>
        <w:numPr>
          <w:ilvl w:val="3"/>
          <w:numId w:val="1"/>
        </w:numPr>
        <w:rPr/>
      </w:pPr>
      <w:bookmarkStart w:id="485" w:name="__RefHeading___Toc553817_730472459"/>
      <w:bookmarkStart w:id="486" w:name="_Toc187"/>
      <w:bookmarkEnd w:id="485"/>
      <w:r>
        <w:rPr>
          <w:rtl w:val="true"/>
        </w:rPr>
        <w:t>القول الرابع</w:t>
      </w:r>
      <w:bookmarkEnd w:id="486"/>
    </w:p>
    <w:p>
      <w:pPr>
        <w:pStyle w:val="BookText"/>
        <w:rPr/>
      </w:pPr>
      <w:r>
        <w:rPr>
          <w:rFonts w:ascii="Amiri" w:hAnsi="Amiri" w:eastAsia="Amiri" w:cs="Amiri"/>
          <w:color w:val="111111"/>
          <w:sz w:val="28"/>
          <w:sz w:val="28"/>
          <w:szCs w:val="28"/>
          <w:rtl w:val="true"/>
          <w:lang w:bidi="ar-SA"/>
        </w:rPr>
        <w:t xml:space="preserve">و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القول المشهور المختار،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شهادته مطلقًا إلّا على مولاه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قد نقله المحقّق في الشرائع </w:t>
      </w:r>
      <w:r>
        <w:rPr>
          <w:rStyle w:val="FootnoteAnchor"/>
          <w:rtl w:val="true"/>
        </w:rPr>
        <w:footnoteReference w:id="1094"/>
      </w:r>
      <w:r>
        <w:rPr>
          <w:rFonts w:ascii="Amiri" w:hAnsi="Amiri" w:eastAsia="Amiri" w:cs="Amiri"/>
          <w:color w:val="111111"/>
          <w:sz w:val="28"/>
          <w:sz w:val="28"/>
          <w:szCs w:val="28"/>
          <w:rtl w:val="true"/>
          <w:lang w:bidi="ar-SA"/>
        </w:rPr>
        <w:t xml:space="preserve">و العلّامة في القواعد </w:t>
      </w:r>
      <w:r>
        <w:rPr>
          <w:rStyle w:val="FootnoteAnchor"/>
          <w:rtl w:val="true"/>
        </w:rPr>
        <w:footnoteReference w:id="1095"/>
      </w:r>
      <w:r>
        <w:rPr>
          <w:rFonts w:ascii="IRNazanin" w:hAnsi="IRNazanin" w:eastAsia="IRNazanin"/>
          <w:color w:val="111111"/>
          <w:sz w:val="28"/>
          <w:sz w:val="28"/>
          <w:szCs w:val="28"/>
          <w:rtl w:val="true"/>
          <w:lang w:bidi="fa-IR"/>
        </w:rPr>
        <w:t xml:space="preserve">قولاً، وقائله غير معلوم ؛ و ذلک كاف في تشنيعه، فلا يحتاج إلى الكلام في مستنده وعليه </w:t>
      </w:r>
      <w:r>
        <w:rPr>
          <w:rFonts w:eastAsia="IRNazanin" w:cs="IRNazanin"/>
          <w:color w:val="111111"/>
          <w:sz w:val="28"/>
          <w:szCs w:val="28"/>
          <w:rtl w:val="true"/>
          <w:lang w:bidi="fa-IR"/>
        </w:rPr>
        <w:t xml:space="preserve">. </w:t>
      </w:r>
      <w:bookmarkStart w:id="487" w:name="pg14719_186767"/>
    </w:p>
    <w:p>
      <w:pPr>
        <w:pStyle w:val="Heading4"/>
        <w:numPr>
          <w:ilvl w:val="3"/>
          <w:numId w:val="1"/>
        </w:numPr>
        <w:rPr/>
      </w:pPr>
      <w:bookmarkStart w:id="488" w:name="__RefHeading___Toc553819_730472459"/>
      <w:bookmarkStart w:id="489" w:name="_Toc188"/>
      <w:bookmarkEnd w:id="487"/>
      <w:bookmarkEnd w:id="488"/>
      <w:r>
        <w:rPr>
          <w:rtl w:val="true"/>
        </w:rPr>
        <w:t>القول الخامس</w:t>
      </w:r>
      <w:bookmarkEnd w:id="489"/>
    </w:p>
    <w:p>
      <w:pPr>
        <w:pStyle w:val="BookText"/>
        <w:rPr/>
      </w:pPr>
      <w:r>
        <w:rPr>
          <w:rFonts w:ascii="Amiri" w:hAnsi="Amiri" w:eastAsia="Amiri" w:cs="Amiri"/>
          <w:color w:val="111111"/>
          <w:sz w:val="28"/>
          <w:sz w:val="28"/>
          <w:szCs w:val="28"/>
          <w:rtl w:val="true"/>
          <w:lang w:bidi="ar-SA"/>
        </w:rPr>
        <w:t xml:space="preserve">و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شهادته لغير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الفقيه </w:t>
      </w:r>
      <w:r>
        <w:rPr>
          <w:rStyle w:val="FootnoteAnchor"/>
          <w:rtl w:val="true"/>
        </w:rPr>
        <w:footnoteReference w:id="1096"/>
      </w:r>
      <w:r>
        <w:rPr>
          <w:rFonts w:ascii="Amiri" w:hAnsi="Amiri" w:eastAsia="Amiri" w:cs="Amiri"/>
          <w:color w:val="111111"/>
          <w:sz w:val="28"/>
          <w:sz w:val="28"/>
          <w:szCs w:val="28"/>
          <w:rtl w:val="true"/>
          <w:lang w:bidi="ar-SA"/>
        </w:rPr>
        <w:t xml:space="preserve">، و عنه في المقنع </w:t>
      </w:r>
      <w:r>
        <w:rPr>
          <w:rStyle w:val="FootnoteAnchor"/>
          <w:rtl w:val="true"/>
        </w:rPr>
        <w:footnoteReference w:id="1097"/>
      </w:r>
      <w:r>
        <w:rPr>
          <w:rFonts w:ascii="Amiri" w:hAnsi="Amiri" w:eastAsia="Amiri" w:cs="Amiri"/>
          <w:color w:val="111111"/>
          <w:sz w:val="28"/>
          <w:sz w:val="28"/>
          <w:szCs w:val="28"/>
          <w:rtl w:val="true"/>
          <w:lang w:bidi="ar-SA"/>
        </w:rPr>
        <w:t xml:space="preserve">؛ و مقتضاه عدم قبولها للمولى و عليه وعلى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كأنّه أدخله في الظنين و المتّهم، أو حمله على الأجير بطريق أولى، وجمع بذلک بين الأخبار، و فيما رواه ابن أبي يعفور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المملوک المسلم تجوز شهادته لغير مواليه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في الدين و الشيء اليسير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553821_730472459"/>
      <w:bookmarkStart w:id="491" w:name="_Toc189"/>
      <w:bookmarkEnd w:id="490"/>
      <w:r>
        <w:rPr>
          <w:rtl w:val="true"/>
        </w:rPr>
        <w:t>القول السادس</w:t>
      </w:r>
      <w:bookmarkEnd w:id="491"/>
    </w:p>
    <w:p>
      <w:pPr>
        <w:pStyle w:val="BookText"/>
        <w:rPr/>
      </w:pPr>
      <w:r>
        <w:rPr>
          <w:rFonts w:ascii="Amiri" w:hAnsi="Amiri" w:eastAsia="Amiri" w:cs="Amiri"/>
          <w:color w:val="111111"/>
          <w:sz w:val="28"/>
          <w:sz w:val="28"/>
          <w:szCs w:val="28"/>
          <w:rtl w:val="true"/>
          <w:lang w:bidi="ar-SA"/>
        </w:rPr>
        <w:t xml:space="preserve">و 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شهادته لغير مولاه و عليه، و عدم القبول له و لا عليه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المنقول عن أبي الصلاح </w:t>
      </w:r>
      <w:r>
        <w:rPr>
          <w:rStyle w:val="FootnoteAnchor"/>
          <w:rtl w:val="true"/>
        </w:rPr>
        <w:footnoteReference w:id="1100"/>
      </w:r>
      <w:r>
        <w:rPr>
          <w:rFonts w:ascii="Amiri" w:hAnsi="Amiri" w:eastAsia="Amiri" w:cs="Amiri"/>
          <w:color w:val="111111"/>
          <w:sz w:val="28"/>
          <w:sz w:val="28"/>
          <w:szCs w:val="28"/>
          <w:rtl w:val="true"/>
          <w:lang w:bidi="ar-SA"/>
        </w:rPr>
        <w:t xml:space="preserve">؛ و مستنده الجمع بين النصوص بحمل المانعة </w:t>
      </w:r>
      <w:bookmarkStart w:id="492" w:name="pg14719_186768"/>
    </w:p>
    <w:p>
      <w:pPr>
        <w:pStyle w:val="BookText"/>
        <w:rPr/>
      </w:pPr>
      <w:bookmarkEnd w:id="492"/>
      <w:r>
        <w:rPr>
          <w:rFonts w:ascii="Amiri" w:hAnsi="Amiri" w:eastAsia="Amiri" w:cs="Amiri"/>
          <w:color w:val="111111"/>
          <w:sz w:val="28"/>
          <w:sz w:val="28"/>
          <w:szCs w:val="28"/>
          <w:rtl w:val="true"/>
          <w:lang w:bidi="ar-SA"/>
        </w:rPr>
        <w:t xml:space="preserve">فيما إذا كانت شهادته لمولاه أو عليه، و حمل المجوّزة فيما إذا كانت شهادته لغير مولاه و عليه و لا شاهد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لم يقبلها له حملاً على الأجير، و لم يقبلها عليه حملاً على الولد </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53823_730472459"/>
      <w:bookmarkStart w:id="494" w:name="_Toc190"/>
      <w:bookmarkEnd w:id="493"/>
      <w:r>
        <w:rPr>
          <w:rtl w:val="true"/>
        </w:rPr>
        <w:t>القول السابع</w:t>
      </w:r>
      <w:bookmarkEnd w:id="494"/>
    </w:p>
    <w:p>
      <w:pPr>
        <w:pStyle w:val="BookText"/>
        <w:rPr/>
      </w:pPr>
      <w:r>
        <w:rPr>
          <w:rFonts w:ascii="Amiri" w:hAnsi="Amiri" w:eastAsia="Amiri" w:cs="Amiri"/>
          <w:color w:val="111111"/>
          <w:sz w:val="28"/>
          <w:sz w:val="28"/>
          <w:szCs w:val="28"/>
          <w:rtl w:val="true"/>
          <w:lang w:bidi="ar-SA"/>
        </w:rPr>
        <w:t xml:space="preserve">و 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قبولها على الحرّ المسلم كائنًا مَن كان، و قبولها على مثله و على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المحكيّ عن ابن الجنيد </w:t>
      </w:r>
      <w:r>
        <w:rPr>
          <w:rStyle w:val="FootnoteAnchor"/>
          <w:rtl w:val="true"/>
        </w:rPr>
        <w:footnoteReference w:id="1102"/>
      </w:r>
      <w:r>
        <w:rPr>
          <w:rFonts w:ascii="Amiri" w:hAnsi="Amiri" w:eastAsia="Amiri" w:cs="Amiri"/>
          <w:color w:val="111111"/>
          <w:sz w:val="28"/>
          <w:sz w:val="28"/>
          <w:szCs w:val="28"/>
          <w:rtl w:val="true"/>
          <w:lang w:bidi="ar-SA"/>
        </w:rPr>
        <w:t xml:space="preserve">؛ و مستنده في عدم القبول على الحرّ المسلم ما تقدّم من صحيحة محمّد بن مسلم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قبولها على الكافر صحيحته الأخرى أيضًا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المملوک من أهل القبلة على أهل الكتاب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قبول شهادته على مثله ما مرّ من الرواية المرويّة عن الخلاف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الأولى قد عرفت معارضتها بمثلها، و هو الجواب عمّا تضمّنه ذيل الرواية الثالثة المتقدّمة عن الخلاف ؛ و أمّا الرواية الثانية والثالثة بالنسبة إلى صدرها، فنحن نقول بمضمونهما،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من السيّد في الانتصار أنّ ابن الجنيد منع من قبول شهادة المملوک مطلقًا، فيكون مشاركًا لابن عقيل فيما تقدّم، حيث قال في الانتصار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أبو عليّ بن الجنيد من جملة أصحابنا يمنع </w:t>
      </w:r>
      <w:r>
        <w:rPr>
          <w:rStyle w:val="FootnoteAnchor"/>
          <w:rtl w:val="true"/>
        </w:rPr>
        <w:footnoteReference w:id="1106"/>
      </w:r>
      <w:r>
        <w:rPr>
          <w:rFonts w:ascii="Amiri" w:hAnsi="Amiri" w:eastAsia="Amiri" w:cs="Amiri"/>
          <w:color w:val="111111"/>
          <w:sz w:val="28"/>
          <w:sz w:val="28"/>
          <w:szCs w:val="28"/>
          <w:rtl w:val="true"/>
          <w:lang w:bidi="ar-SA"/>
        </w:rPr>
        <w:t xml:space="preserve">من شهادة العبد وإن كان عدلاً، و لمّا تكلّم عن </w:t>
      </w:r>
      <w:r>
        <w:rPr>
          <w:rStyle w:val="FootnoteAnchor"/>
          <w:rtl w:val="true"/>
        </w:rPr>
        <w:footnoteReference w:id="1107"/>
      </w:r>
      <w:r>
        <w:rPr>
          <w:rFonts w:ascii="Amiri" w:hAnsi="Amiri" w:eastAsia="Amiri" w:cs="Amiri"/>
          <w:color w:val="111111"/>
          <w:sz w:val="28"/>
          <w:sz w:val="28"/>
          <w:szCs w:val="28"/>
          <w:rtl w:val="true"/>
          <w:lang w:bidi="ar-SA"/>
        </w:rPr>
        <w:t xml:space="preserve">ظواهر الآيات في الكتاب الّتي يعمّ </w:t>
      </w:r>
      <w:r>
        <w:rPr>
          <w:rStyle w:val="FootnoteAnchor"/>
          <w:rtl w:val="true"/>
        </w:rPr>
        <w:footnoteReference w:id="1108"/>
      </w:r>
      <w:r>
        <w:rPr>
          <w:rFonts w:ascii="Amiri" w:hAnsi="Amiri" w:eastAsia="Amiri" w:cs="Amiri"/>
          <w:color w:val="111111"/>
          <w:sz w:val="28"/>
          <w:sz w:val="28"/>
          <w:szCs w:val="28"/>
          <w:rtl w:val="true"/>
          <w:lang w:bidi="ar-SA"/>
        </w:rPr>
        <w:t xml:space="preserve">العبد و الحرّ ادّعى تخصيص الآيات بغير دليل، و زعم أنّ العبد من حيث لم يكن كفوًا للحرّ في دمه و كان ناقصًا عنه في أحكامه لم يدخل تحت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قد يكنّ أقوى عدالة من الرجال و لم تكن شهادتهنّ مقبولة في كلّ ما تقبل </w:t>
      </w:r>
      <w:r>
        <w:rPr>
          <w:rStyle w:val="FootnoteAnchor"/>
          <w:rtl w:val="true"/>
        </w:rPr>
        <w:footnoteReference w:id="1109"/>
      </w:r>
      <w:r>
        <w:rPr>
          <w:rFonts w:ascii="Amiri" w:hAnsi="Amiri" w:eastAsia="Amiri" w:cs="Amiri"/>
          <w:color w:val="111111"/>
          <w:sz w:val="28"/>
          <w:sz w:val="28"/>
          <w:szCs w:val="28"/>
          <w:rtl w:val="true"/>
          <w:lang w:bidi="ar-SA"/>
        </w:rPr>
        <w:t xml:space="preserve">فيه شهادة الرجال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منه غلط فاحش، لأنّه إذا ادّعى أنّ الظواهر اختصّت بمن </w:t>
      </w:r>
    </w:p>
    <w:p>
      <w:pPr>
        <w:pStyle w:val="BookText"/>
        <w:rPr/>
      </w:pPr>
      <w:r>
        <w:rPr>
          <w:rFonts w:ascii="Amiri" w:hAnsi="Amiri" w:eastAsia="Amiri" w:cs="Amiri"/>
          <w:color w:val="111111"/>
          <w:sz w:val="28"/>
          <w:sz w:val="28"/>
          <w:szCs w:val="28"/>
          <w:rtl w:val="true"/>
          <w:lang w:bidi="ar-SA"/>
        </w:rPr>
        <w:t xml:space="preserve">يتساوى </w:t>
      </w:r>
      <w:r>
        <w:rPr>
          <w:rStyle w:val="FootnoteAnchor"/>
          <w:rtl w:val="true"/>
        </w:rPr>
        <w:footnoteReference w:id="1110"/>
      </w:r>
      <w:r>
        <w:rPr>
          <w:rFonts w:ascii="Amiri" w:hAnsi="Amiri" w:eastAsia="Amiri" w:cs="Amiri"/>
          <w:color w:val="111111"/>
          <w:sz w:val="28"/>
          <w:sz w:val="28"/>
          <w:szCs w:val="28"/>
          <w:rtl w:val="true"/>
          <w:lang w:bidi="ar-SA"/>
        </w:rPr>
        <w:t xml:space="preserve">أحكامه في الأحرار كان عليه الدليل، لأنّه ادّعى ما يخالف فيه </w:t>
      </w:r>
      <w:r>
        <w:rPr>
          <w:rStyle w:val="FootnoteAnchor"/>
          <w:rtl w:val="true"/>
        </w:rPr>
        <w:footnoteReference w:id="1111"/>
      </w:r>
      <w:r>
        <w:rPr>
          <w:rFonts w:ascii="IRNazanin" w:hAnsi="IRNazanin" w:eastAsia="IRNazanin"/>
          <w:color w:val="111111"/>
          <w:sz w:val="28"/>
          <w:sz w:val="28"/>
          <w:szCs w:val="28"/>
          <w:rtl w:val="true"/>
          <w:lang w:bidi="fa-IR"/>
        </w:rPr>
        <w:t xml:space="preserve">الظواهر، و لا يجوز رجوعه في ذلک إلى أخبار الآحاد الّتي يروونها </w:t>
      </w:r>
      <w:r>
        <w:rPr>
          <w:rStyle w:val="FootnoteAnchor"/>
          <w:rtl w:val="true"/>
        </w:rPr>
        <w:footnoteReference w:id="1112"/>
      </w:r>
      <w:r>
        <w:rPr>
          <w:rFonts w:ascii="Amiri" w:hAnsi="Amiri" w:eastAsia="Amiri" w:cs="Amiri"/>
          <w:color w:val="111111"/>
          <w:sz w:val="28"/>
          <w:sz w:val="28"/>
          <w:szCs w:val="28"/>
          <w:rtl w:val="true"/>
          <w:lang w:bidi="ar-SA"/>
        </w:rPr>
        <w:t xml:space="preserve">، لأنّا قد بيّنا ما في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النساء فغير داخلات في الظواهر الّتي ذكرناها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 عدل منكم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 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فانّما </w:t>
      </w:r>
      <w:r>
        <w:rPr>
          <w:rStyle w:val="FootnoteAnchor"/>
          <w:rtl w:val="true"/>
        </w:rPr>
        <w:footnoteReference w:id="1115"/>
      </w:r>
      <w:r>
        <w:rPr>
          <w:rFonts w:ascii="Amiri" w:hAnsi="Amiri" w:eastAsia="Amiri" w:cs="Amiri"/>
          <w:color w:val="111111"/>
          <w:sz w:val="28"/>
          <w:sz w:val="28"/>
          <w:szCs w:val="28"/>
          <w:rtl w:val="true"/>
          <w:lang w:bidi="ar-SA"/>
        </w:rPr>
        <w:t xml:space="preserve">أخرجنا النساء من هذه الظواهر لأنّهن ما دَخلن فيها، والعبيد العدول داخلون فيها بلا خلاف، و يحتاج في إخراجهم إلى دليل ؛ 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أشهد رجل عبديه في جارية بأنّ حملها منه، فمات ورثهما أخوه مثلاً فاعتقهما، ثمّ ولدت الجارية و شهد الغلامان بما أشهدهما مولاهما عليه، تقبل شهادتهما و يردان عبدين للولد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عرفت سابقًا من أنّ شهادة العبد للمولى مقبولة و هنا كذلک، لأنّ مولاهما هو ذلک الولد، فاشهدا له، فتكون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لخصوص صحيحة الحلبي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ترک جارية و مملوكين، فورّثهما أخ له، فاعتق العبدين و ولدت الجارية غلامًا، فشهدا بعد العتق أنّ مولاهما كان أشهدهما أنّه كان يقع على الجارية و أنّ الحمل </w:t>
      </w:r>
      <w:r>
        <w:rPr>
          <w:rStyle w:val="FootnoteAnchor"/>
          <w:rtl w:val="true"/>
        </w:rPr>
        <w:footnoteReference w:id="1117"/>
      </w: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شهادتهما، و يردّان عبدين كما كانا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صريحٌ في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فيما إذا لم يعتقهما من ورثهما، فلو شهدا بما مرّ للولد، يكونان مملوكين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شهادة العبد على المولى غير مقبولة، و هنا كذلک،لأنّ شهادتهما لو قبلت يلزم خروجهما عن ملک من ورّثهما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تقدّم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العبد على المولى غير مقبولة، و هو مسلّم ؛ و المقام ليس من هذا القبيل، بل شهادتهما للمولى لأنّ مولاهما هو الولد، فشهدا له ؛ نعم، شهادتهما على من ورّثهما أوّلاً، و هو ليس بمولى لهما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مسلّم، إلّا أنّ الصحيح المذكور قد قيّد فيه قبول شهادتهما </w:t>
      </w:r>
    </w:p>
    <w:p>
      <w:pPr>
        <w:pStyle w:val="BookText"/>
        <w:rPr/>
      </w:pPr>
      <w:r>
        <w:rPr>
          <w:rFonts w:ascii="IRNazanin" w:hAnsi="IRNazanin" w:eastAsia="IRNazanin"/>
          <w:color w:val="111111"/>
          <w:sz w:val="28"/>
          <w:sz w:val="28"/>
          <w:szCs w:val="28"/>
          <w:rtl w:val="true"/>
          <w:lang w:bidi="fa-IR"/>
        </w:rPr>
        <w:t xml:space="preserve">بعد العتق، و مقتضاه عدم قبولها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يلزم إذا كان القيد واقعًا في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ليس الأمر كذلک، بل إنّما وقع في كلام الراوي، فمفهومه ليس بحجّة، بل يكون المفهوم من الحديث حكم الصورة المسئول عنها، و يرجع في غيرها إلى ما اقتضاه الأدلّة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الصورة المفروضة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للولد استرقاقهما، لموثّقة داود بن فرقد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سفره </w:t>
      </w:r>
      <w:r>
        <w:rPr>
          <w:rStyle w:val="FootnoteAnchor"/>
          <w:rtl w:val="true"/>
        </w:rPr>
        <w:footnoteReference w:id="1120"/>
      </w:r>
      <w:r>
        <w:rPr>
          <w:rFonts w:ascii="Amiri" w:hAnsi="Amiri" w:eastAsia="Amiri" w:cs="Amiri"/>
          <w:color w:val="111111"/>
          <w:sz w:val="28"/>
          <w:sz w:val="28"/>
          <w:szCs w:val="28"/>
          <w:rtl w:val="true"/>
          <w:lang w:bidi="ar-SA"/>
        </w:rPr>
        <w:t xml:space="preserve">و معه جارية و له غلامان مملوكان </w:t>
      </w:r>
      <w:r>
        <w:rPr>
          <w:rStyle w:val="FootnoteAnchor"/>
          <w:rtl w:val="true"/>
        </w:rPr>
        <w:footnoteReference w:id="1121"/>
      </w:r>
      <w:r>
        <w:rPr>
          <w:rFonts w:ascii="IRNazanin" w:hAnsi="IRNazanin" w:eastAsia="IRNazanin"/>
          <w:color w:val="111111"/>
          <w:sz w:val="28"/>
          <w:sz w:val="28"/>
          <w:szCs w:val="28"/>
          <w:rtl w:val="true"/>
          <w:lang w:bidi="fa-IR"/>
        </w:rPr>
        <w:t xml:space="preserve">،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حُرّان لوجه الله وأشهدا أنّ ما في بطن جاريتي هذه منّي، فولدت غلامًا، فلمّا قدموا على الورثة أنكروا ذلک واسترقوهم، ثمّ إنّ الغلامين عَتَقا </w:t>
      </w:r>
      <w:r>
        <w:rPr>
          <w:rStyle w:val="FootnoteAnchor"/>
          <w:rtl w:val="true"/>
        </w:rPr>
        <w:footnoteReference w:id="1122"/>
      </w:r>
      <w:r>
        <w:rPr>
          <w:rFonts w:ascii="Amiri" w:hAnsi="Amiri" w:eastAsia="Amiri" w:cs="Amiri"/>
          <w:color w:val="111111"/>
          <w:sz w:val="28"/>
          <w:sz w:val="28"/>
          <w:szCs w:val="28"/>
          <w:rtl w:val="true"/>
          <w:lang w:bidi="ar-SA"/>
        </w:rPr>
        <w:t xml:space="preserve">بعد ذلک، فشهدا بعد ما أعَتَقا أنَّ مولاهما الأوَّل أشهدهما أنَّ ما في بطن جاريته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r>
        <w:rPr>
          <w:rStyle w:val="FootnoteAnchor"/>
          <w:rtl w:val="true"/>
        </w:rPr>
        <w:footnoteReference w:id="1123"/>
      </w:r>
      <w:r>
        <w:rPr>
          <w:rFonts w:ascii="Amiri" w:hAnsi="Amiri" w:eastAsia="Amiri" w:cs="Amiri"/>
          <w:color w:val="111111"/>
          <w:sz w:val="28"/>
          <w:sz w:val="28"/>
          <w:szCs w:val="28"/>
          <w:rtl w:val="true"/>
          <w:lang w:bidi="ar-SA"/>
        </w:rPr>
        <w:t xml:space="preserve">شهادتهما للغلام، و لا يسترقُّهما الغلام الّذي شهدا له، لأنّهما أثبتا نسبه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النهي و إن كان حقيقة في الحرمة، إلّا أنّ الظاهر أنّ المراد منه هنا الكراهة </w:t>
      </w:r>
    </w:p>
    <w:p>
      <w:pPr>
        <w:pStyle w:val="BookText"/>
        <w:rPr/>
      </w:pP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شهادتهما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بجوازشهادتهما له جواز قبول شهادتهما له، فإذا جاز قبول شهادتهما له يجوز الحكم بكونهما رقّين له، فيجوز له استرقاقهما،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يسترقّهما الغلام الّذي شهدا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فيه محمولٌ على الكراهة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استرقاقه لهما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لأنّهما أثبتا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أنّ الصحيحة المذكورة أوَّلاً صريحةٌ في جواز استرقاقه لهما،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يردّان عبدين كما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النهي في الموثّقة المزبورة صريحٌ في المرجوحيّة، فيكون الجمع بينهما الكراهة، فالقول بتحريم استرقاقه لهما بناءً على ظاهر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 عن بعض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اللّازم ممّا ذكر ثبوت الكراهة في الصورة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أعتقهما مَن ورّثهما، ثمّ شهدا للغلام بما كانا شاهدين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 النصّ بذلک، فيرجع في الصورة الثانية إلى حكم الأصل ؛ و مقتضاه عدم الكراهة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ثبوت الكراهة في الصورتين، لأنّ النصّ و إن كان مورده الصورة الأولى، إلّا أنّ التعليل في ذيله عامّ، و مفهوم التعليل يتعدّي به إلى كلّ ما تحقّق فيه ذلک ؛ و لا شکّ أنّ الصورة الثانية أيضًا ثبت النسب للغلام لشهادتهما، فهما أثبتا له النسب، و قد جعله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لعدم الاسترقاق،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لكراهته في الصورة </w:t>
      </w:r>
    </w:p>
    <w:p>
      <w:pPr>
        <w:pStyle w:val="BookText"/>
        <w:rPr/>
      </w:pPr>
      <w:r>
        <w:rPr>
          <w:rFonts w:ascii="Amiri" w:hAnsi="Amiri" w:eastAsia="Amiri" w:cs="Amiri"/>
          <w:color w:val="111111"/>
          <w:sz w:val="28"/>
          <w:sz w:val="28"/>
          <w:szCs w:val="28"/>
          <w:rtl w:val="true"/>
          <w:lang w:bidi="ar-SA"/>
        </w:rPr>
        <w:t xml:space="preserve">الأولى، و هو موجودٌ في الصورة الثانية أيضًا، فيلزم أن يكره الاسترقاق، لعدم جواز تخلّف المعلول عن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تقدّم من التسوية بين صورة عتق العبدين و غيرها إنّما هو إذا صدّقهما مَن ورّثهما، أو كانا عدلين يمكن الحكم بشهادتهما، كما يؤمي إليه فرض المسألة في كلامهم في عبدين دون عبد واحد ؛ و أمّا مع عدمهما فلا يكون الأمر كما ذكر، بل يبقيان عبدين لمن ورّثهما إلى أن ثبت نسب الولد كما لا يخفى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جملة من المواضع الّتي دلّ الدليل على قبول شهادة المتّهم ؛ و لمّا كان كثير من المواضع كذلک،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الدليل على قبول شهادته إمّا بالصريح أو بالفحوى، و لهذا حُصِر أسباب التهمة المانعة من قبول الشهادة في ستّة، ينبغي التنبيه عليها </w:t>
      </w:r>
      <w:r>
        <w:rPr>
          <w:rFonts w:eastAsia="IRNazanin" w:cs="IRNazanin"/>
          <w:color w:val="111111"/>
          <w:sz w:val="28"/>
          <w:szCs w:val="28"/>
          <w:rtl w:val="true"/>
          <w:lang w:bidi="fa-IR"/>
        </w:rPr>
        <w:t xml:space="preserve">. </w:t>
      </w:r>
      <w:bookmarkStart w:id="495" w:name="pg14719_186775"/>
    </w:p>
    <w:p>
      <w:pPr>
        <w:pStyle w:val="Heading3"/>
        <w:numPr>
          <w:ilvl w:val="2"/>
          <w:numId w:val="1"/>
        </w:numPr>
        <w:rPr/>
      </w:pPr>
      <w:bookmarkStart w:id="496" w:name="__RefHeading___Toc553825_730472459"/>
      <w:bookmarkStart w:id="497" w:name="_Toc191"/>
      <w:bookmarkEnd w:id="495"/>
      <w:bookmarkEnd w:id="496"/>
      <w:r>
        <w:rPr>
          <w:rtl w:val="true"/>
        </w:rPr>
        <w:t>أسباب التهمة المانعة من قبول الشهادة</w:t>
      </w:r>
      <w:bookmarkEnd w:id="497"/>
    </w:p>
    <w:p>
      <w:pPr>
        <w:pStyle w:val="Heading4"/>
        <w:numPr>
          <w:ilvl w:val="3"/>
          <w:numId w:val="1"/>
        </w:numPr>
        <w:rPr/>
      </w:pPr>
      <w:bookmarkStart w:id="498" w:name="__RefHeading___Toc553827_730472459"/>
      <w:bookmarkStart w:id="499" w:name="_Toc192"/>
      <w:bookmarkEnd w:id="498"/>
      <w:r>
        <w:rPr>
          <w:rtl w:val="true"/>
        </w:rPr>
        <w:t>السبب الأوّل</w:t>
      </w:r>
      <w:bookmarkEnd w:id="499"/>
    </w:p>
    <w:p>
      <w:pPr>
        <w:pStyle w:val="Heading5"/>
        <w:numPr>
          <w:ilvl w:val="4"/>
          <w:numId w:val="1"/>
        </w:numPr>
        <w:rPr/>
      </w:pPr>
      <w:bookmarkStart w:id="500" w:name="__RefHeading___Toc553829_730472459"/>
      <w:bookmarkStart w:id="501" w:name="_Toc193"/>
      <w:bookmarkEnd w:id="500"/>
      <w:r>
        <w:rPr>
          <w:rtl w:val="true"/>
        </w:rPr>
        <w:t>شهادة الشريک فيما هو شريک فيه غير مقبولة</w:t>
      </w:r>
      <w:bookmarkEnd w:id="5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الشاهد بحيث يجرّ النفع في شهادته إليه، لأنّه حينئذٍ يكون بشهادته مدّعيًا، فيكون شاهدًا لنفسه ؛ و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نهى أن يجاز </w:t>
      </w:r>
      <w:r>
        <w:rPr>
          <w:rStyle w:val="FootnoteAnchor"/>
          <w:rtl w:val="true"/>
        </w:rPr>
        <w:footnoteReference w:id="1126"/>
      </w:r>
      <w:r>
        <w:rPr>
          <w:rFonts w:ascii="Amiri" w:hAnsi="Amiri" w:eastAsia="Amiri" w:cs="Amiri"/>
          <w:color w:val="111111"/>
          <w:sz w:val="28"/>
          <w:sz w:val="28"/>
          <w:szCs w:val="28"/>
          <w:rtl w:val="true"/>
          <w:lang w:bidi="ar-SA"/>
        </w:rPr>
        <w:t xml:space="preserve">شهادة الخصم و الظنين و الجارّ إلى نفسه </w:t>
      </w:r>
      <w:r>
        <w:rPr>
          <w:rStyle w:val="FootnoteAnchor"/>
          <w:rtl w:val="true"/>
        </w:rPr>
        <w:footnoteReference w:id="1127"/>
      </w:r>
      <w:r>
        <w:rPr>
          <w:rFonts w:ascii="Amiri" w:hAnsi="Amiri" w:eastAsia="Amiri" w:cs="Amiri"/>
          <w:color w:val="111111"/>
          <w:sz w:val="28"/>
          <w:sz w:val="28"/>
          <w:szCs w:val="28"/>
          <w:rtl w:val="true"/>
          <w:lang w:bidi="ar-SA"/>
        </w:rPr>
        <w:t xml:space="preserve">منفعة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إذا يدفع عنه ضررًا، لأنّه حينئذٍ بشهادته منكر، و ذلک كشهادة الشريک فيما هو شريک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ما مرّ من النصوص المعتبرة الدالّة على عدم قبول شهادة ذي التهمة و ما تقدّم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المتقدّمة </w:t>
      </w:r>
      <w:r>
        <w:rPr>
          <w:rStyle w:val="FootnoteAnchor"/>
          <w:rtl w:val="true"/>
        </w:rPr>
        <w:footnoteReference w:id="1129"/>
      </w:r>
      <w:r>
        <w:rPr>
          <w:rFonts w:ascii="IRNazanin" w:hAnsi="IRNazanin" w:eastAsia="IRNazanin"/>
          <w:color w:val="111111"/>
          <w:sz w:val="28"/>
          <w:sz w:val="28"/>
          <w:szCs w:val="28"/>
          <w:rtl w:val="true"/>
          <w:lang w:bidi="fa-IR"/>
        </w:rPr>
        <w:t>، حيث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يردّ من الشهود،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المريب و الخصم و الشريک و دافع مغرم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تردّ شهاداتهم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شريكين شهد أحدهما لصاحبه،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 إلّا في شيء له فيه نصيب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و إن كانت في التهذيب مرسلة، لأنّها مرويّة فيه عن أبان،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أنّها مرويّة في الفقيه على ما ذكرناه ؛ على أنّ الإرسال والضعف في مثل المسألة غير مضرّ، لأنّ المسألة لعلّها موضع وفاق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روي عن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1132"/>
      </w:r>
      <w:r>
        <w:rPr>
          <w:rFonts w:ascii="IRNazanin" w:hAnsi="IRNazanin" w:eastAsia="IRNazanin"/>
          <w:color w:val="111111"/>
          <w:sz w:val="28"/>
          <w:sz w:val="28"/>
          <w:szCs w:val="28"/>
          <w:rtl w:val="true"/>
          <w:lang w:bidi="fa-IR"/>
        </w:rPr>
        <w:t xml:space="preserve">شهادة الشريک لشريكه فيما هو بينهما، و يجوز </w:t>
      </w:r>
      <w:r>
        <w:rPr>
          <w:rStyle w:val="FootnoteAnchor"/>
          <w:rtl w:val="true"/>
        </w:rPr>
        <w:footnoteReference w:id="1133"/>
      </w:r>
      <w:r>
        <w:rPr>
          <w:rFonts w:ascii="IRNazanin" w:hAnsi="IRNazanin" w:eastAsia="IRNazanin"/>
          <w:color w:val="111111"/>
          <w:sz w:val="28"/>
          <w:sz w:val="28"/>
          <w:szCs w:val="28"/>
          <w:rtl w:val="true"/>
          <w:lang w:bidi="fa-IR"/>
        </w:rPr>
        <w:t xml:space="preserve">في غير ذلک ممّا ليس له </w:t>
      </w:r>
      <w:r>
        <w:rPr>
          <w:rStyle w:val="FootnoteAnchor"/>
          <w:rtl w:val="true"/>
        </w:rPr>
        <w:footnoteReference w:id="1134"/>
      </w:r>
      <w:r>
        <w:rPr>
          <w:rFonts w:ascii="Amiri" w:hAnsi="Amiri" w:eastAsia="Amiri" w:cs="Amiri"/>
          <w:color w:val="111111"/>
          <w:sz w:val="28"/>
          <w:sz w:val="28"/>
          <w:szCs w:val="28"/>
          <w:rtl w:val="true"/>
          <w:lang w:bidi="ar-SA"/>
        </w:rPr>
        <w:t xml:space="preserve">فيه شركة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بهما يقيّد إطلاق ما دلّ على عدم قبول شهادة الشريک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كالموثّقة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دلّت على عدم شهادة الشريک مطلقًا، سواء كانت له فيما يشهد به شركة،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يقيّد أيضًا إطلاق ما دلّ على جواز قبول شهادة الشريک مطلقًا، و لو كانت الشهادة فيما له فيه شركة، كرواية عبد 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ثلاثة شركاء ادّعى واحد و شهد الإثنان،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فيقيّد فيما إذا كانت شهادتهما على ما ليس لهما فيه شركة، بقرينة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الشريک فيما ذكر شهادة المدين للمحجور عليه، بناءً على أنّه يتعلّق حقّه حينئذٍ بأعيان ماله، فيكون المدين حينئذٍ مدّعيًا، فلا تقبل ؛ و أمّا إذا لم يكن المشهود له محجورًا عليه، فتقبل شهادة المدين حينئذٍ لتعلّق حقّه بالذمّة ؛ هكذا قيل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اتّفاقهم على ذلک فهو، و إلّا فالاكتفاء بما ذكر في قبول الشهادة </w:t>
      </w:r>
      <w:bookmarkStart w:id="502" w:name="pg14719_186778"/>
    </w:p>
    <w:p>
      <w:pPr>
        <w:pStyle w:val="BookText"/>
        <w:rPr/>
      </w:pPr>
      <w:bookmarkEnd w:id="502"/>
      <w:r>
        <w:rPr>
          <w:rFonts w:ascii="IRNazanin" w:hAnsi="IRNazanin" w:eastAsia="IRNazanin"/>
          <w:color w:val="111111"/>
          <w:sz w:val="28"/>
          <w:sz w:val="28"/>
          <w:szCs w:val="28"/>
          <w:rtl w:val="true"/>
          <w:lang w:bidi="fa-IR"/>
        </w:rPr>
        <w:t xml:space="preserve">مشكل، لأنّ تعلّق حقّه بالذمّة يخرجه عن كونه مدّعيًا، لا عن كونه متّهمًا ؛ و مجرّد تعلّق الحقّ بالمال غيرُ كافٍ مع صدق التهمة، لما عرفت من كثيرٍ من النصوص المعتبرة الدالّة على عدم جواز قبول شهادة ذي التهمة، فلابدّ للحكم بقبول شهادته حينئذٍ إمّا من مقيّدٍ لتلک الأدلّة، أو عدم تسليم صدق التهمة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شهادة الشريک أيضًا فيما ذكر شهادة المولى لعبده، فلا تقبل شهادته، لأنّ العبد لا يملک شيئًا، فيكون شهادته حينئذٍ لنفسه </w:t>
      </w:r>
      <w:r>
        <w:rPr>
          <w:rFonts w:eastAsia="IRNazanin" w:cs="IRNazanin"/>
          <w:color w:val="111111"/>
          <w:sz w:val="28"/>
          <w:szCs w:val="28"/>
          <w:rtl w:val="true"/>
          <w:lang w:bidi="fa-IR"/>
        </w:rPr>
        <w:t>.</w:t>
      </w:r>
    </w:p>
    <w:p>
      <w:pPr>
        <w:pStyle w:val="Heading5"/>
        <w:numPr>
          <w:ilvl w:val="4"/>
          <w:numId w:val="1"/>
        </w:numPr>
        <w:rPr/>
      </w:pPr>
      <w:bookmarkStart w:id="503" w:name="__RefHeading___Toc553831_730472459"/>
      <w:bookmarkStart w:id="504" w:name="_Toc194"/>
      <w:bookmarkEnd w:id="503"/>
      <w:r>
        <w:rPr>
          <w:rtl w:val="true"/>
        </w:rPr>
        <w:t>شهادة الوصيّ فيما وصّى فيه غير مقبولة</w:t>
      </w:r>
      <w:bookmarkEnd w:id="504"/>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جمعٌ من الأعلام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قبول شهادة الوصيّ فيما وصّى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مستندهم غير واضح ؛ و لا يمكن التمسّک في المقام بالنصوص المتقدّمة الدالّة على عدم جواز شهادة ذي التهمة، لأنّ ذلک فرع الصدق، و هو ممنوع، إذ لايدرک العقل التهمة في الوصيّ، بل للولاية في مثل ذلک تعب و مشقّة للإنسان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الولاية في مال له أجرة في حفظه أو إصلاحه، لكان لتوهّم التهمة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لهذا 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قبول شهادة الوصيّ،لعدم ما يصلح لتخصيص العمومات الدالّة على قبول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ترجيح القول المشهور بأنّ قول ابن الجنيد ملحوقٌ بالإجماع، إذ لم نجد بعده قائلاً بجواز شهادته و لا نقله ناقل، فلا يمكن لنا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الاستدلال لهم بالصحيح المرويّ في الفقيه و غيره عن محمّد بن الحسن الصفّار أنّه كتب إلى أبي محمّد الحسن </w:t>
      </w:r>
      <w:r>
        <w:rPr>
          <w:rStyle w:val="FootnoteAnchor"/>
          <w:rtl w:val="true"/>
        </w:rPr>
        <w:footnoteReference w:id="1140"/>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المدّعي يمين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في كتاب القضاء </w:t>
      </w:r>
      <w:r>
        <w:rPr>
          <w:rStyle w:val="FootnoteAnchor"/>
          <w:rtl w:val="true"/>
        </w:rPr>
        <w:footnoteReference w:id="1142"/>
      </w:r>
      <w:r>
        <w:rPr>
          <w:rFonts w:ascii="Amiri" w:hAnsi="Amiri" w:eastAsia="Amiri" w:cs="Amiri"/>
          <w:color w:val="111111"/>
          <w:sz w:val="28"/>
          <w:sz w:val="28"/>
          <w:szCs w:val="28"/>
          <w:rtl w:val="true"/>
          <w:lang w:bidi="ar-SA"/>
        </w:rPr>
        <w:t xml:space="preserve">أنّ الحقّ يثبت بشاهد واحد و يمين صاحب الحقّ، فعلى هذا لو كانت شهادة الوصيّ مقبولة لا يحتاج إلى شهادة عدل آخر مع يمين المدّعي، فعدم اكتفائه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الوصيّ و يمين المدّعي ؛ و الإتيان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عدل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واضحة على عدم الاعتبار بشهادة الوصيّ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تقرير الاستدلال بوجهٍ آخر،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حلف المدّعي خلاف الأصل </w:t>
      </w:r>
    </w:p>
    <w:p>
      <w:pPr>
        <w:pStyle w:val="BookText"/>
        <w:rPr/>
      </w:pPr>
      <w:r>
        <w:rPr>
          <w:rFonts w:ascii="Amiri" w:hAnsi="Amiri" w:eastAsia="Amiri" w:cs="Amiri"/>
          <w:color w:val="111111"/>
          <w:sz w:val="28"/>
          <w:sz w:val="28"/>
          <w:szCs w:val="28"/>
          <w:rtl w:val="true"/>
          <w:lang w:bidi="ar-SA"/>
        </w:rPr>
        <w:t xml:space="preserve">على ما مرّ تحقيقه في كتاب القضاء </w:t>
      </w:r>
      <w:r>
        <w:rPr>
          <w:rStyle w:val="FootnoteAnchor"/>
          <w:rtl w:val="true"/>
        </w:rPr>
        <w:footnoteReference w:id="1143"/>
      </w:r>
      <w:r>
        <w:rPr>
          <w:rFonts w:ascii="Amiri" w:hAnsi="Amiri" w:eastAsia="Amiri" w:cs="Amiri"/>
          <w:color w:val="111111"/>
          <w:sz w:val="28"/>
          <w:sz w:val="28"/>
          <w:szCs w:val="28"/>
          <w:rtl w:val="true"/>
          <w:lang w:bidi="ar-SA"/>
        </w:rPr>
        <w:t xml:space="preserve">، فيقتصر فيه على مواضع مخصوصة دلّ الدليل على ثبوته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لو كان للمدّعي شاهدان مرضيّان ليس عليه الحلف في إثبات حقّه، بل لا يجوز إلّا في بعض المواضع، و ليس ما نحن فيه منه، فاعتبار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فيه إمّا من جهة عدم قبول شهادة الوصيّ، أو شهادة عدل آخر؛ و الثاني غير جائز و إلّا فلا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شهد معه آخر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فتعيّن الأوّل، و هو المطلوب، فثبت المدّعى، و هو عدم جواز قبول شهادة 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الوكيل كالكلام في الوصّي، فالمحكيّ عن المشهور المنع، و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Style w:val="FootnoteAnchor"/>
          <w:rtl w:val="true"/>
        </w:rPr>
        <w:footnoteReference w:id="1144"/>
      </w:r>
      <w:r>
        <w:rPr>
          <w:rFonts w:ascii="IRNazanin" w:hAnsi="IRNazanin" w:eastAsia="IRNazanin"/>
          <w:color w:val="111111"/>
          <w:sz w:val="28"/>
          <w:sz w:val="28"/>
          <w:szCs w:val="28"/>
          <w:rtl w:val="true"/>
          <w:lang w:bidi="fa-IR"/>
        </w:rPr>
        <w:t xml:space="preserve">؛ و حيث قد قلنا بمنع ذلک في الوصيّ نقول في الوكيل أيضًا،لعدم القول بالفصل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أنّه يمكن أن يؤيّد القول بالمنع بأنَّ الوكيل نائبٌ عن نفس الموكّل، فكما لا تقبل شهادة موكّله لنفسه، فكذا شهادة نائبه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نسلّم انتفاء التهمة في حقّه، أمّا على تقدير تحقّق الأجرة له فظاهر ؛ وأمّا على تقدير العدم فلإمكان أن يكون الداعي لشهادته تصحيح الفعل الّذي صدر عنه بدعوى الوكالة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المقدار بعد ملاحظة الاشتهار يكفي في المقام، فتأمّل </w:t>
      </w:r>
      <w:r>
        <w:rPr>
          <w:rFonts w:eastAsia="Amiri" w:cs="Amiri" w:ascii="Amiri" w:hAnsi="Amiri"/>
          <w:color w:val="111111"/>
          <w:sz w:val="28"/>
          <w:szCs w:val="28"/>
          <w:rtl w:val="true"/>
          <w:lang w:bidi="ar-SA"/>
        </w:rPr>
        <w:t xml:space="preserve">. </w:t>
      </w:r>
      <w:bookmarkStart w:id="505" w:name="pg14719_186781"/>
    </w:p>
    <w:p>
      <w:pPr>
        <w:pStyle w:val="Heading4"/>
        <w:numPr>
          <w:ilvl w:val="3"/>
          <w:numId w:val="1"/>
        </w:numPr>
        <w:rPr/>
      </w:pPr>
      <w:bookmarkStart w:id="506" w:name="__RefHeading___Toc553833_730472459"/>
      <w:bookmarkStart w:id="507" w:name="_Toc195"/>
      <w:bookmarkEnd w:id="505"/>
      <w:bookmarkEnd w:id="506"/>
      <w:r>
        <w:rPr>
          <w:rtl w:val="true"/>
        </w:rPr>
        <w:t>السبب الثاني</w:t>
      </w:r>
      <w:bookmarkEnd w:id="507"/>
    </w:p>
    <w:p>
      <w:pPr>
        <w:pStyle w:val="Heading5"/>
        <w:numPr>
          <w:ilvl w:val="4"/>
          <w:numId w:val="1"/>
        </w:numPr>
        <w:rPr/>
      </w:pPr>
      <w:bookmarkStart w:id="508" w:name="__RefHeading___Toc553835_730472459"/>
      <w:bookmarkStart w:id="509" w:name="_Toc196"/>
      <w:bookmarkEnd w:id="508"/>
      <w:r>
        <w:rPr>
          <w:rtl w:val="true"/>
        </w:rPr>
        <w:t xml:space="preserve">من أسباب التهمة </w:t>
      </w:r>
      <w:r>
        <w:rPr>
          <w:rtl w:val="true"/>
        </w:rPr>
        <w:t xml:space="preserve">: </w:t>
      </w:r>
      <w:r>
        <w:rPr>
          <w:rtl w:val="true"/>
        </w:rPr>
        <w:t>العداوة</w:t>
      </w:r>
      <w:bookmarkEnd w:id="509"/>
    </w:p>
    <w:p>
      <w:pPr>
        <w:pStyle w:val="Heading6"/>
        <w:numPr>
          <w:ilvl w:val="5"/>
          <w:numId w:val="1"/>
        </w:numPr>
        <w:rPr/>
      </w:pPr>
      <w:bookmarkStart w:id="510" w:name="__RefHeading___Toc553837_730472459"/>
      <w:bookmarkStart w:id="511" w:name="_Toc197"/>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 xml:space="preserve">السبب الثاني للتهمة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 و المراد بها العداوة الدنيويّة، لا الدينيّة، لما عرفت من قبول شهادة المسلم على الكافر ؛ و أمّا عدم جواز قبول شهادة الكافر على المسلم فَلِفسْقِه و كُفره، لا للعداوة الدينيّة ؛ و لهذا تردّ شهادة بعضهم على بعض ؛ و قد مرّ الكلام في ذلک في أوائل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الكلام في هذا السبب يقع من وجوه </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553839_730472459"/>
      <w:bookmarkStart w:id="513" w:name="_Toc198"/>
      <w:bookmarkEnd w:id="512"/>
      <w:r>
        <w:rPr>
          <w:rtl w:val="true"/>
        </w:rPr>
        <w:t xml:space="preserve">الوجه الأوّل </w:t>
      </w:r>
      <w:r>
        <w:rPr>
          <w:rtl w:val="true"/>
        </w:rPr>
        <w:t xml:space="preserve">: </w:t>
      </w:r>
      <w:r>
        <w:rPr>
          <w:rtl w:val="true"/>
        </w:rPr>
        <w:t>في تفسير العداوة</w:t>
      </w:r>
      <w:bookmarkEnd w:id="51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 الأصحاب تفسير العدوّ في المقام بأنّه الّذي يفرح بالمساءة و المكروهات الواردة على صاحبه و يسأ و يغتّم بالمسرّة والنِعَم الحاصلة 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جملة منهم أنّهم زادوا على ذلک بأن تبلغ حدًّا يتمنّى زوال نعمه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514" w:name="pg14719_186782"/>
    </w:p>
    <w:p>
      <w:pPr>
        <w:pStyle w:val="BookText"/>
        <w:rPr/>
      </w:pPr>
      <w:bookmarkEnd w:id="514"/>
      <w:r>
        <w:rPr>
          <w:rFonts w:ascii="IRNazanin" w:hAnsi="IRNazanin" w:eastAsia="IRNazanin"/>
          <w:color w:val="111111"/>
          <w:sz w:val="28"/>
          <w:sz w:val="28"/>
          <w:szCs w:val="28"/>
          <w:rtl w:val="true"/>
          <w:lang w:bidi="fa-IR"/>
        </w:rPr>
        <w:t xml:space="preserve">و هذا التعريف إن تحقّق من الطرفين يكون كلّ منهما عدوًّا للاخر، و إلّا اختصّ الطرف الّذي تحقّق فيه ذلک </w:t>
      </w:r>
      <w:r>
        <w:rPr>
          <w:rFonts w:eastAsia="IRNazanin" w:cs="IRNazanin"/>
          <w:color w:val="111111"/>
          <w:sz w:val="28"/>
          <w:szCs w:val="28"/>
          <w:rtl w:val="true"/>
          <w:lang w:bidi="fa-IR"/>
        </w:rPr>
        <w:t>.</w:t>
      </w:r>
    </w:p>
    <w:p>
      <w:pPr>
        <w:pStyle w:val="Heading6"/>
        <w:numPr>
          <w:ilvl w:val="5"/>
          <w:numId w:val="1"/>
        </w:numPr>
        <w:rPr/>
      </w:pPr>
      <w:bookmarkStart w:id="515" w:name="__RefHeading___Toc553841_730472459"/>
      <w:bookmarkStart w:id="516" w:name="_Toc199"/>
      <w:bookmarkEnd w:id="515"/>
      <w:r>
        <w:rPr>
          <w:rtl w:val="true"/>
        </w:rPr>
        <w:t>الوجه الثاني</w:t>
      </w:r>
      <w:bookmarkEnd w:id="516"/>
    </w:p>
    <w:p>
      <w:pPr>
        <w:pStyle w:val="BookText"/>
        <w:rPr/>
      </w:pPr>
      <w:r>
        <w:rPr>
          <w:rFonts w:ascii="Amiri" w:hAnsi="Amiri" w:eastAsia="Amiri" w:cs="Amiri"/>
          <w:color w:val="111111"/>
          <w:sz w:val="28"/>
          <w:sz w:val="28"/>
          <w:szCs w:val="28"/>
          <w:rtl w:val="true"/>
          <w:lang w:bidi="ar-SA"/>
        </w:rPr>
        <w:t xml:space="preserve">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العدوّ المذكور لا تقبل شهادته على الّذي يكون هذا الشخص عدوًّا له، سواء كان هو عدوًّا له أيضًا، و حينئذٍ لا تقبل شهادته عليه أيضًا ؛ أو لا، ويختصّ عدم القبول حينئذٍ بالعدوّ، فشهادة غير العدوّ عليه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في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العدوّ على عدوّه، أو على مَن يكون هذا عدوًّا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ادّعاه المقدّس الأردبيليّ </w:t>
      </w:r>
      <w:r>
        <w:rPr>
          <w:rStyle w:val="FootnoteAnchor"/>
          <w:rtl w:val="true"/>
        </w:rPr>
        <w:footnoteReference w:id="1147"/>
      </w:r>
      <w:r>
        <w:rPr>
          <w:rFonts w:ascii="IRNazanin" w:hAnsi="IRNazanin" w:eastAsia="IRNazanin"/>
          <w:color w:val="111111"/>
          <w:sz w:val="28"/>
          <w:sz w:val="28"/>
          <w:szCs w:val="28"/>
          <w:rtl w:val="true"/>
          <w:lang w:bidi="fa-IR"/>
        </w:rPr>
        <w:t xml:space="preserve">؛ و هو ظاهر المسالک </w:t>
      </w:r>
      <w:r>
        <w:rPr>
          <w:rStyle w:val="FootnoteAnchor"/>
          <w:rtl w:val="true"/>
        </w:rPr>
        <w:footnoteReference w:id="1148"/>
      </w:r>
      <w:r>
        <w:rPr>
          <w:rFonts w:ascii="Amiri" w:hAnsi="Amiri" w:eastAsia="Amiri" w:cs="Amiri"/>
          <w:color w:val="111111"/>
          <w:sz w:val="28"/>
          <w:sz w:val="28"/>
          <w:szCs w:val="28"/>
          <w:rtl w:val="true"/>
          <w:lang w:bidi="ar-SA"/>
        </w:rPr>
        <w:t xml:space="preserve">، حيث نسب الحكم إلينا، لكن في شهادة العدوّ على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النصوص المعتبرة المتقدّمة الدالّة على عدم جواز قبول شهادة ذي التهمة، بناءً على تحقّقها فيما نحن فيه بلا شبهة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أنّ بعض تلک النصوص قد تضمّن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كصحيحة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سأله عن الّذي يردّ من الشهود،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الظنين و الخصم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سأله عن الّذي يردّ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و المتّهم و الخصم، الحديث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معلوم أنّ الخصم هو العدوّ، فيكون دلالتهما على ردّ الشهادة فيما نحن فيه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الإطلاق، لأنّ المتّهم شاملٌ للعدوّ أيضًا ؛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خصوص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ما رواه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ذي شحناء أو ذي مُخْزِيَة في الدين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 و المخزية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الخزي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خائن و لا خائنة، و لا ذي غمز</w:t>
      </w:r>
      <w:r>
        <w:rPr>
          <w:rStyle w:val="FootnoteAnchor"/>
          <w:rtl w:val="true"/>
        </w:rPr>
        <w:footnoteReference w:id="1153"/>
      </w:r>
      <w:r>
        <w:rPr>
          <w:rFonts w:ascii="Amiri" w:hAnsi="Amiri" w:eastAsia="Amiri" w:cs="Amiri"/>
          <w:color w:val="111111"/>
          <w:sz w:val="28"/>
          <w:sz w:val="28"/>
          <w:szCs w:val="28"/>
          <w:rtl w:val="true"/>
          <w:lang w:bidi="ar-SA"/>
        </w:rPr>
        <w:t xml:space="preserve">على أخيه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517" w:name="pg14719_186784"/>
    </w:p>
    <w:p>
      <w:pPr>
        <w:pStyle w:val="Heading6"/>
        <w:numPr>
          <w:ilvl w:val="5"/>
          <w:numId w:val="1"/>
        </w:numPr>
        <w:rPr/>
      </w:pPr>
      <w:bookmarkStart w:id="518" w:name="__RefHeading___Toc553843_730472459"/>
      <w:bookmarkStart w:id="519" w:name="_Toc200"/>
      <w:bookmarkEnd w:id="517"/>
      <w:bookmarkEnd w:id="518"/>
      <w:r>
        <w:rPr>
          <w:rtl w:val="true"/>
        </w:rPr>
        <w:t>الوجه الثالث</w:t>
      </w:r>
      <w:bookmarkEnd w:id="519"/>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العدوّ لعدوّه و لغيره و عليه مقبولة إذا كانت العداوة بحيث لاتتضمّن فسقًا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المقدّس الأردبيليّ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للعمومات الدالّة على قبول شهادة العادل من الكتاب و السنّة ؛ و هي سالمةٌ عمّا يصلح للمعارضة بالنسبة إلى هذا الفرض، بناءً على عدم شمول ما دلّ على ردّ شهادة ذي التهمة للمسألة، لانتفاء التهمة فيها، و اختصاص ما دلّ على عدم قبول شهادة الخصم و ذي شحناء بحكم التبادر بما إذا كانت شهادته على عدوّه، لا له و لا لغيره، أو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إذا كانت العداوة بحيث لا تتضمّن فسقًا كما عرفت، و إلّا فغير جائز اتّفاقًا، و هو واضح، لكن يشكل فرض حصول العداوة مع تلک العداوة بعد الاتّفاق على أنّ عداوة المؤمن و بغضه لا لأمر دينيّ معصية، فكيف يجامع مع العدالة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أجيب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العداوة على عداوة غير المؤمن، أو عداوة المؤمن، لكن إذا كان لموجب، و عداوته من غير موجب حرام لا معه، أو يعدّ العداوة من الصغائر مع تفسير الإصرار عليها بالإكثار منها، لا الاستمرار على واحدة مخصوصة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520" w:name="pg14719_186785"/>
    </w:p>
    <w:p>
      <w:pPr>
        <w:pStyle w:val="Heading4"/>
        <w:numPr>
          <w:ilvl w:val="3"/>
          <w:numId w:val="1"/>
        </w:numPr>
        <w:rPr/>
      </w:pPr>
      <w:bookmarkStart w:id="521" w:name="__RefHeading___Toc553845_730472459"/>
      <w:bookmarkStart w:id="522" w:name="_Toc201"/>
      <w:bookmarkEnd w:id="520"/>
      <w:bookmarkEnd w:id="521"/>
      <w:r>
        <w:rPr>
          <w:rtl w:val="true"/>
        </w:rPr>
        <w:t>السبب الثالث</w:t>
      </w:r>
      <w:bookmarkEnd w:id="522"/>
    </w:p>
    <w:p>
      <w:pPr>
        <w:pStyle w:val="Heading5"/>
        <w:numPr>
          <w:ilvl w:val="4"/>
          <w:numId w:val="1"/>
        </w:numPr>
        <w:rPr/>
      </w:pPr>
      <w:bookmarkStart w:id="523" w:name="__RefHeading___Toc553847_730472459"/>
      <w:bookmarkStart w:id="524" w:name="_Toc202"/>
      <w:bookmarkEnd w:id="523"/>
      <w:r>
        <w:rPr>
          <w:rtl w:val="true"/>
        </w:rPr>
        <w:t>الكلام في شهادة الولد على الوالد</w:t>
      </w:r>
      <w:bookmarkEnd w:id="524"/>
    </w:p>
    <w:p>
      <w:pPr>
        <w:pStyle w:val="BookText"/>
        <w:rPr/>
      </w:pPr>
      <w:r>
        <w:rPr>
          <w:rFonts w:ascii="IRNazanin" w:hAnsi="IRNazanin" w:eastAsia="IRNazanin"/>
          <w:color w:val="111111"/>
          <w:sz w:val="28"/>
          <w:sz w:val="28"/>
          <w:szCs w:val="28"/>
          <w:rtl w:val="true"/>
          <w:lang w:bidi="fa-IR"/>
        </w:rPr>
        <w:t xml:space="preserve">الثالث من أسباب التهمة المانعة عن قبول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الولد على الوالد، فإنّ ذلک سببٌ للإتّهام بالعقوق،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جمعٌ منهم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الولد على الأب، بل عن الخلاف و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ما رواه في الفقيه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تقبل شهادة الولد على والده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إرساله غير مضرّ بعد ما عرفت من الشهرة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الشيخ في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استدلّ لذلک بإجماع الفرقة و أخبارهم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نجد من الأخبار إلّا ما عرفت من الرواية المذكورة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للحكم في المسألة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صَاحِبْهُمَا في الدُّنيَا </w:t>
      </w:r>
    </w:p>
    <w:p>
      <w:pPr>
        <w:pStyle w:val="BookText"/>
        <w:rPr/>
      </w:pPr>
      <w:r>
        <w:rPr>
          <w:rFonts w:ascii="Amiri" w:hAnsi="Amiri" w:eastAsia="Amiri" w:cs="Amiri"/>
          <w:color w:val="111111"/>
          <w:sz w:val="28"/>
          <w:sz w:val="28"/>
          <w:szCs w:val="28"/>
          <w:rtl w:val="true"/>
          <w:lang w:bidi="ar-SA"/>
        </w:rPr>
        <w:t xml:space="preserve">مَعْرُوفًا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 فليست الشهادة عليه و تكذيب قوله من المعروف، بل من المنكر،فيكون ارتكاب ذلک عقوقًا مانعًا من قبول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ذلک بأنّ توجّه المنع عليه جَليّ، إذ من المعروف إبراء ذمّته،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أنصر أخاک ظالمًا أو مظلومًا،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أنصره ظالمًا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تردّه عن ظلمه، فذاک نصرک إيّاه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الشهيد في الدروس </w:t>
      </w:r>
      <w:r>
        <w:rPr>
          <w:rStyle w:val="FootnoteAnchor"/>
          <w:rtl w:val="true"/>
        </w:rPr>
        <w:footnoteReference w:id="1163"/>
      </w:r>
      <w:r>
        <w:rPr>
          <w:rFonts w:ascii="IRNazanin" w:hAnsi="IRNazanin" w:eastAsia="IRNazanin"/>
          <w:color w:val="111111"/>
          <w:sz w:val="28"/>
          <w:sz w:val="28"/>
          <w:szCs w:val="28"/>
          <w:rtl w:val="true"/>
          <w:lang w:bidi="fa-IR"/>
        </w:rPr>
        <w:t xml:space="preserve">إلى قبول ذلک ؛ و مال إليه جملةٌ من المتأخّرين،كشيخنا الشهيد الثانيّ، و المقدّس الأردبيليّ </w:t>
      </w:r>
      <w:r>
        <w:rPr>
          <w:rStyle w:val="FootnoteAnchor"/>
          <w:rtl w:val="true"/>
        </w:rPr>
        <w:footnoteReference w:id="1164"/>
      </w:r>
      <w:r>
        <w:rPr>
          <w:rFonts w:ascii="Amiri" w:hAnsi="Amiri" w:eastAsia="Amiri" w:cs="Amiri"/>
          <w:color w:val="111111"/>
          <w:sz w:val="28"/>
          <w:sz w:val="28"/>
          <w:szCs w:val="28"/>
          <w:rtl w:val="true"/>
          <w:lang w:bidi="ar-SA"/>
        </w:rPr>
        <w:t xml:space="preserve">؛ و عن الفاضل المقداد في التنقيح والصيمريّ، و غيرهما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الانتصار القول بذلک، بل الظاهر منه أنّ القائل بالمنع قليل، حيث قال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انفردت به الإماميّة </w:t>
      </w:r>
      <w:r>
        <w:rPr>
          <w:rStyle w:val="FootnoteAnchor"/>
          <w:rtl w:val="true"/>
        </w:rPr>
        <w:footnoteReference w:id="1166"/>
      </w:r>
      <w:r>
        <w:rPr>
          <w:rFonts w:ascii="Amiri" w:hAnsi="Amiri" w:eastAsia="Amiri" w:cs="Amiri"/>
          <w:color w:val="111111"/>
          <w:sz w:val="28"/>
          <w:sz w:val="28"/>
          <w:szCs w:val="28"/>
          <w:rtl w:val="true"/>
          <w:lang w:bidi="ar-SA"/>
        </w:rPr>
        <w:t xml:space="preserve">في هذه الأعصار </w:t>
      </w:r>
      <w:r>
        <w:rPr>
          <w:rStyle w:val="FootnoteAnchor"/>
          <w:rtl w:val="true"/>
        </w:rPr>
        <w:footnoteReference w:id="1167"/>
      </w:r>
      <w:r>
        <w:rPr>
          <w:rFonts w:ascii="Amiri" w:hAnsi="Amiri" w:eastAsia="Amiri" w:cs="Amiri"/>
          <w:color w:val="111111"/>
          <w:sz w:val="28"/>
          <w:sz w:val="28"/>
          <w:szCs w:val="28"/>
          <w:rtl w:val="true"/>
          <w:lang w:bidi="ar-SA"/>
        </w:rPr>
        <w:t xml:space="preserve">القول بجواز شهادات ذوي الأرحام و القرابات بعضهم لبعض إذا كانوا عدولاً من غير استثناء </w:t>
      </w:r>
    </w:p>
    <w:p>
      <w:pPr>
        <w:pStyle w:val="BookText"/>
        <w:rPr/>
      </w:pPr>
      <w:r>
        <w:rPr>
          <w:rFonts w:ascii="Amiri" w:hAnsi="Amiri" w:eastAsia="Amiri" w:cs="Amiri"/>
          <w:color w:val="111111"/>
          <w:sz w:val="28"/>
          <w:sz w:val="28"/>
          <w:szCs w:val="28"/>
          <w:rtl w:val="true"/>
          <w:lang w:bidi="ar-SA"/>
        </w:rPr>
        <w:t xml:space="preserve">لأحد، إلّا ما يذهب إليه بعض أصحابنا معتمدًا على خبرٍ </w:t>
      </w:r>
      <w:r>
        <w:rPr>
          <w:rStyle w:val="FootnoteAnchor"/>
          <w:rtl w:val="true"/>
        </w:rPr>
        <w:footnoteReference w:id="1168"/>
      </w:r>
      <w:r>
        <w:rPr>
          <w:rFonts w:ascii="Amiri" w:hAnsi="Amiri" w:eastAsia="Amiri" w:cs="Amiri"/>
          <w:color w:val="111111"/>
          <w:sz w:val="28"/>
          <w:sz w:val="28"/>
          <w:szCs w:val="28"/>
          <w:rtl w:val="true"/>
          <w:lang w:bidi="ar-SA"/>
        </w:rPr>
        <w:t xml:space="preserve">يرويه من أنّه لا يجوز شهادة الولد على الوالد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أنّ الظاهر من هذا الكلام، بل ربّما يقال صريحه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شهادة الولد على الوالد عنده مقبولة، و انّ المخالف في ذلک قليل ؛ و لهذا نقل ابن إدريس </w:t>
      </w:r>
      <w:r>
        <w:rPr>
          <w:rStyle w:val="FootnoteAnchor"/>
          <w:rtl w:val="true"/>
        </w:rPr>
        <w:footnoteReference w:id="1170"/>
      </w:r>
      <w:r>
        <w:rPr>
          <w:rFonts w:ascii="Amiri" w:hAnsi="Amiri" w:eastAsia="Amiri" w:cs="Amiri"/>
          <w:color w:val="111111"/>
          <w:sz w:val="28"/>
          <w:sz w:val="28"/>
          <w:szCs w:val="28"/>
          <w:rtl w:val="true"/>
          <w:lang w:bidi="ar-SA"/>
        </w:rPr>
        <w:t xml:space="preserve">وغيره عنه القول بالقبول ؛ و في كنز العرفان </w:t>
      </w:r>
      <w:r>
        <w:rPr>
          <w:rStyle w:val="FootnoteAnchor"/>
          <w:rtl w:val="true"/>
        </w:rPr>
        <w:footnoteReference w:id="1171"/>
      </w:r>
      <w:r>
        <w:rPr>
          <w:rFonts w:ascii="Amiri" w:hAnsi="Amiri" w:eastAsia="Amiri" w:cs="Amiri"/>
          <w:color w:val="111111"/>
          <w:sz w:val="28"/>
          <w:sz w:val="28"/>
          <w:szCs w:val="28"/>
          <w:rtl w:val="true"/>
          <w:lang w:bidi="ar-SA"/>
        </w:rPr>
        <w:t>نقل القول بالقبول عنه و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مستندهم عموم الأدلّة الدالّة على قبول الشهادة من الكتاب و السنّة، وخصوص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كونوا قوّامين بالقِسط شُهداء لله و لو على أنفسكم أو الوالدين و الأقربين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 و هو صريحٌ في جواز إقامة الشهادة على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ما يدلّ عليه الآية هو وجوب إقامة الشهادة و هو لا يستلزم القبول، ليس بشيء، لأنّ الظاهر أنّ المقصود من الأمر بإقامة الشهادة و الترغيب عليها ترتّب أثرها، و هو القبول، إذ يبعد غاية البعد أن يكون المقصود من الآية محض إقامة الشهادة من غير أن يترتّب عليها ثمرتها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أنّهم يستدلّون بالنصوص الدالّة على جواز الشهادة على جواز قبولها، </w:t>
      </w:r>
    </w:p>
    <w:p>
      <w:pPr>
        <w:pStyle w:val="BookText"/>
        <w:rPr/>
      </w:pPr>
      <w:r>
        <w:rPr>
          <w:rFonts w:ascii="Amiri" w:hAnsi="Amiri" w:eastAsia="Amiri" w:cs="Amiri"/>
          <w:color w:val="111111"/>
          <w:sz w:val="28"/>
          <w:sz w:val="28"/>
          <w:szCs w:val="28"/>
          <w:rtl w:val="true"/>
          <w:lang w:bidi="ar-SA"/>
        </w:rPr>
        <w:t>و بالنصوص الدالّة على عدم جواز الشهادة على عدم جواز قبولها ؛ على أنّ كلام المستدلّ بالآية المتقدّمة يدلّ على عدم جواز إقامة الشهادة، لا جوازها مع عدم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الشهادة مع عدم جواز قبولها عبثٌ و لغو، فلا يناسب أن 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بالشهادة المقبولة، و هي الشهادة على النفس، و ملحوقٌ بها، و هي الشهادة على الأقربين، فالمناسب أن يكون هو أيضًا كذلک، حفظًا لاختلال نظم الكلام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بالوالدين الوالد و الوالدة، و الشهادة بالنسبة إليها مقبولة، لعمومات الأدلّة مع عدم ما يخصّصها بالنسبة إليها </w:t>
      </w:r>
      <w:r>
        <w:rPr>
          <w:rStyle w:val="FootnoteAnchor"/>
          <w:rtl w:val="true"/>
        </w:rPr>
        <w:footnoteReference w:id="1173"/>
      </w:r>
      <w:r>
        <w:rPr>
          <w:rFonts w:ascii="Amiri" w:hAnsi="Amiri" w:eastAsia="Amiri" w:cs="Amiri"/>
          <w:color w:val="111111"/>
          <w:sz w:val="28"/>
          <w:sz w:val="28"/>
          <w:szCs w:val="28"/>
          <w:rtl w:val="true"/>
          <w:lang w:bidi="ar-SA"/>
        </w:rPr>
        <w:t xml:space="preserve">، لأنّ دليل المانعين من الإجماع والرواية و كذا كلامهم مختصّ فيما إذا كانت شهادة الولد على الوالد، فينبغي أن يكون الوالد مشتركًا معها في الحكم، لكونهما ذكرا في كلمة واحدة، فتأمّل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دلّت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قبول شهادة الولد على الوالد، لكانت دالّة على عدم قبول </w:t>
      </w:r>
    </w:p>
    <w:p>
      <w:pPr>
        <w:pStyle w:val="BookText"/>
        <w:rPr/>
      </w:pPr>
      <w:r>
        <w:rPr>
          <w:rFonts w:ascii="IRNazanin" w:hAnsi="IRNazanin" w:eastAsia="IRNazanin"/>
          <w:color w:val="111111"/>
          <w:sz w:val="28"/>
          <w:sz w:val="28"/>
          <w:szCs w:val="28"/>
          <w:rtl w:val="true"/>
          <w:lang w:bidi="fa-IR"/>
        </w:rPr>
        <w:t xml:space="preserve">شهادة الولد على الوالدة أيضًا، لكنّک قد عرفت 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أنّا لم نجد من كلام المانعين ما يدلّ على منعهم قبول شهادة الولد على الوالدة ؛ و بهذا يظهر وهنٌ في دلالة تلک الآية على ما مرّ إليه الإشارة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دلالة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قوّامين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شهادة الولد على الوالد ممّا ينبغي أن لا يدور حوله ريبة،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بمضمون الآية الشريفة نصوصٌ متعدّدة،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سويد السائي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في رسالته إليّ و سألته عن الشهادة </w:t>
      </w:r>
      <w:r>
        <w:rPr>
          <w:rStyle w:val="FootnoteAnchor"/>
          <w:rtl w:val="true"/>
        </w:rPr>
        <w:footnoteReference w:id="1176"/>
      </w:r>
      <w:r>
        <w:rPr>
          <w:rFonts w:ascii="IRNazanin" w:hAnsi="IRNazanin" w:eastAsia="IRNazanin"/>
          <w:color w:val="111111"/>
          <w:sz w:val="28"/>
          <w:sz w:val="28"/>
          <w:szCs w:val="28"/>
          <w:rtl w:val="true"/>
          <w:lang w:bidi="fa-IR"/>
        </w:rPr>
        <w:t xml:space="preserve">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الشهادة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على نفسک أو الوالدين والأقربين فيما بينک و بينهم، فإن خفت على أخيک ضيمًا </w:t>
      </w:r>
      <w:r>
        <w:rPr>
          <w:rStyle w:val="FootnoteAnchor"/>
          <w:rtl w:val="true"/>
        </w:rPr>
        <w:footnoteReference w:id="1177"/>
      </w:r>
      <w:r>
        <w:rPr>
          <w:rFonts w:ascii="IRNazanin" w:hAnsi="IRNazanin" w:eastAsia="IRNazanin"/>
          <w:color w:val="111111"/>
          <w:sz w:val="28"/>
          <w:sz w:val="28"/>
          <w:szCs w:val="28"/>
          <w:rtl w:val="true"/>
          <w:lang w:bidi="fa-IR"/>
        </w:rPr>
        <w:t xml:space="preserve">فلا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رواية إسماعيل بن مهران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داود بن الحصين </w:t>
      </w:r>
      <w:r>
        <w:rPr>
          <w:rStyle w:val="FootnoteAnchor"/>
          <w:rtl w:val="true"/>
        </w:rPr>
        <w:footnoteReference w:id="1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w:t>
      </w:r>
    </w:p>
    <w:p>
      <w:pPr>
        <w:pStyle w:val="BookText"/>
        <w:rPr/>
      </w:pPr>
      <w:r>
        <w:rPr>
          <w:rFonts w:ascii="Amiri" w:hAnsi="Amiri" w:eastAsia="Amiri" w:cs="Amiri"/>
          <w:color w:val="111111"/>
          <w:sz w:val="28"/>
          <w:sz w:val="28"/>
          <w:szCs w:val="28"/>
          <w:rtl w:val="true"/>
          <w:lang w:bidi="ar-SA"/>
        </w:rPr>
        <w:t xml:space="preserve">الشهادة على الوالدين و الولد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ضعفها بعد الانجبار بالآية الشريفة غير مضرّ، لكن هذا كلّه في مقابلة الشهرة المستفيض نقلها و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الخلاف و السرائر </w:t>
      </w:r>
      <w:r>
        <w:rPr>
          <w:rStyle w:val="FootnoteAnchor"/>
          <w:rtl w:val="true"/>
        </w:rPr>
        <w:footnoteReference w:id="1182"/>
      </w:r>
      <w:r>
        <w:rPr>
          <w:rFonts w:ascii="Amiri" w:hAnsi="Amiri" w:eastAsia="Amiri" w:cs="Amiri"/>
          <w:color w:val="111111"/>
          <w:sz w:val="28"/>
          <w:sz w:val="28"/>
          <w:szCs w:val="28"/>
          <w:rtl w:val="true"/>
          <w:lang w:bidi="ar-SA"/>
        </w:rPr>
        <w:t xml:space="preserve">وسيجيء عن الغنية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المتقدّمة المنجبرة بهما، غيرُ قابلٍ للمعارضة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ترى جملة من أصحابنا المتأخّرة مناقشين في الأدلّة غير متجرّئين على الفتوى بالمخالفة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تسليم تعارضهما من الطرفين يجب الرجوع إلى حكم الأصل، ومقتضاه عدم القبول كما عرفت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عن الغنية </w:t>
      </w:r>
      <w:r>
        <w:rPr>
          <w:rStyle w:val="FootnoteAnchor"/>
          <w:rtl w:val="true"/>
        </w:rPr>
        <w:footnoteReference w:id="1184"/>
      </w:r>
      <w:r>
        <w:rPr>
          <w:rFonts w:ascii="Amiri" w:hAnsi="Amiri" w:eastAsia="Amiri" w:cs="Amiri"/>
          <w:color w:val="111111"/>
          <w:sz w:val="28"/>
          <w:sz w:val="28"/>
          <w:szCs w:val="28"/>
          <w:rtl w:val="true"/>
          <w:lang w:bidi="ar-SA"/>
        </w:rPr>
        <w:t xml:space="preserve">دعوى الإجماع في المسألة أيضًا، لكنّه جعل المجمع عليه التفصيل بين حياة الوالد فالمنع، و موته فالقبول ؛ و هو قويّ، لأنّ الظاهر المتبادر من كلماتهم و كذا مستندهم هو حال الحياة، فيبقى العمومات بالنسبة إلى غيرها سالمة عمّا يصلح للمعارضة ؛ هذا، مع أنّ الفاضل في كشف اللثام </w:t>
      </w:r>
      <w:r>
        <w:rPr>
          <w:rStyle w:val="FootnoteAnchor"/>
          <w:rtl w:val="true"/>
        </w:rPr>
        <w:footnoteReference w:id="1185"/>
      </w:r>
      <w:r>
        <w:rPr>
          <w:rFonts w:ascii="Amiri" w:hAnsi="Amiri" w:eastAsia="Amiri" w:cs="Amiri"/>
          <w:color w:val="111111"/>
          <w:sz w:val="28"/>
          <w:sz w:val="28"/>
          <w:szCs w:val="28"/>
          <w:rtl w:val="true"/>
          <w:lang w:bidi="ar-SA"/>
        </w:rPr>
        <w:t xml:space="preserve">نفى الخلاف في قبولها على الميّت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المذكور هل هو مختصّ بالأب الحقيقيّ، أو شاملٌ للجدّ و إن علا؟ </w:t>
      </w:r>
      <w:bookmarkStart w:id="525" w:name="pg14719_186791"/>
    </w:p>
    <w:p>
      <w:pPr>
        <w:pStyle w:val="BookText"/>
        <w:rPr/>
      </w:pPr>
      <w:bookmarkEnd w:id="525"/>
      <w:r>
        <w:rPr>
          <w:rFonts w:ascii="IRNazanin" w:hAnsi="IRNazanin" w:eastAsia="IRNazanin"/>
          <w:color w:val="111111"/>
          <w:sz w:val="28"/>
          <w:sz w:val="28"/>
          <w:szCs w:val="28"/>
          <w:rtl w:val="true"/>
          <w:lang w:bidi="fa-IR"/>
        </w:rPr>
        <w:t xml:space="preserve">وجهان، أوجههما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لأنّه على فرض تسليم صدق الأب على الجدّ والولد على ولد الولد حقيقةً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المتبادر من الأب والولد غير ذلک، فينصرف إليه إطلاق الإجماع و الرواية، فيرجع في غيره إلى ما اقتضاه العمومات، و هو القبول </w:t>
      </w:r>
      <w:r>
        <w:rPr>
          <w:rFonts w:eastAsia="IRNazanin" w:cs="IRNazanin"/>
          <w:color w:val="111111"/>
          <w:sz w:val="28"/>
          <w:szCs w:val="28"/>
          <w:rtl w:val="true"/>
          <w:lang w:bidi="fa-IR"/>
        </w:rPr>
        <w:t>.</w:t>
      </w:r>
    </w:p>
    <w:p>
      <w:pPr>
        <w:pStyle w:val="Heading5"/>
        <w:numPr>
          <w:ilvl w:val="4"/>
          <w:numId w:val="1"/>
        </w:numPr>
        <w:rPr/>
      </w:pPr>
      <w:bookmarkStart w:id="526" w:name="__RefHeading___Toc553849_730472459"/>
      <w:bookmarkStart w:id="527" w:name="_Toc203"/>
      <w:bookmarkEnd w:id="526"/>
      <w:r>
        <w:rPr>
          <w:rtl w:val="true"/>
        </w:rPr>
        <w:t>الكلام في شهادة الولد على الوالد</w:t>
      </w:r>
      <w:bookmarkEnd w:id="527"/>
    </w:p>
    <w:p>
      <w:pPr>
        <w:pStyle w:val="BookText"/>
        <w:rPr/>
      </w:pPr>
      <w:r>
        <w:rPr>
          <w:rFonts w:ascii="Amiri" w:hAnsi="Amiri" w:eastAsia="Amiri" w:cs="Amiri"/>
          <w:color w:val="111111"/>
          <w:sz w:val="28"/>
          <w:sz w:val="28"/>
          <w:szCs w:val="28"/>
          <w:rtl w:val="true"/>
          <w:lang w:bidi="ar-SA"/>
        </w:rPr>
        <w:t xml:space="preserve">هذا كلّه في شهادة الولد على الوالد ؛ و أمّا إذا كان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الوالد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فمقبولة، عملاً بالعمومات السالمة عن المعارض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شهد الولد على الأب و على غيره كالأجنبيّ مثلاً، هل تردّ مطلقًا، أو تقبل كذلک، أو التفصيل فتردّ في حقّ الوالد و تقبل في حقّ غيره ؟ احتمالات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شهادة واحدة صدرت من الشاهد ؛ و قد عرفت أنّها على الوالد غير مقبولة، فيلزم عدم القبول بالنسبة إلى غيره أيضًا، لأنّ الشهادة الواحدة كيف تتّصف بالقبول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بكلٍّ من الأدلّة الدالّة على عدم قبول شهادة الولد على الوالد و الأدلّة الدالّة على قبول الشهادة بالنسبة إلى الغير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واتّصاف الشهادة الواحدة بالقبول و العدم مع اختلاف الحيثيّة غير مضرّ ؛ و ما نحن فيه كذلک، لأنّ تلک الشهادة من حيث انّها شهادةٌ على الوالد غير مقبولة، ومن حيث انّه شهادةٌ على الغير فمقبولة </w:t>
      </w:r>
      <w:r>
        <w:rPr>
          <w:rFonts w:eastAsia="IRNazanin" w:cs="IRNazanin"/>
          <w:color w:val="111111"/>
          <w:sz w:val="28"/>
          <w:szCs w:val="28"/>
          <w:rtl w:val="true"/>
          <w:lang w:bidi="fa-IR"/>
        </w:rPr>
        <w:t xml:space="preserve">. </w:t>
      </w:r>
      <w:bookmarkStart w:id="528" w:name="pg14719_186792"/>
    </w:p>
    <w:p>
      <w:pPr>
        <w:pStyle w:val="BookText"/>
        <w:rPr/>
      </w:pPr>
      <w:bookmarkEnd w:id="528"/>
      <w:r>
        <w:rPr>
          <w:rFonts w:ascii="Amiri" w:hAnsi="Amiri" w:eastAsia="Amiri" w:cs="Amiri"/>
          <w:color w:val="111111"/>
          <w:sz w:val="28"/>
          <w:sz w:val="28"/>
          <w:szCs w:val="28"/>
          <w:rtl w:val="true"/>
          <w:lang w:bidi="ar-SA"/>
        </w:rPr>
        <w:t xml:space="preserve">أوجه الوجوه الثلاثة هو الثاني، فتقبل شهادة الولد حينئذٍ مطلقًا، استنادًا إلى عموم الأدلّة الدالّة على قبول الشهادة من الكتاب و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ليس لها معارض إلّا ما تقدّم من الإجماعات المنقولة و الرواية المتقدّمة ؛ والمتبادر منهما هو ما إذا كانت شهادة الولد على الوالد فقط، فينصرفان إليه و يبقى تلک العمومات سالمة عمّا يصلح للمعارضة بالنسبة إلى مفروض المسألة، فوجب العمل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الاحتمال الثاني ضعيف، لأنّ اختلاف الحيثيّة مع اتّحاد الذات لا يجدي نفعًا ؛ و الاحتمال الأوّل مبنيّ على تسليم ثبوت العموم في الأدلّة الدالّة على عدم جواز قبول شهادة الولد على الوالد حتّى يشمل مفروض المسألة أيضًا ؛ و هو غير مسلّم، إذ لم نجد من تلک الأدلّة إلّا الإجماعات المنقولة و الرواية المزبورة ؛ وليس شيء منهما من العموم بلا ريبة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يدّعى أنّ عدم قبول شهادة الولد على الوالد فقط يدلّ على عدم قبولها فيما إذا كان مع الوالد غيره بطريق أولى، لكنّها ممنوعة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553851_730472459"/>
      <w:bookmarkStart w:id="530" w:name="_Toc204"/>
      <w:bookmarkEnd w:id="529"/>
      <w:r>
        <w:rPr>
          <w:rtl w:val="true"/>
        </w:rPr>
        <w:t>السبب الرابع</w:t>
      </w:r>
      <w:bookmarkEnd w:id="530"/>
    </w:p>
    <w:p>
      <w:pPr>
        <w:pStyle w:val="Heading5"/>
        <w:numPr>
          <w:ilvl w:val="4"/>
          <w:numId w:val="1"/>
        </w:numPr>
        <w:rPr/>
      </w:pPr>
      <w:bookmarkStart w:id="531" w:name="__RefHeading___Toc553853_730472459"/>
      <w:bookmarkStart w:id="532" w:name="_Toc205"/>
      <w:bookmarkEnd w:id="531"/>
      <w:r>
        <w:rPr>
          <w:rtl w:val="true"/>
        </w:rPr>
        <w:t xml:space="preserve">من أسباب التهمة </w:t>
      </w:r>
      <w:r>
        <w:rPr>
          <w:rtl w:val="true"/>
        </w:rPr>
        <w:t xml:space="preserve">: </w:t>
      </w:r>
      <w:r>
        <w:rPr>
          <w:rtl w:val="true"/>
        </w:rPr>
        <w:t>كون الشاهد كثير الغفلة</w:t>
      </w:r>
      <w:bookmarkEnd w:id="53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الرابع من أسباب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الشاهد كثير الغفلة و النسيان، فإنّه متّهم بسبب كثرة السهو و النسيان، إلّا أن يكون المشهود به بحيث لا ينسي و لا يسهي </w:t>
      </w:r>
    </w:p>
    <w:p>
      <w:pPr>
        <w:pStyle w:val="BookText"/>
        <w:rPr/>
      </w:pPr>
      <w:r>
        <w:rPr>
          <w:rFonts w:ascii="IRNazanin" w:hAnsi="IRNazanin" w:eastAsia="IRNazanin"/>
          <w:color w:val="111111"/>
          <w:sz w:val="28"/>
          <w:sz w:val="28"/>
          <w:szCs w:val="28"/>
          <w:rtl w:val="true"/>
          <w:lang w:bidi="fa-IR"/>
        </w:rPr>
        <w:t xml:space="preserve">عادةً مطلقًا و لو بالنسبة إلى كثير النسيان و السهو، أو أن يذكر من الخصوصيّات بحيث يطمئنّ النفس به ؛ و بدون ذلک لا تقبل شهادته للاتّهام المذكور، فيدخل تحت النصوص المعتبرة المتقدّمة الدالّة على عدم شهادة ذي التهمة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المناقشة في تلک النصوص بأنّه ليس في شيء منها ما يدلّ على عدم قبول شهادة المتّهم بعنوان العموم ليشمل جميع الأفراد، بل إنّما هي مطلقات، والمتبادر منها غير ما نحن فيه، فتنصرف إليه، فتبقى العمومات الدالّة على قبول الشهادة بالنسبة إلى ما نحن فيه سالمًا عمّا يصلح للمعارضة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يثبت الإجماع في المسألة، أو يثبت المنقح في أنّ الباعث على عدم قبول الشهادة هناک مطلق التهمة أيّة تهمة كانت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الكلام في ثبوت ذلک مع أنّک قد عرفت في كثيرٍ من المواضع قبول الشهادة مع تحقّق التهمة فيه، فتأمّل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روي عن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دينه و أمانته و صلاحه و عفّته وتفطّنه </w:t>
      </w:r>
      <w:r>
        <w:rPr>
          <w:rStyle w:val="FootnoteAnchor"/>
          <w:rtl w:val="true"/>
        </w:rPr>
        <w:footnoteReference w:id="1188"/>
      </w:r>
      <w:r>
        <w:rPr>
          <w:rFonts w:ascii="Amiri" w:hAnsi="Amiri" w:eastAsia="Amiri" w:cs="Amiri"/>
          <w:color w:val="111111"/>
          <w:sz w:val="28"/>
          <w:sz w:val="28"/>
          <w:szCs w:val="28"/>
          <w:rtl w:val="true"/>
          <w:lang w:bidi="ar-SA"/>
        </w:rPr>
        <w:t xml:space="preserve">فيما يشهد به، و تمييزه </w:t>
      </w:r>
      <w:r>
        <w:rPr>
          <w:rStyle w:val="FootnoteAnchor"/>
          <w:rtl w:val="true"/>
        </w:rPr>
        <w:footnoteReference w:id="1189"/>
      </w:r>
      <w:r>
        <w:rPr>
          <w:rFonts w:ascii="Amiri" w:hAnsi="Amiri" w:eastAsia="Amiri" w:cs="Amiri"/>
          <w:color w:val="111111"/>
          <w:sz w:val="28"/>
          <w:sz w:val="28"/>
          <w:szCs w:val="28"/>
          <w:rtl w:val="true"/>
          <w:lang w:bidi="ar-SA"/>
        </w:rPr>
        <w:t xml:space="preserve">، فما كلّ صالح مميّز محصّل </w:t>
      </w:r>
      <w:r>
        <w:rPr>
          <w:rStyle w:val="FootnoteAnchor"/>
          <w:rtl w:val="true"/>
        </w:rPr>
        <w:footnoteReference w:id="1190"/>
      </w:r>
      <w:r>
        <w:rPr>
          <w:rFonts w:ascii="Amiri" w:hAnsi="Amiri" w:eastAsia="Amiri" w:cs="Amiri"/>
          <w:color w:val="111111"/>
          <w:sz w:val="28"/>
          <w:sz w:val="28"/>
          <w:szCs w:val="28"/>
          <w:rtl w:val="true"/>
          <w:lang w:bidi="ar-SA"/>
        </w:rPr>
        <w:t xml:space="preserve">، و لا كلّ </w:t>
      </w:r>
      <w:bookmarkStart w:id="533" w:name="pg14719_186794"/>
    </w:p>
    <w:p>
      <w:pPr>
        <w:pStyle w:val="BookText"/>
        <w:rPr/>
      </w:pPr>
      <w:bookmarkEnd w:id="533"/>
      <w:r>
        <w:rPr>
          <w:rFonts w:ascii="Amiri" w:hAnsi="Amiri" w:eastAsia="Amiri" w:cs="Amiri"/>
          <w:color w:val="111111"/>
          <w:sz w:val="28"/>
          <w:sz w:val="28"/>
          <w:szCs w:val="28"/>
          <w:rtl w:val="true"/>
          <w:lang w:bidi="ar-SA"/>
        </w:rPr>
        <w:t xml:space="preserve">محصّل مميّز صالح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553855_730472459"/>
      <w:bookmarkStart w:id="535" w:name="_Toc206"/>
      <w:bookmarkEnd w:id="534"/>
      <w:r>
        <w:rPr>
          <w:rtl w:val="true"/>
        </w:rPr>
        <w:t>السبب الخامس</w:t>
      </w:r>
      <w:bookmarkEnd w:id="535"/>
    </w:p>
    <w:p>
      <w:pPr>
        <w:pStyle w:val="Heading5"/>
        <w:numPr>
          <w:ilvl w:val="4"/>
          <w:numId w:val="1"/>
        </w:numPr>
        <w:rPr/>
      </w:pPr>
      <w:bookmarkStart w:id="536" w:name="__RefHeading___Toc553857_730472459"/>
      <w:bookmarkStart w:id="537" w:name="_Toc207"/>
      <w:bookmarkEnd w:id="536"/>
      <w:r>
        <w:rPr>
          <w:rtl w:val="true"/>
        </w:rPr>
        <w:t xml:space="preserve">من أسباب التهمة </w:t>
      </w:r>
      <w:r>
        <w:rPr>
          <w:rtl w:val="true"/>
        </w:rPr>
        <w:t xml:space="preserve">: </w:t>
      </w:r>
      <w:r>
        <w:rPr>
          <w:rtl w:val="true"/>
        </w:rPr>
        <w:t>دفع عار الكذب</w:t>
      </w:r>
      <w:bookmarkEnd w:id="537"/>
    </w:p>
    <w:p>
      <w:pPr>
        <w:pStyle w:val="BookText"/>
        <w:rPr/>
      </w:pPr>
      <w:r>
        <w:rPr>
          <w:rFonts w:ascii="Amiri" w:hAnsi="Amiri" w:eastAsia="Amiri" w:cs="Amiri"/>
          <w:color w:val="111111"/>
          <w:sz w:val="28"/>
          <w:sz w:val="28"/>
          <w:szCs w:val="28"/>
          <w:rtl w:val="true"/>
          <w:lang w:bidi="ar-SA"/>
        </w:rPr>
        <w:t xml:space="preserve">السبب الخامس من أسباب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عار الكذب، كما إذا تاب الفاسق، وهو متّهم بأنّه ما تاب إلّا لتقبل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التوبة لم تؤثر في قبول الشهادة و إن أظهر صلاح حاله ؛ و ذلک لتحقّق التهمة بأنّها ليست توبة، فإنّ التوبة لا تكون إلّا لخوف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الشخص متّهم بأنّه لم يتب لذلک، لأنّ المفروض أنّه متّهم، لأنّه تاب لتقبل شهادته، لا لخوف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 هذا الشيء مخرجًا له من الفسق إلى العدالة حتّى تجوز قبول الشهادة مع تحقّق تلک التهمة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المتصوّرة هنا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الفاسق تاب و ليس بمتّهم أنّه تاب لأجل أن تقبل شهادته، بل علم من حاله أنّه تاب لخوف الله تعالى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الشخص بعد ظهور الصلاح منه واستمراره عليه قبلت شهادته من غير إشكال ؛ بل ربّما يقال بقبول شهادته من حين تاب ؛ و هذا ليس بمتّهم، فكلامنا ليس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بعكس ذلک، بأن علم أنّه تاب لأجل أن لا تردّ شهادته لا لخوف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يظهر صلاحه و أنّه تاب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غير مسموع الشهادة بلا إشكال، وجهه واضح، لأنّه لم يتب حقيقة، لأنّ التوبة عبارة عن الندم عمّا صدر منه في الماضي من القبيح و العزم على عدم العود إليه في الاستقبال و الترک في زمان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 ذلک لأجل 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والاستحياء عن ذاته المقدّسة، و لقبح ما صدر منه من الخصلة السخيفة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المفروض أنّ ذلک الشخص ما ترک الذنب مثلاً لذلک، بل لأجل أن لا تردّ شهادته، فما فعله ليس بتوبة حقيقة، فلا يعود بسببه العدالة، بل باقٍ على فسقه و لو إلى قيام القيامة، فلا يكون مقبول 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كلامنا في مثل هذا الشخص أيضًا، لعلمنا بفسقه، فلا معنى للتهمة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إذا تاب الفاسق و لم نعلم أنّها كالصورة الأولى أو الثانية، لكنّه متّهم بأنّ توبته لأجل أن لا تردّ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الّذي كلامنا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شهادته ليست بمقبولة، لأجل التهمة فيه في توبته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منک آنفًا أنّ النصوص المتقدّمة الدالّة على عدم قبول شهادة ذي التهمة لا تنصرف إلى مثل هذه التهمة، فينبغي أن تقبل فيها الشهادة كما حكمت به في المسألة المتقدّمة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اشتباه في البين و غفلة عن الفرق بين المقامين ؛ بيان الفرق بينهما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الدالّة على عدم قبول شهادة ذي التهمة لمّا لم تشمل مثل تلک التهمة بقيت العمومات الدالّة على قبول شهادة العادل عن المعارض سليمة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أيضًا عدم شمول تلک النصوص لمثل هذه التهمة مسلّم، لكن ذلک غير كافٍ مع عدم مقتضى القبول، لعدم جواز التمسّک في المقام بالعمومات المشار إليها، لعدم ثبوت العدالة فيه، بل ثبوت الفسق بمقتضى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المقتضي لقبول الشهادة في المسألة السابقة لمّا كان موجودًا، وهو العمومات المشار إليها، و لم يوجد المانع لذلک سوى النصوص المتقدّمة كما هو المفروض ؛ و حيث قد أثبتنا عدم صلاحيّتها للمانعيّة على ما مرّ، بقي المقتضي لقبول الشهادة هناک من غير مانع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تحقّق المقتضي وانتفاء المانع وجب القول بمقتضاه، بخلاف ما نحن فيه، فإنّ المقتضي فيه غير موجود حتّى نحتاج إلى دفع المانع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بعبارة أخرى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شمول النصوص الناهية لقبول شهادة ذي التهمة لما نحن فيه مسلّم، لكن ذلک مع عدم مقتضى قبول الشهادة فيه غير نافع، بل قد عرفت أنّه فاسقٌ بمقتضى الاستصحاب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 و الجامع </w:t>
      </w:r>
      <w:r>
        <w:rPr>
          <w:rStyle w:val="FootnoteAnchor"/>
          <w:rtl w:val="true"/>
        </w:rPr>
        <w:footnoteReference w:id="1192"/>
      </w:r>
      <w:r>
        <w:rPr>
          <w:rFonts w:ascii="IRNazanin" w:hAnsi="IRNazanin" w:eastAsia="IRNazanin"/>
          <w:color w:val="111111"/>
          <w:sz w:val="28"/>
          <w:sz w:val="28"/>
          <w:szCs w:val="28"/>
          <w:rtl w:val="true"/>
          <w:lang w:bidi="fa-IR"/>
        </w:rPr>
        <w:t xml:space="preserve">، فجوّزا أن يقول القاضي للمشهور بالفسق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أقبل شهادتک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ليس بمرضيّ، و قد عرفت التحقيق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عبارتهما ليست بصريحة في المخالفة، بل و في الظهور كلام، لاحتمال أن يكون مرادهما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بالتوبة الصحيحة،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أقبل شهادتک، لا أن يكون مرادهما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لأجل قبول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ما ذكرناه من التحقيق ظهر لک أنّه لو تاب الفاسق و اتّهم أنّ توبته لأجل أن تقبل شهادته، أو علم أنّ توبته لأجل ذلک، شهادته مردودة، لكن لو تاب بعد ذلک لخوف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الشهادة المردودة بعدها، قال في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القبول نظر </w:t>
      </w:r>
      <w:r>
        <w:rPr>
          <w:rStyle w:val="FootnoteAnchor"/>
          <w:rtl w:val="true"/>
        </w:rPr>
        <w:footnoteReference w:id="1193"/>
      </w:r>
      <w:r>
        <w:rPr>
          <w:rFonts w:ascii="Amiri" w:hAnsi="Amiri" w:eastAsia="Amiri" w:cs="Amiri"/>
          <w:color w:val="111111"/>
          <w:sz w:val="28"/>
          <w:sz w:val="28"/>
          <w:szCs w:val="28"/>
          <w:rtl w:val="true"/>
          <w:lang w:bidi="ar-SA"/>
        </w:rPr>
        <w:t xml:space="preserve">؛ ينشأ من انتفاء المانع، و هو الفسق ؛ و من ثبوت التهمة أيضًا لحرص الناس على إثبات الصدق فيما عيّروا بالكذب فيه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محكيّ عن النهاية و الخلاف و السرائر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يفصل بين ظهور الصلاح منه واستمراره عليه فالأوّل، وإلّا فالثاني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جماعة </w:t>
      </w:r>
      <w:r>
        <w:rPr>
          <w:rStyle w:val="FootnoteAnchor"/>
          <w:rtl w:val="true"/>
        </w:rPr>
        <w:footnoteReference w:id="1196"/>
      </w:r>
      <w:r>
        <w:rPr>
          <w:rFonts w:ascii="Amiri" w:hAnsi="Amiri" w:eastAsia="Amiri" w:cs="Amiri"/>
          <w:color w:val="111111"/>
          <w:sz w:val="28"/>
          <w:sz w:val="28"/>
          <w:szCs w:val="28"/>
          <w:rtl w:val="true"/>
          <w:lang w:bidi="ar-SA"/>
        </w:rPr>
        <w:t xml:space="preserve">التفصيل في المسألة بين الفاسق المعلن بفسقه و المستتر به، فإن كان الأوّل تقبل شهادته، لأنّه لمّا كان معلنًا في فسقه لا يبال بإظهار كذبه والقول بخلافه لو كان كاذبًا و عدم الإظهار يظهر العدم ؛ و إن كان الثاني، فلا تقبل </w:t>
      </w:r>
      <w:bookmarkStart w:id="538" w:name="pg14719_186798"/>
    </w:p>
    <w:p>
      <w:pPr>
        <w:pStyle w:val="BookText"/>
        <w:rPr/>
      </w:pPr>
      <w:bookmarkEnd w:id="538"/>
      <w:r>
        <w:rPr>
          <w:rFonts w:ascii="Amiri" w:hAnsi="Amiri" w:eastAsia="Amiri" w:cs="Amiri"/>
          <w:color w:val="111111"/>
          <w:sz w:val="28"/>
          <w:sz w:val="28"/>
          <w:szCs w:val="28"/>
          <w:rtl w:val="true"/>
          <w:lang w:bidi="ar-SA"/>
        </w:rPr>
        <w:t xml:space="preserve">شهادته المردودة، لحرص المستتر على إصلاح الظاهر و دخول الغضاضة عليه بظهور كذبه ؛ هذا </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553859_730472459"/>
      <w:bookmarkStart w:id="540" w:name="_Toc208"/>
      <w:bookmarkEnd w:id="539"/>
      <w:r>
        <w:rPr>
          <w:rtl w:val="true"/>
        </w:rPr>
        <w:t>المعتبر في ردّ الشهادة وجود المانع حال الأداء</w:t>
      </w:r>
      <w:bookmarkEnd w:id="540"/>
    </w:p>
    <w:p>
      <w:pPr>
        <w:pStyle w:val="BookText"/>
        <w:rPr/>
      </w:pPr>
      <w:r>
        <w:rPr>
          <w:rFonts w:ascii="IRNazanin" w:hAnsi="IRNazanin" w:eastAsia="IRNazanin"/>
          <w:color w:val="111111"/>
          <w:sz w:val="28"/>
          <w:sz w:val="28"/>
          <w:szCs w:val="28"/>
          <w:rtl w:val="true"/>
          <w:lang w:bidi="fa-IR"/>
        </w:rPr>
        <w:t xml:space="preserve">و حيث قد انتهى الكلام إلى أنّ تحمّل الفاسق حال فسقه للشهادة لا يمنع قبولها إذا لم يكن الفسق حال أدائها، فينبغي تحقيق تلک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ردّ الشهادة وجود المانع حال الأداء، فلو لم يكن المانع موجودًا حاله، فلا تردّ الشهادة و لو كان في حال التحمّل موجودًا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لو تحمّل الفاسق أو الصبّي أو الكافر الشهادة، و كذا العبد بالنسبة على مولاه، ثمّ زال المانع بأن تاب الفاسق و بلغ الصبيّ و أسلم الكافر واعتق العبد، يجوز قبول شهادتهم بالتحمّل السابق، لأنّ المعتبر في قبول الشهادة عدالة الشاهد حال الأداء، و هو متحقّق، إذ المفروض ذلک، فتقبل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بعبارة أخرى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لقبول الشهادة موجود، و المانع عنه مفقود، فتقبل ؛ أمّا وجود المقتضي فلتحقّق العدالة، فيدخل تحت ما دلّ على قبول شهادة العادل ؛ و أمّا انتفاء المانع فلأنّ المفروض عدمه سوى الفسق والصباوة والكفر والرقّ حال التحمّل، و هو لا يصلح للمانعيّة، فيجب القبول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للنصوص المستفيضة المعتبرة،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السكونيّ عن جعفر، عن أبيه، </w:t>
      </w:r>
    </w:p>
    <w:p>
      <w:pPr>
        <w:pStyle w:val="BookText"/>
        <w:rPr/>
      </w:pP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شهادة الصبيان إذا شهدوا </w:t>
      </w:r>
      <w:r>
        <w:rPr>
          <w:rStyle w:val="FootnoteAnchor"/>
          <w:rtl w:val="true"/>
        </w:rPr>
        <w:footnoteReference w:id="1197"/>
      </w:r>
      <w:r>
        <w:rPr>
          <w:rFonts w:ascii="Amiri" w:hAnsi="Amiri" w:eastAsia="Amiri" w:cs="Amiri"/>
          <w:color w:val="111111"/>
          <w:sz w:val="28"/>
          <w:sz w:val="28"/>
          <w:szCs w:val="28"/>
          <w:rtl w:val="true"/>
          <w:lang w:bidi="ar-SA"/>
        </w:rPr>
        <w:t xml:space="preserve">و هم صغارٌ جازت إذا كبروا ما لم ينسوها </w:t>
      </w:r>
      <w:r>
        <w:rPr>
          <w:rStyle w:val="FootnoteAnchor"/>
          <w:rtl w:val="true"/>
        </w:rPr>
        <w:footnoteReference w:id="1198"/>
      </w:r>
      <w:r>
        <w:rPr>
          <w:rFonts w:ascii="IRNazanin" w:hAnsi="IRNazanin" w:eastAsia="IRNazanin"/>
          <w:color w:val="111111"/>
          <w:sz w:val="28"/>
          <w:sz w:val="28"/>
          <w:szCs w:val="28"/>
          <w:rtl w:val="true"/>
          <w:lang w:bidi="fa-IR"/>
        </w:rPr>
        <w:t xml:space="preserve">؛ و كذلک اليهود و النصارى إذا أسلموا جازت شهادتهم </w:t>
      </w:r>
      <w:r>
        <w:rPr>
          <w:rStyle w:val="FootnoteAnchor"/>
          <w:rtl w:val="true"/>
        </w:rPr>
        <w:footnoteReference w:id="1199"/>
      </w:r>
      <w:r>
        <w:rPr>
          <w:rFonts w:ascii="Amiri" w:hAnsi="Amiri" w:eastAsia="Amiri" w:cs="Amiri"/>
          <w:color w:val="111111"/>
          <w:sz w:val="28"/>
          <w:sz w:val="28"/>
          <w:szCs w:val="28"/>
          <w:rtl w:val="true"/>
          <w:lang w:bidi="ar-SA"/>
        </w:rPr>
        <w:t xml:space="preserve">؛ والعبد إذا شهد شهادة </w:t>
      </w:r>
      <w:r>
        <w:rPr>
          <w:rStyle w:val="FootnoteAnchor"/>
          <w:rtl w:val="true"/>
        </w:rPr>
        <w:footnoteReference w:id="1200"/>
      </w:r>
      <w:r>
        <w:rPr>
          <w:rFonts w:ascii="Amiri" w:hAnsi="Amiri" w:eastAsia="Amiri" w:cs="Amiri"/>
          <w:color w:val="111111"/>
          <w:sz w:val="28"/>
          <w:sz w:val="28"/>
          <w:szCs w:val="28"/>
          <w:rtl w:val="true"/>
          <w:lang w:bidi="ar-SA"/>
        </w:rPr>
        <w:t xml:space="preserve">ثمّ أعتق جازت شهادته إذا لم يردّها الحاكم قبل أن يعتق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يردّها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أنّه إذا لم يردّها بفسق، أو ما يقدح في العدالة </w:t>
      </w:r>
      <w:r>
        <w:rPr>
          <w:rStyle w:val="FootnoteAnchor"/>
          <w:rtl w:val="true"/>
        </w:rPr>
        <w:footnoteReference w:id="1202"/>
      </w:r>
      <w:r>
        <w:rPr>
          <w:rFonts w:ascii="Amiri" w:hAnsi="Amiri" w:eastAsia="Amiri" w:cs="Amiri"/>
          <w:color w:val="111111"/>
          <w:sz w:val="28"/>
          <w:sz w:val="28"/>
          <w:szCs w:val="28"/>
          <w:rtl w:val="true"/>
          <w:lang w:bidi="ar-SA"/>
        </w:rPr>
        <w:t xml:space="preserve">، لا لأجل العبوديّة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يدلّ على المطلوب بتمامه، أمّا دلالته على قبول شهادة الصبيّ إذا بلغ بما شهده قبل البلوغ و كذا العبد، فواضحة ؛ و أمّا بالنسبة إلى قبول شهادة الكافر إذا أسلم بما شهده في حال كفره، فهو و إن لم يكن صريحًا بالنسبة إليه،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كذا اليهود و النصارى إذا أسلموا جازت شهادتهم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يشمل ما لو كانت الشهادة بشهادةٍ حال الكفر، أم لا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ربّما يمكن أن يقال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كذا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الصورة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يستفاد منه قبول شهادة الفاسق بما تحمّله حال الفسق إذا تاب وشهد، لأنّه لو جاز قبول شهادة الكافر بما تحمّله حال الكفر إذا أسلم ففي الفاسق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الّذي يشهد على الشيء و هو صغيرٌ قد رآه في صغره، ثمّ قام به بعد ما 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شهادته نحوًا </w:t>
      </w:r>
      <w:r>
        <w:rPr>
          <w:rStyle w:val="FootnoteAnchor"/>
          <w:rtl w:val="true"/>
        </w:rPr>
        <w:footnoteReference w:id="1204"/>
      </w:r>
      <w:r>
        <w:rPr>
          <w:rFonts w:ascii="Amiri" w:hAnsi="Amiri" w:eastAsia="Amiri" w:cs="Amiri"/>
          <w:color w:val="111111"/>
          <w:sz w:val="28"/>
          <w:sz w:val="28"/>
          <w:szCs w:val="28"/>
          <w:rtl w:val="true"/>
          <w:lang w:bidi="ar-SA"/>
        </w:rPr>
        <w:t xml:space="preserve">من شهادة هؤلاء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 شهادته نحوًا من شهادة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البالغين،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هذه الشهادة و شهادة البالغين الّذين تحمّلوها حال البلوغ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نصرانيّ أشهد على شهادة ثمّ أسلم بعد، أتجوز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على موضع شهادته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نصرانيّ أشهد على شهادة ثمّ أسلم بعد، أتجوز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على موضع شهادته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 الحديث إلى محمّد بن حُمْرَان صحيح ؛ و أمّا هو فممدوحٌ في الجملة،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اليهوديّ و النصرانيّ إذا شهدوا ثمّ أسلموا جازت شهادتهم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النصوص تدلّ على أنّ الفاسق إذا تحمّل الشهادة حال فسقه ثمّ تاب قبل الأداء تقبل شهادته على ما قدّمناه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أشهد أجيره </w:t>
      </w:r>
      <w:bookmarkStart w:id="541" w:name="pg14719_186802"/>
    </w:p>
    <w:p>
      <w:pPr>
        <w:pStyle w:val="BookText"/>
        <w:rPr/>
      </w:pPr>
      <w:bookmarkEnd w:id="541"/>
      <w:r>
        <w:rPr>
          <w:rFonts w:ascii="IRNazanin" w:hAnsi="IRNazanin" w:eastAsia="IRNazanin"/>
          <w:color w:val="111111"/>
          <w:sz w:val="28"/>
          <w:sz w:val="28"/>
          <w:szCs w:val="28"/>
          <w:rtl w:val="true"/>
          <w:lang w:bidi="fa-IR"/>
        </w:rPr>
        <w:t xml:space="preserve">على شهادة ثمّ فارقه، أتجوز شهادته له بعد أن يفارقه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كذلک العبد إذا أعتق جازت شهادته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الذمّي والعبد يشهدان على شهادة ثمّ يسلم الذمّيّ و يعتق العبد، أتجوز شهادتهما على ما كانا أشهدا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علم منهما بعد ذلک خيرٌ جازت شهادتهما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رواه جميل في الصحيح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عن نصرانيّ أشهد على شهادة ثمّ أسلم بعد، أتجوز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212"/>
      </w:r>
      <w:r>
        <w:rPr>
          <w:rFonts w:ascii="Amiri" w:hAnsi="Amiri" w:eastAsia="Amiri" w:cs="Amiri"/>
          <w:color w:val="111111"/>
          <w:sz w:val="28"/>
          <w:sz w:val="28"/>
          <w:szCs w:val="28"/>
          <w:rtl w:val="true"/>
          <w:lang w:bidi="ar-SA"/>
        </w:rPr>
        <w:t xml:space="preserve">؛ فلا يصلح لمعارضة ما تقدّم من وجوهٍ عديدة، فلهذا حمله شيخ الطائفة تارةً على الشذوذ، وأخرى على التقيّة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حمله أيضًا على ما إذا أسلم و لم تعلم عدالته </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553861_730472459"/>
      <w:bookmarkStart w:id="543" w:name="_Toc209"/>
      <w:bookmarkEnd w:id="542"/>
      <w:r>
        <w:rPr>
          <w:rtl w:val="true"/>
        </w:rPr>
        <w:t>بيان إشكال في المقام</w:t>
      </w:r>
      <w:bookmarkEnd w:id="5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إشكالٌ، 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أشهدوا ذوي عدل </w:t>
      </w:r>
      <w:bookmarkStart w:id="544" w:name="pg14719_186803"/>
    </w:p>
    <w:p>
      <w:pPr>
        <w:pStyle w:val="BookText"/>
        <w:rPr/>
      </w:pPr>
      <w:bookmarkEnd w:id="544"/>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 ظاهرهما ينافي ما ذكر،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الأمر بالإشهاد على العادل في الأوّل ؛ و بالاستشهاد عليه في الثاني بناءً على ما مرّ ؛ و الأمر حقيقةٌ في الوجوب، فتدلّان على وجوب إشهاد العادل، و هو ينافي جواز إشهاد غير العادل من الفاسق و الصبيّ و الكافر، لأنّ الأمر حقيقةٌ في الوجوب العينيّ، و حمله على التخييريّ مجاز </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553863_730472459"/>
      <w:bookmarkStart w:id="546" w:name="_Toc210"/>
      <w:bookmarkEnd w:id="545"/>
      <w:r>
        <w:rPr>
          <w:rtl w:val="true"/>
        </w:rPr>
        <w:t>الجواب عن الإشكال</w:t>
      </w:r>
      <w:bookmarkEnd w:id="546"/>
    </w:p>
    <w:p>
      <w:pPr>
        <w:pStyle w:val="BookText"/>
        <w:rPr/>
      </w:pPr>
      <w:r>
        <w:rPr>
          <w:rFonts w:ascii="IRNazanin" w:hAnsi="IRNazanin" w:eastAsia="IRNazanin"/>
          <w:color w:val="111111"/>
          <w:sz w:val="28"/>
          <w:sz w:val="28"/>
          <w:szCs w:val="28"/>
          <w:rtl w:val="true"/>
          <w:lang w:bidi="fa-IR"/>
        </w:rPr>
        <w:t xml:space="preserve">و يمكن الجواب عنه من وجهين،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نقول بموجبهما، لكن نمنع تنافيهما لما مرّ ؛ و ذلک لأنّ المستفاد منهما وجوب إشهاد العادل و عدم جواز إشهاد غيره، و نحن نقول به، فلم نجوّز إشهاد غيره من الفاسق و الصبيّ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غاية ما لزم من ذلک عدم جواز إشهادهم، و هو لا يستلزم عدم جواز قبول شهادتهم مع زوال هذه الموانع عنهم، لجواز أن يطّلعوا بنفسهم على المشهود به عند تحقّق تلک الأوصاف و عند زوالها يقيموا الشهادة ؛ و حينئذٍ تقبل شهادتهم مع عدم إشهادنا لهم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هذا الجواب ليس بشيء، لأنّه لو جاز قبول شهادتهم فلِمَ </w:t>
      </w:r>
    </w:p>
    <w:p>
      <w:pPr>
        <w:pStyle w:val="BookText"/>
        <w:rPr/>
      </w:pPr>
      <w:r>
        <w:rPr>
          <w:rFonts w:ascii="IRNazanin" w:hAnsi="IRNazanin" w:eastAsia="IRNazanin"/>
          <w:color w:val="111111"/>
          <w:sz w:val="28"/>
          <w:sz w:val="28"/>
          <w:szCs w:val="28"/>
          <w:rtl w:val="true"/>
          <w:lang w:bidi="fa-IR"/>
        </w:rPr>
        <w:t xml:space="preserve">لايجوز إشهادهم ؛ و الإشهاد ليس مطلوبًا بنفسه، بل إنّما هو لتحقّق الشهادة وجواز قبولها، و حيث جاز ذلک ينبغي أن يجوز الإشهاد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قد تقدّم في النصوص المتقدّمة ما يدلّ صريحًا على جواز الإشهاد في النصرانيّ، ففي الفاسق بطريق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في الجواب هو الوجه الثاني، و هو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الآيتين الشريفتين و إن كان ذلک، إلّا أنّه يجب الخروج عن الظاهر لدليل، و هو هنا النصوص المتقدّمة الدالّة على جواز شهادة هؤلاء المذكورين، بناءً على ما عرفت من أنّه لو جاز قبول شهادتهم ينبغي أن يجوز إشهادهم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أنّک قد عرفت أنّ من جملة تلک النصوص ما يدلّ صريحًا على جواز الإشهاد ؛ و الظاهر يرفع اليد عند بالصريح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الآيتين الشريفتين إمّا محمولٌ على الوجوب التخييريّ، أو مقيّدٌ فيما إذا أريد العمل بشهادته من غير تغيّر وصف ؛ و هذا أولى من الأوّل،لأولويّة التقييد من المجاز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الآيتين الشريفتين قد دلّتا على عدم إشهاد غير العادل، سواء قصد بالإشهاد العمل في تلک الحالة، أو لا، بل قصد بالإشهاد تحمّله للشهادة، ثمّ العمل بعد تحقّق الشرائط ؛ و جملة من النصوص المتقدّمة دلّت على جواز الإشهاد و تحقّق ثمرته في الصورة الثانية، فيجب تقييد الآية في غيرها حملاً للمطلق على المقيّد</w:t>
      </w:r>
      <w:r>
        <w:rPr>
          <w:rFonts w:eastAsia="IRNazanin" w:cs="IRNazanin"/>
          <w:color w:val="111111"/>
          <w:sz w:val="28"/>
          <w:szCs w:val="28"/>
          <w:rtl w:val="true"/>
          <w:lang w:bidi="fa-IR"/>
        </w:rPr>
        <w:t xml:space="preserve">. </w:t>
      </w:r>
      <w:bookmarkStart w:id="547" w:name="pg14719_186805"/>
    </w:p>
    <w:p>
      <w:pPr>
        <w:pStyle w:val="BookText"/>
        <w:rPr/>
      </w:pPr>
      <w:bookmarkEnd w:id="547"/>
      <w:r>
        <w:rPr>
          <w:rFonts w:ascii="Amiri" w:hAnsi="Amiri" w:eastAsia="Amiri" w:cs="Amiri"/>
          <w:color w:val="111111"/>
          <w:sz w:val="28"/>
          <w:sz w:val="28"/>
          <w:szCs w:val="28"/>
          <w:rtl w:val="true"/>
          <w:lang w:bidi="ar-SA"/>
        </w:rPr>
        <w:t xml:space="preserve">و يمكن أن يجاب بوجهٍ ثالث أيضًا، و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الآيتين المذكورتين محمولٌ على الغالب، لأنّه لم يعهد إشهاد الصبيّ أو الكافر مثلاً، فلاتنافي بينهما و بين النصوص المتقدّمة حتّى نحتاج إلى دفعه، فارتفع الإشكال بعون الله المتعال </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553865_730472459"/>
      <w:bookmarkStart w:id="549" w:name="_Toc211"/>
      <w:bookmarkEnd w:id="548"/>
      <w:r>
        <w:rPr>
          <w:rtl w:val="true"/>
        </w:rPr>
        <w:t>السبب السادس</w:t>
      </w:r>
      <w:bookmarkEnd w:id="549"/>
    </w:p>
    <w:p>
      <w:pPr>
        <w:pStyle w:val="Heading5"/>
        <w:numPr>
          <w:ilvl w:val="4"/>
          <w:numId w:val="1"/>
        </w:numPr>
        <w:rPr/>
      </w:pPr>
      <w:bookmarkStart w:id="550" w:name="__RefHeading___Toc553867_730472459"/>
      <w:bookmarkStart w:id="551" w:name="_Toc212"/>
      <w:bookmarkEnd w:id="550"/>
      <w:r>
        <w:rPr>
          <w:rtl w:val="true"/>
        </w:rPr>
        <w:t>شهادة المتبرّع ليست بمقبولة</w:t>
      </w:r>
      <w:bookmarkEnd w:id="551"/>
    </w:p>
    <w:p>
      <w:pPr>
        <w:pStyle w:val="BookText"/>
        <w:rPr/>
      </w:pPr>
      <w:r>
        <w:rPr>
          <w:rFonts w:ascii="Amiri" w:hAnsi="Amiri" w:eastAsia="Amiri" w:cs="Amiri"/>
          <w:color w:val="111111"/>
          <w:sz w:val="28"/>
          <w:sz w:val="28"/>
          <w:szCs w:val="28"/>
          <w:rtl w:val="true"/>
          <w:lang w:bidi="ar-SA"/>
        </w:rPr>
        <w:t xml:space="preserve">السبب السادس من أسباب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في أداء الشهادة بأن أشهد قبل طلب الحاكم منه الشهادة، فلا تقبل شهادة المتبرّع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لذلک بأنّه متّهم لإقدامه على الشهادة قبل الطلب، فيدخل تحت النصوص الدالّة على عدم جواز قبول شهادة ذي التهمة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يمكن المناقشة بعدم تسليم تحقّق التهمة في ذلک، لاحتمال أن يكون إقدامه على الشهادة قبل الطلب لأجل جهله بالمسألة و علمه بتحريم كتمانها و الترغيب في أدائها من غير قصدٍ إلى إثبات المشهود، بل ربّما يكون إلى عدم إثباته أميل، لفقر المشهود عليه و كونه من أقربائه و أصدقائه مع عدم كون المشهود له من ذلک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تقدير التسليم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أنّه من الأفراد النادرة، و قد عرفت أنّه ليس </w:t>
      </w:r>
    </w:p>
    <w:p>
      <w:pPr>
        <w:pStyle w:val="BookText"/>
        <w:rPr/>
      </w:pPr>
      <w:r>
        <w:rPr>
          <w:rFonts w:ascii="Amiri" w:hAnsi="Amiri" w:eastAsia="Amiri" w:cs="Amiri"/>
          <w:color w:val="111111"/>
          <w:sz w:val="28"/>
          <w:sz w:val="28"/>
          <w:szCs w:val="28"/>
          <w:rtl w:val="true"/>
          <w:lang w:bidi="ar-SA"/>
        </w:rPr>
        <w:t xml:space="preserve">في شيء من النصوص الدالّة على عدم جواز قبول شهادة </w:t>
      </w:r>
      <w:r>
        <w:rPr>
          <w:rStyle w:val="FootnoteAnchor"/>
          <w:rtl w:val="true"/>
        </w:rPr>
        <w:footnoteReference w:id="1217"/>
      </w:r>
      <w:r>
        <w:rPr>
          <w:rFonts w:ascii="IRNazanin" w:hAnsi="IRNazanin" w:eastAsia="IRNazanin"/>
          <w:color w:val="111111"/>
          <w:sz w:val="28"/>
          <w:sz w:val="28"/>
          <w:szCs w:val="28"/>
          <w:rtl w:val="true"/>
          <w:lang w:bidi="fa-IR"/>
        </w:rPr>
        <w:t xml:space="preserve">ما يدلّ على ذلک بعنوان العموم، بل كلّها مطلقات، و انصرافها إلى الفرد النادر غير معلوم، فلا يجوز بذلک رفع اليد عن العمومات الدالّة على قبول شهادة العادل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لذلک أيضًا بالنبويّ في معرض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يجيء قومٌ يعطون الشهادة قبل أن يسألوها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يفشوا الكذب حتّى يشهد الرجل قبل أن يستشهد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أيضًا نظر، لأنّا لو سلّمنا ظهور دلالته على المدّعى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غير معلوم السند، لكنّ الردّ في المسألة ممّا لا خلاف فيه، كما يفهم من المسالک حيث قال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الحقوق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يمنع المبادرة إلى الشهادة </w:t>
      </w:r>
      <w:r>
        <w:rPr>
          <w:rStyle w:val="FootnoteAnchor"/>
          <w:rtl w:val="true"/>
        </w:rPr>
        <w:footnoteReference w:id="1220"/>
      </w:r>
      <w:r>
        <w:rPr>
          <w:rFonts w:ascii="Amiri" w:hAnsi="Amiri" w:eastAsia="Amiri" w:cs="Amiri"/>
          <w:color w:val="111111"/>
          <w:sz w:val="28"/>
          <w:sz w:val="28"/>
          <w:szCs w:val="28"/>
          <w:rtl w:val="true"/>
          <w:lang w:bidi="ar-SA"/>
        </w:rPr>
        <w:t xml:space="preserve">من قبولها، و هو حقوق الآدميّين المحضة ؛ و ضربٌ مختلف فيه، و هو </w:t>
      </w:r>
    </w:p>
    <w:p>
      <w:pPr>
        <w:pStyle w:val="BookText"/>
        <w:rPr/>
      </w:pPr>
      <w:r>
        <w:rPr>
          <w:rFonts w:ascii="Amiri" w:hAnsi="Amiri" w:eastAsia="Amiri" w:cs="Amiri"/>
          <w:color w:val="111111"/>
          <w:sz w:val="28"/>
          <w:sz w:val="28"/>
          <w:szCs w:val="28"/>
          <w:rtl w:val="true"/>
          <w:lang w:bidi="ar-SA"/>
        </w:rPr>
        <w:t xml:space="preserve">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الكفاية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بين الأصحاب </w:t>
      </w:r>
      <w:r>
        <w:rPr>
          <w:rStyle w:val="FootnoteAnchor"/>
          <w:rtl w:val="true"/>
        </w:rPr>
        <w:footnoteReference w:id="1222"/>
      </w:r>
      <w:r>
        <w:rPr>
          <w:rFonts w:ascii="Amiri" w:hAnsi="Amiri" w:eastAsia="Amiri" w:cs="Amiri"/>
          <w:color w:val="111111"/>
          <w:sz w:val="28"/>
          <w:sz w:val="28"/>
          <w:szCs w:val="28"/>
          <w:rtl w:val="true"/>
          <w:lang w:bidi="ar-SA"/>
        </w:rPr>
        <w:t>أنّه تردّ شهادة المتبرّع بها قبل سؤال الحاكم؛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أعرف خلافًا في الردّ المذكور في حقوق الناس المحضة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ممّا قطع به الأصحاب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قد عرفت أنّ المستند في الحكم المذكور هو اتّفاق الأصحاب، فيجب انتفائه في موضع الخلاف ؛ و قد عرفت أنّ موضع الوفاق هو حقوق الآدميّين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قبول شهادة المتبرّع فيها و عدمه قولان،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و هو المحكيّ عن الشيخ في النهاية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 هو المحكيّ عنه في المبسوط و عن غيره </w:t>
      </w:r>
      <w:r>
        <w:rPr>
          <w:rStyle w:val="FootnoteAnchor"/>
          <w:rtl w:val="true"/>
        </w:rPr>
        <w:footnoteReference w:id="1225"/>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1226"/>
      </w:r>
      <w:r>
        <w:rPr>
          <w:rFonts w:ascii="Amiri" w:hAnsi="Amiri" w:eastAsia="Amiri" w:cs="Amiri"/>
          <w:color w:val="111111"/>
          <w:sz w:val="28"/>
          <w:sz w:val="28"/>
          <w:szCs w:val="28"/>
          <w:rtl w:val="true"/>
          <w:lang w:bidi="ar-SA"/>
        </w:rPr>
        <w:t xml:space="preserve">، و هو الأولى، لما عرفت ممّا ذكرناه آنفًا من أنّا لو سلّمنا تحقّق التهمة فيما نحن فيه يكون من الفرد النادر، فلا يشمله النصوص الدالّة على عدم قبول شهادة ذي التهمة، لكونها مطلقات و انصرافها إلى الفرد النادر غير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قلنا بعدم قبول شهادة المتبرّع في حقوق الآدميّين، لاتّفاق الأصحاب عليه، فصار اتّفاقهم قرينة على اشتراک الفرد النادر مع الشائع في عدم قبول الشهادة في حقوق الآدميّين خاصّة ؛ و لذلک خصّصنا عموم الأدلّة الدالّة على قبول شهادة العادل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عدم الاتّفاق، بل الشهرة على القبول، فليس للعمومات الدالّة على قبول شهادة العادل مخصّصٌ بالنسبة إليه، فيجب العمل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قبول شهادة المتبرّع في ما لا يقبل إنَّما هو بالنسبة إلى تلک الواقعة الّتي تبرّع فيها الشهادة ؛ و أمّا في غيرها ممّا لم يتبرّع فيه، فينبغي القطع بقبولها لوجود المقتضي و انتفاء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وجود المقتضي فظاهر، و أمّا انتفاء المانع فلأنّه ليس إلّا التبرّع بالشهادة في غير تلک الواقعة، و هو لا يصلح للمانعيّة، لعدم ثبوت كون التبرّع بها معصية حتّى يقدح في العدالة بالإصرار أو بغيره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شيخنا الشهيد الثاني أنّه إجماعيّ بيننا، حيث قال </w:t>
      </w:r>
      <w:r>
        <w:rPr>
          <w:rFonts w:eastAsia="Amiri" w:cs="Amiri" w:ascii="Amiri" w:hAnsi="Amiri"/>
          <w:color w:val="111111"/>
          <w:sz w:val="28"/>
          <w:szCs w:val="28"/>
          <w:rtl w:val="true"/>
          <w:lang w:bidi="ar-SA"/>
        </w:rPr>
        <w:t xml:space="preserve">: </w:t>
      </w:r>
      <w:bookmarkStart w:id="552" w:name="pg14719_186809"/>
    </w:p>
    <w:p>
      <w:pPr>
        <w:pStyle w:val="BookText"/>
        <w:rPr/>
      </w:pPr>
      <w:bookmarkEnd w:id="552"/>
      <w:r>
        <w:rPr>
          <w:rFonts w:ascii="Amiri" w:hAnsi="Amiri" w:eastAsia="Amiri" w:cs="Amiri"/>
          <w:color w:val="111111"/>
          <w:sz w:val="28"/>
          <w:sz w:val="28"/>
          <w:szCs w:val="28"/>
          <w:rtl w:val="true"/>
          <w:lang w:bidi="ar-SA"/>
        </w:rPr>
        <w:t xml:space="preserve">فالتبرّع بالشهادة </w:t>
      </w:r>
      <w:r>
        <w:rPr>
          <w:rStyle w:val="FootnoteAnchor"/>
          <w:rtl w:val="true"/>
        </w:rPr>
        <w:footnoteReference w:id="1227"/>
      </w:r>
      <w:r>
        <w:rPr>
          <w:rFonts w:ascii="Amiri" w:hAnsi="Amiri" w:eastAsia="Amiri" w:cs="Amiri"/>
          <w:color w:val="111111"/>
          <w:sz w:val="28"/>
          <w:sz w:val="28"/>
          <w:szCs w:val="28"/>
          <w:rtl w:val="true"/>
          <w:lang w:bidi="ar-SA"/>
        </w:rPr>
        <w:t xml:space="preserve">ليس جرحًا </w:t>
      </w:r>
      <w:r>
        <w:rPr>
          <w:rStyle w:val="FootnoteAnchor"/>
          <w:rtl w:val="true"/>
        </w:rPr>
        <w:footnoteReference w:id="1228"/>
      </w:r>
      <w:r>
        <w:rPr>
          <w:rFonts w:ascii="IRNazanin" w:hAnsi="IRNazanin" w:eastAsia="IRNazanin"/>
          <w:color w:val="111111"/>
          <w:sz w:val="28"/>
          <w:sz w:val="28"/>
          <w:szCs w:val="28"/>
          <w:rtl w:val="true"/>
          <w:lang w:bidi="fa-IR"/>
        </w:rPr>
        <w:t xml:space="preserve">عندنا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يكون المستفاد من النبويّة المذكورة كونه معصية، لكنّها لعدم معلوميّة سندها ليست بحجّة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ينبغي أن لا إشكال فيه، و إنّما الإشكال في أنّه لو أعاد تلک الشهادة في مجلس آخر على وجهها، هل تقبل حينئذٍ بناءً على أنّها شهادة مع اجتماع الشروط المعتبرة، أو لا بناءً على بقاء التهمة في تلک الواقعة ؟</w:t>
      </w:r>
    </w:p>
    <w:p>
      <w:pPr>
        <w:pStyle w:val="BookText"/>
        <w:rPr/>
      </w:pPr>
      <w:r>
        <w:rPr>
          <w:rFonts w:ascii="IRNazanin" w:hAnsi="IRNazanin" w:eastAsia="IRNazanin"/>
          <w:color w:val="111111"/>
          <w:sz w:val="28"/>
          <w:sz w:val="28"/>
          <w:szCs w:val="28"/>
          <w:rtl w:val="true"/>
          <w:lang w:bidi="fa-IR"/>
        </w:rPr>
        <w:t xml:space="preserve">فيه خلافٌ، اختار الأوّل في المسالک و الكفاية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553869_730472459"/>
      <w:bookmarkStart w:id="554" w:name="_Toc213"/>
      <w:bookmarkEnd w:id="553"/>
      <w:r>
        <w:rPr>
          <w:rtl w:val="true"/>
        </w:rPr>
        <w:t>في العدد و الذكورة المعتبرين في الشهادة</w:t>
      </w:r>
      <w:bookmarkEnd w:id="554"/>
    </w:p>
    <w:p>
      <w:pPr>
        <w:pStyle w:val="Heading2"/>
        <w:numPr>
          <w:ilvl w:val="1"/>
          <w:numId w:val="1"/>
        </w:numPr>
        <w:rPr/>
      </w:pPr>
      <w:bookmarkStart w:id="555" w:name="__RefHeading___Toc553871_730472459"/>
      <w:bookmarkStart w:id="556" w:name="_Toc214"/>
      <w:bookmarkEnd w:id="555"/>
      <w:r>
        <w:rPr/>
        <w:t>19</w:t>
      </w:r>
      <w:r>
        <w:rPr>
          <w:rtl w:val="true"/>
        </w:rPr>
        <w:t xml:space="preserve">- </w:t>
      </w:r>
      <w:r>
        <w:rPr>
          <w:rtl w:val="true"/>
        </w:rPr>
        <w:t>مسألة</w:t>
      </w:r>
      <w:bookmarkEnd w:id="556"/>
    </w:p>
    <w:p>
      <w:pPr>
        <w:pStyle w:val="Heading3"/>
        <w:numPr>
          <w:ilvl w:val="2"/>
          <w:numId w:val="1"/>
        </w:numPr>
        <w:rPr/>
      </w:pPr>
      <w:bookmarkStart w:id="557" w:name="__RefHeading___Toc553873_730472459"/>
      <w:bookmarkStart w:id="558" w:name="_Toc215"/>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أن يكون الشاهد رجلين، لأنّ ثبوت شيء في ذمّة شخص بقولٍ آخر خلاف الأصل، و قد مرّ مرارًا أنّه يجب الاقتصار فيما خالف الأصل على القدر المتيقّن، و هو ما إذا كان الشاهد رجلين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 و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الأمر حقيقة في الوجوب، وتعليقه عليهما في الآيتين يدلّ على عدم جواز الاكتفاء بواحدٍ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كثير من النصوص الواردة عن أهل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الأدلّة المذكورة عدم جواز القبول بقول رجل عدل مطلقًا، سواء كان في الهلال و غيره، خلافًا للمحكيّ عن ابن أبي عقيل </w:t>
      </w:r>
      <w:r>
        <w:rPr>
          <w:rStyle w:val="FootnoteAnchor"/>
          <w:rtl w:val="true"/>
        </w:rPr>
        <w:footnoteReference w:id="1232"/>
      </w:r>
      <w:r>
        <w:rPr>
          <w:rFonts w:ascii="Amiri" w:hAnsi="Amiri" w:eastAsia="Amiri" w:cs="Amiri"/>
          <w:color w:val="111111"/>
          <w:sz w:val="28"/>
          <w:sz w:val="28"/>
          <w:szCs w:val="28"/>
          <w:rtl w:val="true"/>
          <w:lang w:bidi="ar-SA"/>
        </w:rPr>
        <w:t xml:space="preserve">، فجوّز الاقتصار بشهادة رجل واحد في ثبوت الهلال، لرواية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فافطروا، أو شهد عليه عدلٌ </w:t>
      </w:r>
      <w:r>
        <w:rPr>
          <w:rStyle w:val="FootnoteAnchor"/>
          <w:rtl w:val="true"/>
        </w:rPr>
        <w:footnoteReference w:id="1233"/>
      </w:r>
      <w:r>
        <w:rPr>
          <w:rFonts w:ascii="Amiri" w:hAnsi="Amiri" w:eastAsia="Amiri" w:cs="Amiri"/>
          <w:color w:val="111111"/>
          <w:sz w:val="28"/>
          <w:sz w:val="28"/>
          <w:szCs w:val="28"/>
          <w:rtl w:val="true"/>
          <w:lang w:bidi="ar-SA"/>
        </w:rPr>
        <w:t xml:space="preserve">من المسلمين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أنّه بعد الإغماض عن سندها </w:t>
      </w:r>
      <w:r>
        <w:rPr>
          <w:rStyle w:val="FootnoteAnchor"/>
          <w:rtl w:val="true"/>
        </w:rPr>
        <w:footnoteReference w:id="1235"/>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مضطربة المتن، لأنّها </w:t>
      </w:r>
    </w:p>
    <w:p>
      <w:pPr>
        <w:pStyle w:val="BookText"/>
        <w:rPr/>
      </w:pPr>
      <w:r>
        <w:rPr>
          <w:rFonts w:ascii="Amiri" w:hAnsi="Amiri" w:eastAsia="Amiri" w:cs="Amiri"/>
          <w:color w:val="111111"/>
          <w:sz w:val="28"/>
          <w:sz w:val="28"/>
          <w:szCs w:val="28"/>
          <w:rtl w:val="true"/>
          <w:lang w:bidi="ar-SA"/>
        </w:rPr>
        <w:t xml:space="preserve">مرويّة في الاستبصار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الهلال فافطروا، أو تشهد عليه بيّنة عدل من المسلمين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لا دلالة لها لما ذكره، بل هي دالّة على خلافه، لأنّ البيّنة لا تطلق على رجل واحد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بالنصوص المعتبرة الدالّة على عدم جواز الاقتصار على أقلّ من شهادة العدلين في خصوص الهلال،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إلّا شهادة رجلين عدلين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النساء في رؤية الهلال و لا يقبل في الهلال </w:t>
      </w:r>
      <w:r>
        <w:rPr>
          <w:rStyle w:val="FootnoteAnchor"/>
          <w:rtl w:val="true"/>
        </w:rPr>
        <w:footnoteReference w:id="1239"/>
      </w:r>
      <w:r>
        <w:rPr>
          <w:rFonts w:ascii="IRNazanin" w:hAnsi="IRNazanin" w:eastAsia="IRNazanin"/>
          <w:color w:val="111111"/>
          <w:sz w:val="28"/>
          <w:sz w:val="28"/>
          <w:szCs w:val="28"/>
          <w:rtl w:val="true"/>
          <w:lang w:bidi="fa-IR"/>
        </w:rPr>
        <w:t xml:space="preserve">إلّا رجلان عدلان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غيرهما، فإنّ النصوص في المقام كثيرة ؛ و الترجيح لها من وجوه عديدة ظاهرة </w:t>
      </w:r>
      <w:r>
        <w:rPr>
          <w:rFonts w:eastAsia="Amiri" w:cs="Amiri" w:ascii="Amiri" w:hAnsi="Amiri"/>
          <w:color w:val="111111"/>
          <w:sz w:val="28"/>
          <w:szCs w:val="28"/>
          <w:rtl w:val="true"/>
          <w:lang w:bidi="ar-SA"/>
        </w:rPr>
        <w:t xml:space="preserve">. </w:t>
      </w:r>
      <w:bookmarkStart w:id="559" w:name="pg14719_186812"/>
    </w:p>
    <w:p>
      <w:pPr>
        <w:pStyle w:val="Heading3"/>
        <w:numPr>
          <w:ilvl w:val="2"/>
          <w:numId w:val="1"/>
        </w:numPr>
        <w:rPr/>
      </w:pPr>
      <w:bookmarkStart w:id="560" w:name="__RefHeading___Toc553875_730472459"/>
      <w:bookmarkStart w:id="561" w:name="_Toc216"/>
      <w:bookmarkEnd w:id="559"/>
      <w:bookmarkEnd w:id="560"/>
      <w:r>
        <w:rPr>
          <w:rtl w:val="true"/>
        </w:rPr>
        <w:t>شهادة النساء في الهلال غير مقبولة</w:t>
      </w:r>
      <w:bookmarkEnd w:id="561"/>
    </w:p>
    <w:p>
      <w:pPr>
        <w:pStyle w:val="Heading2"/>
        <w:numPr>
          <w:ilvl w:val="1"/>
          <w:numId w:val="1"/>
        </w:numPr>
        <w:rPr/>
      </w:pPr>
      <w:bookmarkStart w:id="562" w:name="__RefHeading___Toc553877_730472459"/>
      <w:bookmarkStart w:id="563" w:name="_Toc217"/>
      <w:bookmarkEnd w:id="562"/>
      <w:r>
        <w:rPr/>
        <w:t>20</w:t>
      </w:r>
      <w:r>
        <w:rPr>
          <w:rtl w:val="true"/>
        </w:rPr>
        <w:t xml:space="preserve">- </w:t>
      </w:r>
      <w:r>
        <w:rPr>
          <w:rtl w:val="true"/>
        </w:rPr>
        <w:t>مسألة</w:t>
      </w:r>
      <w:bookmarkEnd w:id="563"/>
    </w:p>
    <w:p>
      <w:pPr>
        <w:pStyle w:val="Heading3"/>
        <w:numPr>
          <w:ilvl w:val="2"/>
          <w:numId w:val="1"/>
        </w:numPr>
        <w:rPr/>
      </w:pPr>
      <w:bookmarkStart w:id="564" w:name="__RefHeading___Toc553879_730472459"/>
      <w:bookmarkStart w:id="565" w:name="_Toc218"/>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شهادة النساء غير مقبولة في الهلال، للأصل والحصر المستفاد من جملة من النصوص الّتي تقدّم إليها الإشارة،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إلّا شهادة رجلين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لخصوص النصوص الّتي قد صُرّحت فيها بعدم جواز شهادتهنّ في الهلال،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هو صحيحة حمّاد بن عثمان،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رؤية الهلال، الحديث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في الهلال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في رؤية الهلال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566" w:name="pg14719_186813"/>
    </w:p>
    <w:p>
      <w:pPr>
        <w:pStyle w:val="BookText"/>
        <w:rPr/>
      </w:pPr>
      <w:bookmarkEnd w:id="566"/>
      <w:r>
        <w:rPr>
          <w:rFonts w:ascii="Amiri" w:hAnsi="Amiri" w:eastAsia="Amiri" w:cs="Amiri"/>
          <w:color w:val="111111"/>
          <w:sz w:val="28"/>
          <w:sz w:val="28"/>
          <w:szCs w:val="28"/>
          <w:rtl w:val="true"/>
          <w:lang w:bidi="ar-SA"/>
        </w:rPr>
        <w:t xml:space="preserve">و لا يخفى أنّ هذه النصوص و غيرها دالّة على عدم جواز قبول شهادة النساء مطلقًا، سواء كانت منفردات أو مع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أبي عقيل،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النساء مع الرجال جائزة في كلّ شيء إذا كنّ ثقات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فيلزم منه قبول شهادة النساء مع الرجال في الهلال، و هو شاذّ محجوجٌ بما تقدّم، و بالإجماع المحكيّ عن الغنية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553881_730472459"/>
      <w:bookmarkStart w:id="568" w:name="_Toc219"/>
      <w:bookmarkEnd w:id="567"/>
      <w:r>
        <w:rPr>
          <w:rtl w:val="true"/>
        </w:rPr>
        <w:t>شهادة النساء في الطلاق غير مقبولة</w:t>
      </w:r>
      <w:bookmarkEnd w:id="568"/>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كما لا تقبل شهادة النساء مطلقًا في الهلال، كذا لا تقبل شهادتهنّ كذلک في الطلاق، للأصل و النصوص المستفيضة،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شهادة النساء في النكاح،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إذا كان معهنّ رجل،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أجيزها في الطلاق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وحدهنّ على ما لا يستطيع الرجال ينظرون إليه، و تجوز شهادة النساء في </w:t>
      </w:r>
    </w:p>
    <w:p>
      <w:pPr>
        <w:pStyle w:val="BookText"/>
        <w:rPr/>
      </w:pPr>
      <w:r>
        <w:rPr>
          <w:rFonts w:ascii="Amiri" w:hAnsi="Amiri" w:eastAsia="Amiri" w:cs="Amiri"/>
          <w:color w:val="111111"/>
          <w:sz w:val="28"/>
          <w:sz w:val="28"/>
          <w:szCs w:val="28"/>
          <w:rtl w:val="true"/>
          <w:lang w:bidi="ar-SA"/>
        </w:rPr>
        <w:t xml:space="preserve">النكاح إذا كان معهنّ رجل، و لا تجوز في الطلاق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نكاح أو طلاق أو في 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فيما لا يستطيع الرجال أن ينظروا إليه و ليس معهنّ رجل، و تجوز شهادتهنّ في النكاح إذا كان معهنّ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تجوز شهادتهنّ في الطلاق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تجوز في النكاح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 تجوز في الطلاق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إبراهيم الخارقي </w:t>
      </w:r>
      <w:r>
        <w:rPr>
          <w:rStyle w:val="FootnoteAnchor"/>
          <w:rtl w:val="true"/>
        </w:rPr>
        <w:footnoteReference w:id="1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فيما لا يستطيع الرجال أن ينظروا إليه و يشهدوا عليه، و تجوز شهادتهنّ في النكاح و لا تجوز في الطلاق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النصوص و ما هو مثلها كلّها دالّة على عدم جواز قبول شهادتهنّ في الطلاق مطلقًا، سواء كانت منفردات، أو مع الرجل، لا سيّما سوى الأخيرين، فإنّه </w:t>
      </w:r>
    </w:p>
    <w:p>
      <w:pPr>
        <w:pStyle w:val="BookText"/>
        <w:rPr/>
      </w:pPr>
      <w:r>
        <w:rPr>
          <w:rFonts w:ascii="Amiri" w:hAnsi="Amiri" w:eastAsia="Amiri" w:cs="Amiri"/>
          <w:color w:val="111111"/>
          <w:sz w:val="28"/>
          <w:sz w:val="28"/>
          <w:szCs w:val="28"/>
          <w:rtl w:val="true"/>
          <w:lang w:bidi="ar-SA"/>
        </w:rPr>
        <w:t xml:space="preserve">كالصريح في الصورة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الجنيد و المبسوط </w:t>
      </w:r>
      <w:r>
        <w:rPr>
          <w:rStyle w:val="FootnoteAnchor"/>
          <w:rtl w:val="true"/>
        </w:rPr>
        <w:footnoteReference w:id="1253"/>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قبول شهادتهنّ في الطلاق إذا كانت مع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محجوجٌ بالإجماع المنقول عن الغنية </w:t>
      </w:r>
      <w:r>
        <w:rPr>
          <w:rStyle w:val="FootnoteAnchor"/>
          <w:rtl w:val="true"/>
        </w:rPr>
        <w:footnoteReference w:id="1254"/>
      </w:r>
      <w:r>
        <w:rPr>
          <w:rFonts w:ascii="Amiri" w:hAnsi="Amiri" w:eastAsia="Amiri" w:cs="Amiri"/>
          <w:color w:val="111111"/>
          <w:sz w:val="28"/>
          <w:sz w:val="28"/>
          <w:szCs w:val="28"/>
          <w:rtl w:val="true"/>
          <w:lang w:bidi="ar-SA"/>
        </w:rPr>
        <w:t xml:space="preserve">صريحًا، و بما تقدّم من الأصل والنصوص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لها معارضٌ سوى ما نقل عن المحكيّ عن المبسوط </w:t>
      </w:r>
      <w:r>
        <w:rPr>
          <w:rStyle w:val="FootnoteAnchor"/>
          <w:rtl w:val="true"/>
        </w:rPr>
        <w:footnoteReference w:id="1255"/>
      </w:r>
      <w:r>
        <w:rPr>
          <w:rFonts w:ascii="Amiri" w:hAnsi="Amiri" w:eastAsia="Amiri" w:cs="Amiri"/>
          <w:color w:val="111111"/>
          <w:sz w:val="28"/>
          <w:sz w:val="28"/>
          <w:szCs w:val="28"/>
          <w:rtl w:val="true"/>
          <w:lang w:bidi="ar-SA"/>
        </w:rPr>
        <w:t xml:space="preserve">أنّه استدلّ لما ذهب إليه بما روي من قبول شهادتهنّ في الطلاق مع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شذوذه و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وضوح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 لمعارضة النصوص المتقدّمة، فليحمل على التقيّة، لأنّ مضمونه منقولٌ عن عمر بن الخطّاب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مقتضى إطلاق بعض النصوص المتقدّمة و عموم ترک الاستفصال في الآخر عدمُ جواز قبول شهادة النساء و لو مع الرجل في جميع أنواع الطلاق الّتي منها الخلع و المبارات و الطلاق بعوض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المسالک و شرح الشرائع للصيمريّ </w:t>
      </w:r>
      <w:r>
        <w:rPr>
          <w:rStyle w:val="FootnoteAnchor"/>
          <w:rtl w:val="true"/>
        </w:rPr>
        <w:footnoteReference w:id="1257"/>
      </w:r>
      <w:r>
        <w:rPr>
          <w:rFonts w:ascii="Amiri" w:hAnsi="Amiri" w:eastAsia="Amiri" w:cs="Amiri"/>
          <w:color w:val="111111"/>
          <w:sz w:val="28"/>
          <w:sz w:val="28"/>
          <w:szCs w:val="28"/>
          <w:rtl w:val="true"/>
          <w:lang w:bidi="ar-SA"/>
        </w:rPr>
        <w:t xml:space="preserve">هو المشهور، بناءً على كون الخلع </w:t>
      </w:r>
    </w:p>
    <w:p>
      <w:pPr>
        <w:pStyle w:val="BookText"/>
        <w:rPr/>
      </w:pPr>
      <w:r>
        <w:rPr>
          <w:rFonts w:ascii="IRNazanin" w:hAnsi="IRNazanin" w:eastAsia="IRNazanin"/>
          <w:color w:val="111111"/>
          <w:sz w:val="28"/>
          <w:sz w:val="28"/>
          <w:szCs w:val="28"/>
          <w:rtl w:val="true"/>
          <w:lang w:bidi="fa-IR"/>
        </w:rPr>
        <w:t xml:space="preserve">والمبارات من أفراد الطلاق و في معناه، كما حكي ذلک عن المختلف </w:t>
      </w:r>
      <w:r>
        <w:rPr>
          <w:rStyle w:val="FootnoteAnchor"/>
          <w:rtl w:val="true"/>
        </w:rPr>
        <w:footnoteReference w:id="1258"/>
      </w:r>
      <w:r>
        <w:rPr>
          <w:rFonts w:ascii="Amiri" w:hAnsi="Amiri" w:eastAsia="Amiri" w:cs="Amiri"/>
          <w:color w:val="111111"/>
          <w:sz w:val="28"/>
          <w:sz w:val="28"/>
          <w:szCs w:val="28"/>
          <w:rtl w:val="true"/>
          <w:lang w:bidi="ar-SA"/>
        </w:rPr>
        <w:t xml:space="preserve">؛ قيل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عدم القائل بالفرق بين الخلع و بين غيره من أنواع الطلاق، فكلّ مَن قال فيه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و الصدوقين، و الشيخ في النهاية والخلاف، و الديلميّ، و أبي الصلاح، وابن البرّاج، و ابن حمزة، والحلّيّ، و غيرهم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مطلقًا ؛ و مَن قال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المبسوط وابن الجنيد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كذلک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المسالک فصّل بين ما لو كان مدّعى الخلع المرأة فكالطلاق، و إلّا فتقبل، لتضمّنه دعوى المال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فالمشهور عدم ثبوته بذلک مطلقًا، من حيث تضمّنه البينونة، والحجّة لا تتبعّض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من جهة تضمّنه المال، و هو مستلزم للبينونة، فثبت </w:t>
      </w:r>
      <w:r>
        <w:rPr>
          <w:rStyle w:val="FootnoteAnchor"/>
          <w:rtl w:val="true"/>
        </w:rPr>
        <w:footnoteReference w:id="1263"/>
      </w:r>
      <w:r>
        <w:rPr>
          <w:rFonts w:ascii="Amiri" w:hAnsi="Amiri" w:eastAsia="Amiri" w:cs="Amiri"/>
          <w:color w:val="111111"/>
          <w:sz w:val="28"/>
          <w:sz w:val="28"/>
          <w:szCs w:val="28"/>
          <w:rtl w:val="true"/>
          <w:lang w:bidi="ar-SA"/>
        </w:rPr>
        <w:t xml:space="preserve">أيضًا لذلک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الخلاف مبنىّ على قبول شهادتهنّ في كلّ ما يتضمّن مالاً أو يكون </w:t>
      </w:r>
    </w:p>
    <w:p>
      <w:pPr>
        <w:pStyle w:val="BookText"/>
        <w:rPr/>
      </w:pPr>
      <w:r>
        <w:rPr>
          <w:rFonts w:ascii="Amiri" w:hAnsi="Amiri" w:eastAsia="Amiri" w:cs="Amiri"/>
          <w:color w:val="111111"/>
          <w:sz w:val="28"/>
          <w:sz w:val="28"/>
          <w:szCs w:val="28"/>
          <w:rtl w:val="true"/>
          <w:lang w:bidi="ar-SA"/>
        </w:rPr>
        <w:t xml:space="preserve">المقصود منه المال ؛ و هو موقوفٌ على ثبوت المستند بعنوان العموم و أنكره بعضهم ؛ و يجيء الكلام فيه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يرجّح عدم القبول مطلقًا و لو على تقدير ثبوت المستند بعنوان العموم، للزوم تخصيص العامّ بعد وجود المخصّص، و هو هنا موجود، و هو ما مرّ من الإجماع المنقول عن الغنية </w:t>
      </w:r>
      <w:r>
        <w:rPr>
          <w:rStyle w:val="FootnoteAnchor"/>
          <w:rtl w:val="true"/>
        </w:rPr>
        <w:footnoteReference w:id="1265"/>
      </w:r>
      <w:r>
        <w:rPr>
          <w:rFonts w:ascii="Amiri" w:hAnsi="Amiri" w:eastAsia="Amiri" w:cs="Amiri"/>
          <w:color w:val="111111"/>
          <w:sz w:val="28"/>
          <w:sz w:val="28"/>
          <w:szCs w:val="28"/>
          <w:rtl w:val="true"/>
          <w:lang w:bidi="ar-SA"/>
        </w:rPr>
        <w:t xml:space="preserve">والمركّب الظاهر من المختلف </w:t>
      </w:r>
      <w:r>
        <w:rPr>
          <w:rStyle w:val="FootnoteAnchor"/>
          <w:rtl w:val="true"/>
        </w:rPr>
        <w:footnoteReference w:id="1266"/>
      </w:r>
      <w:r>
        <w:rPr>
          <w:rFonts w:ascii="Amiri" w:hAnsi="Amiri" w:eastAsia="Amiri" w:cs="Amiri"/>
          <w:color w:val="111111"/>
          <w:sz w:val="28"/>
          <w:sz w:val="28"/>
          <w:szCs w:val="28"/>
          <w:rtl w:val="true"/>
          <w:lang w:bidi="ar-SA"/>
        </w:rPr>
        <w:t xml:space="preserve">، والنصوص الكثيرة الدالّة على عدم جواز قبول شهادة النساء في الطلاق و قد تقدّم إليها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محلّ النزاع و إن كان من الأفراد النادرة، إلّا أنّ من جملة تلک النصوص ما يدلّ على عدم جواز قبول شهادتهنّ بعنوان العموم من جهة ترک الاستفصال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المطلق ربّما يمكن التمسّک به في المقام لانجبار ضعف دلالته بالنسبة إلى ما نحن فيه لكونه من الأفراد النادرة بالشهرة المحكيّة، بل المحقّقة </w:t>
      </w:r>
      <w:r>
        <w:rPr>
          <w:rFonts w:eastAsia="IRNazanin" w:cs="IRNazanin"/>
          <w:color w:val="111111"/>
          <w:sz w:val="28"/>
          <w:szCs w:val="28"/>
          <w:rtl w:val="true"/>
          <w:lang w:bidi="fa-IR"/>
        </w:rPr>
        <w:t xml:space="preserve">. </w:t>
      </w:r>
      <w:bookmarkStart w:id="569" w:name="pg14719_186818"/>
    </w:p>
    <w:p>
      <w:pPr>
        <w:pStyle w:val="Heading3"/>
        <w:numPr>
          <w:ilvl w:val="2"/>
          <w:numId w:val="1"/>
        </w:numPr>
        <w:rPr/>
      </w:pPr>
      <w:bookmarkStart w:id="570" w:name="__RefHeading___Toc553883_730472459"/>
      <w:bookmarkStart w:id="571" w:name="_Toc220"/>
      <w:bookmarkEnd w:id="569"/>
      <w:bookmarkEnd w:id="570"/>
      <w:r>
        <w:rPr>
          <w:rtl w:val="true"/>
        </w:rPr>
        <w:t>شهادة النساء في النكاح غير مقبولة</w:t>
      </w:r>
      <w:bookmarkEnd w:id="571"/>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المذكورة بجميعها جواز قبول شهادتهنّ في النكاح إذا كنّ مع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في التهذيب و الاستبصار و الشرائع و القواعد و الإرشاد </w:t>
      </w:r>
      <w:r>
        <w:rPr>
          <w:rStyle w:val="FootnoteAnchor"/>
          <w:rtl w:val="true"/>
        </w:rPr>
        <w:footnoteReference w:id="1267"/>
      </w:r>
      <w:r>
        <w:rPr>
          <w:rFonts w:ascii="Amiri" w:hAnsi="Amiri" w:eastAsia="Amiri" w:cs="Amiri"/>
          <w:color w:val="111111"/>
          <w:sz w:val="28"/>
          <w:sz w:val="28"/>
          <w:szCs w:val="28"/>
          <w:rtl w:val="true"/>
          <w:lang w:bidi="ar-SA"/>
        </w:rPr>
        <w:t xml:space="preserve">؛ و هو المحكيّ عن ابن أبي عقيل و ابن الجنيد و الصدوقين و ابن زهرة و الدروس </w:t>
      </w:r>
      <w:r>
        <w:rPr>
          <w:rStyle w:val="FootnoteAnchor"/>
          <w:rtl w:val="true"/>
        </w:rPr>
        <w:footnoteReference w:id="12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الغنية عليه الإجماع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 و الخلاف و سلّار و ابن حمزة </w:t>
      </w:r>
      <w:r>
        <w:rPr>
          <w:rStyle w:val="FootnoteAnchor"/>
          <w:rtl w:val="true"/>
        </w:rPr>
        <w:footnoteReference w:id="1270"/>
      </w:r>
      <w:r>
        <w:rPr>
          <w:rFonts w:ascii="Amiri" w:hAnsi="Amiri" w:eastAsia="Amiri" w:cs="Amiri"/>
          <w:color w:val="111111"/>
          <w:sz w:val="28"/>
          <w:sz w:val="28"/>
          <w:szCs w:val="28"/>
          <w:rtl w:val="true"/>
          <w:lang w:bidi="ar-SA"/>
        </w:rPr>
        <w:t xml:space="preserve">، فاختاروا عدم القبول، لرواية السكوني عن مولانا الباقر،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لا تجوز في طلاق و لا نكاح و لا في حدود الله </w:t>
      </w:r>
      <w:r>
        <w:rPr>
          <w:rStyle w:val="FootnoteAnchor"/>
          <w:rtl w:val="true"/>
        </w:rPr>
        <w:footnoteReference w:id="1271"/>
      </w:r>
      <w:r>
        <w:rPr>
          <w:rFonts w:ascii="Amiri" w:hAnsi="Amiri" w:eastAsia="Amiri" w:cs="Amiri"/>
          <w:color w:val="111111"/>
          <w:sz w:val="28"/>
          <w:sz w:val="28"/>
          <w:szCs w:val="28"/>
          <w:rtl w:val="true"/>
          <w:lang w:bidi="ar-SA"/>
        </w:rPr>
        <w:t xml:space="preserve">، إلّا في الديون وما لا يستطيع الرجال </w:t>
      </w:r>
      <w:r>
        <w:rPr>
          <w:rStyle w:val="FootnoteAnchor"/>
          <w:rtl w:val="true"/>
        </w:rPr>
        <w:footnoteReference w:id="1272"/>
      </w:r>
      <w:r>
        <w:rPr>
          <w:rFonts w:ascii="Amiri" w:hAnsi="Amiri" w:eastAsia="Amiri" w:cs="Amiri"/>
          <w:color w:val="111111"/>
          <w:sz w:val="28"/>
          <w:sz w:val="28"/>
          <w:szCs w:val="28"/>
          <w:rtl w:val="true"/>
          <w:lang w:bidi="ar-SA"/>
        </w:rPr>
        <w:t xml:space="preserve">النظر إليه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التعارض بينها و بين ما تقدّم من النصوص من تعارض النصّين، فيجب الرجوع إلى الترجيح، و هو مع النصوص المتقدّمة من وجوهٍ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الكثرة، فإنّ تلک النصوص كثيرةٌ 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ضعيفة، بخلاف النصوص المذكورة، فإنّ فيها صحيحًا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الرواية المذكورة موافقة لمذهب العامّة، بخلاف تلک النصوص ؛ ولهذا حمل الرواية الشيخ على التقيّة،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مذهب أكثر العامّة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على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 مذهب العامّة عدم قبول شهادة النساء في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الحُصَين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في النكاح بلا رجل معهنّ إذا كانت المرأة منكرة،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في ذلک فقهاؤكم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لا يجوز إلّا شهادة رجلين عدلين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هوّنوا واستخفّوا بعزائم الله و فرائضه، و شدّدوا وعظّموا ما هوّن الله، إنّ الله أمر في الطلاق بشهادة رجلين عدلين، و أجازوا </w:t>
      </w:r>
      <w:r>
        <w:rPr>
          <w:rStyle w:val="FootnoteAnchor"/>
          <w:rtl w:val="true"/>
        </w:rPr>
        <w:footnoteReference w:id="1275"/>
      </w:r>
      <w:r>
        <w:rPr>
          <w:rFonts w:ascii="Amiri" w:hAnsi="Amiri" w:eastAsia="Amiri" w:cs="Amiri"/>
          <w:color w:val="111111"/>
          <w:sz w:val="28"/>
          <w:sz w:val="28"/>
          <w:szCs w:val="28"/>
          <w:rtl w:val="true"/>
          <w:lang w:bidi="ar-SA"/>
        </w:rPr>
        <w:t xml:space="preserve">الطلاق بلا شاهد واحد، الحديث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أنّ راوي الرواية المذكورة السكونيّ، و هو من قضاة العامّة ؛ و هو مؤيِّدٌ آخرٌ لحمل الرواية على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المتقدّمة موافقةٌ لعمل الأكثر، بل الإجماع كما عرفت، بخلاف الرواية المذكورة، فإنّها مخالفة لهما ؛ و لا شکّ أنّ للموافق رجحانًا على المخالف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حكي عن شرح الشرائع للصيمري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نسب القول الثاني فيه إلى المشهور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الظاهر أنّ الأمر ليس كذلک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في ترجيح تلک النصوص على الرواية المزبورة، فيجب طرحها، أو حملها على التقيّة كما عرفت، أو على الكراهة كما حملها الشيخ عليها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غير مناسب،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النساء لا تجوز في نكاح، بقرينة المقابلة و العطف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الحرمة، فلايقبل الحمل على الكراهة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حملها على التقيّة أيضًا نظرًا، لأنّ أوّل الحديث ينافي ذلک،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شهادة النساء لا تجوز في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مذهب العامّة جواز </w:t>
      </w:r>
    </w:p>
    <w:p>
      <w:pPr>
        <w:pStyle w:val="BookText"/>
        <w:rPr/>
      </w:pPr>
      <w:r>
        <w:rPr>
          <w:rFonts w:ascii="Amiri" w:hAnsi="Amiri" w:eastAsia="Amiri" w:cs="Amiri"/>
          <w:color w:val="111111"/>
          <w:sz w:val="28"/>
          <w:sz w:val="28"/>
          <w:szCs w:val="28"/>
          <w:rtl w:val="true"/>
          <w:lang w:bidi="ar-SA"/>
        </w:rPr>
        <w:t xml:space="preserve">قبول شهادتهنّ في الطلاق، كما يظهر من الشيخ في التهذيب </w:t>
      </w:r>
      <w:r>
        <w:rPr>
          <w:rStyle w:val="FootnoteAnchor"/>
          <w:rtl w:val="true"/>
        </w:rPr>
        <w:footnoteReference w:id="1279"/>
      </w:r>
      <w:r>
        <w:rPr>
          <w:rFonts w:ascii="Amiri" w:hAnsi="Amiri" w:eastAsia="Amiri" w:cs="Amiri"/>
          <w:color w:val="111111"/>
          <w:sz w:val="28"/>
          <w:sz w:val="28"/>
          <w:szCs w:val="28"/>
          <w:rtl w:val="true"/>
          <w:lang w:bidi="ar-SA"/>
        </w:rPr>
        <w:t xml:space="preserve">، بل قد دلّت الموثّقة المتقدّمة لداود بن الحصين على أنّهم جوّزوا الطلاق من غير شاهد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أن يقال في الجواب عن الرواية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التعارض بينها و بين النصوص المتقدّمة من تعارض المطلق و المقيّد، لأنّ الرواية المذكورة قد دلّت على عدم جواز قبول شهادة النساء مطلقًا، سواء كنّ مع الرجال أم منفردات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النصوص المتقدّمة قد دلّت على جواز شهادتهنّ في الصورة الأولى و عدم جوازها في الصورة الثانية، فيجب حمل المطلق على المقيّد، فيكون مفاد الرواية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تجوز شهادة النساء منفردات في النكاح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يؤيّد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في الديون و ما لا يستطيع الرجال النظر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تقدّم من النصوص الدالّة على جواز قبول شهادتهنّ منفردات فيما لا يستطيع الرجال النظر إليه ؛ و سيجيء ممّا يدلّ من بعض النصوص على جواز قبول شهادتهنّ كذلک في الديون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الحمل غير ممكن في الرواية المذكورة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النساء لا تجوز في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حملت الرواية على صورة كون النساء منفردات لدلّت على جواز شهادة النساء في الطلاق فيما إذا كنّ مع الرجال، و قد تقدّم أنّه غير جائز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دلالتها على ذلک على تقدير الحمل المذكور، لأنّ الرواية حينئذٍ دالّةٌ على عدم جواز شهادتهنّ في تلک الصورة، لا على جوازها في غيرها، لعدم ذكر القيد فيها حتّى يدلّ مفهومه على انتفاء الحكم عند انتفائه، بل قيّدت الرواية في تلک الصورة بقرينة النصوص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تقدير تسليم دلالتها على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الإيراد المذكور إنّما يرد إذا كانت الرواية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في طلاق و نكاح و هكذا ؛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يكون واحدًا، و حمله على شيء بالنسبة إلى شيء ممّا تعلّق به يستلزم حمله عليه بالنسبة إلى شيء آخر من متعلّقاته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الأمر في الرواية كذلک، لأنّها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شهادة النساء في طلاق و لا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أنّه بتقدير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في نكاح، فصار لفظه متعدّدًا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صورة ما إذا كانت النساء منفردات، بقرينة ما تقدّم من النصوص الدالّة على جواز قبول شهادتهنّ إذا كانت مع الرجال،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فإنّه لمّا لم يثبت له مقيّدًا بقيناه على إطلاقه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أنّک قد عرفت الدليل لإبقائه على إطلاقه، و هو ما تقدّم من الدليل على عدم جواز قبول شهادتهنّ حتّى في الصورة الّتي كانت مع الرجال، فاندفع الإيراد المذكور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يعترض بأنّ مآل الرواية على هذا الحمل عدم جواز شهادتهنّ </w:t>
      </w:r>
    </w:p>
    <w:p>
      <w:pPr>
        <w:pStyle w:val="BookText"/>
        <w:rPr/>
      </w:pPr>
      <w:r>
        <w:rPr>
          <w:rFonts w:ascii="IRNazanin" w:hAnsi="IRNazanin" w:eastAsia="IRNazanin"/>
          <w:color w:val="111111"/>
          <w:sz w:val="28"/>
          <w:sz w:val="28"/>
          <w:szCs w:val="28"/>
          <w:rtl w:val="true"/>
          <w:lang w:bidi="fa-IR"/>
        </w:rPr>
        <w:t xml:space="preserve">منفردات في النكاح، و قد دلّت الموثّقة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على جواز ذلک حيث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النساء في النكاح بلا رجل معهنّ إذا كانت المرأة منكرة،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الحديث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الموثّقة المزبورة و إن دلّت على جواز شهادتهنّ بلا رجل معهنّ، لكنّ النصوص المتقدّمة قد دلّت على عدم ذلک، و أنّ جواز شهادتهنّ منحصرٌ فيما إذا كانت مع الرجال، فتعارضتا ؛ و الترجيح لتلک النصوص من وجوهٍ ظاهرة، فيجب العمل عليها </w:t>
      </w:r>
      <w:r>
        <w:rPr>
          <w:rFonts w:eastAsia="IRNazanin" w:cs="IRNazanin"/>
          <w:color w:val="111111"/>
          <w:sz w:val="28"/>
          <w:szCs w:val="28"/>
          <w:rtl w:val="true"/>
          <w:lang w:bidi="fa-IR"/>
        </w:rPr>
        <w:t xml:space="preserve">. </w:t>
      </w:r>
      <w:bookmarkStart w:id="572" w:name="pg14719_186824"/>
    </w:p>
    <w:p>
      <w:pPr>
        <w:pStyle w:val="BookText"/>
        <w:rPr/>
      </w:pPr>
      <w:bookmarkEnd w:id="572"/>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جاء في آخر نسخة الأصل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w:t>
      </w:r>
    </w:p>
    <w:p>
      <w:pPr>
        <w:pStyle w:val="Heading3"/>
        <w:numPr>
          <w:ilvl w:val="2"/>
          <w:numId w:val="1"/>
        </w:numPr>
        <w:rPr/>
      </w:pPr>
      <w:bookmarkStart w:id="573" w:name="__RefHeading___Toc553885_730472459"/>
      <w:bookmarkStart w:id="574" w:name="_Toc221"/>
      <w:bookmarkEnd w:id="573"/>
      <w:r>
        <w:rPr>
          <w:rtl w:val="true"/>
        </w:rPr>
        <w:t>في المواضع الّتي يقدّم فيها قول المدّعي على قول المنكر</w:t>
      </w:r>
      <w:bookmarkEnd w:id="57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 المضاربة،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العامل التلف صدق مع اليمين </w:t>
      </w:r>
      <w:r>
        <w:rPr>
          <w:rStyle w:val="FootnoteAnchor"/>
          <w:rtl w:val="true"/>
        </w:rPr>
        <w:footnoteReference w:id="1282"/>
      </w:r>
      <w:r>
        <w:rPr>
          <w:rFonts w:ascii="Amiri" w:hAnsi="Amiri" w:eastAsia="Amiri" w:cs="Amiri"/>
          <w:color w:val="111111"/>
          <w:sz w:val="28"/>
          <w:sz w:val="28"/>
          <w:szCs w:val="28"/>
          <w:rtl w:val="true"/>
          <w:lang w:bidi="ar-SA"/>
        </w:rPr>
        <w:t xml:space="preserve">و عدم البيّنة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و الأب و الجدّ و الحاكم و أمينه و كلّ أمين،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الوكيل تلف المال، أو تلف الثمن الّذي قبضه، فكذّبه الموكّل، قدّم قول الوكيل مع يمينه، و كذا الأب و الجدّ و الحاكم و أمينه و كلّ من في يده أمانة ؛ و لا فرق بين السبب الظاهر و الخفيّ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الاختلاف بين البائع و المشتري في قدر الثمن، كما إذا قال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الشيء المعهود بعشرة تمامين </w:t>
      </w:r>
      <w:r>
        <w:rPr>
          <w:rStyle w:val="FootnoteAnchor"/>
          <w:rtl w:val="true"/>
        </w:rPr>
        <w:footnoteReference w:id="1285"/>
      </w:r>
      <w:r>
        <w:rPr>
          <w:rFonts w:ascii="Amiri" w:hAnsi="Amiri" w:eastAsia="Amiri" w:cs="Amiri"/>
          <w:color w:val="111111"/>
          <w:sz w:val="28"/>
          <w:sz w:val="28"/>
          <w:szCs w:val="28"/>
          <w:rtl w:val="true"/>
          <w:lang w:bidi="ar-SA"/>
        </w:rPr>
        <w:t xml:space="preserve">، و 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بخمسة مع بقاء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انتقل من المشتري إلى غيره بعقدٍ لازم، فإنّه حينئذٍ يقدّم قول البائع مع يمينه ؛ و أمّا مع تلفها فيقدّم قول المشتري مع يمينه على المشهور بين الأصحاب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اختلاف البائع و المشتري في تعجيل الثمن و تأجيله فيما إذا ادّعى البائع التعجيل و المشتري التأجيل، فإنّه يقدّم حينئذٍ قول البائع مع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عند اختلافهما في قدر الأجل، كما أنّ البائع يدّعي بعد شهر أو سنة، و المشتري يدّعي أنّه بعد شهرين مثلاً، فإنّ القول حينئذٍ قول البائع مع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اختلاف الشفيع و المشتري في مقدار الثمن، كما أنّ المشتري يدّعي أنّه اشتراه بخمسين، والشفيع يقول بعشرين، فإنّه يقدّم قول المشتري مع يمينه على المشهور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ادّعى الشفيع جهله بحقّه مع إمكانه عادة، و أنكره المشتري، فإنّه يقبل قول مدّعي الجهل حينئذ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اختلاف الشفيع و المشتري في الثمن الّذي وقع عليه العقد،فادّعى </w:t>
      </w:r>
    </w:p>
    <w:p>
      <w:pPr>
        <w:pStyle w:val="BookText"/>
        <w:rPr/>
      </w:pPr>
      <w:r>
        <w:rPr>
          <w:rFonts w:ascii="Amiri" w:hAnsi="Amiri" w:eastAsia="Amiri" w:cs="Amiri"/>
          <w:color w:val="111111"/>
          <w:sz w:val="28"/>
          <w:sz w:val="28"/>
          <w:szCs w:val="28"/>
          <w:rtl w:val="true"/>
          <w:lang w:bidi="ar-SA"/>
        </w:rPr>
        <w:t xml:space="preserve">الشفيع أنّه عشرون، وادّعى المشتري أنّه أربعون، فيقدّم قول المشتري مع يمينه على المشهور بين الأصحاب،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فيه خلاف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المبسوط في مباحث زكاة الغلاة،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الغلة ممّا قد شربت سيحًا و غير سيح حكم فيها بحكم الأغلب، فإن كان الغالب سيحًا أخذ منها </w:t>
      </w:r>
      <w:r>
        <w:rPr>
          <w:rStyle w:val="FootnoteAnchor"/>
          <w:rtl w:val="true"/>
        </w:rPr>
        <w:footnoteReference w:id="1289"/>
      </w:r>
      <w:r>
        <w:rPr>
          <w:rFonts w:ascii="Amiri" w:hAnsi="Amiri" w:eastAsia="Amiri" w:cs="Amiri"/>
          <w:color w:val="111111"/>
          <w:sz w:val="28"/>
          <w:sz w:val="28"/>
          <w:szCs w:val="28"/>
          <w:rtl w:val="true"/>
          <w:lang w:bidi="ar-SA"/>
        </w:rPr>
        <w:t>العشر ؛ و إن كان الغالب غير السيح</w:t>
      </w:r>
    </w:p>
    <w:p>
      <w:pPr>
        <w:pStyle w:val="BookText"/>
        <w:rPr/>
      </w:pPr>
      <w:r>
        <w:rPr>
          <w:rFonts w:ascii="Amiri" w:hAnsi="Amiri" w:eastAsia="Amiri" w:cs="Amiri"/>
          <w:color w:val="111111"/>
          <w:sz w:val="28"/>
          <w:sz w:val="28"/>
          <w:szCs w:val="28"/>
          <w:rtl w:val="true"/>
          <w:lang w:bidi="ar-SA"/>
        </w:rPr>
        <w:t xml:space="preserve">أخذ منها نصف العشر، فإن تساويا أخذ نصفه بحساب العشر، و النصف الآخر بحساب نصف العشر ؛ والقول قول ربّ المال مع يمينه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ادّعى المديون أنّه أدّى الوجه في الدين الّذي كان بإزائه رهن، وادّعى صاحب الحقّ أنّه أدّاه بإزاء الدين الّذي ليس في مقابله رهن، فإنّ القول حينئذٍ قول المديون مع يمينه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اختلف المالک و المستودع في ردّ الوديعة، فادّعى المستودع ردّها و أنكره المالک، فالقول قول المستودع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الحال فيما إذا ادّعى ردّها على وكيل المالک، بخلاف ما لو ادّعى ردّها إلى وارث المالک </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4719_186828"/>
      <w:bookmarkStart w:id="576" w:name="pg14719_186828"/>
      <w:bookmarkEnd w:id="576"/>
    </w:p>
    <w:p>
      <w:pPr>
        <w:pStyle w:val="Heading2"/>
        <w:numPr>
          <w:ilvl w:val="1"/>
          <w:numId w:val="1"/>
        </w:numPr>
        <w:rPr/>
      </w:pPr>
      <w:bookmarkStart w:id="577" w:name="pg14719_186828"/>
      <w:bookmarkStart w:id="578" w:name="__RefHeading___Toc553887_730472459"/>
      <w:bookmarkStart w:id="579" w:name="_Toc222"/>
      <w:bookmarkEnd w:id="577"/>
      <w:bookmarkEnd w:id="578"/>
      <w:r>
        <w:rPr>
          <w:rtl w:val="true"/>
        </w:rPr>
        <w:t>فهرس مصادر التحقيق</w:t>
      </w:r>
      <w:bookmarkEnd w:id="5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باقر الخراسان، دار النعمان للطباعة والنشر،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لأبي بكر أحمد بن علي الرازي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علي شاهين،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لأبي حامد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بيروت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لأبي عبدالله محمّد بن النعمان العكبري الملقّب بالشيخ‌المفيد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والسيّد محمود الزرندي، دار المفيد، بيروت،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الآيات، لأبي الحسن عليّ بن أحمد الواحديّ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الخرسان، دار 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بمصباح الشريعة ، لقطب الدين البيهقي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نشر مؤسّسة الإمام الصادق،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لعدّة من المحدّثين، دار الشبستري للمطبوعات،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للشيخ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الهادي إلى طريق الرشاد، لأبي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مكتبة جامع چهلستون،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لأبي عبدالله محمّد بن النعمان العكبري الملقّب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حسين الأستاد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ما منّ به الرّحمن، لأبي البقاء عبدالله بن الحسين العكبري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العلمية،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 لأبي القاسم عليّ بن الحسين الموسويّ المعروف بالشريف المرتضى وعلم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معرفة الراجح من الخلاف على مذهب الإمام أحمد بن حنبل، للشيخ عليّ بن سليمان المرداويّ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حامد الفقي، دار إحياء التراث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لناصر الدّين أبي الخير عبدالله بن عمر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شعبان للنشر والتوزيع، بيروت،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 لأبي طالب محمّد بن الحسن بن </w:t>
      </w:r>
    </w:p>
    <w:p>
      <w:pPr>
        <w:pStyle w:val="BookText"/>
        <w:rPr/>
      </w:pPr>
      <w:r>
        <w:rPr>
          <w:rFonts w:ascii="Amiri" w:hAnsi="Amiri" w:eastAsia="Amiri" w:cs="Amiri"/>
          <w:color w:val="111111"/>
          <w:sz w:val="28"/>
          <w:sz w:val="28"/>
          <w:szCs w:val="28"/>
          <w:rtl w:val="true"/>
          <w:lang w:bidi="ar-SA"/>
        </w:rPr>
        <w:t xml:space="preserve">يوسف المطهّر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الكرماني والاشتهاردي والبروجردي، المطبعة العلمية،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في أصول الفقه، لبدر الدين محمّد بن بهادر الزركشي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محمّد تأمر،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لأبي بكر بن مسعود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الحبيبيّة، باكستان،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 نهاية المقتصد، لأبي الوليد محمّد بن أحمد بن محمّد بن أحمد بن رشد القرطبي، الشهير بابن رشد الحفيد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خالد العطّار،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الحسن بن فروخ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ميرزا حسن كوچه باغي، منشورات الأعلمي،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الراغبين في سلسلة آل شرف الدين، للإمام السيّد عبدالحسين شرف الدين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السيّد عبدالحسين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العلوم والثقافة الإسلاميّة، دار المؤرّخ العربي،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المفاخر، للسيّد مصلح الدّين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مسجد السيّد، اصفهان،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لمحبّ الدين أبي فيض السيّد محمّد مرتضى الحسيني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شيري،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لأبي القاسم عليّ بن الحسن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في أحكام الدّين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و الشيخ هادي اليوسفي ، نشر الفقيه،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حبيب قصير العاملي، مكتب الاعلام الاسلامي،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للشيخ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فاضل الجواهري، مكتبة آية الله المرعشيّ النجفيّ،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السنيّة في شرح نخبة المحسنيّة ، للسيّد عبدالله بن نعمة الله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مخطوطات مكتبة آستان القدس الرضويّة، رقم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فيما جاء من الحكم والمواعظ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علي أكبر الغفّاريّ، مؤسّسة النشر الإسلامي،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القبور، للشيخ عبد الكريم الجزي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مآثر الباقريّة، ميرزا محمّد على زوّاره‌اى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حسين مسجدى، سازمان تفريحى فرهنگى شهردارى،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على شرح اللمعة الدمشقيّة، للفاضل جمال الدين بن حسين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المدرسة الرضويّة، قم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جوامع الجامع، لأبي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الحسن علىّ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طيب الموسويّ الجزائري، مؤسّسة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لأبي النضر محمّد بن مسعود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المحلّاتي، المكتبة العلمية الإسلاميّة،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مدرسة الإمام المهدي،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للسيّد حسن الصدر الكاظميني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على محفوظ وعبدالكريم و عدنان الدبّاغ، دار المؤرخ العربي،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في تخريج الرافعيّ الكبير، لأحمد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الخلاف، للشيخ مفلح بن الحسن الصيمري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في معرفة الأحكام ،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 الدراسات الإسلاميّة، قم، مطبعة مكتب الإعلام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الحسين ورّام بن أبي فراس المالكيّ الأشتريّ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لمختصر الشرائع ، لجمال الدّين مقداد بن عبدالله السيوري الحلّي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الحسيني الكوه كمري، نشر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مهدي السيّد حسن الخرسان، منشورات الشريف الرضي،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في أحاديث الرسول ، للمبارک بن محمّد بن الأثير الجزري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عبدالقادر الأرناؤوط، دار الفكر،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لابن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خليل الميس،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 إزاحة الاشتباهات عن الطرق و الأسناد ، لمحمّد بن عليّ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منشورات مكتبة آية الله المرعشي،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عبدالله محمّد بن أحمد الأنصاري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التاريخ العربي ، دار إحياء التراث العربي،بيروت،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لجلال الدين عبدالرحمن 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للمحقّق الثاني علىّ بن الحسين بن عبدالعالي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في الأحاديث القدسيّة، للشيخ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المفيد،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لأبي الحسن عليّ بن محمّد بن حبيب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في أحكام الدين، للشيخ بهاء الدّين محمّد بن الحسين بن عبد الصمد الحارثي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 ، مكتبة بصيرتي ، قم،</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الإيرواني، مؤسّسة النشر الإسلامي،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رسالتي الاقتصاد والعدالة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للشهيد الثاني زين الدّين بن علىّ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اللامعة للبهجة المرضيّة، للعلّامة المحقّق الحاجّ السيّد محمّد باقر بن محمّد نقي الموسويّ الجيلانيّ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مكتبة مسجد السيّد بأصفهان، شب افروز، الطبعة الأولى،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المحقّق الكركي و آثاره، تأليف الشيخ محمّد الحسّون، منشورات الاحتجاج، تهران،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الخراساني والسيّد جواد الشهرستاني والشيخ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للسيّد مصلح الدين المهدوي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گلدسته،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لجلال الدين عبدالرحمن ابن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الفقه الإماميّة ،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 ذكر الحلال والحرام والقضايا والأحكام عن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أفضل السلام ، للقاضي نعمان بن محمّد بن منصور بن أحمد بن حيون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دار المعارف، مصر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للشيخ أبي جعفر محمّد بن جرير بن رستم الطبري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في شرح الإرشاد ، للعلّامة محمّد باقر بن محمّد مؤمن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نشر مؤسسة آل البيت عليهم السلام لإحياء التراث،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في أحكام الشريعة ،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لأحمد بن محمّد بن خالد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 لتقي الدّين الحسن بن عليّ 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المطبعة الحيدريّة،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مهدي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صادق بحرالعلوم، مكتبة الصدوق،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الإصفهاني، مؤسسة النشر الإسلامي التابعة لجماعة المدرسين،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w:t>
      </w:r>
    </w:p>
    <w:p>
      <w:pPr>
        <w:pStyle w:val="BookText"/>
        <w:rPr/>
      </w:pPr>
      <w:r>
        <w:rPr>
          <w:rFonts w:ascii="Amiri" w:hAnsi="Amiri" w:eastAsia="Amiri" w:cs="Amiri"/>
          <w:color w:val="111111"/>
          <w:sz w:val="28"/>
          <w:sz w:val="28"/>
          <w:szCs w:val="28"/>
          <w:rtl w:val="true"/>
          <w:lang w:bidi="ar-SA"/>
        </w:rPr>
        <w:t xml:space="preserve">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 للسيّد محمّد باقر بن محمّد نقي الشفتي المشهور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المرتضى ، لأبي القاسم علي بن الحسين الموسوي المعروف بعلم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مهدي الرجائي، نشر دار القرآن الكريم، مدرسة آية الله الگلپايگاني،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الثاني، الشيخ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بوستان كتاب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المحقّق الكركيّ، للشيخ علىّ بن الحسين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في أحوال العلماء والسادات، للسيّد محمّد باقر الموسوي الچهارسوقي، مؤسّسة اسماعيليان،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في شرح إرشاد الأذهان، للشهيد الثاني زين الدّين بن علىّ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في تفسير القرآن، للشيخ أبي الفتوح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جعفر ياحقّي و محمّد مهدي ناصح، بنياد پژوهش‌هاى اسلامى آستان قدس رضوى،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 للشهيد الثاني زين الدّين بن علىّ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الطرق الشفيعيّة، للسيّد محمّد شفيع بن علي أكبر الجاپلقي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الحجري، 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الطالبين، لأبي زكريّا يحيى بن شرف النووي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عادل أحمد عبد الموجود و الشيخ علي محمّد معوض، دار الكتب،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في شرح كتاب من لا يحضره الفقيه، للعلّامة محمّد تقي المجلسي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جمع من المحقّقين، نشر المؤسّسة الثقافيّة الإسلاميّة للكوشانبور،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تحقيق الأحكام بالدلائل ،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لميرزا محمّد علي المدرّس، خيام، تهران، الطبعة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أحكام القرآن، للعالم الربّاني أحمد بن محمّد الأردبيلي المشهور بالمقدّس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الباقر البهبودي، نشر مكتبة المرتضويّة لإحياء الآثار الجعفريّة، تهران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لملّا فتح الله بن شكر الله الشريف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المعارف الإسلاميّة،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 لمحمّد بن منصور بن أحمد بن إدريس العجلي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لأبي عبدالله محمّد بن يزيد بن ماجة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عبدالباقي، دار الفكر،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 لأبي داود سليمان بن الأشعث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محمّد اللحام، 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 لأبي عيسى محمّد بن عيسى بن سورة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 لأبي الحسن علىّ بن عمر بن أحمد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مجدي بن منصور بن سيّد الشورى،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لعبد الله بن بهرام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مطبعة الإعتدال ،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 لأحمد بن شعيب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بشرح الحافظ جلال الدّين السيوطي و حاشية السندي،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مسائل الحلال والحرام، 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السيّد صادق الشيرازي، نشر إنتشارات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للمولى محمّد صالح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أبوالحسن الشعرانيّ، ضبط وتصحيح السيّد عليّ عاشور، دار احياء التراث العربيّ،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لأبي الحسن مسلم بن الحجّاج بن مسلم القشيري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مئة كلمة لأميرالمؤمنين عليه السلام ،لابن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مير جلال الدين الأرمويّ المحدّث، مؤسّسة النشر الإسلاميّ،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لأبي عبدالله بن إسماعيل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لأبيالحسين مسلم بن الحجاج القشيري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عبدالباقي،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اسماعيليان،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لمحمّد بن سعد كاتب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صادر،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في معرفة طبقات الرجال ، 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للشيخ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كامل سلمان الجبوري، دار المؤرّخ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 نجاح الساعي، لأبي العبّاس أحمد بن محمّد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الموحديّ القمّيّ، مكتبة وجداني،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الحيدريّة،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حسين الأعلمي،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اللّألئ الحديثيّة، لابن أبي جمهور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الحاج آقا مجتبى العراقي، سيّد 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المراد في شرح نكت الإرشاد ،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مع حاشيتا الإرشاد للشهيد الثاني، تحقيق مركز الأبحاث والدراسات الإسلامية، قم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شرح شرائع الإسلام ، للشيخ مفلح بن الحسن الصيمري البحراني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الهادي،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إلى علمي الأصول والفروع ، لأبي المكارم السيّد حمزة بن علىّ بن زهرة الحسيني، المعروف بإبن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مؤسّسة الإمام الصادق عليه 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فتاوي ابن الجنيد، محمّد بن أحمد بن الجنيد الإسكافي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آية الله الشيخ علي پناه الإشتهاردي، مؤسّسة النشر الإسلاميّ،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لشهاب الدّين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لمحمّد بن عليّ بن محمّد الشوكاني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لقطب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آية الله المرعشيّ،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إلى الرضا عليه السلام، تحقيق مؤسّسة آل البيت لإحياء التراث، قم، نشر المؤتمر العالمي للإمام الرضا عليه السلام، 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لأبي العبّاس عبدالله بن جعفر 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العلماء، لميرزا محمّد بن سليمان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علميّه إسلاميّه،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والحرام ،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 الفوائد، للشهيد الأوّل محمّد بن مكّيّ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السيّد عبدالهادي الحكيم، مكتبة المفيد، الطبعة الأولى، قم،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المحكمة في الأصول، لميرزا أبي القاسم بن محمّد حسن القمّي الجيلانيّ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و علّق عليه رضا حسين صبح، إحياء الكتب الإسلاميّة،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رضا الأستادي، مكتبة أمير المؤمنين عليه السلام، إصفهان،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لأبي السعادات مجد الدّين المبارک بن محمّد بن محمّد المعروف بابن أثير الجزري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للإمام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لأبي عبدالرّحمن الخليل بن أحمد الفراهيدي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و ابراهيم السامرائي، مؤسّسة دار الهجرة،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عباد الله الطهراني، الشيخ علي أحمد ناصح، مؤسّسة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المسند، لأبي عبدالله محمّد بن إدريس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مطبعة بولاق الأميريّة، دار الكتب العلمية،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و عيون الأقاويل في وجوه التأويل ، لأبي القاسم جار الله محمود بن عمر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العربي، بيروت،</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و مزيل الالباس عمّا اشتهر من الأحاديث على ألسنة الناس، للشيخ إسماعيل بن محمّد العجلوني الجراحي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الرموز، لزين الدين أبي عليّ الحسن بن أبي طالب اليوسفي، المعروف بالفاضل والمحقّق الآبي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علي پناه الإشتهاردي، الحاج آغا حسين اليزدي، مؤسّسة النشر الإسلامي،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عن أحكام الغيبة، للشهيد الثاني زين الدّين بن علىّ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مرتضوي،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مبهمات الشريعة الغرّاء، للشيخ الكبير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الإعلام الإسلاميّ، نشر دفتر تبليغات اسلامى،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عن قواعد الأحكام ، للشيخ بهاء الدّين محمّد بن الحسن الإصفهاني المعروف بالفاضل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لأحمد بن محمّد بن إبراهيم </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محمّد بن عاشور، دار إحياء التراث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مرتضى الواعظي الأراكي، مؤسّسة النشر الإسلاميّ،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 ، لجمال الدّين المقداد بن عبدالله السيوري، المعروف بالفاضل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القاضي، نشر المجمع العالمي للتقريب بين المذاهب الإسلاميّة،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بكري حياني،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لأبي الفتح 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الحجري، مكتبة المصطفوي،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تهران،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في فقه الإماميّة ، للشهيد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عليّ الكوراني،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 حاضرها، للشيخ جعفر الشيخ باقر آل محبوبة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سعيد آل محبوبه، دار الاضواء،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لشمس الدين أبي بكر محمّد بن أبي سهل السرخسيّ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 مطلع النيّرين ، 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 لأبي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العلماء والمحقّقين الأخصائيين، نشرمؤسسة الأعلمي،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 للحافظ 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في شرح إرشاد الأذهان ، للمحقّق الأردبيلي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إشتهاردي وعراقي ويزدي، نشر جامعة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لمحيى الدين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بدون تاريخ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لأحمد بن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تهران،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للعلّامة السيّد محسن بن حسن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هادي الشيخ طه، دار المرتضى، النجف الأشرف،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لعليّ بن أحمد بن سعيد بن 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 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طبع دار التقريب، 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الأحكام في شرح شرائع الإسلام ، للسيّد محمّد بن عليّ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مؤسّسة آل البيت عليهم السلام لإحياء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الكبرى، لمالک بن أنس الأصبحيّ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للعلّامة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دار الكتب الإسلاميّة،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الكتب، ثقة الإسلام التبريزي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النبويّة والأحكام العلويّة، لسلّار بن عبدالعزيز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محسن الحسيني الأميني، نشر المعاونية الثقافية للمجمع العالمي،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علىّ بن جعفر، لأبي الحسن العريضي عليّ بن أبي عبدالله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نشر المؤتمر العالمي للإمام الرضا عليه السلام ، 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إلى آيات الأحكام، للفاضل الجواد الكاظميّ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محمّد باقر شريف زاده، المكتبة المرتضويّة، النجف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إلى تنقيح شرائع الإسلام ، للشهيد الثاني زين الدّين بن علىّ بن أحمد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مؤسسة المعارف الإسلامية،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الصحيحين، للحاكم أبي عبدالله النيسابوري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يوسف عبدالرحمن المرعشلي، دار المعرفة، 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 للحاج الميرزا حسين المحدّث النوري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 مؤسّسة آل البيت عليهم السلام لإحياء التراث، 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 لأحمد بن محمّد بن حنبل أبي عبدالله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w:t>
      </w:r>
    </w:p>
    <w:p>
      <w:pPr>
        <w:pStyle w:val="BookText"/>
        <w:rPr/>
      </w:pPr>
      <w:r>
        <w:rPr>
          <w:rFonts w:ascii="Amiri" w:hAnsi="Amiri" w:eastAsia="Amiri" w:cs="Amiri"/>
          <w:color w:val="111111"/>
          <w:sz w:val="28"/>
          <w:sz w:val="28"/>
          <w:szCs w:val="28"/>
          <w:rtl w:val="true"/>
          <w:lang w:bidi="ar-SA"/>
        </w:rPr>
        <w:t xml:space="preserve">صادر، بيروت، و بهامشه منتخب كنز العمال في سنن الأقوال والأفعال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للشيخ أبي الفضل عليّ 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مهدي هوشمند، دار الحديث،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للحافظ الكبير أبي بكر عبد الرزّاق بن همام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حبيب الرحمن الأعظميّ، منشورات المجلس 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 ، و</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الأصول، للشيخ نجم الدين جعفر بن الحسن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حسين الرضوي، مؤسّسة آل البيت،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في فهرست كتب الشيعة و أسماء المصنّفين منهم قديمًا وحديثًا، لأبي جعفر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الفقاهة،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المختصر ، 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ناصر مكارم الشيرازي، مؤسّسة سيّد الشهداء عليه السلام ،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بيروت،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لعبدالله بن أحمد بن محمّد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بعناية جماعة من العلماء، دار الكتب العربيّ، بيروت،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إلى معرفة معاني ألفاظ المنهاج، للشيخ محمّد الشربيني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الأصول، للعلّامة السيّد محمّد بن عليّ الطباطبائيّ المعروف بالمجاهد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الطبعة الأولى، قم،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 للمولى محمّد محسن بن الشاه مرتضى المشهور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مجمع الذخائر الإسلامية،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الأحكام، للسيّد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الخالصي ، مؤسّسة النشر الإسلامي ،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العليّة في شرح الرسالة الألفيّة، للشهيد الثاني زين الدّين بن علىّ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مع حاشيتا الألفيّة، تحقيق مركز الأبحاث والدراسات الإسلاميّة،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المقتصر من شرح المختصر، لأبي العبّاس أحمد بن محمّد بن فهد الحلّي الأسدي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مجمع البحوث الإسلاميّة، مشهد،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 لأبي جعفر محمّد بن علىّ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التابعة لمؤسسة الإمام الهادي عليه السلام ،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لأبي عبدالله محمّد بن محمّد بن النعمان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محمّد عليّ المعلّم حبيب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كتابخانه هاى عمومى اصفهان،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للحافظ 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مجدي السيّد إبراهيم، مكتبة القرآن،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للشيخ رضي الدين الحسن بن الفضل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الأحكام، لميرزا أبي القاسم الجيلاني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 للسيّد محمّد بن السيّد علي الطباطبائي، المعروف بالمجاهد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مؤسّسة آل البيت عليهم السلام لإحياء التراث، قم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قسم الفقه في مجمع البحوث الإسلاميّة، مشهد،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من المختلف بين أئمّة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علي أمين الإسلام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جمع من الأساتذة، مجمع البحوث الإسلاميّة، مشهد،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 للقاضي إبن البرّاج أبي القاسم عبدالعزيز بن نحرير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 السبحاني، نشر جامعة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في شرح المختصر النافع، لأبي العبّاس أحمد بن محمّد بن فهد الحلّي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مجتبى العراقي، نشر جامعة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في القرن الرابع عشر،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 للسيّد مصطفى بن الحسين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للشيخ محمّد بن عليّ ابن محمّد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لأبي السعادات مجد الدّين المبارک بن محمّد بن محمّد المعروف بابن أثير الجزري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طاهر أحمد الزاوي ومحمود محمّد الطناحي، مؤسّسة إسماعيليان،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مجرّد الفقه والفتاوي ،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 نكتها،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لجامعة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 للمولى محمّد محسن بن الشاه مرتضى المشهور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ضياء الدين الحسيني الإصفهاني، اصفهان،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أصول الفقه، للمولى عبدالله بن محمّد البشروىّ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حسين الرضويّ الكشميريّ، مجمع الفكر الإسلامىّ، مؤسّسة اسماعيليان،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 لعماد الدّين أبي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حدّ الشهادة لغةً و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حدّ الشهادة ليس بجامع و لا 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الفرق بين الشاهد و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البلوغ في سماع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المستند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قولان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العقل في سماع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الإيمان في سماع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تقبل شهادة الذمّيّ على المسلم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بالذمّيّ إنّما هو مع عدم التمكّن من المسلم مطلقًا و لو كان</w:t>
      </w:r>
    </w:p>
    <w:p>
      <w:pPr>
        <w:pStyle w:val="BookText"/>
        <w:rPr/>
      </w:pP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الذمّيّ مختصّ في الوصيّة بالمال، لا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قبول شهادتهم على المسلم كونه في أرض غربة،</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الذمّيّ على غير المؤمن،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الحكم فيما إذا كانت شهادة الذمّيّ على أهل 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المختار عند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قولٌ آخر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فيما إذا كانت شهادة الذمّيّ على غير أهل 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في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ذكر الآيات الدالّة على اعتبار العدالة في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الجواب عمّا يدلّ عليه الآية من تحليف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الدليل من السنّة على اعتبار العدالة في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بيان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القول بأنّ العدالة هي ظاهر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الاستدلال بجملة من النصوص للقول بأنّ العدالة هي ظاهر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الجواب عن 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يجب الفحص عن المجهول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بيان ما يعرف به العدالة الّتي عبارة عن الملكة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الذنوب صغيرة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الذنوب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و 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الحقّ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مستند القول بأنّ المعاصي كلّها كبيرة، مع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تكفير الصغائر باجتناب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الكبائر من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ذكر اختلاف الأصحاب في بيان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ذكر اختلاف النصوص في بيان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الجواب عن اختلاف النصوص في بيان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إصرار الصغائر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ذكر الأقوال في معنى الإصرار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الرحم و صلته و قطعه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حدّ توبة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رأي المصنّف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ذكر إيرادٍ في المقام مع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بآلات القمار لا تقبل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الغناء و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الغناء و ماهيّته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النصوص الدالّة على تحريم الغناء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النصوص الّتي استدلّ بها لجواز الغناء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الجواب عن النصوص الّتي استدلّ بها لجواز الغناء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ذكر مواضع الخلاف في جواز التغنّي أو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تغنّي المرأة في العرائس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مراثي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الغناء من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استماع الغناء من الكبائر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بآلات اللهو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الدفّ في العرائس جائز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من الكبائر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الذهب و التختّم به حرامٌ على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الحسد من الكبائر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تحريم بُغض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أذيّة المؤمنين و تحقيرهم من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إخافة المؤمنين من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المخلوق في معصية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الاستدلال بالكتاب و السنّة و الإجماع على حرمة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تفسير الغيبة و 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المواضع الّتي استثنيت الغيبة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معروفًا بوصف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المغتاب متظاهرًا بالفسق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المبتدعين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خطأ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الموضع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الموضع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المظلوم عند مَن يرجو إزالة ظلمه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الموضع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الموضع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اطّلع جمعٌ على معصيةٍ توجب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استماع الغيبة كالغيبة في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بيان كفّارة الغيبة و توبتها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قاطع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تحريم الفخر و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المندوبات لا ينقدح في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بالصنائع المباحة والمكروهة والدنيّة غير قادح في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الكلام في الحَمَام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اتّخاذ الحمام لنحو الاُنس والفرخ وإرسال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اقتنائها واتّخاذها للّعب بها من غير 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اتّخاذها للّعب بها مع الرهان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شهادته غير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الجواب عن الاعتراض الّذي أورده العلّامة والشهيد الثاني على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التهمة شرطٌ في قبول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المواضع الّتي حكم فيها بقبول شهادة المتّهم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شهادة ذي الأقارب بعضهم لبعضهم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تجوز شهادة الرجل لامرأته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شهادة الزوجة منفردة مقبولة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الضيف للمضيف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شهادة الصديق لصديقه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شهادة العبد لمولاه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ذكر الخلاف في حكم شهادة العبد لمولاه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رأي المصنّف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أسباب التهمة المانعة من قبول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الشريک فيما هو شريک فيه غير مقبولة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شهادة الوصيّ فيما وصّى فيه غير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العدوّ على 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العدوّ لعدوّه و لغيره و عليه مقبولة إذا كانت العداوة بحيث لا تتضمّن فسقًا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الولد على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الكلام في شهادة الولد على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الشاهد كثير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عار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المعتبر في ردّ الشهادة وجود المانع حال الأداء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بيان إشكال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المتبرّع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و الذكورة المعتبرين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في الهلال غير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شهادة النساء في الطلاق غير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شهادة النساء في النكاح غير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في المواضع الّتي يقدّم فيها قول المدّعي على قول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ه 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آللهُ أنَّهُ لاَ إلهَ إلاّ هُوَ وَ الْمَلائِكَةُ وَ أُولُوا الْعِلْمِ قَائِمًا بِالْقِسْطِ لا إلهَ إلاّ هُوَ الْعَزيزُالْحَكيمُ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استشهدوا شهيدين من رجالكم فإن لم يكونا رجلين فرجل وامرأتان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لم يكونا رجلين فرجل وامرأتان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شكستها كه در سر باشد ؛ كنز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غلمان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فغرق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الشهادات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في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قليل في العبارة ؛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غياث بن إبراهيم التميميّ الأسديّ، بصريّ، سكن الكوفة، ثقة، روى عنأبي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بتريًّا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البُتْرِيّة فرقة تنسب إلى كثير النَوّاء و كان أبتر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بضمّ الموحّدة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الزيديّة، 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نسبوا إلى المغيرة بن سعد، و 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هم أصحاب كثير النوا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صالحوسالم بن أبي حفصة والحكم بن عيينة و سلمة بن كهيل و أبو المقدام ثابت الحداد، و هم الّذين دعوا إلىولاية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فخلطوها بولاية أبي بكر و عمر، و يثبتون لهم الإمامة، و يبغضون عثمان و طلحة والزبيروعائشة، و يرون الخروج مع ولد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للسيّد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له كتاب، و هو عامّيّ المذهب، إلّا أنّ كتابه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في رجاله تارة منأصحاب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ابن زيد بتريّ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أخرى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طلحة بن زيد الخزريّ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مال إليه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؛والصيمريّ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السيّد الطباطبائيّ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الملعب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 و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لم يكونا رجلين فرجل وامرأتان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الشهيد الثاني عن فخر المحقّقين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الأقرب عدم قبول روايته،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جاءكم فاسقٌ بنبأ فتبيّنوا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فسق أعظم من عدمالإيمان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حاشية خلاصة الأقوال،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ونقد الرجال، للتفرشي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لم يكونا رجلين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تيقّظه ؛ و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تيقّنه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تحصيله و تمييزه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محصّل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الذمّة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قبول شهادة المسلم على الكافر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المسائل الطرابلسيات الثالثة، المسألة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المسائل الواسطيات، المسألة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نجاسة المخالفين،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توجد ضمن مجموعة من رسائله المسمّاة بزبدةالرسائل و نخبة المسائل، في مكتبة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بأصفهان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مرضيّين عند أصحابهما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البيّنات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الملل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تجد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البيّنات ؛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الإشهادعلى الوصيّة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مطرّحة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وابن الجنيد و أبو الصلاح ؛ 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ابن الجنيد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ملّتهم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أهل دينهم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تجوز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الكافي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الحلبيّومحمّد بن مسلم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عدىّ بن زيد ؛ و في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عدىّ بن فدي ؛ و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بَيْدِيّ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 بن أبي مريم ؛ و في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 مولى عمرو بن العاص السهمي، وكان مسلمًامهاجرًا، واختلفوا في كنية أبيه، فقال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 بن أبي مازنة، و قال قتادة وابن سيرين و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ابنأبي 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القضايا،ح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تخريج الأحاديث و الآثار، الزيعلي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جوامعالجامع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 التفاسير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فقه القرآن،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المرويّ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قتادة، و سعيد بن جبير، و غيرهم ؛ انظر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 التفاسير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واختاره الزجّاج في معاني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النحاس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الحسن ؛ راجع تفسير الماوردي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 التفاسير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إلى آيات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يكونا رجلين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33979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فاسق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بهذه العبارة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عبارة المبسوط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العدالة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الإنسان متعادل الأحوال متساويا،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الشريعة هو مَن كان عدلاً في دينه، عدلاً في مروّته، عدلاً في أحكامه، فالعدل في الدين أن يكون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منه شيء من أسباب الفسق، و في المروَّة أن يكون مجتنبًا للأمور الّتي تسقط المروّة، مثل الأكلفي الطرقات، و مدّ الأرجل بين الناس، و لبس الثياب المصبَّغة وثياب النساء و ما أشبه ذلک ؛ و العدل فيالأحكام أن يكون بالغًا عاقلاً عندنا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إرشادالأذهان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عنهما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العجلوني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والمرويّ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إيمان لمن لا حياء له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عنهما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الإشراف، لأنّه يحتوي على العبادات فقط و بالضبط إلى نهاية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أمّا شيخنا المفيد فإنّه وإن حكي عنه هذا القول في كتابه الإشراف، لكنّانقول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لم يكن عندي حتّى يتبيّن حقيقة الحال، فيمكن أن يكون الحال كالمبسوط، و أمّا كلامهفي المقنعة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صريح في خلافه،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من كان معروفًا بالدين والورع عنمحارم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إنتهى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المسالک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شهد عند الحاكم شهود فإن عرف فسقهم فلاخلاف في ردّ شهادتهم من غير احتياج إلى بحث ؛ و إن عرف عدالتهم قبل شهادتهم فلا حاجة إلى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طلبه الخصم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إن لم يعرف حالهم في الفسق و العدالة، فإن لم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إسلامهم وجبالبحث أيضًا ؛ و هذا كلّه ممّا لا خلاف فيه ؛ و إن عرف إسلامهم و لم يعرف شيئًا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جرح و لاتعديل فهذا ممّا اختلف فيه الأصحاب، 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المتأخّرين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يجب البحثعن عدالتهم، و لا يكفي الاعتماد على ظاهر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استدلّ لهم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أشهدوا ذوي عدل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برواية ابن أبي يعفور، و أجاب عن الآية بالمنعمن الدلالة، بأنّ غاية ما تدلّ الاتّصاف بأمرٍ زائدٍ على مجرّد الإسلام، فنحمله على عدم ظهور الفسق ؛ و عنالرواية بالطعن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حكى عن الخلاف وابن الجنيد والمفيد في كتاب الإشراف ظاهرًا الاكتفاء بمجرّد الإسلام،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باقيالمتقدّمين لم يصرّحوا في عباراتهم بأحد الأمرين، بل كلامهم محتمل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أورد النصوص المذكورة الّتي أوردناها دليلاً للاكتفاء بظاهر الإسلام،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أمتن دليلاً،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حال السلف تشهد به، و بدونه لا يكاد تنتظم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خصوصًا فيالبلاد الكبيرة، و للقاضي المنفذ من بعيد إليها، لكنّ المشهور الآن بل المذهب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يظهر منه ما يزيلها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مرويّة في الكافي و التهذيب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مرويّ في باب النوادر من كتاب القضايا من الكافي، و باب الزيادات فيالقضايا من التهذيب، و باب ما يجب فيه الأخذ بظاهر الحكم من كتاب القضاء من الفقيه ؛ و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 أشياء يجب على الناس الأخذ فيها بظاهر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أظهر كما لا يخفى ؛ منه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الشيخ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الحسن، عن الصفّار، عن إبراهيم بن هاشم، عن أبي جعفر المقري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عبدالله، عن آبائه،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يجب على القاضي، و ذكر نحوه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مجلودًا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تعرفوه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الخمور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الدلالة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ساترًا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والساتر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يحرم على المسلمين ما وراء ذلک من عثراته و عيوبه و تفتيش ما وراء ذلک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توليه ؛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توليته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المتعاهد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بإحضار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عدالته بين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التهذيبين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يجيز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تيقّظه ؛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تيقّنه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تحصيله و تمييزه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محصّل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سماعة بن مهران،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تفاوتيسير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بأسٌ بهم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الأخ لأخيه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الرجل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33964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يغشاها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يعرف منه صلاح في نفسه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جهل الأمر يبحث عنهما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متهاون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الدخول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توجب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عرفا بالفسق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يرضاها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أنفذ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معتفاوت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فسقه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البحث في كتاب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الحسن، عن الصفّار، عن إبراهيم بن هاشم،عن أبي جعفر المقري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عبد الله، عن آبائه،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يجب على القاضي،وذكر نحوه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يؤيّده ما في الكافي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باب علامات المؤمن،عن عثمان، عن سماعة، عن الصادق</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تقبل شهادته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المقترف للذنوب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المقترفين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شهادات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الليلة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البحث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ليس فيها التصريح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 فيالتنقيح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الحبلالمتين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مناهج الأحكام، للميرزا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كنزالعرفان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حقائق الإيمان،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صغيرًا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كتاب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تعريف الفسق 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في عرف الشرع فهو عندناعبارة عن كلّ معصية سواء كانت صغيرة أو كبيرة، و لأنّ المعاصي الله تعالى كلّها كبائر و إنّما نسمّيها صغائربالإضافة إلى ما هو أكبر منها، و هي كبيرة بالإضافة إلى ما هو أصغر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إنتهى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بهذه العبارة فيه، انظر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لكن 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وانظرأيضًا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الذنوب تنقسم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كبيرة و صغيرة ؛ و هو ما اختاره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كتابهمطالع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سورة النساء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سورة شورى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عليه ما رواه في ثواب الأعمال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معتبرٍ عن الحلبيّ،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تجتنبوا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اجتنب ما أوعد الله عليه النار إذا كانمؤمنًا كفّر الله عنه سيّئاته و يدخله مدخلاً كريمًا ؛ منه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أكل مال اليتيم ظلمًا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النصّ، و لكنّ المضمون موجود في أخبار كثيرة،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نقله بهذا النصّ فيالمسالک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20632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البحث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التحفة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إقدامه على اللمس ؛ و في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تأثير الشيء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إظلامه ؛ و في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في التحفة السنيّة، للسيّد عبد الله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يؤيّده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الكبائر سبع أعظمهنّ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الإشراک بالله،وقتل النفس المؤمنة، و أكل الربا، و أكل مال اليتيم، و قذف المحصنة، و عقوق الوالدين، و الفرار من الزحف،فمن 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بري منهنّ، كان معي في بحبوحة جنّة مصاريعها 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مثله في 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الكبائر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واستحلال البيت الحرام، و السحر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ظاهر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عبارة النهاية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الّذي يجوز قبول شهادته للمسلمين وعليهمهو أن يكون ظاهره ظاهر الإيمان، ثمّ يعرف بالستر و الصلاح و الكفّ عن البطن و الفرج و اليد واللسان،ويعرف باجتناب الكبائر الّتي أوعد الله عليها النار، من شرب الخمر و الزنا و الربا و عقوق الوالدين والفرارمن الزحف، و غير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للأموال المعصومة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 مال فلان،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لنفسه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يردّه إليه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في صفات المؤمنين،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جماعة في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أبوالسعود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إمام الحرمين عبدالملک الجويني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 طائفة في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البحرالمحيط،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به شيخ الإسلام العلائي، فقد ضبطها بذلک، إلّا أنّه لم يذكر اللواط،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الكاذبة الفاجرة، و سمّيت غموسًا لأنّها تغمس صاحبها في الإثم ثمّ في النار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الصفقة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تبايع رجلاً بيمينک، ثمّ تخالف إليه فتقاتله بسيفک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الخصال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الصفقة، و ترک السنّة، و فراقالجماعة، الحديث ؛ 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الخمور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وعد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أكل مال اليتيم ظلمًا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فسّر بالكرّ بعد الفرّ، يخيّل عدوّه أنّه منهزم، ثمّ ينعطف عليه، و هو نوع منمكائد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الكاذبة الفاجرة، و سمّيت غموسًا لأنّها تغمس صاحبها في الإثم ثمّ في النار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33851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 بل ذكره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المحصنات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في الحكم والجور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بالله عزّوجلّ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عنهما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الخصال و ثواب الأعمال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عنهم فيالوسائل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مثله في 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إلّاأنّ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الكبائر 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واستحلال البيت الحرام، و السحر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أهلّ لغير الله به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الميسر و القمار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 معونة المظلومين والركون إلى الظالمين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الكاذبة الفاجرة، و سمّيت غموسًا لأنّها تغمس صاحبها في الإثم ثمّ في النار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كتمان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العيون والخصال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المحاربة لأولياء الله عزّوجلّ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والملاهي الّتي تصدّ عن 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مكروهة، كالغناء و ضرب الأوتار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العيون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ابن شعبة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نحوه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النووي في شرحه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الشيخ الإمام أبو محمّد بن عبد السلام في كتابهالقواعد، مع تفاوت يسير ؛ و نسبه إلى القيل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عبّاس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العيون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ابن شعبة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نحوه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نحن نُحْىِ المَوتى و نَكتُبُ ما قدّموا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القواعد و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حكاه 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جعل عليكم في الدّين من حَرَج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ضرر و لا إضرار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اللفظ في السرائر، نعم قد ورد ما هو بمضمونه فيه، انظر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بهذه العبارة في 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ليس فيها التصريح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 فيالتنقيح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الحبلالمتين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مناهج الأحكام، للميرزا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كنزالعرفان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حقائق الإيمان،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الّذي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تاب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قال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القذف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كاذبًا في هذا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النور،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والّذين يرمون المحصنات ثمّلم يأتوا بأربعة شهداء فاجلدوهم ثمانين جلدة و لا تقبلوا لهم شهادةً أبدًا و أولئک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لا جاءوا عليه بأربعة شهداء فَإِذْ لم يأتوا بالشهداء فأولئک عند الله همالكاذبون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حدّ توبة القاذف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إكذاب نفسه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الصدوقين و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 فيكشف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الأعرجيّ في شرحه على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تعريف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فيمكتبة المرعشيّ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الصادق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عنهما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ابن أبي جمهور الأحسائيّ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قطعة من خشب يحفر فيها حفر ثلاثة أسطر، فيجعل في الحفرشيء من الحصى الصغار و نحوها يلعبون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الطاووسي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العيون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ابن شعبة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نحوه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محمّد ابن يحيى، عن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عنمعمّر بن خلّاد ؛ منه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يقتمر به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تقوم به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مسندًا عن زيد الشحّام ؛ و رواه فيه أيضًا مرسلاً عن ابن أبي عميرعن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 الحزن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نبيعهنّ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نحمل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أوصى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الكافي فيالوسائل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أستغفر الله تعالى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كلّ قبيح ؛ و في الفقيه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القبيح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تؤمن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بن هاشم العبّاسيّ حكى عنک أنّک رخّصت له استماع الغناء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سألني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فأنّى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قضيت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بتحريم الغناء مطلقًا، لكنّ العلّامة صرّح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بورود الرخصة في المغنّية في الأعراس،و كذا في سائر كتبه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من مولانا الصالح المتّقيّ محمّد صالح المازندرانيّ في شرحه علىالأصول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قراءة القرآن بالتغنّي به حرام عندنا و عند أكثر العامّة، إنتهى ؛ منه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يمرّون فيقفون ببابه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القراءة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من الليل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إدريس في آخر السرائر نقلاً عن كتاب محمّد بن عليّ بن محبوب الأشعريّ الجوهريّالقمّيّ، عن العبّاس، عن حمّاد بن عيسى، عن معاوية بن عمّار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جئنا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لأستأذن عليه ؛ و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نستأذن عليه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بالعبرانيّة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المصاحف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الأرض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المصحف الشريف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مَن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و جامع الأخبار لابن بابويه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تَراقِيَهم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المعنى واحد،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القرآنحناجرهم و لا يصل إلى قلوبهم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كالكوز المقلوب،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يستقرّ فيها شيء من آثار الحقّ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قلوب من يعجبه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تبكوا فتباكوا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إلّا ما به غنًى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نفى عنه البأس في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الظاهر من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ظاهر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خناء،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 و فيالمحاسن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الخنا من معانيه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الطرب، و يأتي ما يدلّ على تحريم الغناء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الأبي والسنوسي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في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حكي عن قائل مجهول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وعد الله عليه النار، و تلا هذه الآية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أنّه محمّد بن مسلم، و المراد بأبي جعفر هو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كونه محمّد بن سنان و أبي جعفر هو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جدًّا، كما لا يخفى على العارف بطبقات الرجال ؛ حرّره حسنخوانسارى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ممّا 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الناس من يشتري لهو الحديث ليضلّ عن سبيل الله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المطرزي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الّذي يتّخذ من صفر يضرب أحدهما بالآخر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المسالک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الضَنجَ هوالدفّ المشتمل على الجلاجل ؛ منه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الكوبات و الكنارات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إيّاک والضرب بالصوانيج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إيّاک والضربة بالصولجان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فيأصل زيد النرسي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ضربک بالصوالج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 زيد النرسي ؛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44584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عنهما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عنهما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يكن فيه التماثيل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الحرير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والمصلّى الحرير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والاتكاء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يفرشه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عنهما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في التهذيب في باب ما يجوز الصلاة فيه من اللباس و المكان منالأصل، عن محمّد بن أحمد بن يحيى، عن رجل، عن الحسن بن عليّ، عن أبيه، عن عليّ بن عقبه عن موسىبن أكيل النميري،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حلية أهل النار، و الذهب حلية أهل الجنّة، و جعل اللهالذهب في الدنيا زينة النساء، فحرّم على الرجال لبسه و الصلاة فيه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 لک ما أحبّ لنفسي، و أكره لک ماأكره لنفسي، فلا تتختم بخاتم ذهب، فإنّه زينتک في الآخرة، الحديث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النصوص المذكورة بجملتها مرويّة في الكافي في كتاب الإيمان و الكفر فيباب الحسد ؛ منه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الفقهاء بالحسد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مرويّة في الكافي في الباب المذكور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لسبب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للدنيا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الأخبار الدالّة على تحريم بغض المؤمن بخصوصها الّتي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زائرًا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يأذن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احترق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حجب أخاه المؤمن، منقول هنا بالمعنى، فلاحظ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للأصحاب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غمس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 كأغمسه، و الغَمس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تري أنّک لا تعرفالأمر، و أنت تعرفه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 كأعمسه، والعمس، إلى آخره ؛ انظرالقاموس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هامش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الهجرة، طبع الآخوندي،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أكثر النسخ بالغين المعجمة، والظاهر أنّه بالمهملة كما في بعضها، و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تغافل،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تعامى عليّ ؛ و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غمسه في الماء،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رمسه، و الغميس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المظلم ؛ مرآة العقول، إنتهى ما فيالهامش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عزّه كمدّه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كعازّه ؛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إيّاک و هجران أخيک، فإنّ العمل لا يتقبّل مع الهجران ؛ يا أباذرّ أنهاک عن الهجران، فإنكنت لابدّ فاعلاً فلاتهجره ثلاثة أيّام كملاً، فمن مات فيها مهاجرًا لأخيه كانت النار أولى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في المجالس والأخبار ؛ 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عنهشام بن سالم عن المعلّى بن خنيس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عنه صدودًا،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 و صدّه عن الأمر 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 صرفه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المعرضون عن الأولياءالمعادون لهم، أو أين المانعون لهم عن حقوقهم، أو أين المستهزؤون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أينالمؤذون لأوليائي ؛ و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الضدود لأوليائي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يصبه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الظالمون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 نجدها في النهاية و لا في غيرها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الأمالي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الكافي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43956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سلطانًا جائرًا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يسخط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فيغرر الأخبار، للشيخ عليّ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هو أبو هاشم داود بن القاسم الجعفريّ، و هو من أجلّة أصحابنا،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لقى الرضا إلى آخرالأئمّة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أبو الحسن يحتمل الرضا و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يحتمل أن يكون سليمان بن جعفر الجعفريّ، كماصرّح به في مجالس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يراغمه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و التباعد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حاجته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زائرًا أو طالب حاجة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فاستأذن له و لم يخرج إليه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حسين بن أمين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بخل بمعونة أخيه المسلم والقيام له في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ابتلى بمعونة من يأثم عليه و لا يؤجر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حسين بن أنس،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الحسينبن أبان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فيه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إملاء ما منّ به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إلى آيات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العضو يأتكل منه كما في القاموس و غيره،وقد يقرأ بمدّ الهمزة على وزن فاعلة، أي العلّة الّتي تأكل اللحم، والأوّل أوفق باللغة ؛ 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أسرع فيدين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ضرره و إفنائه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و كفرحة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العضو يأتكل منه،وكلاهما محتملان، إلّا أنّ ذكر الجوف يؤيّد الأوّل، و إرادة الافناء و الإذهاب يؤيّد الثاني، و الأوّل أقربوأصوب ؛ و تشبيه الغيبة بأكل اللقمة أنسب، لأنّ الله سبحانه شبّهها بأكل اللحم، إنتهى ؛ و كان الثاني أظهر،والتخصيص بالجوف لأنّه أضرّ و أسرع في قتله، و في التأييد الّذي ذكره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الشيخ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الحسن، عنالصفّار، عن أيّوب بن نوح، عن محمّد بن أبي عمير، عن محمّد بن حمران،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مثله ؛ و عنالكافي و الأمالي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كلامه ذيل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الشيخ 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سعد، عن أحمد بن محمّد بن خالد، عن أبيه، عن محمّد بن سنان، عن الحسين بنمختار، عن زيدٍ الشحام، نحوه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يعاب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المغتاب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عن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للإمام الصادق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الجواهر السنيّة في الأحاديث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أن تذكر أخاک ما يكرهه في حضوره، سواء كان فعله، أو لم يفعل، واستوجب عليه حدًّا أم لا ؛ انظررسائل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الأربعين، للشيخ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ذيل الحديثالثلاثين ؛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قائله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ستره الله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غير صحيحتين، لاشتراک أبان و مجهوليّة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المحاسن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البختري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و ردا ؛ كنز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تحف العقول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رواها الشيخ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الرضا عليه السلام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لفاسق أو في 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للفاسق غيبة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الأردبيليّ عن الشهيد في 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الريبة،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في المصادر الحديثيّة المتوفّرة لدينا، و الموجود فيها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الناس حرمة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الذكرى بعد ذكر الرواية ما هذا كلامه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محمول على التأكيد و نفي الكمال، أو علىالاستهانة بصلاة الجماعة ؛ قال الفاضل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الجماعة الواجبة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هي في الجمعة والعيدين مع الشرائط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إنتهى كلامه رفع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المحقّق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حملها الشهيد رحمه الله على تارک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الوقيعة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منهم المحقّق السبزواريّ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أترعون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صعلوک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أحمد في مسنده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معاوية فرجل تَرِب لا مال له، و أمّا أبو الجهم فرجل ضراب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مسلم في صحيحه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أبو جهم فلا يضع عصاه عن عاتقه، و أمّا معاوية فصعلوک لا مال له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الفتوح الرازيّ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؛وورّام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أورده الشهيد الثاني في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يعاب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خذله الله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ذكرته ؛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ذاک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أسباط بن محمّد يرفعه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الغيبةأشدّ من الزنا،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 لم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الزنا يتوب فيتوب الله عليه، و صاحب الغيبة يتوبفيتوب الله عليه، و صاحب الغيبة يتوب فلا يتوب الله عليه حتّى يكون صاحبه الّذي يحلّه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والغيبة، فإنّ الغيبة أشدّ من الزنا، انّ الرجليزني فيتوب فيتوب الله عليه، وانّ صاحب الغيبة لا يغفر له حتّى يغفر له صاحبها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الرحم الّذي يحرم قطعه و يجب صلته مطلق القريبالمعروف بالنسب و إن بعدت لحمته و جاز نكاحه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المحصول، للمحقّقالأعرجيّ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ترافقهم في طريق ؛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توافقهم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ماله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ليجتمعون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الفوقيّة أوّلاً ثمّ الموحّدة، فهو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والهلاک ؛ و في بعض نسخ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،والبتر بالباء الموحّدة والتاء المثنّاة الفوقيّة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والاستئصال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يثرون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بلقع، و هو الأرض الخالية ؛ منه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تنقل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العامّة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حليةالعلماء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بعضهم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الكافي عن أبي خديجة،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يتركون الإنسان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الكافي عن عبد الكريم بن صالح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تقذر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تسكن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34085</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بن إبراهيم،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الأجلّة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البعض هو الحرّ العاملي قدس سره ، راجع هامش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مكروهٌ عندنا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عنهما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 لا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33983</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الزنى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نقوله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نجيبًا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 له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قبول شهادة 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بالخبر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حقّقناه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مرضيًّا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 لا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فرض تسليم الاشتراک في أبي بصير بين الثقة و غيره ؛ و التحقيقخلافه، كما حقّقناه في محلّه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في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الخبير البصير إلى تحقيق الحال في أبي بصير،المطبوعة ضمن الرسائل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عنهما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مقبولة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 عنعبيد الله بن عليّ الحلبيّ مثله،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والمتّهم والخصم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33978</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ذلک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33977</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مجلودًا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الإماميّة به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بذلک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الحلبيّ المرويّة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يشهدها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فقضى أن تجاز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تابع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آخرالرواية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كذلک العبد إذا أعتق جازت شهادته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الفاضل الآبي في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والفاضلالمقداد في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تقبل شهادة الصديق لصديقه وإن كان بينهما مهاداة و ملاطفة، و بهقال جميع الفقهاء إلّا مالكًا،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بينهما مهاداة و ملاطفة لا تقبل شهادته، و إن لم تكن قبلت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خلاف مالک في الكافي،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سنتكلّم عليه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33898</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الكافي والاستبصار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ليس فيه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المملوک لا تجوز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ما وافق القوم، فإنّ الرشد في خلافهم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نحن مع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33988</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 و تفسير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يؤيّده،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لغير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الوسائل بعد ذكر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أنّه محمول على ما لو شهد لغيرسيّده، 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و هو محمول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33905</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جمهور الأحسائيّ في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مرفوعًا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أنّهكان يقبل،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البحر الزاخر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33898</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جمهور الأحسائيّ في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مرفوعًا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أنّهكان يقبل شهادة بعضهم على بعض، و لا تقبل شهادتهم على الأحرار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يمتنع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تتساوى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يرويها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33900</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أبي يزيد ؛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فرقد، مولى آل أبي السمال الأسديّالنصريّ، و فرقد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يزيد، كوفيّ، ثقة، روى عن أبي عبدالله و أبي الحسن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جارية له و غلامان مملوكان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أعتقا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24848</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نسبه إلى القيل في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تجاز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ليس فيه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موجودٌ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القبيل الموثّق المرويّ في باب شهادة الشريک من شهادات الكافي عن عبد الرّحمن بن أبي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ثلاثة شركاء شهد اثنان عن واحد،قال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شهادتهما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تجوز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33972</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 عنعبيد الله بن عليّ الحلبيّ مثله،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و المتّهم و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33978</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النوفليّ، عن السكونيّ،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لا يقبل شهادة فحّاش و لا ذي مخزية فيالدين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الكافي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إسماعيل بن مسلم عن الصادق جعفر بن محمّد، عن أبيه،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عنه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العوالي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فيمعاني الأخبار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ذي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الصدوق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و العداوة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 شهادة الخائن، و لا الخائنة، و لا الزاني، و لا الزانية، و لا ذي غمز على أخيه </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الأوّل في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الأردبيلي 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الإماميّة به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روي لها وفاق قديم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أن نسب القول بعدم قبول الشهادةعلى الوالد إلى الشيخين و غيرهما واختياره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هنا فروعٌ على قول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الشهادة على الأمّ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هل حكم الجدّ للأب حكمه ؟الأقرب ذلک، أمّا الأمّ فيقبل شهادة الولد عليها و لها </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الشهادات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الظلم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في باب البيّنات باسناده عن محمّد بن عليّ بن محبوب،عن محمّد بن الحسين، عن ذبيان بن حكيم الأودي، عن موسى بن أكيل النميري، عن داود بن الحصين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33880</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تيقّظه ؛ و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تيقّنه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تحصيله و تمييزه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محصّل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حكاه عنهما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أشهدوهم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33906</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أشهد على 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شهد بشهادة </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33906</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33886</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الصبىّ والعبد والنصرانيّيشهدون بشهادة، فيسلم النصرانيّ، أتجوز شهادته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34023</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مشترکٌ بين جماعة، كأبي جعفر النهدي، و مولى بني فهر الكوفيّ، وابن أعين الشيبانيّ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النهديّ، أبو جعفر، ثقة، كوفيّ الأصل، نزل جرجرايا، و روى عنأبي عبدالله عليه السلام،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موضع من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بنحمران النهديّ، كوفيّ، أبو جعفر، بزّاز، من أصحاب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مولى بني فهر، كوفيّ، و ليس بابن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بن أعين، مولى بني شيبان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بن أعين، له كتاب، أخبرنا به جماعة عن أبي المفضّل، عن ابن بطة، عنأحمد بن محمّد بن عيسى، عن ابن أبي عمير وابن أبي نجران جميعًا،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نقد الرجال، للتفرشي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34026</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ذي التهمة، أو شهادة المتّهم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عمران بن حصين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الناس قرني، ثمّ الّذي يلونهم ثمّ يأتي من بعدهم قوميتسمّنون و يحبّون السمن، يعطون الشهادة قبل أن يسألوها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الهيثمي في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شرار الناس من تدركهم الساعة و هم أحياءوالّذين يتّخذون القبور مساجد والّذين يشهدون بالشهادة قبل أن يسألوها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يفشوا الكذب حتّى يعجّل الرجل بالشهادة قبل أن يسأل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32458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يفشوا الكذب حتّى يشهد الرجل و ما يستشهد و يحلف و ما يستحلف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بها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من مذهب الأصحاب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المنع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حرصًا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رأي 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مدارک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واشهدوا عليه عدولاً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يطلقعلى الواحد والكثير كما نصّ عليه أهل اللغة، فيحمل على الاثنين فصاعدًا، ذكره بعض علمائنا، بناءً على سقوط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 وجوده أو وجود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13435</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أجاب عنها بالطعن في السند باشتراک محمّد بن قيس بين جماعة منهم الضعيف ؛ و هوغير جيّد، لأنّ الظاهر كون الراوي هنا البجليّ الكوفيّ الثقة صاحب كتاب القضايا المعروف، الّذي يرويه عنه عاصم بن حميد و يوسف بن عقيل، بقرينة كون الراوي عنه في هذه الرواية يوسف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الطلاق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33919</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 و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الحارقي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يحكه عن المبسوط إلّا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العلّامة السيّد علىّ الطباطبائيّ قدس سره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كالشيخ في المبسوط والإسكافيّ و العمانيّ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 ابن الجنيدوالعماني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فيثبت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و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33950</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بهذه العبارة في التهذيب و الاستبصار ؛ 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قال في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يحتمل أن يكون الخبر خرج مخرج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ينافي ما تقدّم من الأخبار، لأنّ الكلام على هذا الخبر مثل الكلام على الخبر الأوّل من حمله على التقيّة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فأجازوا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باليمين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يقرأ ما في نسخة الأصل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68985</Words>
  <Characters>262370</Characters>
  <CharactersWithSpaces>329102</CharactersWithSpaces>
  <Paragraphs>2657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2026-08-24T16:51:42Z</dcterms:created>
  <dc:creator>ghaemiyeh.com</dc:creator>
  <dc:description/>
  <dc:language>en-US</dc:language>
  <cp:lastModifiedBy/>
  <dcterms:modified xsi:type="dcterms:W3CDTF">2026-08-24T20:21:57Z</dcterms:modified>
  <cp:revision>1</cp:revision>
  <dc:subject/>
  <dc:title>کتاب القضاء و الشهادات جلد 2</dc:title>
</cp:coreProperties>
</file>

<file path=docProps/custom.xml><?xml version="1.0" encoding="utf-8"?>
<Properties xmlns="http://schemas.openxmlformats.org/officeDocument/2006/custom-properties" xmlns:vt="http://schemas.openxmlformats.org/officeDocument/2006/docPropsVTypes"/>
</file>